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 xml:space="preserve">BILAG IV — Instrukser vedrørende offentliggørelse af risikostyringsmålsætninger og -politikker</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Tabel EU OVA — Instituttets risikostyringstilgang:</w:t>
      </w:r>
      <w:r>
        <w:rPr>
          <w:sz w:val="24"/>
          <w:rFonts w:ascii="Times New Roman" w:hAnsi="Times New Roman"/>
        </w:rPr>
        <w:t xml:space="preserve"> </w:t>
      </w:r>
      <w:r>
        <w:rPr>
          <w:sz w:val="24"/>
          <w:rFonts w:ascii="Times New Roman" w:hAnsi="Times New Roman"/>
        </w:rPr>
        <w:t xml:space="preserve">Fritekstbokse til offentliggørelse af kvalitative oplysninger.</w:t>
      </w:r>
    </w:p>
    <w:p w14:paraId="6410CBA1" w14:textId="56AB682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Institutterne offentliggør de oplysninger, som er omhandlet i artikel 435, stk. 1, i forordning (EU) nr. 575/2013</w:t>
      </w:r>
      <w:r>
        <w:rPr>
          <w:rStyle w:val="FootnoteReference"/>
        </w:rPr>
        <w:footnoteReference w:id="1"/>
      </w:r>
      <w:r>
        <w:rPr>
          <w:sz w:val="24"/>
          <w:rFonts w:ascii="Times New Roman" w:hAnsi="Times New Roman"/>
        </w:rPr>
        <w:t xml:space="preserve"> ("CRR"), ved at følge instrukserne i dette bilag til udfyldelse af tabel EU OVA, som findes i bilag III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Henvisninger til retsakter og instrukser</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 xml:space="preserve">a)</w:t>
            </w:r>
          </w:p>
        </w:tc>
        <w:tc>
          <w:tcPr>
            <w:tcW w:w="7655" w:type="dxa"/>
          </w:tcPr>
          <w:p w14:paraId="15BD1156"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Den koncise risikoerklæring godkendt af ledelsesorganet ved anvendelse af artikel 435, stk. 1, litra f), i CRR skal beskrive, hvordan forretningsmodellen bestemmer den overordnede risikoprofil og samspillet mellem dem:</w:t>
            </w:r>
            <w:r>
              <w:rPr>
                <w:sz w:val="24"/>
                <w:rFonts w:ascii="Times New Roman" w:hAnsi="Times New Roman"/>
              </w:rPr>
              <w:t xml:space="preserve"> </w:t>
            </w:r>
            <w:r>
              <w:rPr>
                <w:sz w:val="24"/>
                <w:rFonts w:ascii="Times New Roman" w:hAnsi="Times New Roman"/>
              </w:rPr>
              <w:t xml:space="preserve">eksempelvis de væsentligste risici ved forretningsmodellen, og hvordan hver af disse risici er afspejlet og beskrevet i offentliggørelserne af risici, eller af samspillet mellem instituttets risikoprofil og den risikotolerance, som ledelsesorganet har fastsat.</w:t>
            </w:r>
          </w:p>
          <w:p w14:paraId="114EC765"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I risikoerklæringen, jf. artikel 435, stk. 1, litra f), i CRR, skal institutterne også offentliggøre arten og omfanget af, formålet med og den økonomiske substans af væsentlige transaktioner inden for koncernen, tilknyttede selskaber og relaterede parter.</w:t>
            </w:r>
            <w:r>
              <w:rPr>
                <w:sz w:val="24"/>
                <w:rFonts w:ascii="Times New Roman" w:hAnsi="Times New Roman"/>
              </w:rPr>
              <w:t xml:space="preserve"> </w:t>
            </w:r>
            <w:r>
              <w:rPr>
                <w:sz w:val="24"/>
                <w:rFonts w:ascii="Times New Roman" w:hAnsi="Times New Roman"/>
              </w:rPr>
              <w:t xml:space="preserve">Offentliggørelsen skal begrænses til transaktioner, der har en væsentlig indvirkning på instituttets risikoprofil (herunder omdømmemæssig risiko) eller distributionen af risici inden for koncernen.</w:t>
            </w:r>
            <w:r>
              <w:rPr>
                <w:sz w:val="24"/>
                <w:rFonts w:ascii="Times New Roman" w:hAnsi="Times New Roman"/>
              </w:rPr>
              <w:t xml:space="preserve"> </w:t>
            </w:r>
            <w:r>
              <w:rPr>
                <w:sz w:val="24"/>
                <w:rFonts w:ascii="Times New Roman" w:hAnsi="Times New Roman"/>
              </w:rPr>
              <w:t xml:space="preserve">Institutterne skal også medtage nøgletal, der viser samspillet mellem instituttets risikoprofil og den risikotolerance, som ledelsesorganet har fastsat.</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47E22821"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Oplysninger, der skal offentliggøres ved anvendelse af artikel 435, stk. 1, litra b), i CRR, omfatter strukturen til ledelse af hver type af risiko:</w:t>
            </w:r>
            <w:r>
              <w:rPr>
                <w:sz w:val="24"/>
                <w:rFonts w:ascii="Times New Roman" w:hAnsi="Times New Roman"/>
              </w:rPr>
              <w:t xml:space="preserve"> </w:t>
            </w:r>
            <w:r>
              <w:rPr>
                <w:sz w:val="24"/>
                <w:rFonts w:ascii="Times New Roman" w:hAnsi="Times New Roman"/>
              </w:rPr>
              <w:t xml:space="preserve">ansvar placeret i hele instituttet (herunder, hvor det er relevant, tilsyn og delegering af beføjelser og fordeling af ansvarsområder mellem ledelsesorganet, forretningsområderne og risikostyringsfunktionen efter risikotype, forretningsenhed og andre relevante oplysninger),</w:t>
            </w:r>
            <w:r>
              <w:rPr>
                <w:sz w:val="24"/>
                <w:rFonts w:ascii="Times New Roman" w:hAnsi="Times New Roman"/>
              </w:rPr>
              <w:t xml:space="preserve"> </w:t>
            </w:r>
            <w:r>
              <w:rPr>
                <w:sz w:val="24"/>
                <w:rFonts w:ascii="Times New Roman" w:hAnsi="Times New Roman"/>
              </w:rPr>
              <w:t xml:space="preserve">forhold mellem de organer og funktioner, der er involveret i risikostyringsprocesser og i givet fald ledelsesorganet, risikoudvalget, risikostyringsfunktionen, compliancefunktionen, den interne revisionsfunktion)</w:t>
            </w:r>
            <w:r>
              <w:rPr>
                <w:sz w:val="24"/>
                <w:rFonts w:ascii="Times New Roman" w:hAnsi="Times New Roman"/>
              </w:rPr>
              <w:t xml:space="preserve"> </w:t>
            </w:r>
            <w:r>
              <w:rPr>
                <w:sz w:val="24"/>
                <w:rFonts w:ascii="Times New Roman" w:hAnsi="Times New Roman"/>
              </w:rPr>
              <w:t xml:space="preserve">og de organisatoriske og interne kontrolforanstaltninger.</w:t>
            </w:r>
            <w:r>
              <w:rPr>
                <w:sz w:val="24"/>
                <w:rFonts w:ascii="Times New Roman" w:hAnsi="Times New Roman"/>
              </w:rPr>
              <w:t xml:space="preserve"> </w:t>
            </w:r>
          </w:p>
          <w:p w14:paraId="4A2A58FF"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Når institutterne offentliggør strukturen i og tilrettelæggelsen af den relevante risikostyringsfunktion, skal de supplere oplysningerne med følgende oplysninger:</w:t>
            </w:r>
            <w:r>
              <w:rPr>
                <w:sz w:val="24"/>
                <w:rFonts w:ascii="Times New Roman" w:hAnsi="Times New Roman"/>
              </w:rPr>
              <w:t xml:space="preserve">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oplysninger om det overordnede interne kontrolsystem og tilrettelæggelsen af dets kontrolfunktioner (myndighed, ressourcer, vedtægter og uafhængighed), de primære opgaver, de udfører, og eventuelle faktiske og planlagte væsentlige ændringer af disse funktioner</w:t>
            </w:r>
            <w:r>
              <w:rPr>
                <w:sz w:val="24"/>
                <w:rFonts w:ascii="Times New Roman" w:hAnsi="Times New Roman"/>
              </w:rPr>
              <w:t xml:space="preserve">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de godkendte risikomæssige grænser, som instituttet er eksponeret mod</w:t>
            </w:r>
            <w:r>
              <w:rPr>
                <w:sz w:val="24"/>
                <w:rFonts w:ascii="Times New Roman" w:hAnsi="Times New Roman"/>
              </w:rPr>
              <w:t xml:space="preserve">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ændringer i chefer for intern kontrol, risikostyring, compliance og intern revision.</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Kommunikationskanaler, afvisning og håndhævelse af risikokulturen i instituttet (for eksempel om der findes adfærdskodekser, manualer indeholdende driftsgrænser eller procedurer til behandling af overtrædelser eller brud på risikotærskler eller procedurer til fremhævelse af og deling af risikospørgsmål mellem forretningsenheder og risikofunktioner).</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188115A5"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 erklæring, som institutterne skal offentliggøre i henhold til artikel 435, stk. 1, litra e), i CRR om, hvorvidt risikostyringsordningerne er tilstrækkelige, skal godkendes af ledelsesorganet og give sikkerhed for, at de indførte risikostyringssystemer er tilstrækkelige i forhold til instituttets profil og strategi.</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4D27F082"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Som led i de påkrævede offentliggørelser i henhold til artikel 435, stk. 1, litra c), i CRR skal institutterne offentliggøre omfanget og arten af systemer til risikorapportering og/eller -måling og en beskrivelse af informationsstrømmen vedrørende risiko til ledelsesorganet og den øverste ledelse.</w:t>
            </w:r>
            <w:r>
              <w:rPr>
                <w:sz w:val="24"/>
                <w:rFonts w:ascii="Times New Roman" w:hAnsi="Times New Roman"/>
              </w:rPr>
              <w:t xml:space="preserve">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6A2B9C4E"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Når institutterne offentliggør oplysninger om hovedelementerne i systemerne til risikorapportering og -måling ved anvendelse af artikel 435 stk. 1, litra c), i CRR, skal de offentliggøre deres politikker vedrørende systematiske og regelmæssige evalueringer af risikostyringsfunktioner og periodiske vurderinger af deres effektivitet.</w:t>
            </w:r>
            <w:r>
              <w:rPr>
                <w:sz w:val="24"/>
                <w:rFonts w:ascii="Times New Roman" w:hAnsi="Times New Roman"/>
              </w:rPr>
              <w:t xml:space="preserve">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0DE3929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Offentliggørelse af oplysninger om strategier og procedurer til risikostyring ved anvendelse af artikel 435, stk. 1, litra a), i CRR skal omfatte kvalitative oplysninger vedrørende stresstest, f.eks. hvilke porteføljer, der underlægges stresstests, de anvendte scenarier og metoder og anvendelse af stresstests til risikostyring.</w:t>
            </w:r>
            <w:r>
              <w:rPr>
                <w:sz w:val="24"/>
                <w:rFonts w:ascii="Times New Roman" w:hAnsi="Times New Roman"/>
              </w:rPr>
              <w:t xml:space="preserve">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28108A47"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Institutterne skal offentliggøre oplysninger om strategier og procedurer til administration, afdækning og reduktion af risici såvel som om overvågning af effektiviteten af afdækning og reduktionsmekanismer i overensstemmelse med artikel 435, stk. 1, litra a) og d), i CRR for risici, der måtte opstå som følge af institutternes forretningsmodel.</w:t>
            </w:r>
            <w:r>
              <w:rPr>
                <w:sz w:val="24"/>
                <w:rFonts w:ascii="Times New Roman" w:hAnsi="Times New Roman"/>
              </w:rPr>
              <w:t xml:space="preserve">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Tabel EU OVB — Offentliggørelse af ledelsessystemer:</w:t>
      </w:r>
      <w:r>
        <w:rPr>
          <w:sz w:val="24"/>
          <w:b/>
          <w:rFonts w:ascii="Times New Roman" w:hAnsi="Times New Roman"/>
        </w:rPr>
        <w:t xml:space="preserve"> </w:t>
      </w:r>
      <w:r>
        <w:rPr>
          <w:sz w:val="24"/>
          <w:rFonts w:ascii="Times New Roman" w:hAnsi="Times New Roman"/>
        </w:rPr>
        <w:t xml:space="preserve">Fritekstbokse til offentliggørelse af kvalitative oplysninger.</w:t>
      </w:r>
    </w:p>
    <w:p w14:paraId="3B77667C" w14:textId="7777777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Institutterne offentliggør de oplysninger, som er omhandlet i artikel 435, stk. 2, i CRR, ved at følge instrukserne i dette bilag til udfyldelse af tabel EU OVB, som findes i bilag III til nærværende gennemførelsesforordning.</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Henvisninger til retsakter og instrukser</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color w:val="000000"/>
                <w:sz w:val="24"/>
                <w:rFonts w:ascii="Times New Roman" w:hAnsi="Times New Roman" w:cs="Times New Roman"/>
              </w:rPr>
            </w:pPr>
            <w:r>
              <w:rPr>
                <w:sz w:val="24"/>
                <w:rFonts w:ascii="Times New Roman" w:hAnsi="Times New Roman"/>
              </w:rPr>
              <w:t xml:space="preserve">a)</w:t>
            </w:r>
          </w:p>
        </w:tc>
        <w:tc>
          <w:tcPr>
            <w:tcW w:w="7655" w:type="dxa"/>
          </w:tcPr>
          <w:p w14:paraId="1C15AB1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Institutterne skal offentliggøre antallet af direktør- og bestyrelsesposter, som indehaves af medlemmer af ledelsesorganet, jf. artikel 435, stk. 2, litra a), i CRR.</w:t>
            </w:r>
            <w:r>
              <w:rPr>
                <w:sz w:val="24"/>
                <w:rFonts w:ascii="Times New Roman" w:hAnsi="Times New Roman"/>
              </w:rPr>
              <w:t xml:space="preserve"> </w:t>
            </w:r>
            <w:r>
              <w:rPr>
                <w:sz w:val="24"/>
                <w:rFonts w:ascii="Times New Roman" w:hAnsi="Times New Roman"/>
              </w:rPr>
              <w:t xml:space="preserve">Følgende specifikationer gælder ved offentliggørelse af disse oplysninger:</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Institutter, der er omfattet af artikel 91, stk. 3 og 4, i direktiv (EU) 2013/36</w:t>
            </w:r>
            <w:r>
              <w:rPr>
                <w:rStyle w:val="FootnoteReference"/>
                <w:rFonts w:eastAsia="Times New Roman"/>
              </w:rPr>
              <w:footnoteReference w:id="2"/>
            </w:r>
            <w:r>
              <w:rPr>
                <w:sz w:val="24"/>
                <w:rFonts w:ascii="Times New Roman" w:hAnsi="Times New Roman"/>
              </w:rPr>
              <w:t xml:space="preserve"> ("CRD"), skal offentliggøre antallet af direktør- og bestyrelsesposter som optalt efter denne artikel.</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Institutterne skal offentliggøre antallet af direktør- og bestyrelsesposter, som hvert medlem af ledelsesorganet i praksis besidder (uanset om der er tale om et selskab i koncernen eller ej, en kvalificeret ejerandel eller et institut i samme institutsikringsordning, og uanset om der er tale om en direktørpost eller bestyrelsespost), uanset om direktør- eller bestyrelsesposten er i en enhed, der forfølger et kommercielt formål.</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Når en ekstra direktør- eller bestyrelsespost er godkendt af den kompetente myndighed, skal alle institutter, som dette medlem har en direktør- eller bestyrelsespost i, offentliggøre dette sammen med navnet på den kompetente myndighed, der godkender den ekstra direktør- eller bestyrelsespost.</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211F21E9"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Når institutterne offentliggør oplysninger vedrørende ansættelsespolitikken for medlemmer af ledelsesorganet, jf. artikel 435, stk. 2, litra b), i CRR, skal de medtage oplysninger om medlemmernes faktiske viden, faglige kompetence og ekspertise.</w:t>
            </w:r>
            <w:r>
              <w:rPr>
                <w:sz w:val="24"/>
                <w:rFonts w:ascii="Times New Roman" w:hAnsi="Times New Roman"/>
              </w:rPr>
              <w:t xml:space="preserve"> </w:t>
            </w:r>
            <w:r>
              <w:rPr>
                <w:sz w:val="24"/>
                <w:rFonts w:ascii="Times New Roman" w:hAnsi="Times New Roman"/>
              </w:rPr>
              <w:t xml:space="preserve">Institutterne skal medtage oplysninger om en eventuel politik som følge af personaleplanlægning og om forventede ændringer i ledelsesorganets overordnede sammensætning.</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2226CEF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Når institutterne offentliggør deres politik for mangfoldighed, jf. artikel 435, stk. 2, litra c), i CRR, skal de offentliggøre oplysninger om eventuelle relevante målsætninger i politikken og oplysninger om, i hvilket omfang disse målsætninger er blevet opfyldt.</w:t>
            </w:r>
            <w:r>
              <w:rPr>
                <w:sz w:val="24"/>
                <w:rFonts w:ascii="Times New Roman" w:hAnsi="Times New Roman"/>
              </w:rPr>
              <w:t xml:space="preserve"> </w:t>
            </w:r>
          </w:p>
          <w:p w14:paraId="45DF56C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Institutterne skal særlig offentliggøre deres politik om kønsdiversitet, herunder:</w:t>
            </w:r>
            <w:r>
              <w:rPr>
                <w:sz w:val="24"/>
                <w:rFonts w:ascii="Times New Roman" w:hAnsi="Times New Roman"/>
              </w:rPr>
              <w:t xml:space="preserve">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Hvis der er fastsat et mål for det underrepræsenterede køn og for politikker vedrørende mangfoldighed, når det gælder alder, uddannelsesmæssig baggrund, erhvervsmæssig baggrund og geografisk oprindelse, offentliggøres det fastlagte mål og oplysninger om, i hvilket omfang målene er blevet opfyldt.</w:t>
            </w:r>
            <w:r>
              <w:rPr>
                <w:sz w:val="24"/>
                <w:rFonts w:ascii="Times New Roman" w:hAnsi="Times New Roman"/>
              </w:rPr>
              <w:t xml:space="preserve">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Hvis et mål ikke er blevet opfyldt, skal institutterne offentliggøre grundene, og, hvor det er relevant, de foranstaltninger, der gennemføres for at opfylde målet inden for et bestemt tidsrum.</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2DA8A566"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Institutterne skal oplyse, om de har nedsat et selvstændigt risikoudvalg og antallet af møder i risikoudvalget, jf. artikel 435, stk. 2, litra d), i CRR.</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28B9F6EB"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Som en del af oplysningerne om informationsstrømmen vedrørende risiko til ledelsesorganet ved anvendelsen af artikel 435, stk. 2, litra e), i CRR skal institutterne beskrive processen for risikorapportering, som er stillet til rådighed for bestyrelsen, særligt hyppighed, anvendelsesområde og det primære indhold af risikoeksponeringer, og hvordan ledelsesorganet var involveret i at definere det indhold, der skal rapporteres.</w:t>
            </w:r>
            <w:r>
              <w:rPr>
                <w:sz w:val="24"/>
                <w:rFonts w:ascii="Times New Roman" w:hAnsi="Times New Roman"/>
              </w:rPr>
              <w:t xml:space="preserve">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 xml:space="preserve">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ab/>
      </w:r>
      <w:r>
        <w:t xml:space="preserve">Europa-Parlamentets og Rådets forordning (EU) nr. 575/2013 af 26. juni 2013 om tilsynsmæssige krav til kreditinstitutter og om ændring af forordning (EU) nr. 648/2012, som ændret ved (EU) 2024/1623 (</w:t>
      </w:r>
      <w:hyperlink r:id="rId1" w:history="1">
        <w:r>
          <w:rPr>
            <w:rStyle w:val="Hyperlink"/>
            <w:color w:val="800080"/>
          </w:rPr>
          <w:t xml:space="preserve">EUT L 176 af 27.6.2013, s. 1</w:t>
        </w:r>
      </w:hyperlink>
      <w:r>
        <w:t xml:space="preserve">).</w:t>
      </w:r>
      <w:r>
        <w:rPr>
          <w:color w:val="800080"/>
          <w:u w:val="single"/>
        </w:rPr>
        <w:t xml:space="preserve"> </w:t>
      </w:r>
      <w:hyperlink r:id="rId2" w:history="1">
        <w:r>
          <w:rPr>
            <w:rStyle w:val="Hyperlink"/>
          </w:rPr>
          <w:t xml:space="preserve">Forordning - EU - 2024/1623 - DA - EUR-Lex (europa.eu)</w:t>
        </w:r>
      </w:hyperlink>
      <w:r>
        <w:rPr>
          <w:color w:val="444444"/>
        </w:rPr>
        <w:t xml:space="preserve">)</w:t>
      </w:r>
      <w:r>
        <w:t xml:space="preserve">.</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ab/>
      </w:r>
      <w:r>
        <w:t xml:space="preserve">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lang w:val="da-DK"/>
    </w:rPr>
  </w:style>
  <w:style w:type="character" w:customStyle="1" w:styleId="FootnoteTextChar">
    <w:name w:val="Footnote Text Char"/>
    <w:basedOn w:val="DefaultParagraphFont"/>
    <w:link w:val="FootnoteText"/>
    <w:rsid w:val="00A040D0"/>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CF2123-579C-4612-9586-33FEFE7E81C7}"/>
</file>

<file path=customXml/itemProps2.xml><?xml version="1.0" encoding="utf-8"?>
<ds:datastoreItem xmlns:ds="http://schemas.openxmlformats.org/officeDocument/2006/customXml" ds:itemID="{8DD3806B-3424-45F2-AFFC-4D0AE8428205}"/>
</file>

<file path=customXml/itemProps3.xml><?xml version="1.0" encoding="utf-8"?>
<ds:datastoreItem xmlns:ds="http://schemas.openxmlformats.org/officeDocument/2006/customXml" ds:itemID="{DEB766AF-06D9-4F2E-B633-446979B18DF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1214</Words>
  <Characters>6787</Characters>
  <Application>Microsoft Office Word</Application>
  <DocSecurity>0</DocSecurity>
  <Lines>144</Lines>
  <Paragraphs>55</Paragraphs>
  <ScaleCrop>false</ScaleCrop>
  <Company>European Banking Authority</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2021-03-11T11:48:00Z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