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73152" w14:textId="4E11F668" w:rsidR="00A81FD5" w:rsidRPr="000B5892" w:rsidRDefault="00A81FD5" w:rsidP="00A81FD5">
      <w:pPr>
        <w:pStyle w:val="Annexetitre"/>
        <w:spacing w:before="0"/>
      </w:pPr>
      <w:r w:rsidRPr="000B5892">
        <w:t xml:space="preserve">ANEXA XXIV – Publicarea de informații privind expunerile provenind din finanțări specializate și din titluri de capital </w:t>
      </w:r>
    </w:p>
    <w:p w14:paraId="085C05B0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4D52DDD2" w14:textId="2226D869" w:rsidR="00A81FD5" w:rsidRPr="007F4CC8" w:rsidRDefault="00A81FD5" w:rsidP="00A81FD5">
      <w:pPr>
        <w:spacing w:after="120"/>
        <w:ind w:left="3"/>
        <w:rPr>
          <w:rFonts w:ascii="Times New Roman" w:hAnsi="Times New Roman"/>
          <w:sz w:val="24"/>
        </w:rPr>
      </w:pPr>
      <w:r w:rsidRPr="000B5892">
        <w:rPr>
          <w:rFonts w:ascii="Times New Roman" w:hAnsi="Times New Roman"/>
          <w:b/>
          <w:sz w:val="24"/>
        </w:rPr>
        <w:t>Modelul EU CR10 – Expuneri din finanțări specializate și din titluri de capital.</w:t>
      </w:r>
      <w:r>
        <w:rPr>
          <w:rFonts w:ascii="Times New Roman" w:hAnsi="Times New Roman"/>
          <w:sz w:val="24"/>
        </w:rPr>
        <w:t xml:space="preserve"> Model fix.</w:t>
      </w:r>
    </w:p>
    <w:p w14:paraId="7F14938F" w14:textId="5C3615E8" w:rsidR="00A81FD5" w:rsidRPr="00AF68CB" w:rsidRDefault="00A81FD5" w:rsidP="00AF68CB">
      <w:pPr>
        <w:pStyle w:val="ListParagraph"/>
        <w:numPr>
          <w:ilvl w:val="0"/>
          <w:numId w:val="2"/>
        </w:numPr>
        <w:spacing w:after="120"/>
        <w:ind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Instituțiile publică informațiile menționate la articolul </w:t>
      </w:r>
      <w:r w:rsidRPr="000B5892">
        <w:rPr>
          <w:rFonts w:ascii="Times New Roman" w:hAnsi="Times New Roman"/>
          <w:sz w:val="24"/>
        </w:rPr>
        <w:t>438</w:t>
      </w:r>
      <w:r>
        <w:rPr>
          <w:rFonts w:ascii="Times New Roman" w:hAnsi="Times New Roman"/>
          <w:sz w:val="24"/>
        </w:rPr>
        <w:t xml:space="preserve"> litera (e) din Regulamentul (UE) nr. </w:t>
      </w:r>
      <w:r w:rsidRPr="000B5892">
        <w:rPr>
          <w:rFonts w:ascii="Times New Roman" w:hAnsi="Times New Roman"/>
          <w:sz w:val="24"/>
        </w:rPr>
        <w:t>575</w:t>
      </w:r>
      <w:r>
        <w:rPr>
          <w:rFonts w:ascii="Times New Roman" w:hAnsi="Times New Roman"/>
          <w:sz w:val="24"/>
        </w:rPr>
        <w:t>/</w:t>
      </w:r>
      <w:r w:rsidRPr="000B5892">
        <w:rPr>
          <w:rFonts w:ascii="Times New Roman" w:hAnsi="Times New Roman"/>
          <w:sz w:val="24"/>
        </w:rPr>
        <w:t>2013</w:t>
      </w:r>
      <w:r>
        <w:rPr>
          <w:rFonts w:ascii="Times New Roman" w:hAnsi="Times New Roman"/>
          <w:sz w:val="24"/>
        </w:rPr>
        <w:t xml:space="preserve"> („CRR”)</w:t>
      </w:r>
      <w:r w:rsidR="0016297E">
        <w:rPr>
          <w:rStyle w:val="FootnoteReference"/>
        </w:rPr>
        <w:footnoteReference w:id="1"/>
      </w:r>
      <w:r>
        <w:rPr>
          <w:rFonts w:ascii="Times New Roman" w:hAnsi="Times New Roman"/>
          <w:sz w:val="24"/>
        </w:rPr>
        <w:t xml:space="preserve"> urmând instrucțiunile furnizate mai jos în prezenta anexă pentru completarea modelului EU CR</w:t>
      </w:r>
      <w:r w:rsidRPr="000B5892">
        <w:rPr>
          <w:rFonts w:ascii="Times New Roman" w:hAnsi="Times New Roman"/>
          <w:sz w:val="24"/>
        </w:rPr>
        <w:t>10</w:t>
      </w:r>
      <w:r>
        <w:rPr>
          <w:rFonts w:ascii="Times New Roman" w:hAnsi="Times New Roman"/>
          <w:sz w:val="24"/>
        </w:rPr>
        <w:t xml:space="preserve"> care figurează în anexa XXIII la soluțiile informatice ale ABE. Instituțiile trebuie să publice:</w:t>
      </w:r>
    </w:p>
    <w:p w14:paraId="536DBFB9" w14:textId="77777777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informații privind următoarele tipuri de expuneri din finanțări specializate menționate în tabelul </w:t>
      </w:r>
      <w:r w:rsidRPr="000B5892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 de la articolul </w:t>
      </w:r>
      <w:r w:rsidRPr="000B5892">
        <w:rPr>
          <w:rFonts w:ascii="Times New Roman" w:hAnsi="Times New Roman"/>
          <w:sz w:val="24"/>
        </w:rPr>
        <w:t>153</w:t>
      </w:r>
      <w:r>
        <w:rPr>
          <w:rFonts w:ascii="Times New Roman" w:hAnsi="Times New Roman"/>
          <w:sz w:val="24"/>
        </w:rPr>
        <w:t xml:space="preserve"> alineatul (</w:t>
      </w:r>
      <w:r w:rsidRPr="000B5892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):</w:t>
      </w:r>
    </w:p>
    <w:p w14:paraId="3460EFE7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„finanțare de proiecte” în modelul EU CR</w:t>
      </w:r>
      <w:r w:rsidRPr="000B5892">
        <w:rPr>
          <w:rFonts w:ascii="Times New Roman" w:hAnsi="Times New Roman"/>
          <w:sz w:val="24"/>
        </w:rPr>
        <w:t>10</w:t>
      </w:r>
      <w:r>
        <w:rPr>
          <w:rFonts w:ascii="Times New Roman" w:hAnsi="Times New Roman"/>
          <w:sz w:val="24"/>
        </w:rPr>
        <w:t>.</w:t>
      </w:r>
      <w:r w:rsidRPr="000B5892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;</w:t>
      </w:r>
    </w:p>
    <w:p w14:paraId="05E046A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„bunuri imobiliare generatoare de venituri și bunuri imobiliare comerciale cu volatilitate ridicată” în modelul EU CR</w:t>
      </w:r>
      <w:r w:rsidRPr="000B5892">
        <w:rPr>
          <w:rFonts w:ascii="Times New Roman" w:hAnsi="Times New Roman"/>
          <w:sz w:val="24"/>
        </w:rPr>
        <w:t>10</w:t>
      </w:r>
      <w:r>
        <w:rPr>
          <w:rFonts w:ascii="Times New Roman" w:hAnsi="Times New Roman"/>
          <w:sz w:val="24"/>
        </w:rPr>
        <w:t>.</w:t>
      </w:r>
      <w:r w:rsidRPr="000B5892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;</w:t>
      </w:r>
    </w:p>
    <w:p w14:paraId="0802AD4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„finanțare de obiecte” în modelul EU CR</w:t>
      </w:r>
      <w:r w:rsidRPr="000B5892">
        <w:rPr>
          <w:rFonts w:ascii="Times New Roman" w:hAnsi="Times New Roman"/>
          <w:sz w:val="24"/>
        </w:rPr>
        <w:t>10</w:t>
      </w:r>
      <w:r>
        <w:rPr>
          <w:rFonts w:ascii="Times New Roman" w:hAnsi="Times New Roman"/>
          <w:sz w:val="24"/>
        </w:rPr>
        <w:t>.</w:t>
      </w:r>
      <w:r w:rsidRPr="000B5892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;</w:t>
      </w:r>
    </w:p>
    <w:p w14:paraId="69BDB935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„finanțare de mărfuri” în modelul EU CR </w:t>
      </w:r>
      <w:r w:rsidRPr="000B5892">
        <w:rPr>
          <w:rFonts w:ascii="Times New Roman" w:hAnsi="Times New Roman"/>
          <w:sz w:val="24"/>
        </w:rPr>
        <w:t>10</w:t>
      </w:r>
      <w:r>
        <w:rPr>
          <w:rFonts w:ascii="Times New Roman" w:hAnsi="Times New Roman"/>
          <w:sz w:val="24"/>
        </w:rPr>
        <w:t>.</w:t>
      </w:r>
      <w:r w:rsidRPr="000B5892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;</w:t>
      </w:r>
    </w:p>
    <w:p w14:paraId="2E77063D" w14:textId="0261FB6A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informații privind expunerile provenind din titluri de capital în modelul EU</w:t>
      </w:r>
      <w:r w:rsidR="000B5892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CR</w:t>
      </w:r>
      <w:r w:rsidRPr="000B5892">
        <w:rPr>
          <w:rFonts w:ascii="Times New Roman" w:hAnsi="Times New Roman"/>
          <w:sz w:val="24"/>
        </w:rPr>
        <w:t>10</w:t>
      </w:r>
      <w:r>
        <w:rPr>
          <w:rFonts w:ascii="Times New Roman" w:hAnsi="Times New Roman"/>
          <w:sz w:val="24"/>
        </w:rPr>
        <w:t>.</w:t>
      </w:r>
      <w:r w:rsidRPr="000B5892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78CCACB1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371FCA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0B5892">
              <w:rPr>
                <w:rFonts w:ascii="Times New Roman" w:hAnsi="Times New Roman"/>
                <w:b/>
                <w:sz w:val="24"/>
              </w:rPr>
              <w:t>Referința coloanei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CB42C1" w14:textId="77777777" w:rsidR="00A81FD5" w:rsidRPr="000B5892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0B5892">
              <w:rPr>
                <w:rFonts w:ascii="Times New Roman" w:hAnsi="Times New Roman"/>
                <w:b/>
                <w:sz w:val="24"/>
              </w:rPr>
              <w:t>Referințe juridice și instrucțiuni</w:t>
            </w:r>
          </w:p>
        </w:tc>
      </w:tr>
      <w:tr w:rsidR="00A81FD5" w:rsidRPr="007F4CC8" w14:paraId="7EA5F71F" w14:textId="77777777" w:rsidTr="004F3087">
        <w:trPr>
          <w:trHeight w:val="359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A068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EAA19A1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892">
              <w:rPr>
                <w:rFonts w:ascii="Times New Roman" w:hAnsi="Times New Roman"/>
                <w:b/>
                <w:sz w:val="24"/>
              </w:rPr>
              <w:t>Explicație</w:t>
            </w:r>
          </w:p>
        </w:tc>
      </w:tr>
      <w:tr w:rsidR="00A81FD5" w:rsidRPr="007F4CC8" w14:paraId="5BE84BFB" w14:textId="77777777" w:rsidTr="004F3087">
        <w:trPr>
          <w:trHeight w:val="316"/>
        </w:trPr>
        <w:tc>
          <w:tcPr>
            <w:tcW w:w="1413" w:type="dxa"/>
          </w:tcPr>
          <w:p w14:paraId="400664F6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4" w:type="dxa"/>
          </w:tcPr>
          <w:p w14:paraId="505BFF38" w14:textId="77777777" w:rsidR="00A81FD5" w:rsidRPr="000B5892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 w:rsidRPr="000B5892">
              <w:rPr>
                <w:rFonts w:ascii="Times New Roman" w:hAnsi="Times New Roman"/>
                <w:b/>
                <w:sz w:val="24"/>
              </w:rPr>
              <w:t>Expuneri bilanțiere</w:t>
            </w:r>
          </w:p>
          <w:p w14:paraId="745AD69D" w14:textId="7830AC6E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Instituțiile publică informații privind valoarea expunerilor bilanțiere în conformitate cu articolul </w:t>
            </w:r>
            <w:r w:rsidRPr="000B5892">
              <w:rPr>
                <w:rFonts w:ascii="Times New Roman" w:hAnsi="Times New Roman"/>
                <w:sz w:val="24"/>
              </w:rPr>
              <w:t>166</w:t>
            </w:r>
            <w:r>
              <w:rPr>
                <w:rFonts w:ascii="Times New Roman" w:hAnsi="Times New Roman"/>
                <w:sz w:val="24"/>
              </w:rPr>
              <w:t xml:space="preserve"> alineatele (</w:t>
            </w:r>
            <w:r w:rsidRPr="000B5892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)-(</w:t>
            </w:r>
            <w:r w:rsidRPr="000B5892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 xml:space="preserve">) și cu articolul </w:t>
            </w:r>
            <w:r w:rsidRPr="000B5892">
              <w:rPr>
                <w:rFonts w:ascii="Times New Roman" w:hAnsi="Times New Roman"/>
                <w:sz w:val="24"/>
              </w:rPr>
              <w:t>167</w:t>
            </w:r>
            <w:r>
              <w:rPr>
                <w:rFonts w:ascii="Times New Roman" w:hAnsi="Times New Roman"/>
                <w:sz w:val="24"/>
              </w:rPr>
              <w:t xml:space="preserve"> alineatul (</w:t>
            </w:r>
            <w:r w:rsidRPr="000B5892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 xml:space="preserve">) din Regulamentul (UE) nr. </w:t>
            </w:r>
            <w:r w:rsidRPr="000B5892">
              <w:rPr>
                <w:rFonts w:ascii="Times New Roman" w:hAnsi="Times New Roman"/>
                <w:sz w:val="24"/>
              </w:rPr>
              <w:t>575</w:t>
            </w:r>
            <w:r>
              <w:rPr>
                <w:rFonts w:ascii="Times New Roman" w:hAnsi="Times New Roman"/>
                <w:sz w:val="24"/>
              </w:rPr>
              <w:t>/</w:t>
            </w:r>
            <w:r w:rsidRPr="000B5892">
              <w:rPr>
                <w:rFonts w:ascii="Times New Roman" w:hAnsi="Times New Roman"/>
                <w:sz w:val="24"/>
              </w:rPr>
              <w:t>2013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A81FD5" w:rsidRPr="007F4CC8" w14:paraId="0D47376E" w14:textId="77777777" w:rsidTr="004F3087">
        <w:trPr>
          <w:trHeight w:val="316"/>
        </w:trPr>
        <w:tc>
          <w:tcPr>
            <w:tcW w:w="1413" w:type="dxa"/>
          </w:tcPr>
          <w:p w14:paraId="79B7BB4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4" w:type="dxa"/>
          </w:tcPr>
          <w:p w14:paraId="18980CCD" w14:textId="77777777" w:rsidR="00A81FD5" w:rsidRPr="000B5892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B5892">
              <w:rPr>
                <w:rFonts w:ascii="Times New Roman" w:hAnsi="Times New Roman"/>
                <w:b/>
                <w:sz w:val="24"/>
              </w:rPr>
              <w:t>Expuneri extrabilanțiere</w:t>
            </w:r>
          </w:p>
          <w:p w14:paraId="1C2FD9EF" w14:textId="191BEB22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Instituțiile prezintă informații privind valoarea expunerilor extrabilanțiere în conformitate cu articolul </w:t>
            </w:r>
            <w:r w:rsidRPr="000B5892">
              <w:rPr>
                <w:rFonts w:ascii="Times New Roman" w:hAnsi="Times New Roman"/>
                <w:sz w:val="24"/>
              </w:rPr>
              <w:t>166</w:t>
            </w:r>
            <w:r>
              <w:rPr>
                <w:rFonts w:ascii="Times New Roman" w:hAnsi="Times New Roman"/>
                <w:sz w:val="24"/>
              </w:rPr>
              <w:t xml:space="preserve"> și cu articolul </w:t>
            </w:r>
            <w:r w:rsidRPr="000B5892">
              <w:rPr>
                <w:rFonts w:ascii="Times New Roman" w:hAnsi="Times New Roman"/>
                <w:sz w:val="24"/>
              </w:rPr>
              <w:t>167</w:t>
            </w:r>
            <w:r>
              <w:rPr>
                <w:rFonts w:ascii="Times New Roman" w:hAnsi="Times New Roman"/>
                <w:sz w:val="24"/>
              </w:rPr>
              <w:t xml:space="preserve"> alineatul (</w:t>
            </w:r>
            <w:r w:rsidRPr="000B5892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) din Regulamentul (UE) nr. </w:t>
            </w:r>
            <w:r w:rsidRPr="000B5892">
              <w:rPr>
                <w:rFonts w:ascii="Times New Roman" w:hAnsi="Times New Roman"/>
                <w:sz w:val="24"/>
              </w:rPr>
              <w:t>575</w:t>
            </w:r>
            <w:r>
              <w:rPr>
                <w:rFonts w:ascii="Times New Roman" w:hAnsi="Times New Roman"/>
                <w:sz w:val="24"/>
              </w:rPr>
              <w:t>/</w:t>
            </w:r>
            <w:r w:rsidRPr="000B5892">
              <w:rPr>
                <w:rFonts w:ascii="Times New Roman" w:hAnsi="Times New Roman"/>
                <w:sz w:val="24"/>
              </w:rPr>
              <w:t>2013</w:t>
            </w:r>
            <w:r>
              <w:rPr>
                <w:rFonts w:ascii="Times New Roman" w:hAnsi="Times New Roman"/>
                <w:sz w:val="24"/>
              </w:rPr>
              <w:t xml:space="preserve"> fără a ține seama de factorii de conversie specificați la articolul </w:t>
            </w:r>
            <w:r w:rsidRPr="000B5892">
              <w:rPr>
                <w:rFonts w:ascii="Times New Roman" w:hAnsi="Times New Roman"/>
                <w:sz w:val="24"/>
              </w:rPr>
              <w:t>166</w:t>
            </w:r>
            <w:r>
              <w:rPr>
                <w:rFonts w:ascii="Times New Roman" w:hAnsi="Times New Roman"/>
                <w:sz w:val="24"/>
              </w:rPr>
              <w:t xml:space="preserve"> alineatul (</w:t>
            </w:r>
            <w:r w:rsidRPr="000B5892"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) sau (</w:t>
            </w:r>
            <w:r w:rsidRPr="000B5892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 xml:space="preserve">) din Regulamentul (UE) nr. </w:t>
            </w:r>
            <w:r w:rsidRPr="000B5892">
              <w:rPr>
                <w:rFonts w:ascii="Times New Roman" w:hAnsi="Times New Roman"/>
                <w:sz w:val="24"/>
              </w:rPr>
              <w:t>575</w:t>
            </w:r>
            <w:r>
              <w:rPr>
                <w:rFonts w:ascii="Times New Roman" w:hAnsi="Times New Roman"/>
                <w:sz w:val="24"/>
              </w:rPr>
              <w:t>/</w:t>
            </w:r>
            <w:r w:rsidRPr="000B5892">
              <w:rPr>
                <w:rFonts w:ascii="Times New Roman" w:hAnsi="Times New Roman"/>
                <w:sz w:val="24"/>
              </w:rPr>
              <w:t>2013</w:t>
            </w:r>
            <w:r>
              <w:rPr>
                <w:rFonts w:ascii="Times New Roman" w:hAnsi="Times New Roman"/>
                <w:sz w:val="24"/>
              </w:rPr>
              <w:t xml:space="preserve"> sau de procentajele specificate la articolul </w:t>
            </w:r>
            <w:r w:rsidRPr="000B5892">
              <w:rPr>
                <w:rFonts w:ascii="Times New Roman" w:hAnsi="Times New Roman"/>
                <w:sz w:val="24"/>
              </w:rPr>
              <w:t>166</w:t>
            </w:r>
            <w:r>
              <w:rPr>
                <w:rFonts w:ascii="Times New Roman" w:hAnsi="Times New Roman"/>
                <w:sz w:val="24"/>
              </w:rPr>
              <w:t xml:space="preserve"> alineatul (</w:t>
            </w:r>
            <w:r w:rsidRPr="000B5892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 xml:space="preserve">) din Regulamentul (UE) nr. </w:t>
            </w:r>
            <w:r w:rsidRPr="000B5892">
              <w:rPr>
                <w:rFonts w:ascii="Times New Roman" w:hAnsi="Times New Roman"/>
                <w:sz w:val="24"/>
              </w:rPr>
              <w:t>575</w:t>
            </w:r>
            <w:r>
              <w:rPr>
                <w:rFonts w:ascii="Times New Roman" w:hAnsi="Times New Roman"/>
                <w:sz w:val="24"/>
              </w:rPr>
              <w:t>/</w:t>
            </w:r>
            <w:r w:rsidRPr="000B5892">
              <w:rPr>
                <w:rFonts w:ascii="Times New Roman" w:hAnsi="Times New Roman"/>
                <w:sz w:val="24"/>
              </w:rPr>
              <w:t>2013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72C867E8" w14:textId="03DDDFD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Expunerile extrabilanțiere cuprind toate cuantumurile angajate, dar neutilizate și toate elementele extrabilanțiere, astfel cum sunt enumerate în anexa I la Regulamentul (UE) nr. </w:t>
            </w:r>
            <w:r w:rsidRPr="000B5892">
              <w:rPr>
                <w:rFonts w:ascii="Times New Roman" w:hAnsi="Times New Roman"/>
                <w:sz w:val="24"/>
              </w:rPr>
              <w:t>575</w:t>
            </w:r>
            <w:r>
              <w:rPr>
                <w:rFonts w:ascii="Times New Roman" w:hAnsi="Times New Roman"/>
                <w:sz w:val="24"/>
              </w:rPr>
              <w:t>/</w:t>
            </w:r>
            <w:r w:rsidRPr="000B5892">
              <w:rPr>
                <w:rFonts w:ascii="Times New Roman" w:hAnsi="Times New Roman"/>
                <w:sz w:val="24"/>
              </w:rPr>
              <w:t>2013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A81FD5" w:rsidRPr="007F4CC8" w14:paraId="348A6D93" w14:textId="77777777" w:rsidTr="004F3087">
        <w:trPr>
          <w:trHeight w:val="316"/>
        </w:trPr>
        <w:tc>
          <w:tcPr>
            <w:tcW w:w="1413" w:type="dxa"/>
          </w:tcPr>
          <w:p w14:paraId="00262C1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54" w:type="dxa"/>
          </w:tcPr>
          <w:p w14:paraId="53761983" w14:textId="77777777" w:rsidR="00A81FD5" w:rsidRPr="000B5892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B5892">
              <w:rPr>
                <w:rFonts w:ascii="Times New Roman" w:hAnsi="Times New Roman"/>
                <w:b/>
                <w:sz w:val="24"/>
              </w:rPr>
              <w:t>Ponderea de risc</w:t>
            </w:r>
          </w:p>
          <w:p w14:paraId="74BDA868" w14:textId="5C580C4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Aceasta este o coloană fixă pentru modelele EU CR </w:t>
            </w:r>
            <w:r w:rsidRPr="000B5892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0B5892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 xml:space="preserve">-EU CR </w:t>
            </w:r>
            <w:r w:rsidRPr="000B5892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0B5892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 Nu trebuie modificată. </w:t>
            </w:r>
          </w:p>
          <w:p w14:paraId="2AF282A3" w14:textId="1AAC7F5E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0B5892">
              <w:rPr>
                <w:rFonts w:ascii="Times New Roman" w:hAnsi="Times New Roman"/>
                <w:spacing w:val="-2"/>
                <w:sz w:val="24"/>
              </w:rPr>
              <w:lastRenderedPageBreak/>
              <w:t>Această coloană a fost specificată în conformitate cu articolul 153 alineatul (5)</w:t>
            </w:r>
            <w:r>
              <w:rPr>
                <w:rFonts w:ascii="Times New Roman" w:hAnsi="Times New Roman"/>
                <w:sz w:val="24"/>
              </w:rPr>
              <w:t xml:space="preserve"> din Regulamentul (UE) nr. </w:t>
            </w:r>
            <w:r w:rsidRPr="000B5892">
              <w:rPr>
                <w:rFonts w:ascii="Times New Roman" w:hAnsi="Times New Roman"/>
                <w:sz w:val="24"/>
              </w:rPr>
              <w:t>575</w:t>
            </w:r>
            <w:r>
              <w:rPr>
                <w:rFonts w:ascii="Times New Roman" w:hAnsi="Times New Roman"/>
                <w:sz w:val="24"/>
              </w:rPr>
              <w:t>/</w:t>
            </w:r>
            <w:r w:rsidRPr="000B5892">
              <w:rPr>
                <w:rFonts w:ascii="Times New Roman" w:hAnsi="Times New Roman"/>
                <w:sz w:val="24"/>
              </w:rPr>
              <w:t>2013</w:t>
            </w:r>
            <w:r>
              <w:rPr>
                <w:rFonts w:ascii="Times New Roman" w:hAnsi="Times New Roman"/>
                <w:sz w:val="24"/>
              </w:rPr>
              <w:t xml:space="preserve"> pentru modelele EU CR</w:t>
            </w:r>
            <w:r w:rsidRPr="000B5892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0B5892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-EU CR</w:t>
            </w:r>
            <w:r w:rsidRPr="000B5892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0B5892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  Pentru modelul EU CR </w:t>
            </w:r>
            <w:r w:rsidRPr="000B5892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0B5892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, această coloană este flexibilă. Instituțiile aplică ponderile de risc relevante în conformitate cu articolul </w:t>
            </w:r>
            <w:r w:rsidRPr="000B5892">
              <w:rPr>
                <w:rFonts w:ascii="Times New Roman" w:hAnsi="Times New Roman"/>
                <w:sz w:val="24"/>
              </w:rPr>
              <w:t>133</w:t>
            </w:r>
            <w:r>
              <w:rPr>
                <w:rFonts w:ascii="Times New Roman" w:hAnsi="Times New Roman"/>
                <w:sz w:val="24"/>
              </w:rPr>
              <w:t xml:space="preserve"> alineatele (</w:t>
            </w:r>
            <w:r w:rsidRPr="000B5892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)-(</w:t>
            </w:r>
            <w:r w:rsidRPr="000B5892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) și cu articolul </w:t>
            </w:r>
            <w:r w:rsidRPr="000B5892">
              <w:rPr>
                <w:rFonts w:ascii="Times New Roman" w:hAnsi="Times New Roman"/>
                <w:sz w:val="24"/>
              </w:rPr>
              <w:t>495</w:t>
            </w:r>
            <w:r>
              <w:rPr>
                <w:rFonts w:ascii="Times New Roman" w:hAnsi="Times New Roman"/>
                <w:sz w:val="24"/>
              </w:rPr>
              <w:t>a alineatul (</w:t>
            </w:r>
            <w:r w:rsidRPr="000B5892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) din Regulamentul (UE) nr.</w:t>
            </w:r>
            <w:r w:rsidR="000B5892">
              <w:rPr>
                <w:rFonts w:ascii="Times New Roman" w:hAnsi="Times New Roman"/>
                <w:sz w:val="24"/>
              </w:rPr>
              <w:t> </w:t>
            </w:r>
            <w:r w:rsidRPr="000B5892">
              <w:rPr>
                <w:rFonts w:ascii="Times New Roman" w:hAnsi="Times New Roman"/>
                <w:sz w:val="24"/>
              </w:rPr>
              <w:t>575</w:t>
            </w:r>
            <w:r>
              <w:rPr>
                <w:rFonts w:ascii="Times New Roman" w:hAnsi="Times New Roman"/>
                <w:sz w:val="24"/>
              </w:rPr>
              <w:t>/</w:t>
            </w:r>
            <w:r w:rsidRPr="000B5892">
              <w:rPr>
                <w:rFonts w:ascii="Times New Roman" w:hAnsi="Times New Roman"/>
                <w:sz w:val="24"/>
              </w:rPr>
              <w:t>2013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A81FD5" w:rsidRPr="007F4CC8" w14:paraId="7603C34A" w14:textId="77777777" w:rsidTr="004F3087">
        <w:trPr>
          <w:trHeight w:val="316"/>
        </w:trPr>
        <w:tc>
          <w:tcPr>
            <w:tcW w:w="1413" w:type="dxa"/>
          </w:tcPr>
          <w:p w14:paraId="3D9A6962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d</w:t>
            </w:r>
          </w:p>
        </w:tc>
        <w:tc>
          <w:tcPr>
            <w:tcW w:w="7654" w:type="dxa"/>
          </w:tcPr>
          <w:p w14:paraId="67C9AB4B" w14:textId="77777777" w:rsidR="00A81FD5" w:rsidRPr="000B5892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B5892">
              <w:rPr>
                <w:rFonts w:ascii="Times New Roman" w:hAnsi="Times New Roman"/>
                <w:b/>
                <w:sz w:val="24"/>
              </w:rPr>
              <w:t>Valoarea expunerii</w:t>
            </w:r>
          </w:p>
          <w:p w14:paraId="3EBD3C28" w14:textId="12336578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Valoarea expunerii în conformitate cu articolul </w:t>
            </w:r>
            <w:r w:rsidRPr="000B5892">
              <w:rPr>
                <w:rFonts w:ascii="Times New Roman" w:hAnsi="Times New Roman"/>
                <w:sz w:val="24"/>
              </w:rPr>
              <w:t>166</w:t>
            </w:r>
            <w:r>
              <w:rPr>
                <w:rFonts w:ascii="Times New Roman" w:hAnsi="Times New Roman"/>
                <w:sz w:val="24"/>
              </w:rPr>
              <w:t xml:space="preserve"> sau articolul </w:t>
            </w:r>
            <w:r w:rsidRPr="000B5892">
              <w:rPr>
                <w:rFonts w:ascii="Times New Roman" w:hAnsi="Times New Roman"/>
                <w:sz w:val="24"/>
              </w:rPr>
              <w:t>167</w:t>
            </w:r>
            <w:r>
              <w:rPr>
                <w:rFonts w:ascii="Times New Roman" w:hAnsi="Times New Roman"/>
                <w:sz w:val="24"/>
              </w:rPr>
              <w:t xml:space="preserve"> din Regulamentul (UE) nr. </w:t>
            </w:r>
            <w:r w:rsidRPr="000B5892">
              <w:rPr>
                <w:rFonts w:ascii="Times New Roman" w:hAnsi="Times New Roman"/>
                <w:sz w:val="24"/>
              </w:rPr>
              <w:t>575</w:t>
            </w:r>
            <w:r>
              <w:rPr>
                <w:rFonts w:ascii="Times New Roman" w:hAnsi="Times New Roman"/>
                <w:sz w:val="24"/>
              </w:rPr>
              <w:t>/</w:t>
            </w:r>
            <w:r w:rsidRPr="000B5892">
              <w:rPr>
                <w:rFonts w:ascii="Times New Roman" w:hAnsi="Times New Roman"/>
                <w:sz w:val="24"/>
              </w:rPr>
              <w:t>2013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7CB9912F" w14:textId="58C868E9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Această coloană include suma dintre valoarea expunerilor bilanțiere și valoarea expunerilor extrabilanțiere după aplicarea factorilor de conversie și a procentajelor în conformitate cu articolul </w:t>
            </w:r>
            <w:r w:rsidRPr="000B5892">
              <w:rPr>
                <w:rFonts w:ascii="Times New Roman" w:hAnsi="Times New Roman"/>
                <w:sz w:val="24"/>
              </w:rPr>
              <w:t>166</w:t>
            </w:r>
            <w:r>
              <w:rPr>
                <w:rFonts w:ascii="Times New Roman" w:hAnsi="Times New Roman"/>
                <w:sz w:val="24"/>
              </w:rPr>
              <w:t xml:space="preserve"> alineatele (</w:t>
            </w:r>
            <w:r w:rsidRPr="000B5892"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)-(</w:t>
            </w:r>
            <w:r w:rsidRPr="000B5892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 xml:space="preserve">) din Regulamentul (UE) nr. </w:t>
            </w:r>
            <w:r w:rsidRPr="000B5892">
              <w:rPr>
                <w:rFonts w:ascii="Times New Roman" w:hAnsi="Times New Roman"/>
                <w:sz w:val="24"/>
              </w:rPr>
              <w:t>575</w:t>
            </w:r>
            <w:r>
              <w:rPr>
                <w:rFonts w:ascii="Times New Roman" w:hAnsi="Times New Roman"/>
                <w:sz w:val="24"/>
              </w:rPr>
              <w:t>/</w:t>
            </w:r>
            <w:r w:rsidRPr="000B5892">
              <w:rPr>
                <w:rFonts w:ascii="Times New Roman" w:hAnsi="Times New Roman"/>
                <w:sz w:val="24"/>
              </w:rPr>
              <w:t>2013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</w:tr>
      <w:tr w:rsidR="00A81FD5" w:rsidRPr="007F4CC8" w14:paraId="101D075B" w14:textId="77777777" w:rsidTr="004F3087">
        <w:trPr>
          <w:trHeight w:val="316"/>
        </w:trPr>
        <w:tc>
          <w:tcPr>
            <w:tcW w:w="1413" w:type="dxa"/>
            <w:tcBorders>
              <w:bottom w:val="single" w:sz="4" w:space="0" w:color="auto"/>
            </w:tcBorders>
          </w:tcPr>
          <w:p w14:paraId="0967DA9C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 (modelele de la EU CR</w:t>
            </w:r>
            <w:r w:rsidRPr="000B5892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0B5892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 xml:space="preserve"> la </w:t>
            </w:r>
            <w:r w:rsidRPr="000B5892">
              <w:rPr>
                <w:rFonts w:ascii="Times New Roman" w:hAnsi="Times New Roman"/>
                <w:spacing w:val="-6"/>
                <w:sz w:val="24"/>
              </w:rPr>
              <w:t>EU CR10.4)</w:t>
            </w:r>
          </w:p>
        </w:tc>
        <w:tc>
          <w:tcPr>
            <w:tcW w:w="7654" w:type="dxa"/>
          </w:tcPr>
          <w:p w14:paraId="703A355C" w14:textId="77777777" w:rsidR="00A81FD5" w:rsidRPr="000B5892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B5892">
              <w:rPr>
                <w:rFonts w:ascii="Times New Roman" w:hAnsi="Times New Roman"/>
                <w:b/>
                <w:sz w:val="24"/>
              </w:rPr>
              <w:t>Cuantumul ponderat la risc al expunerii (expuneri din finanțări specializate în cadrul abordării bazate pe încadrare)</w:t>
            </w:r>
          </w:p>
          <w:p w14:paraId="041E0E73" w14:textId="7C556BDC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0B5892">
              <w:rPr>
                <w:rFonts w:ascii="Times New Roman" w:hAnsi="Times New Roman"/>
                <w:spacing w:val="-2"/>
                <w:sz w:val="24"/>
              </w:rPr>
              <w:t>Cuantumul ponderat la risc al expunerii calculat în conformitate cu articolul 153</w:t>
            </w:r>
            <w:r>
              <w:rPr>
                <w:rFonts w:ascii="Times New Roman" w:hAnsi="Times New Roman"/>
                <w:sz w:val="24"/>
              </w:rPr>
              <w:t xml:space="preserve"> alineatul (</w:t>
            </w:r>
            <w:r w:rsidRPr="000B5892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) din Regulamentul (UE) nr. </w:t>
            </w:r>
            <w:r w:rsidRPr="000B5892">
              <w:rPr>
                <w:rFonts w:ascii="Times New Roman" w:hAnsi="Times New Roman"/>
                <w:sz w:val="24"/>
              </w:rPr>
              <w:t>575</w:t>
            </w:r>
            <w:r>
              <w:rPr>
                <w:rFonts w:ascii="Times New Roman" w:hAnsi="Times New Roman"/>
                <w:sz w:val="24"/>
              </w:rPr>
              <w:t>/</w:t>
            </w:r>
            <w:r w:rsidRPr="000B5892">
              <w:rPr>
                <w:rFonts w:ascii="Times New Roman" w:hAnsi="Times New Roman"/>
                <w:sz w:val="24"/>
              </w:rPr>
              <w:t>2013</w:t>
            </w:r>
            <w:r>
              <w:rPr>
                <w:rFonts w:ascii="Times New Roman" w:hAnsi="Times New Roman"/>
                <w:sz w:val="24"/>
              </w:rPr>
              <w:t xml:space="preserve">, după aplicarea factorilor de sprijinire în conformitate cu articolele </w:t>
            </w:r>
            <w:r w:rsidRPr="000B5892">
              <w:rPr>
                <w:rFonts w:ascii="Times New Roman" w:hAnsi="Times New Roman"/>
                <w:sz w:val="24"/>
              </w:rPr>
              <w:t>501</w:t>
            </w:r>
            <w:r>
              <w:rPr>
                <w:rFonts w:ascii="Times New Roman" w:hAnsi="Times New Roman"/>
                <w:sz w:val="24"/>
              </w:rPr>
              <w:t xml:space="preserve"> și </w:t>
            </w:r>
            <w:r w:rsidRPr="000B5892">
              <w:rPr>
                <w:rFonts w:ascii="Times New Roman" w:hAnsi="Times New Roman"/>
                <w:sz w:val="24"/>
              </w:rPr>
              <w:t>501</w:t>
            </w:r>
            <w:r>
              <w:rPr>
                <w:rFonts w:ascii="Times New Roman" w:hAnsi="Times New Roman"/>
                <w:sz w:val="24"/>
              </w:rPr>
              <w:t>a din Regulamentul (UE) nr.</w:t>
            </w:r>
            <w:r w:rsidR="000B5892">
              <w:rPr>
                <w:rFonts w:ascii="Times New Roman" w:hAnsi="Times New Roman"/>
                <w:sz w:val="24"/>
              </w:rPr>
              <w:t> </w:t>
            </w:r>
            <w:r w:rsidRPr="000B5892">
              <w:rPr>
                <w:rFonts w:ascii="Times New Roman" w:hAnsi="Times New Roman"/>
                <w:sz w:val="24"/>
              </w:rPr>
              <w:t>575</w:t>
            </w:r>
            <w:r>
              <w:rPr>
                <w:rFonts w:ascii="Times New Roman" w:hAnsi="Times New Roman"/>
                <w:sz w:val="24"/>
              </w:rPr>
              <w:t>/</w:t>
            </w:r>
            <w:r w:rsidRPr="000B5892">
              <w:rPr>
                <w:rFonts w:ascii="Times New Roman" w:hAnsi="Times New Roman"/>
                <w:sz w:val="24"/>
              </w:rPr>
              <w:t>2013</w:t>
            </w:r>
            <w:r>
              <w:rPr>
                <w:rFonts w:ascii="Times New Roman" w:hAnsi="Times New Roman"/>
                <w:sz w:val="24"/>
              </w:rPr>
              <w:t>, dacă este cazul.</w:t>
            </w:r>
          </w:p>
        </w:tc>
      </w:tr>
      <w:tr w:rsidR="00A81FD5" w:rsidRPr="007F4CC8" w14:paraId="697C0CA4" w14:textId="77777777" w:rsidTr="004F3087">
        <w:trPr>
          <w:trHeight w:val="316"/>
        </w:trPr>
        <w:tc>
          <w:tcPr>
            <w:tcW w:w="1413" w:type="dxa"/>
            <w:tcBorders>
              <w:bottom w:val="nil"/>
            </w:tcBorders>
          </w:tcPr>
          <w:p w14:paraId="1672DF90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 (modelele de la EU CR</w:t>
            </w:r>
            <w:r w:rsidRPr="000B5892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0B5892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 xml:space="preserve"> la </w:t>
            </w:r>
            <w:r w:rsidRPr="000B5892">
              <w:rPr>
                <w:rFonts w:ascii="Times New Roman" w:hAnsi="Times New Roman"/>
                <w:spacing w:val="-2"/>
                <w:sz w:val="24"/>
              </w:rPr>
              <w:t>EU CR10.4)</w:t>
            </w:r>
          </w:p>
        </w:tc>
        <w:tc>
          <w:tcPr>
            <w:tcW w:w="7654" w:type="dxa"/>
          </w:tcPr>
          <w:p w14:paraId="4FF75FEB" w14:textId="77777777" w:rsidR="00A81FD5" w:rsidRPr="000B5892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B5892">
              <w:rPr>
                <w:rFonts w:ascii="Times New Roman" w:hAnsi="Times New Roman"/>
                <w:b/>
                <w:sz w:val="24"/>
              </w:rPr>
              <w:t>Cuantumul pierderii așteptate (expuneri din finanțări specializate în cadrul abordării bazate pe încadrare)</w:t>
            </w:r>
          </w:p>
          <w:p w14:paraId="60279495" w14:textId="26DC979B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Cuantumul pierderii așteptate, calculat în conformitate cu articolul </w:t>
            </w:r>
            <w:r w:rsidRPr="000B5892">
              <w:rPr>
                <w:rFonts w:ascii="Times New Roman" w:hAnsi="Times New Roman"/>
                <w:sz w:val="24"/>
              </w:rPr>
              <w:t>158</w:t>
            </w:r>
            <w:r>
              <w:rPr>
                <w:rFonts w:ascii="Times New Roman" w:hAnsi="Times New Roman"/>
                <w:sz w:val="24"/>
              </w:rPr>
              <w:t xml:space="preserve"> alineatul (</w:t>
            </w:r>
            <w:r w:rsidRPr="000B5892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) din Regulamentul (UE) nr. </w:t>
            </w:r>
            <w:r w:rsidRPr="000B5892">
              <w:rPr>
                <w:rFonts w:ascii="Times New Roman" w:hAnsi="Times New Roman"/>
                <w:sz w:val="24"/>
              </w:rPr>
              <w:t>575</w:t>
            </w:r>
            <w:r>
              <w:rPr>
                <w:rFonts w:ascii="Times New Roman" w:hAnsi="Times New Roman"/>
                <w:sz w:val="24"/>
              </w:rPr>
              <w:t>/</w:t>
            </w:r>
            <w:r w:rsidRPr="000B5892">
              <w:rPr>
                <w:rFonts w:ascii="Times New Roman" w:hAnsi="Times New Roman"/>
                <w:sz w:val="24"/>
              </w:rPr>
              <w:t>2013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A81FD5" w:rsidRPr="007F4CC8" w14:paraId="4F8B2187" w14:textId="77777777" w:rsidTr="004F3087">
        <w:trPr>
          <w:trHeight w:val="316"/>
        </w:trPr>
        <w:tc>
          <w:tcPr>
            <w:tcW w:w="1413" w:type="dxa"/>
            <w:tcBorders>
              <w:top w:val="nil"/>
            </w:tcBorders>
          </w:tcPr>
          <w:p w14:paraId="56FDDAB9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 (modelul EU CR</w:t>
            </w:r>
            <w:r w:rsidRPr="000B5892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0B5892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7654" w:type="dxa"/>
          </w:tcPr>
          <w:p w14:paraId="63BCE1AB" w14:textId="77777777" w:rsidR="00A81FD5" w:rsidRPr="000B5892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B5892">
              <w:rPr>
                <w:rFonts w:ascii="Times New Roman" w:hAnsi="Times New Roman"/>
                <w:b/>
                <w:sz w:val="24"/>
              </w:rPr>
              <w:t>Cuantumul pierderii așteptate (expuneri din titluri de capital pe baza metodei simple de ponderare la risc)</w:t>
            </w:r>
          </w:p>
          <w:p w14:paraId="602A3DA1" w14:textId="4D627F3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Cuantumul pierderii așteptate, calculat în conformitate cu articolul </w:t>
            </w:r>
            <w:r w:rsidRPr="000B5892">
              <w:rPr>
                <w:rFonts w:ascii="Times New Roman" w:hAnsi="Times New Roman"/>
                <w:sz w:val="24"/>
              </w:rPr>
              <w:t>158</w:t>
            </w:r>
            <w:r>
              <w:rPr>
                <w:rFonts w:ascii="Times New Roman" w:hAnsi="Times New Roman"/>
                <w:sz w:val="24"/>
              </w:rPr>
              <w:t xml:space="preserve"> alineatul (</w:t>
            </w:r>
            <w:r w:rsidRPr="000B5892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 xml:space="preserve">) din Regulamentul (UE) nr. </w:t>
            </w:r>
            <w:r w:rsidRPr="000B5892">
              <w:rPr>
                <w:rFonts w:ascii="Times New Roman" w:hAnsi="Times New Roman"/>
                <w:sz w:val="24"/>
              </w:rPr>
              <w:t>575</w:t>
            </w:r>
            <w:r>
              <w:rPr>
                <w:rFonts w:ascii="Times New Roman" w:hAnsi="Times New Roman"/>
                <w:sz w:val="24"/>
              </w:rPr>
              <w:t>/</w:t>
            </w:r>
            <w:r w:rsidRPr="000B5892">
              <w:rPr>
                <w:rFonts w:ascii="Times New Roman" w:hAnsi="Times New Roman"/>
                <w:sz w:val="24"/>
              </w:rPr>
              <w:t>2013</w:t>
            </w:r>
            <w:r>
              <w:rPr>
                <w:rFonts w:ascii="Times New Roman" w:hAnsi="Times New Roman"/>
                <w:sz w:val="24"/>
              </w:rPr>
              <w:t>, după caz.</w:t>
            </w:r>
          </w:p>
        </w:tc>
      </w:tr>
    </w:tbl>
    <w:p w14:paraId="2792224B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2C3A6074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3C9F1404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30760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0B5892">
              <w:rPr>
                <w:rFonts w:ascii="Times New Roman" w:hAnsi="Times New Roman"/>
                <w:b/>
                <w:sz w:val="24"/>
              </w:rPr>
              <w:t>Numărul rândului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8EC16B" w14:textId="77777777" w:rsidR="00A81FD5" w:rsidRPr="000B5892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0B5892">
              <w:rPr>
                <w:rFonts w:ascii="Times New Roman" w:hAnsi="Times New Roman"/>
                <w:b/>
                <w:sz w:val="24"/>
              </w:rPr>
              <w:t>Referințe juridice și instrucțiuni</w:t>
            </w:r>
          </w:p>
        </w:tc>
      </w:tr>
      <w:tr w:rsidR="00A81FD5" w:rsidRPr="007F4CC8" w14:paraId="05D9511C" w14:textId="77777777" w:rsidTr="004F3087">
        <w:trPr>
          <w:trHeight w:val="40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FB7BE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4C8C92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5892">
              <w:rPr>
                <w:rFonts w:ascii="Times New Roman" w:hAnsi="Times New Roman"/>
                <w:b/>
                <w:sz w:val="24"/>
              </w:rPr>
              <w:t>Explicație</w:t>
            </w:r>
          </w:p>
        </w:tc>
      </w:tr>
      <w:tr w:rsidR="00A81FD5" w:rsidRPr="007F4CC8" w14:paraId="5A7F3F5E" w14:textId="77777777" w:rsidTr="004F3087">
        <w:trPr>
          <w:trHeight w:val="316"/>
        </w:trPr>
        <w:tc>
          <w:tcPr>
            <w:tcW w:w="1413" w:type="dxa"/>
          </w:tcPr>
          <w:p w14:paraId="7D09494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Categoria </w:t>
            </w:r>
            <w:r w:rsidRPr="000B5892">
              <w:rPr>
                <w:rFonts w:ascii="Times New Roman" w:hAnsi="Times New Roman"/>
                <w:spacing w:val="-4"/>
                <w:sz w:val="24"/>
              </w:rPr>
              <w:t>reglementată</w:t>
            </w:r>
          </w:p>
        </w:tc>
        <w:tc>
          <w:tcPr>
            <w:tcW w:w="7654" w:type="dxa"/>
          </w:tcPr>
          <w:p w14:paraId="684D2C24" w14:textId="77777777" w:rsidR="00A81FD5" w:rsidRPr="000B5892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 w:rsidRPr="000B5892">
              <w:rPr>
                <w:rFonts w:ascii="Times New Roman" w:hAnsi="Times New Roman"/>
                <w:b/>
                <w:sz w:val="24"/>
              </w:rPr>
              <w:t>Modelele EU CR10.1-EU CR10.4</w:t>
            </w:r>
          </w:p>
          <w:p w14:paraId="73A34AF3" w14:textId="5763928A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Categoriile reglementate aplicabile finanțărilor specializate în cadrul abordării bazate pe încadrare pentru fiecare clasă de expuneri din finanțări specializate, astfel cum sunt specificate la articolul </w:t>
            </w:r>
            <w:r w:rsidRPr="000B5892">
              <w:rPr>
                <w:rFonts w:ascii="Times New Roman" w:hAnsi="Times New Roman"/>
                <w:sz w:val="24"/>
              </w:rPr>
              <w:t>153</w:t>
            </w:r>
            <w:r>
              <w:rPr>
                <w:rFonts w:ascii="Times New Roman" w:hAnsi="Times New Roman"/>
                <w:sz w:val="24"/>
              </w:rPr>
              <w:t xml:space="preserve"> alineatul (</w:t>
            </w:r>
            <w:r w:rsidRPr="000B5892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) din Regulamentul (UE) nr. </w:t>
            </w:r>
            <w:r w:rsidRPr="000B5892">
              <w:rPr>
                <w:rFonts w:ascii="Times New Roman" w:hAnsi="Times New Roman"/>
                <w:sz w:val="24"/>
              </w:rPr>
              <w:t>575</w:t>
            </w:r>
            <w:r>
              <w:rPr>
                <w:rFonts w:ascii="Times New Roman" w:hAnsi="Times New Roman"/>
                <w:sz w:val="24"/>
              </w:rPr>
              <w:t>/</w:t>
            </w:r>
            <w:r w:rsidRPr="000B5892">
              <w:rPr>
                <w:rFonts w:ascii="Times New Roman" w:hAnsi="Times New Roman"/>
                <w:sz w:val="24"/>
              </w:rPr>
              <w:t>2013</w:t>
            </w:r>
            <w:r>
              <w:rPr>
                <w:rFonts w:ascii="Times New Roman" w:hAnsi="Times New Roman"/>
                <w:sz w:val="24"/>
              </w:rPr>
              <w:t xml:space="preserve"> și în proiectele finale de standarde tehnice de reglementare privind abordarea bazată pe încadrare.</w:t>
            </w:r>
          </w:p>
        </w:tc>
      </w:tr>
      <w:tr w:rsidR="00A81FD5" w:rsidRPr="007F4CC8" w14:paraId="06F4029F" w14:textId="77777777" w:rsidTr="004F3087">
        <w:trPr>
          <w:trHeight w:val="316"/>
        </w:trPr>
        <w:tc>
          <w:tcPr>
            <w:tcW w:w="1413" w:type="dxa"/>
          </w:tcPr>
          <w:p w14:paraId="5EAED2F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Categorii</w:t>
            </w:r>
          </w:p>
        </w:tc>
        <w:tc>
          <w:tcPr>
            <w:tcW w:w="7654" w:type="dxa"/>
          </w:tcPr>
          <w:p w14:paraId="73E10594" w14:textId="0741463C" w:rsidR="00A81FD5" w:rsidRPr="000B5892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 w:rsidRPr="000B5892">
              <w:rPr>
                <w:rFonts w:ascii="Times New Roman" w:hAnsi="Times New Roman"/>
                <w:b/>
                <w:sz w:val="24"/>
              </w:rPr>
              <w:t>Modelul EU CR10.5. Flexibil</w:t>
            </w:r>
          </w:p>
          <w:p w14:paraId="1A9FFE85" w14:textId="723ADCB0" w:rsidR="00A81FD5" w:rsidRPr="007F4CC8" w:rsidRDefault="005122C8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Instituțiile includ categoriile reglementate relevante aplicabile în conformitate cu articolul </w:t>
            </w:r>
            <w:r w:rsidRPr="000B5892">
              <w:rPr>
                <w:rFonts w:ascii="Times New Roman" w:hAnsi="Times New Roman"/>
                <w:sz w:val="24"/>
              </w:rPr>
              <w:t>133</w:t>
            </w:r>
            <w:r>
              <w:rPr>
                <w:rFonts w:ascii="Times New Roman" w:hAnsi="Times New Roman"/>
                <w:sz w:val="24"/>
              </w:rPr>
              <w:t xml:space="preserve"> alineatele (</w:t>
            </w:r>
            <w:r w:rsidRPr="000B5892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)-(</w:t>
            </w:r>
            <w:r w:rsidRPr="000B5892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) și cu articolul </w:t>
            </w:r>
            <w:r w:rsidRPr="000B5892">
              <w:rPr>
                <w:rFonts w:ascii="Times New Roman" w:hAnsi="Times New Roman"/>
                <w:sz w:val="24"/>
              </w:rPr>
              <w:t>495</w:t>
            </w:r>
            <w:r>
              <w:rPr>
                <w:rFonts w:ascii="Times New Roman" w:hAnsi="Times New Roman"/>
                <w:sz w:val="24"/>
              </w:rPr>
              <w:t>a alineatul (</w:t>
            </w:r>
            <w:r w:rsidRPr="000B5892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) din Regulamentul (UE) nr. </w:t>
            </w:r>
            <w:r w:rsidRPr="000B5892">
              <w:rPr>
                <w:rFonts w:ascii="Times New Roman" w:hAnsi="Times New Roman"/>
                <w:sz w:val="24"/>
              </w:rPr>
              <w:t>575</w:t>
            </w:r>
            <w:r>
              <w:rPr>
                <w:rFonts w:ascii="Times New Roman" w:hAnsi="Times New Roman"/>
                <w:sz w:val="24"/>
              </w:rPr>
              <w:t>/</w:t>
            </w:r>
            <w:r w:rsidRPr="000B5892">
              <w:rPr>
                <w:rFonts w:ascii="Times New Roman" w:hAnsi="Times New Roman"/>
                <w:sz w:val="24"/>
              </w:rPr>
              <w:t>2013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</w:tr>
    </w:tbl>
    <w:p w14:paraId="5A153A1E" w14:textId="77777777" w:rsidR="00A81FD5" w:rsidRPr="007F4CC8" w:rsidRDefault="00A81FD5" w:rsidP="00A81FD5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p w14:paraId="7B637F1D" w14:textId="77777777" w:rsidR="00993FC2" w:rsidRDefault="00993FC2" w:rsidP="00A81FD5"/>
    <w:sectPr w:rsidR="00993FC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0DD73" w14:textId="77777777" w:rsidR="00703E80" w:rsidRDefault="00703E80" w:rsidP="00A81FD5">
      <w:r>
        <w:separator/>
      </w:r>
    </w:p>
  </w:endnote>
  <w:endnote w:type="continuationSeparator" w:id="0">
    <w:p w14:paraId="4133069B" w14:textId="77777777" w:rsidR="00703E80" w:rsidRDefault="00703E80" w:rsidP="00A81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72147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3BD6A0" w14:textId="77777777" w:rsidR="00A81FD5" w:rsidRDefault="00A81F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A576E9" w14:textId="77777777" w:rsidR="00A81FD5" w:rsidRDefault="00A81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466AE" w14:textId="77777777" w:rsidR="00703E80" w:rsidRDefault="00703E80" w:rsidP="00A81FD5">
      <w:r>
        <w:separator/>
      </w:r>
    </w:p>
  </w:footnote>
  <w:footnote w:type="continuationSeparator" w:id="0">
    <w:p w14:paraId="32022626" w14:textId="77777777" w:rsidR="00703E80" w:rsidRDefault="00703E80" w:rsidP="00A81FD5">
      <w:r>
        <w:continuationSeparator/>
      </w:r>
    </w:p>
  </w:footnote>
  <w:footnote w:id="1">
    <w:p w14:paraId="5DF9A988" w14:textId="1DC1B74B" w:rsidR="0016297E" w:rsidRPr="0016297E" w:rsidRDefault="0016297E" w:rsidP="0016297E">
      <w:pPr>
        <w:pStyle w:val="FootnoteText"/>
      </w:pPr>
      <w:r>
        <w:rPr>
          <w:rStyle w:val="FootnoteReference"/>
        </w:rPr>
        <w:footnoteRef/>
      </w:r>
      <w:r>
        <w:t xml:space="preserve"> Regulamentul (UE) nr. </w:t>
      </w:r>
      <w:r w:rsidRPr="000B5892">
        <w:t>575</w:t>
      </w:r>
      <w:r>
        <w:t>/</w:t>
      </w:r>
      <w:r w:rsidRPr="000B5892">
        <w:t>2013</w:t>
      </w:r>
      <w:r>
        <w:t xml:space="preserve"> al Parlamentului European și al Consiliului din </w:t>
      </w:r>
      <w:r w:rsidRPr="000B5892">
        <w:t>26</w:t>
      </w:r>
      <w:r>
        <w:t xml:space="preserve"> iunie </w:t>
      </w:r>
      <w:r w:rsidRPr="000B5892">
        <w:t>2013</w:t>
      </w:r>
      <w:r>
        <w:t xml:space="preserve"> privind cerințele prudențiale pentru instituțiile de credit și de modificare a Regulamentului (UE) nr. </w:t>
      </w:r>
      <w:r w:rsidRPr="000B5892">
        <w:t>648</w:t>
      </w:r>
      <w:r>
        <w:t>/</w:t>
      </w:r>
      <w:r w:rsidRPr="000B5892">
        <w:t>2012</w:t>
      </w:r>
      <w:r>
        <w:t xml:space="preserve">, astfel cum a fost modificat prin Regulamentului (UE) </w:t>
      </w:r>
      <w:r w:rsidRPr="000B5892">
        <w:t>2024</w:t>
      </w:r>
      <w:r>
        <w:t>/</w:t>
      </w:r>
      <w:r w:rsidRPr="000B5892">
        <w:t>1623</w:t>
      </w:r>
      <w:r>
        <w:t xml:space="preserve"> </w:t>
      </w:r>
      <w:r>
        <w:rPr>
          <w:color w:val="444444"/>
        </w:rPr>
        <w:t>[</w:t>
      </w:r>
      <w:hyperlink r:id="rId1" w:history="1">
        <w:r w:rsidRPr="000B5892">
          <w:rPr>
            <w:rStyle w:val="Hyperlink"/>
            <w:color w:val="800080"/>
          </w:rPr>
          <w:t>JO L 176, 27.6.2013, p. 1</w:t>
        </w:r>
      </w:hyperlink>
      <w:r w:rsidRPr="000B5892">
        <w:rPr>
          <w:color w:val="800080"/>
          <w:u w:val="single"/>
        </w:rPr>
        <w:t xml:space="preserve">; </w:t>
      </w:r>
      <w:hyperlink r:id="rId2" w:history="1">
        <w:r w:rsidRPr="000B5892">
          <w:rPr>
            <w:rStyle w:val="Hyperlink"/>
          </w:rPr>
          <w:t>Regul</w:t>
        </w:r>
        <w:r w:rsidRPr="000B5892">
          <w:rPr>
            <w:rStyle w:val="Hyperlink"/>
          </w:rPr>
          <w:t>a</w:t>
        </w:r>
        <w:r w:rsidRPr="000B5892">
          <w:rPr>
            <w:rStyle w:val="Hyperlink"/>
          </w:rPr>
          <w:t>mentul (UE) 2024/1623 – RO – EUR-Lex (europa.eu)</w:t>
        </w:r>
      </w:hyperlink>
      <w:r>
        <w:rPr>
          <w:color w:val="444444"/>
        </w:rPr>
        <w:t>].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5CA2D" w14:textId="4B287E36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B7ECC36" wp14:editId="1A347A4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572534603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FEE100" w14:textId="1A0A7B31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7ECC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Regular Us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1FEE100" w14:textId="1A0A7B31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6113B" w14:textId="19D0E53F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F76086" wp14:editId="609448B1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34500121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C71C80" w14:textId="569D2E7E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F7608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Regular Us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9C71C80" w14:textId="569D2E7E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C2FD7" w14:textId="1F8C1CF5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D3FAAB5" wp14:editId="5BE3112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494430650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D8DAD4" w14:textId="694FABB0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3FAA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D8DAD4" w14:textId="694FABB0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A0E5E13"/>
    <w:multiLevelType w:val="hybridMultilevel"/>
    <w:tmpl w:val="37763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923548">
    <w:abstractNumId w:val="0"/>
  </w:num>
  <w:num w:numId="2" w16cid:durableId="609358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56335"/>
    <w:rsid w:val="000B5892"/>
    <w:rsid w:val="001409C0"/>
    <w:rsid w:val="0016297E"/>
    <w:rsid w:val="002A29F0"/>
    <w:rsid w:val="00456335"/>
    <w:rsid w:val="005122C8"/>
    <w:rsid w:val="0053271E"/>
    <w:rsid w:val="006120BE"/>
    <w:rsid w:val="00703E80"/>
    <w:rsid w:val="0089557A"/>
    <w:rsid w:val="00964BDB"/>
    <w:rsid w:val="00993FC2"/>
    <w:rsid w:val="00A81FD5"/>
    <w:rsid w:val="00AF68CB"/>
    <w:rsid w:val="00C15CE4"/>
    <w:rsid w:val="00CF64BB"/>
    <w:rsid w:val="00D6345C"/>
    <w:rsid w:val="00F9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C5BC956"/>
  <w15:chartTrackingRefBased/>
  <w15:docId w15:val="{A6C1DA80-21DB-4AB0-ABCC-D95DD992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FD5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16297E"/>
    <w:pPr>
      <w:spacing w:before="80" w:line="200" w:lineRule="exact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16297E"/>
    <w:rPr>
      <w:rFonts w:eastAsiaTheme="minorEastAsia"/>
      <w:sz w:val="18"/>
      <w:szCs w:val="18"/>
      <w:lang w:val="ro-RO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A81FD5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A81FD5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A81FD5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A81FD5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FD5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FD5"/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95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5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557A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57A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29F0"/>
    <w:pPr>
      <w:spacing w:after="0" w:line="240" w:lineRule="auto"/>
    </w:pPr>
    <w:rPr>
      <w:rFonts w:eastAsiaTheme="minorEastAsia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B589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RO/TXT/?uri=OJ:L_202401623" TargetMode="External"/><Relationship Id="rId1" Type="http://schemas.openxmlformats.org/officeDocument/2006/relationships/hyperlink" Target="https://eur-lex.europa.eu/legal-content/RO/TXT/?uri=OJ%3AL%3A2013%3A176%3A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1CF0BC-64A7-44A4-BE6C-A045FAF69A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9804B0-4B42-49B6-B2DD-1F7CB7CB7943}"/>
</file>

<file path=customXml/itemProps3.xml><?xml version="1.0" encoding="utf-8"?>
<ds:datastoreItem xmlns:ds="http://schemas.openxmlformats.org/officeDocument/2006/customXml" ds:itemID="{B82CA3E7-9F52-4145-A709-2DBEF71EEEA6}"/>
</file>

<file path=customXml/itemProps4.xml><?xml version="1.0" encoding="utf-8"?>
<ds:datastoreItem xmlns:ds="http://schemas.openxmlformats.org/officeDocument/2006/customXml" ds:itemID="{F1397552-4871-47C9-A4D9-BA3780E6FC92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666</Words>
  <Characters>3804</Characters>
  <Application>Microsoft Office Word</Application>
  <DocSecurity>0</DocSecurity>
  <Lines>115</Lines>
  <Paragraphs>62</Paragraphs>
  <ScaleCrop>false</ScaleCrop>
  <Company>European Banking Authority</Company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PARCATA Nicoleta (DGT)</cp:lastModifiedBy>
  <cp:revision>15</cp:revision>
  <dcterms:created xsi:type="dcterms:W3CDTF">2021-03-11T13:21:00Z</dcterms:created>
  <dcterms:modified xsi:type="dcterms:W3CDTF">2024-10-18T08:31:00Z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591333ba,5dbaf94b,13f01119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2024-09-26T14:30:38Z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b845363d-b496-4e81-8635-4e3aececf02f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