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Pr="009D4E15" w:rsidRDefault="007E1815" w:rsidP="007E1815">
      <w:pPr>
        <w:pStyle w:val="Annexetitre"/>
      </w:pPr>
      <w:r w:rsidRPr="009D4E15">
        <w:fldChar w:fldCharType="begin"/>
      </w:r>
      <w:r w:rsidRPr="009D4E15">
        <w:fldChar w:fldCharType="separate"/>
      </w:r>
      <w:r w:rsidRPr="009D4E15">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9D4E15">
        <w:fldChar w:fldCharType="end"/>
      </w:r>
      <w:r w:rsidRPr="009D4E15">
        <w:t>PRÍLOHA XIV – Pokyny pre vzory týkajúce sa požiadaviek na likviditu</w:t>
      </w:r>
    </w:p>
    <w:p w14:paraId="76777DFC" w14:textId="77777777" w:rsidR="007E1815" w:rsidRPr="009D4E15" w:rsidRDefault="007E1815" w:rsidP="007E1815"/>
    <w:p w14:paraId="2D5D4F26" w14:textId="77777777" w:rsidR="009D4E15" w:rsidRDefault="007E1815" w:rsidP="007E1815">
      <w:pPr>
        <w:spacing w:before="120" w:after="120"/>
        <w:jc w:val="both"/>
        <w:rPr>
          <w:rFonts w:ascii="Times New Roman" w:hAnsi="Times New Roman"/>
          <w:b/>
          <w:sz w:val="24"/>
        </w:rPr>
      </w:pPr>
      <w:r w:rsidRPr="009D4E15">
        <w:rPr>
          <w:rFonts w:ascii="Times New Roman" w:hAnsi="Times New Roman"/>
          <w:b/>
          <w:sz w:val="24"/>
        </w:rPr>
        <w:t>Pokyny</w:t>
      </w:r>
      <w:r w:rsidR="009D4E15">
        <w:rPr>
          <w:rFonts w:ascii="Times New Roman" w:hAnsi="Times New Roman"/>
          <w:b/>
          <w:sz w:val="24"/>
        </w:rPr>
        <w:t xml:space="preserve"> k </w:t>
      </w:r>
      <w:r w:rsidRPr="009D4E15">
        <w:rPr>
          <w:rFonts w:ascii="Times New Roman" w:hAnsi="Times New Roman"/>
          <w:b/>
          <w:sz w:val="24"/>
        </w:rPr>
        <w:t>tabuľke EU LIQA týkajúcej sa riadenia rizika likvidity</w:t>
      </w:r>
      <w:r w:rsidR="009D4E15">
        <w:rPr>
          <w:rFonts w:ascii="Times New Roman" w:hAnsi="Times New Roman"/>
          <w:b/>
          <w:sz w:val="24"/>
        </w:rPr>
        <w:t xml:space="preserve"> a </w:t>
      </w:r>
      <w:r w:rsidRPr="009D4E15">
        <w:rPr>
          <w:rFonts w:ascii="Times New Roman" w:hAnsi="Times New Roman"/>
          <w:b/>
          <w:sz w:val="24"/>
        </w:rPr>
        <w:t>vzoru EU LIQ1 týkajúcemu sa ukazovateľa krytia likvidity (LCR)</w:t>
      </w:r>
    </w:p>
    <w:p w14:paraId="7A96EA42" w14:textId="0CDE5761" w:rsidR="009D4E15" w:rsidRDefault="007E1815" w:rsidP="007E1815">
      <w:pPr>
        <w:widowControl w:val="0"/>
        <w:numPr>
          <w:ilvl w:val="0"/>
          <w:numId w:val="2"/>
        </w:numPr>
        <w:tabs>
          <w:tab w:val="left" w:pos="983"/>
        </w:tabs>
        <w:spacing w:before="120" w:after="120"/>
        <w:ind w:left="720" w:hanging="360"/>
        <w:jc w:val="both"/>
        <w:rPr>
          <w:rFonts w:ascii="Times New Roman" w:hAnsi="Times New Roman"/>
          <w:sz w:val="24"/>
        </w:rPr>
      </w:pPr>
      <w:r w:rsidRPr="009D4E15">
        <w:rPr>
          <w:rFonts w:ascii="Times New Roman" w:hAnsi="Times New Roman"/>
          <w:sz w:val="24"/>
        </w:rPr>
        <w:t xml:space="preserve">Inštitúcie, na ktoré sa vzťahuje šiesta časť nariadenia (EÚ) </w:t>
      </w:r>
      <w:r w:rsidR="009D4E15">
        <w:rPr>
          <w:rFonts w:ascii="Times New Roman" w:hAnsi="Times New Roman"/>
          <w:sz w:val="24"/>
        </w:rPr>
        <w:t>č. </w:t>
      </w:r>
      <w:r w:rsidRPr="009D4E15">
        <w:rPr>
          <w:rFonts w:ascii="Times New Roman" w:hAnsi="Times New Roman"/>
          <w:sz w:val="24"/>
        </w:rPr>
        <w:t>575/2013</w:t>
      </w:r>
      <w:r w:rsidRPr="009D4E15">
        <w:rPr>
          <w:rStyle w:val="FootnoteReference"/>
          <w:rFonts w:ascii="Times New Roman" w:hAnsi="Times New Roman" w:cs="Times New Roman"/>
          <w:sz w:val="24"/>
        </w:rPr>
        <w:footnoteReference w:id="1"/>
      </w:r>
      <w:r w:rsidRPr="009D4E15">
        <w:rPr>
          <w:rFonts w:ascii="Times New Roman" w:hAnsi="Times New Roman"/>
          <w:sz w:val="24"/>
        </w:rPr>
        <w:t xml:space="preserve"> („CRR“), zverejňujú informácie uvedené</w:t>
      </w:r>
      <w:r w:rsidR="009D4E15">
        <w:rPr>
          <w:rFonts w:ascii="Times New Roman" w:hAnsi="Times New Roman"/>
          <w:sz w:val="24"/>
        </w:rPr>
        <w:t xml:space="preserve"> v </w:t>
      </w:r>
      <w:r w:rsidRPr="009D4E15">
        <w:rPr>
          <w:rFonts w:ascii="Times New Roman" w:hAnsi="Times New Roman"/>
          <w:sz w:val="24"/>
        </w:rPr>
        <w:t>článku 451a CRR tak, že vypĺňajú tabuľku EU LIQA, vzor EU LIQ1</w:t>
      </w:r>
      <w:r w:rsidR="009D4E15">
        <w:rPr>
          <w:rFonts w:ascii="Times New Roman" w:hAnsi="Times New Roman"/>
          <w:sz w:val="24"/>
        </w:rPr>
        <w:t xml:space="preserve"> a </w:t>
      </w:r>
      <w:r w:rsidRPr="009D4E15">
        <w:rPr>
          <w:rFonts w:ascii="Times New Roman" w:hAnsi="Times New Roman"/>
          <w:sz w:val="24"/>
        </w:rPr>
        <w:t>tabuľku EU LIQB</w:t>
      </w:r>
      <w:bookmarkEnd w:id="0"/>
      <w:r w:rsidR="009D4E15">
        <w:rPr>
          <w:rFonts w:ascii="Times New Roman" w:hAnsi="Times New Roman"/>
          <w:sz w:val="24"/>
        </w:rPr>
        <w:t>.</w:t>
      </w:r>
    </w:p>
    <w:p w14:paraId="4CA7A738" w14:textId="77777777" w:rsidR="009D4E15" w:rsidRDefault="007E1815" w:rsidP="007E1815">
      <w:pPr>
        <w:pStyle w:val="Titlelevel2"/>
        <w:spacing w:before="120" w:after="120"/>
        <w:rPr>
          <w:rFonts w:ascii="Times New Roman" w:hAnsi="Times New Roman"/>
          <w:b/>
          <w:color w:val="auto"/>
          <w:sz w:val="24"/>
        </w:rPr>
      </w:pPr>
      <w:bookmarkStart w:id="1" w:name="bookmark44"/>
      <w:r w:rsidRPr="009D4E15">
        <w:rPr>
          <w:rFonts w:ascii="Times New Roman" w:hAnsi="Times New Roman"/>
          <w:b/>
          <w:color w:val="auto"/>
          <w:sz w:val="24"/>
        </w:rPr>
        <w:t>Tabuľka EU LIQA – Riadenie rizika likvidity</w:t>
      </w:r>
    </w:p>
    <w:p w14:paraId="39724DE3" w14:textId="77777777" w:rsidR="009D4E15" w:rsidRDefault="007E1815" w:rsidP="009D4E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9D4E15">
        <w:rPr>
          <w:rFonts w:ascii="Times New Roman" w:hAnsi="Times New Roman"/>
          <w:sz w:val="24"/>
        </w:rPr>
        <w:t>Inštitúcie, na ktoré sa vzťahuje šiesta časť CRR, zverejňujú informácie uvedené</w:t>
      </w:r>
      <w:r w:rsidR="009D4E15">
        <w:rPr>
          <w:rFonts w:ascii="Times New Roman" w:hAnsi="Times New Roman"/>
          <w:sz w:val="24"/>
        </w:rPr>
        <w:t xml:space="preserve"> v </w:t>
      </w:r>
      <w:r w:rsidRPr="009D4E15">
        <w:rPr>
          <w:rFonts w:ascii="Times New Roman" w:hAnsi="Times New Roman"/>
          <w:sz w:val="24"/>
        </w:rPr>
        <w:t>článku 451a ods. 4 CRR podľa pokynov uvedených nižšie</w:t>
      </w:r>
      <w:r w:rsidR="009D4E15">
        <w:rPr>
          <w:rFonts w:ascii="Times New Roman" w:hAnsi="Times New Roman"/>
          <w:sz w:val="24"/>
        </w:rPr>
        <w:t xml:space="preserve"> v </w:t>
      </w:r>
      <w:r w:rsidRPr="009D4E15">
        <w:rPr>
          <w:rFonts w:ascii="Times New Roman" w:hAnsi="Times New Roman"/>
          <w:sz w:val="24"/>
        </w:rPr>
        <w:t>tejto prílohe</w:t>
      </w:r>
      <w:r w:rsidR="009D4E15">
        <w:rPr>
          <w:rFonts w:ascii="Times New Roman" w:hAnsi="Times New Roman"/>
          <w:sz w:val="24"/>
        </w:rPr>
        <w:t xml:space="preserve"> s </w:t>
      </w:r>
      <w:r w:rsidRPr="009D4E15">
        <w:rPr>
          <w:rFonts w:ascii="Times New Roman" w:hAnsi="Times New Roman"/>
          <w:sz w:val="24"/>
        </w:rPr>
        <w:t>cieľom vyplniť tabuľku EU LIQA, ktorá je uvedená</w:t>
      </w:r>
      <w:r w:rsidR="009D4E15">
        <w:rPr>
          <w:rFonts w:ascii="Times New Roman" w:hAnsi="Times New Roman"/>
          <w:sz w:val="24"/>
        </w:rPr>
        <w:t xml:space="preserve"> v </w:t>
      </w:r>
      <w:r w:rsidRPr="009D4E15">
        <w:rPr>
          <w:rFonts w:ascii="Times New Roman" w:hAnsi="Times New Roman"/>
          <w:sz w:val="24"/>
        </w:rPr>
        <w:t>prílohe XIII</w:t>
      </w:r>
      <w:r w:rsidR="009D4E15">
        <w:rPr>
          <w:rFonts w:ascii="Times New Roman" w:hAnsi="Times New Roman"/>
          <w:sz w:val="24"/>
        </w:rPr>
        <w:t xml:space="preserve"> k </w:t>
      </w:r>
      <w:r w:rsidRPr="009D4E15">
        <w:rPr>
          <w:rFonts w:ascii="Times New Roman" w:hAnsi="Times New Roman"/>
          <w:sz w:val="24"/>
        </w:rPr>
        <w:t>tomuto vykonávaciemu nariadeniu.</w:t>
      </w:r>
    </w:p>
    <w:p w14:paraId="17B338F3" w14:textId="715A8A23" w:rsidR="009D4E15" w:rsidRPr="009D4E15" w:rsidRDefault="007E1815" w:rsidP="009D4E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9D4E15">
        <w:rPr>
          <w:rFonts w:ascii="Times New Roman" w:hAnsi="Times New Roman"/>
          <w:sz w:val="24"/>
        </w:rPr>
        <w:t>Na účely tabuľky EU LIQA inštitúcie, na ktoré sa vzťahuje šiesta časť CRR, považujú textové polia uvedené</w:t>
      </w:r>
      <w:r w:rsidR="009D4E15" w:rsidRPr="009D4E15">
        <w:rPr>
          <w:rFonts w:ascii="Times New Roman" w:hAnsi="Times New Roman"/>
          <w:sz w:val="24"/>
        </w:rPr>
        <w:t xml:space="preserve"> v </w:t>
      </w:r>
      <w:r w:rsidRPr="009D4E15">
        <w:rPr>
          <w:rFonts w:ascii="Times New Roman" w:hAnsi="Times New Roman"/>
          <w:sz w:val="24"/>
        </w:rPr>
        <w:t>tabuľke za polia</w:t>
      </w:r>
      <w:r w:rsidR="009D4E15" w:rsidRPr="009D4E15">
        <w:rPr>
          <w:rFonts w:ascii="Times New Roman" w:hAnsi="Times New Roman"/>
          <w:sz w:val="24"/>
        </w:rPr>
        <w:t xml:space="preserve"> s </w:t>
      </w:r>
      <w:r w:rsidRPr="009D4E15">
        <w:rPr>
          <w:rFonts w:ascii="Times New Roman" w:hAnsi="Times New Roman"/>
          <w:sz w:val="24"/>
        </w:rPr>
        <w:t>ľubovoľným textom. Poskytujú relevantné kvalitatívne aj kvantitatívne informácie</w:t>
      </w:r>
      <w:r w:rsidR="009D4E15" w:rsidRPr="009D4E15">
        <w:rPr>
          <w:rFonts w:ascii="Times New Roman" w:hAnsi="Times New Roman"/>
          <w:sz w:val="24"/>
        </w:rPr>
        <w:t xml:space="preserve"> o </w:t>
      </w:r>
      <w:r w:rsidRPr="009D4E15">
        <w:rPr>
          <w:rFonts w:ascii="Times New Roman" w:hAnsi="Times New Roman"/>
          <w:sz w:val="24"/>
        </w:rPr>
        <w:t>cieľoch</w:t>
      </w:r>
      <w:r w:rsidR="009D4E15" w:rsidRPr="009D4E15">
        <w:rPr>
          <w:rFonts w:ascii="Times New Roman" w:hAnsi="Times New Roman"/>
          <w:sz w:val="24"/>
        </w:rPr>
        <w:t xml:space="preserve"> a </w:t>
      </w:r>
      <w:r w:rsidRPr="009D4E15">
        <w:rPr>
          <w:rFonts w:ascii="Times New Roman" w:hAnsi="Times New Roman"/>
          <w:sz w:val="24"/>
        </w:rPr>
        <w:t>politikách riadenia rizík pre riziko likvidity</w:t>
      </w:r>
      <w:r w:rsidR="009D4E15" w:rsidRPr="009D4E15">
        <w:rPr>
          <w:rFonts w:ascii="Times New Roman" w:hAnsi="Times New Roman"/>
          <w:sz w:val="24"/>
        </w:rPr>
        <w:t xml:space="preserve"> v </w:t>
      </w:r>
      <w:r w:rsidRPr="009D4E15">
        <w:rPr>
          <w:rFonts w:ascii="Times New Roman" w:hAnsi="Times New Roman"/>
          <w:sz w:val="24"/>
        </w:rPr>
        <w:t>závislosti od svojich obchodných modelov</w:t>
      </w:r>
      <w:r w:rsidR="009D4E15" w:rsidRPr="009D4E15">
        <w:rPr>
          <w:rFonts w:ascii="Times New Roman" w:hAnsi="Times New Roman"/>
          <w:sz w:val="24"/>
        </w:rPr>
        <w:t xml:space="preserve"> a </w:t>
      </w:r>
      <w:r w:rsidRPr="009D4E15">
        <w:rPr>
          <w:rFonts w:ascii="Times New Roman" w:hAnsi="Times New Roman"/>
          <w:sz w:val="24"/>
        </w:rPr>
        <w:t>profilov rizika likvidity, organizácie</w:t>
      </w:r>
      <w:r w:rsidR="009D4E15" w:rsidRPr="009D4E15">
        <w:rPr>
          <w:rFonts w:ascii="Times New Roman" w:hAnsi="Times New Roman"/>
          <w:sz w:val="24"/>
        </w:rPr>
        <w:t xml:space="preserve"> a </w:t>
      </w:r>
      <w:r w:rsidRPr="009D4E15">
        <w:rPr>
          <w:rFonts w:ascii="Times New Roman" w:hAnsi="Times New Roman"/>
          <w:sz w:val="24"/>
        </w:rPr>
        <w:t>funkcií zapojených do riadenia rizika likvidity</w:t>
      </w:r>
      <w:r w:rsidR="009D4E15" w:rsidRPr="009D4E15">
        <w:rPr>
          <w:rFonts w:ascii="Times New Roman" w:hAnsi="Times New Roman"/>
          <w:sz w:val="24"/>
        </w:rPr>
        <w:t xml:space="preserve"> v </w:t>
      </w:r>
      <w:r w:rsidRPr="009D4E15">
        <w:rPr>
          <w:rFonts w:ascii="Times New Roman" w:hAnsi="Times New Roman"/>
          <w:sz w:val="24"/>
        </w:rPr>
        <w:t>súlade</w:t>
      </w:r>
      <w:r w:rsidR="009D4E15" w:rsidRPr="009D4E15">
        <w:rPr>
          <w:rFonts w:ascii="Times New Roman" w:hAnsi="Times New Roman"/>
          <w:sz w:val="24"/>
        </w:rPr>
        <w:t xml:space="preserve"> s </w:t>
      </w:r>
      <w:r w:rsidRPr="009D4E15">
        <w:rPr>
          <w:rFonts w:ascii="Times New Roman" w:hAnsi="Times New Roman"/>
          <w:sz w:val="24"/>
        </w:rPr>
        <w:t>článkom 435 ods. 1 CRR</w:t>
      </w:r>
      <w:r w:rsidR="009D4E15" w:rsidRPr="009D4E15">
        <w:rPr>
          <w:rFonts w:ascii="Times New Roman" w:hAnsi="Times New Roman"/>
          <w:sz w:val="24"/>
        </w:rPr>
        <w:t xml:space="preserve"> a </w:t>
      </w:r>
      <w:r w:rsidRPr="009D4E15">
        <w:rPr>
          <w:rFonts w:ascii="Times New Roman" w:hAnsi="Times New Roman"/>
          <w:sz w:val="24"/>
        </w:rPr>
        <w:t>delegovaným nariadením Komisie (EÚ) 2015/61</w:t>
      </w:r>
      <w:r w:rsidRPr="009D4E15">
        <w:rPr>
          <w:rStyle w:val="FootnoteReference"/>
          <w:rFonts w:ascii="Times New Roman" w:hAnsi="Times New Roman" w:cs="Times New Roman"/>
          <w:sz w:val="24"/>
        </w:rPr>
        <w:footnoteReference w:id="2"/>
      </w:r>
      <w:r w:rsidRPr="009D4E15">
        <w:rPr>
          <w:rFonts w:ascii="Times New Roman" w:hAnsi="Times New Roman"/>
          <w:sz w:val="24"/>
        </w:rPr>
        <w:t>, pokiaľ ide</w:t>
      </w:r>
      <w:r w:rsidR="009D4E15" w:rsidRPr="009D4E15">
        <w:rPr>
          <w:rFonts w:ascii="Times New Roman" w:hAnsi="Times New Roman"/>
          <w:sz w:val="24"/>
        </w:rPr>
        <w:t xml:space="preserve"> o </w:t>
      </w:r>
      <w:r w:rsidRPr="009D4E15">
        <w:rPr>
          <w:rFonts w:ascii="Times New Roman" w:hAnsi="Times New Roman"/>
          <w:sz w:val="24"/>
        </w:rPr>
        <w:t>požiadavku na krytie likvidity pre úverové inštitúcie</w:t>
      </w:r>
      <w:r w:rsidR="009D4E15" w:rsidRPr="009D4E15">
        <w:rPr>
          <w:rFonts w:ascii="Times New Roman" w:hAnsi="Times New Roman"/>
          <w:sz w:val="24"/>
        </w:rPr>
        <w:t>.</w:t>
      </w:r>
    </w:p>
    <w:p w14:paraId="23FF3FBD" w14:textId="2A6BB0F9" w:rsidR="007E1815" w:rsidRPr="009D4E15" w:rsidRDefault="007E1815" w:rsidP="007E1815">
      <w:pPr>
        <w:pStyle w:val="Titlelevel2"/>
        <w:spacing w:before="120" w:after="120"/>
        <w:rPr>
          <w:rFonts w:ascii="Times New Roman" w:hAnsi="Times New Roman"/>
          <w:b/>
          <w:color w:val="auto"/>
          <w:sz w:val="24"/>
        </w:rPr>
      </w:pPr>
      <w:r w:rsidRPr="009D4E15">
        <w:rPr>
          <w:rFonts w:ascii="Times New Roman" w:hAnsi="Times New Roman"/>
          <w:b/>
          <w:color w:val="auto"/>
          <w:sz w:val="24"/>
        </w:rPr>
        <w:t>Vzor EU LIQ1 – Kvantitatívne informácie</w:t>
      </w:r>
      <w:r w:rsidR="009D4E15">
        <w:rPr>
          <w:rFonts w:ascii="Times New Roman" w:hAnsi="Times New Roman"/>
          <w:b/>
          <w:color w:val="auto"/>
          <w:sz w:val="24"/>
        </w:rPr>
        <w:t xml:space="preserve"> o </w:t>
      </w:r>
      <w:r w:rsidRPr="009D4E15">
        <w:rPr>
          <w:rFonts w:ascii="Times New Roman" w:hAnsi="Times New Roman"/>
          <w:b/>
          <w:color w:val="auto"/>
          <w:sz w:val="24"/>
        </w:rPr>
        <w:t>ukazovateli krytia likvidity (LCR)</w:t>
      </w:r>
    </w:p>
    <w:bookmarkEnd w:id="1"/>
    <w:p w14:paraId="123CFE6B" w14:textId="61D81B0F" w:rsidR="007E1815" w:rsidRPr="009D4E15" w:rsidRDefault="007E1815" w:rsidP="009D4E15">
      <w:pPr>
        <w:widowControl w:val="0"/>
        <w:numPr>
          <w:ilvl w:val="0"/>
          <w:numId w:val="2"/>
        </w:numPr>
        <w:tabs>
          <w:tab w:val="left" w:pos="983"/>
        </w:tabs>
        <w:spacing w:before="120" w:after="120"/>
        <w:ind w:left="714" w:hanging="357"/>
        <w:jc w:val="both"/>
        <w:rPr>
          <w:rFonts w:ascii="Times New Roman" w:hAnsi="Times New Roman" w:cs="Times New Roman"/>
          <w:sz w:val="24"/>
        </w:rPr>
      </w:pPr>
      <w:r w:rsidRPr="009D4E15">
        <w:rPr>
          <w:rFonts w:ascii="Times New Roman" w:hAnsi="Times New Roman"/>
          <w:sz w:val="24"/>
        </w:rPr>
        <w:t>Inštitúcie, na ktoré sa vzťahuje šiesta časť CRR, zverejňujú informácie uvedené</w:t>
      </w:r>
      <w:r w:rsidR="009D4E15">
        <w:rPr>
          <w:rFonts w:ascii="Times New Roman" w:hAnsi="Times New Roman"/>
          <w:sz w:val="24"/>
        </w:rPr>
        <w:t xml:space="preserve"> v </w:t>
      </w:r>
      <w:r w:rsidRPr="009D4E15">
        <w:rPr>
          <w:rFonts w:ascii="Times New Roman" w:hAnsi="Times New Roman"/>
          <w:sz w:val="24"/>
        </w:rPr>
        <w:t>článku 451a ods. 2 CRR podľa pokynov uvedených nižšie</w:t>
      </w:r>
      <w:r w:rsidR="009D4E15">
        <w:rPr>
          <w:rFonts w:ascii="Times New Roman" w:hAnsi="Times New Roman"/>
          <w:sz w:val="24"/>
        </w:rPr>
        <w:t xml:space="preserve"> v </w:t>
      </w:r>
      <w:r w:rsidRPr="009D4E15">
        <w:rPr>
          <w:rFonts w:ascii="Times New Roman" w:hAnsi="Times New Roman"/>
          <w:sz w:val="24"/>
        </w:rPr>
        <w:t>tejto prílohe</w:t>
      </w:r>
      <w:r w:rsidR="009D4E15">
        <w:rPr>
          <w:rFonts w:ascii="Times New Roman" w:hAnsi="Times New Roman"/>
          <w:sz w:val="24"/>
        </w:rPr>
        <w:t xml:space="preserve"> s </w:t>
      </w:r>
      <w:r w:rsidRPr="009D4E15">
        <w:rPr>
          <w:rFonts w:ascii="Times New Roman" w:hAnsi="Times New Roman"/>
          <w:sz w:val="24"/>
        </w:rPr>
        <w:t>cieľom vyplniť vzor EU LIQ1, ktorý je uvedený</w:t>
      </w:r>
      <w:r w:rsidR="009D4E15">
        <w:rPr>
          <w:rFonts w:ascii="Times New Roman" w:hAnsi="Times New Roman"/>
          <w:sz w:val="24"/>
        </w:rPr>
        <w:t xml:space="preserve"> v </w:t>
      </w:r>
      <w:r w:rsidRPr="009D4E15">
        <w:rPr>
          <w:rFonts w:ascii="Times New Roman" w:hAnsi="Times New Roman"/>
          <w:sz w:val="24"/>
        </w:rPr>
        <w:t>prílohe XIII dokumentu</w:t>
      </w:r>
      <w:r w:rsidR="009D4E15">
        <w:rPr>
          <w:rFonts w:ascii="Times New Roman" w:hAnsi="Times New Roman"/>
          <w:sz w:val="24"/>
        </w:rPr>
        <w:t xml:space="preserve"> s </w:t>
      </w:r>
      <w:r w:rsidRPr="009D4E15">
        <w:rPr>
          <w:rFonts w:ascii="Times New Roman" w:hAnsi="Times New Roman"/>
          <w:sz w:val="24"/>
        </w:rPr>
        <w:t>IT riešeniami orgánu EBA.</w:t>
      </w:r>
    </w:p>
    <w:p w14:paraId="48F910A8" w14:textId="03D23DE4" w:rsidR="007E1815" w:rsidRPr="009D4E15"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9D4E15">
        <w:rPr>
          <w:rFonts w:ascii="Times New Roman" w:hAnsi="Times New Roman"/>
          <w:sz w:val="24"/>
        </w:rPr>
        <w:t>Inštitúcie, na ktoré sa vzťahuje šiesta časť CRR, pri zverejňovaní informácií požadovaných</w:t>
      </w:r>
      <w:r w:rsidR="009D4E15">
        <w:rPr>
          <w:rFonts w:ascii="Times New Roman" w:hAnsi="Times New Roman"/>
          <w:sz w:val="24"/>
        </w:rPr>
        <w:t xml:space="preserve"> v </w:t>
      </w:r>
      <w:r w:rsidRPr="009D4E15">
        <w:rPr>
          <w:rFonts w:ascii="Times New Roman" w:hAnsi="Times New Roman"/>
          <w:sz w:val="24"/>
        </w:rPr>
        <w:t>tomto vzore zahŕňajú hodnoty</w:t>
      </w:r>
      <w:r w:rsidR="009D4E15">
        <w:rPr>
          <w:rFonts w:ascii="Times New Roman" w:hAnsi="Times New Roman"/>
          <w:sz w:val="24"/>
        </w:rPr>
        <w:t xml:space="preserve"> a </w:t>
      </w:r>
      <w:r w:rsidRPr="009D4E15">
        <w:rPr>
          <w:rFonts w:ascii="Times New Roman" w:hAnsi="Times New Roman"/>
          <w:sz w:val="24"/>
        </w:rPr>
        <w:t>údaje požadované pre každý zo štyroch kalendárnych štvrťrokov (január – marec, apríl – jún, júl – september, október – december), ktoré predchádzajú dátumu zverejnenia. Inštitúcie vypočítavajú tieto hodnoty</w:t>
      </w:r>
      <w:r w:rsidR="009D4E15">
        <w:rPr>
          <w:rFonts w:ascii="Times New Roman" w:hAnsi="Times New Roman"/>
          <w:sz w:val="24"/>
        </w:rPr>
        <w:t xml:space="preserve"> a </w:t>
      </w:r>
      <w:r w:rsidRPr="009D4E15">
        <w:rPr>
          <w:rFonts w:ascii="Times New Roman" w:hAnsi="Times New Roman"/>
          <w:sz w:val="24"/>
        </w:rPr>
        <w:t>údaje ako jednoduché priemery údajov pozorovaných ku koncu mesiaca za dvanásť mesiacov pred koncom každého štvrťroka.</w:t>
      </w:r>
    </w:p>
    <w:p w14:paraId="1600E94E" w14:textId="27F7C67D" w:rsidR="007E1815" w:rsidRPr="009D4E15"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9D4E15">
        <w:rPr>
          <w:rFonts w:ascii="Times New Roman" w:hAnsi="Times New Roman"/>
          <w:sz w:val="24"/>
        </w:rPr>
        <w:t>Informácie požadované vo vzore EU LIQ1 zahŕňajú všetky položky bez ohľadu na menu,</w:t>
      </w:r>
      <w:r w:rsidR="009D4E15">
        <w:rPr>
          <w:rFonts w:ascii="Times New Roman" w:hAnsi="Times New Roman"/>
          <w:sz w:val="24"/>
        </w:rPr>
        <w:t xml:space="preserve"> v </w:t>
      </w:r>
      <w:r w:rsidRPr="009D4E15">
        <w:rPr>
          <w:rFonts w:ascii="Times New Roman" w:hAnsi="Times New Roman"/>
          <w:sz w:val="24"/>
        </w:rPr>
        <w:t>ktorej sú denominované,</w:t>
      </w:r>
      <w:r w:rsidR="009D4E15">
        <w:rPr>
          <w:rFonts w:ascii="Times New Roman" w:hAnsi="Times New Roman"/>
          <w:sz w:val="24"/>
        </w:rPr>
        <w:t xml:space="preserve"> a </w:t>
      </w:r>
      <w:r w:rsidRPr="009D4E15">
        <w:rPr>
          <w:rFonts w:ascii="Times New Roman" w:hAnsi="Times New Roman"/>
          <w:sz w:val="24"/>
        </w:rPr>
        <w:t>zverejňujú sa</w:t>
      </w:r>
      <w:r w:rsidR="009D4E15">
        <w:rPr>
          <w:rFonts w:ascii="Times New Roman" w:hAnsi="Times New Roman"/>
          <w:sz w:val="24"/>
        </w:rPr>
        <w:t xml:space="preserve"> v </w:t>
      </w:r>
      <w:r w:rsidRPr="009D4E15">
        <w:rPr>
          <w:rFonts w:ascii="Times New Roman" w:hAnsi="Times New Roman"/>
          <w:sz w:val="24"/>
        </w:rPr>
        <w:t>mene vykazovania, ako je vymedzená</w:t>
      </w:r>
      <w:r w:rsidR="009D4E15">
        <w:rPr>
          <w:rFonts w:ascii="Times New Roman" w:hAnsi="Times New Roman"/>
          <w:sz w:val="24"/>
        </w:rPr>
        <w:t xml:space="preserve"> v </w:t>
      </w:r>
      <w:r w:rsidRPr="009D4E15">
        <w:rPr>
          <w:rFonts w:ascii="Times New Roman" w:hAnsi="Times New Roman"/>
          <w:sz w:val="24"/>
        </w:rPr>
        <w:t>článku 3 delegovaného nariadenia Komisie (EÚ) 2015/61.</w:t>
      </w:r>
    </w:p>
    <w:p w14:paraId="3C031ADF" w14:textId="6D02C6F3" w:rsidR="007E1815" w:rsidRPr="009D4E15"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9D4E15">
        <w:rPr>
          <w:rFonts w:ascii="Times New Roman" w:hAnsi="Times New Roman"/>
          <w:sz w:val="24"/>
        </w:rPr>
        <w:t>Na výpočet nevážených</w:t>
      </w:r>
      <w:r w:rsidR="009D4E15">
        <w:rPr>
          <w:rFonts w:ascii="Times New Roman" w:hAnsi="Times New Roman"/>
          <w:sz w:val="24"/>
        </w:rPr>
        <w:t xml:space="preserve"> a </w:t>
      </w:r>
      <w:r w:rsidRPr="009D4E15">
        <w:rPr>
          <w:rFonts w:ascii="Times New Roman" w:hAnsi="Times New Roman"/>
          <w:sz w:val="24"/>
        </w:rPr>
        <w:t>vážených kladných</w:t>
      </w:r>
      <w:r w:rsidR="009D4E15">
        <w:rPr>
          <w:rFonts w:ascii="Times New Roman" w:hAnsi="Times New Roman"/>
          <w:sz w:val="24"/>
        </w:rPr>
        <w:t xml:space="preserve"> a </w:t>
      </w:r>
      <w:r w:rsidRPr="009D4E15">
        <w:rPr>
          <w:rFonts w:ascii="Times New Roman" w:hAnsi="Times New Roman"/>
          <w:sz w:val="24"/>
        </w:rPr>
        <w:t>záporných peňažných tokov</w:t>
      </w:r>
      <w:r w:rsidR="009D4E15">
        <w:rPr>
          <w:rFonts w:ascii="Times New Roman" w:hAnsi="Times New Roman"/>
          <w:sz w:val="24"/>
        </w:rPr>
        <w:t xml:space="preserve"> a </w:t>
      </w:r>
      <w:r w:rsidRPr="009D4E15">
        <w:rPr>
          <w:rFonts w:ascii="Times New Roman" w:hAnsi="Times New Roman"/>
          <w:sz w:val="24"/>
        </w:rPr>
        <w:t>vážených HQLA na účely vzoru EU LIQ1 inštitúcie uplatňujú tieto pokyny:</w:t>
      </w:r>
    </w:p>
    <w:p w14:paraId="5E2AA611" w14:textId="0CB94D55" w:rsidR="007E1815" w:rsidRPr="009D4E15"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9D4E15">
        <w:rPr>
          <w:rFonts w:ascii="Times New Roman" w:hAnsi="Times New Roman"/>
          <w:sz w:val="24"/>
        </w:rPr>
        <w:t>Kladné/záporné peňažné toky: nevážená hodnota kladných</w:t>
      </w:r>
      <w:r w:rsidR="009D4E15">
        <w:rPr>
          <w:rFonts w:ascii="Times New Roman" w:hAnsi="Times New Roman"/>
          <w:sz w:val="24"/>
        </w:rPr>
        <w:t xml:space="preserve"> a </w:t>
      </w:r>
      <w:r w:rsidRPr="009D4E15">
        <w:rPr>
          <w:rFonts w:ascii="Times New Roman" w:hAnsi="Times New Roman"/>
          <w:sz w:val="24"/>
        </w:rPr>
        <w:t>záporných peňažných tokov sa vypočítava ako nesplatené zostatky rôznych kategórií alebo druhov záväzkov, podsúvahových položiek alebo zmluvných pohľadávok. „Vážená“ hodnota kladných</w:t>
      </w:r>
      <w:r w:rsidR="009D4E15">
        <w:rPr>
          <w:rFonts w:ascii="Times New Roman" w:hAnsi="Times New Roman"/>
          <w:sz w:val="24"/>
        </w:rPr>
        <w:t xml:space="preserve"> a </w:t>
      </w:r>
      <w:r w:rsidRPr="009D4E15">
        <w:rPr>
          <w:rFonts w:ascii="Times New Roman" w:hAnsi="Times New Roman"/>
          <w:sz w:val="24"/>
        </w:rPr>
        <w:t>záporných peňažných tokov sa vypočítava ako hodnota po uplatnení mier kladných</w:t>
      </w:r>
      <w:r w:rsidR="009D4E15">
        <w:rPr>
          <w:rFonts w:ascii="Times New Roman" w:hAnsi="Times New Roman"/>
          <w:sz w:val="24"/>
        </w:rPr>
        <w:t xml:space="preserve"> </w:t>
      </w:r>
      <w:r w:rsidR="009D4E15">
        <w:rPr>
          <w:rFonts w:ascii="Times New Roman" w:hAnsi="Times New Roman"/>
          <w:sz w:val="24"/>
        </w:rPr>
        <w:lastRenderedPageBreak/>
        <w:t>a </w:t>
      </w:r>
      <w:r w:rsidRPr="009D4E15">
        <w:rPr>
          <w:rFonts w:ascii="Times New Roman" w:hAnsi="Times New Roman"/>
          <w:sz w:val="24"/>
        </w:rPr>
        <w:t>záporných peňažných tokov.</w:t>
      </w:r>
    </w:p>
    <w:p w14:paraId="2531B7D7" w14:textId="77777777" w:rsidR="007E1815" w:rsidRPr="009D4E15"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9D4E15">
        <w:rPr>
          <w:rFonts w:ascii="Times New Roman" w:hAnsi="Times New Roman"/>
          <w:sz w:val="24"/>
        </w:rPr>
        <w:t xml:space="preserve">HQLA: „vážená“ hodnota vysokokvalitných likvidných aktív (HQLA) sa vypočítava ako hodnota po uplatnení </w:t>
      </w:r>
      <w:proofErr w:type="spellStart"/>
      <w:r w:rsidRPr="009D4E15">
        <w:rPr>
          <w:rFonts w:ascii="Times New Roman" w:hAnsi="Times New Roman"/>
          <w:sz w:val="24"/>
        </w:rPr>
        <w:t>haircutov</w:t>
      </w:r>
      <w:proofErr w:type="spellEnd"/>
      <w:r w:rsidRPr="009D4E15">
        <w:rPr>
          <w:rFonts w:ascii="Times New Roman" w:hAnsi="Times New Roman"/>
          <w:sz w:val="24"/>
        </w:rPr>
        <w:t>.</w:t>
      </w:r>
    </w:p>
    <w:p w14:paraId="7F666887" w14:textId="768B4E08" w:rsidR="007E1815" w:rsidRPr="009D4E15"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9D4E15">
        <w:rPr>
          <w:rFonts w:ascii="Times New Roman" w:hAnsi="Times New Roman"/>
          <w:sz w:val="24"/>
        </w:rPr>
        <w:t>Na výpočet upravenej hodnoty vankúša likvidity</w:t>
      </w:r>
      <w:r w:rsidR="009D4E15">
        <w:rPr>
          <w:rFonts w:ascii="Times New Roman" w:hAnsi="Times New Roman"/>
          <w:sz w:val="24"/>
        </w:rPr>
        <w:t xml:space="preserve"> v </w:t>
      </w:r>
      <w:r w:rsidRPr="009D4E15">
        <w:rPr>
          <w:rFonts w:ascii="Times New Roman" w:hAnsi="Times New Roman"/>
          <w:sz w:val="24"/>
        </w:rPr>
        <w:t>položke 21</w:t>
      </w:r>
      <w:r w:rsidR="009D4E15">
        <w:rPr>
          <w:rFonts w:ascii="Times New Roman" w:hAnsi="Times New Roman"/>
          <w:sz w:val="24"/>
        </w:rPr>
        <w:t xml:space="preserve"> a </w:t>
      </w:r>
      <w:r w:rsidRPr="009D4E15">
        <w:rPr>
          <w:rFonts w:ascii="Times New Roman" w:hAnsi="Times New Roman"/>
          <w:sz w:val="24"/>
        </w:rPr>
        <w:t>upravenej hodnoty celkových čistých záporných peňažných tokov</w:t>
      </w:r>
      <w:r w:rsidR="009D4E15">
        <w:rPr>
          <w:rFonts w:ascii="Times New Roman" w:hAnsi="Times New Roman"/>
          <w:sz w:val="24"/>
        </w:rPr>
        <w:t xml:space="preserve"> v </w:t>
      </w:r>
      <w:r w:rsidRPr="009D4E15">
        <w:rPr>
          <w:rFonts w:ascii="Times New Roman" w:hAnsi="Times New Roman"/>
          <w:sz w:val="24"/>
        </w:rPr>
        <w:t>položke 22 vzoru EU LIQ1 inštitúcie uplatňujú každý</w:t>
      </w:r>
      <w:r w:rsidR="009D4E15">
        <w:rPr>
          <w:rFonts w:ascii="Times New Roman" w:hAnsi="Times New Roman"/>
          <w:sz w:val="24"/>
        </w:rPr>
        <w:t xml:space="preserve"> z </w:t>
      </w:r>
      <w:r w:rsidRPr="009D4E15">
        <w:rPr>
          <w:rFonts w:ascii="Times New Roman" w:hAnsi="Times New Roman"/>
          <w:sz w:val="24"/>
        </w:rPr>
        <w:t>týchto pokynov:</w:t>
      </w:r>
    </w:p>
    <w:p w14:paraId="16C4F071" w14:textId="77777777" w:rsidR="007E1815" w:rsidRPr="009D4E15"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9D4E15">
        <w:rPr>
          <w:rFonts w:ascii="Times New Roman" w:hAnsi="Times New Roman"/>
          <w:sz w:val="24"/>
        </w:rPr>
        <w:t xml:space="preserve">upravená hodnota vankúša likvidity je celková hodnota HQLA spolu po uplatnení </w:t>
      </w:r>
      <w:proofErr w:type="spellStart"/>
      <w:r w:rsidRPr="009D4E15">
        <w:rPr>
          <w:rFonts w:ascii="Times New Roman" w:hAnsi="Times New Roman"/>
          <w:sz w:val="24"/>
        </w:rPr>
        <w:t>haircutov</w:t>
      </w:r>
      <w:proofErr w:type="spellEnd"/>
      <w:r w:rsidRPr="009D4E15">
        <w:rPr>
          <w:rFonts w:ascii="Times New Roman" w:hAnsi="Times New Roman"/>
          <w:sz w:val="24"/>
        </w:rPr>
        <w:t xml:space="preserve"> aj akéhokoľvek uplatniteľného horného ohraničenia;</w:t>
      </w:r>
    </w:p>
    <w:p w14:paraId="1C48DA06" w14:textId="77777777" w:rsidR="007E1815" w:rsidRPr="009D4E15"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9D4E15">
        <w:rPr>
          <w:rFonts w:ascii="Times New Roman" w:hAnsi="Times New Roman"/>
          <w:sz w:val="24"/>
        </w:rPr>
        <w:t>upravená hodnota čistých záporných peňažných tokov sa vypočítava po uplatnení horného ohraničenia kladných peňažných tokov, ak je to relevantné.</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9D4E15"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27EA328C" w:rsidR="007E1815" w:rsidRPr="009D4E15" w:rsidRDefault="007E1815" w:rsidP="00D819DE">
            <w:pPr>
              <w:spacing w:after="120"/>
              <w:rPr>
                <w:rFonts w:ascii="Times New Roman" w:hAnsi="Times New Roman" w:cs="Times New Roman"/>
                <w:b/>
                <w:sz w:val="24"/>
              </w:rPr>
            </w:pPr>
            <w:r w:rsidRPr="009D4E15">
              <w:rPr>
                <w:rFonts w:ascii="Times New Roman" w:hAnsi="Times New Roman"/>
                <w:b/>
                <w:sz w:val="24"/>
              </w:rPr>
              <w:t>Odkazy na právne predpisy</w:t>
            </w:r>
            <w:r w:rsidR="009D4E15">
              <w:rPr>
                <w:rFonts w:ascii="Times New Roman" w:hAnsi="Times New Roman"/>
                <w:b/>
                <w:sz w:val="24"/>
              </w:rPr>
              <w:t xml:space="preserve"> a </w:t>
            </w:r>
            <w:r w:rsidRPr="009D4E15">
              <w:rPr>
                <w:rFonts w:ascii="Times New Roman" w:hAnsi="Times New Roman"/>
                <w:b/>
                <w:sz w:val="24"/>
              </w:rPr>
              <w:t>pokyny</w:t>
            </w:r>
          </w:p>
        </w:tc>
      </w:tr>
      <w:tr w:rsidR="007E1815" w:rsidRPr="009D4E15" w14:paraId="2E1622B5" w14:textId="77777777" w:rsidTr="00D819DE">
        <w:trPr>
          <w:trHeight w:val="238"/>
        </w:trPr>
        <w:tc>
          <w:tcPr>
            <w:tcW w:w="1384" w:type="dxa"/>
            <w:shd w:val="clear" w:color="auto" w:fill="D9D9D9" w:themeFill="background1" w:themeFillShade="D9"/>
          </w:tcPr>
          <w:p w14:paraId="6B272483" w14:textId="77777777" w:rsidR="007E1815" w:rsidRPr="009D4E15" w:rsidRDefault="007E1815" w:rsidP="00D819DE">
            <w:pPr>
              <w:autoSpaceDE w:val="0"/>
              <w:autoSpaceDN w:val="0"/>
              <w:adjustRightInd w:val="0"/>
              <w:spacing w:after="120"/>
              <w:rPr>
                <w:rFonts w:ascii="Times New Roman" w:hAnsi="Times New Roman" w:cs="Times New Roman"/>
                <w:b/>
                <w:sz w:val="24"/>
              </w:rPr>
            </w:pPr>
            <w:r w:rsidRPr="009D4E15">
              <w:rPr>
                <w:rFonts w:ascii="Times New Roman" w:hAnsi="Times New Roman"/>
                <w:b/>
                <w:sz w:val="24"/>
              </w:rPr>
              <w:t>Číslo riadku</w:t>
            </w:r>
          </w:p>
        </w:tc>
        <w:tc>
          <w:tcPr>
            <w:tcW w:w="7655" w:type="dxa"/>
            <w:shd w:val="clear" w:color="auto" w:fill="D9D9D9" w:themeFill="background1" w:themeFillShade="D9"/>
          </w:tcPr>
          <w:p w14:paraId="57B0A0D0" w14:textId="77777777" w:rsidR="007E1815" w:rsidRPr="009D4E15" w:rsidRDefault="007E1815" w:rsidP="00D819DE">
            <w:pPr>
              <w:autoSpaceDE w:val="0"/>
              <w:autoSpaceDN w:val="0"/>
              <w:adjustRightInd w:val="0"/>
              <w:spacing w:after="120"/>
              <w:rPr>
                <w:rFonts w:ascii="Times New Roman" w:hAnsi="Times New Roman" w:cs="Times New Roman"/>
                <w:color w:val="000000"/>
                <w:sz w:val="24"/>
              </w:rPr>
            </w:pPr>
            <w:r w:rsidRPr="009D4E15">
              <w:rPr>
                <w:rFonts w:ascii="Times New Roman" w:hAnsi="Times New Roman"/>
                <w:b/>
                <w:sz w:val="24"/>
              </w:rPr>
              <w:t>Vysvetlenie</w:t>
            </w:r>
          </w:p>
        </w:tc>
      </w:tr>
      <w:tr w:rsidR="007E1815" w:rsidRPr="009D4E15" w14:paraId="4336FF81" w14:textId="77777777" w:rsidTr="00D819DE">
        <w:trPr>
          <w:trHeight w:val="1858"/>
        </w:trPr>
        <w:tc>
          <w:tcPr>
            <w:tcW w:w="1384" w:type="dxa"/>
          </w:tcPr>
          <w:p w14:paraId="223E36BF" w14:textId="77777777" w:rsidR="007E1815" w:rsidRPr="009D4E15" w:rsidRDefault="007E1815" w:rsidP="00D819DE">
            <w:pPr>
              <w:pStyle w:val="Applicationdirecte"/>
              <w:spacing w:before="120"/>
              <w:jc w:val="center"/>
            </w:pPr>
            <w:r w:rsidRPr="009D4E15">
              <w:t>1</w:t>
            </w:r>
          </w:p>
        </w:tc>
        <w:tc>
          <w:tcPr>
            <w:tcW w:w="7655" w:type="dxa"/>
          </w:tcPr>
          <w:p w14:paraId="47C711AE" w14:textId="77777777" w:rsidR="007E1815" w:rsidRPr="009D4E15" w:rsidRDefault="007E1815" w:rsidP="00D819DE">
            <w:pPr>
              <w:pStyle w:val="Applicationdirecte"/>
              <w:spacing w:before="120"/>
              <w:rPr>
                <w:b/>
              </w:rPr>
            </w:pPr>
            <w:r w:rsidRPr="009D4E15">
              <w:rPr>
                <w:b/>
              </w:rPr>
              <w:t>Celkové vysokokvalitné likvidné aktíva (HQLA)</w:t>
            </w:r>
          </w:p>
          <w:p w14:paraId="3AFE2750" w14:textId="6BBEF683" w:rsidR="007E1815" w:rsidRPr="009D4E15" w:rsidRDefault="007E1815" w:rsidP="00D819DE">
            <w:pPr>
              <w:pStyle w:val="InstructionsText"/>
              <w:rPr>
                <w:rFonts w:eastAsiaTheme="minorEastAsia"/>
              </w:rPr>
            </w:pPr>
            <w:r w:rsidRPr="009D4E15">
              <w:t>Inštitúcie ako váženú hodnotu zverejňujú hodnotu likvidných aktív</w:t>
            </w:r>
            <w:r w:rsidR="009D4E15">
              <w:t xml:space="preserve"> v </w:t>
            </w:r>
            <w:r w:rsidRPr="009D4E15">
              <w:t>súlade</w:t>
            </w:r>
            <w:r w:rsidR="009D4E15">
              <w:t xml:space="preserve"> s </w:t>
            </w:r>
            <w:r w:rsidRPr="009D4E15">
              <w:t>článkom 9 delegovaného nariadenia Komisie (EÚ) 2015/61 pred uplatnením mechanizmu úpravy uvedeného</w:t>
            </w:r>
            <w:r w:rsidR="009D4E15">
              <w:t xml:space="preserve"> v </w:t>
            </w:r>
            <w:r w:rsidRPr="009D4E15">
              <w:t xml:space="preserve">článku 17 ods. 2 delegovaného nariadenia (EÚ) 2015/61. </w:t>
            </w:r>
          </w:p>
        </w:tc>
      </w:tr>
      <w:tr w:rsidR="007E1815" w:rsidRPr="009D4E15" w14:paraId="679400D0" w14:textId="77777777" w:rsidTr="00D819DE">
        <w:trPr>
          <w:trHeight w:val="316"/>
        </w:trPr>
        <w:tc>
          <w:tcPr>
            <w:tcW w:w="1384" w:type="dxa"/>
          </w:tcPr>
          <w:p w14:paraId="2FF4D0BB" w14:textId="77777777" w:rsidR="007E1815" w:rsidRPr="009D4E15" w:rsidRDefault="007E1815" w:rsidP="00D819DE">
            <w:pPr>
              <w:autoSpaceDE w:val="0"/>
              <w:autoSpaceDN w:val="0"/>
              <w:adjustRightInd w:val="0"/>
              <w:spacing w:after="120"/>
              <w:jc w:val="center"/>
              <w:rPr>
                <w:rFonts w:ascii="Times New Roman" w:hAnsi="Times New Roman" w:cs="Times New Roman"/>
                <w:color w:val="000000"/>
                <w:sz w:val="24"/>
              </w:rPr>
            </w:pPr>
            <w:r w:rsidRPr="009D4E15">
              <w:rPr>
                <w:rFonts w:ascii="Times New Roman" w:hAnsi="Times New Roman"/>
                <w:sz w:val="24"/>
              </w:rPr>
              <w:t>2</w:t>
            </w:r>
          </w:p>
        </w:tc>
        <w:tc>
          <w:tcPr>
            <w:tcW w:w="7655" w:type="dxa"/>
          </w:tcPr>
          <w:p w14:paraId="5DF859BE" w14:textId="023749F2" w:rsidR="007E1815" w:rsidRPr="009D4E15" w:rsidRDefault="007E1815" w:rsidP="00D819DE">
            <w:pPr>
              <w:autoSpaceDE w:val="0"/>
              <w:autoSpaceDN w:val="0"/>
              <w:adjustRightInd w:val="0"/>
              <w:spacing w:before="120" w:after="120"/>
              <w:rPr>
                <w:rFonts w:ascii="Times New Roman" w:hAnsi="Times New Roman" w:cs="Times New Roman"/>
                <w:b/>
                <w:sz w:val="24"/>
              </w:rPr>
            </w:pPr>
            <w:proofErr w:type="spellStart"/>
            <w:r w:rsidRPr="009D4E15">
              <w:rPr>
                <w:rFonts w:ascii="Times New Roman" w:hAnsi="Times New Roman"/>
                <w:b/>
                <w:sz w:val="24"/>
              </w:rPr>
              <w:t>Retailové</w:t>
            </w:r>
            <w:proofErr w:type="spellEnd"/>
            <w:r w:rsidRPr="009D4E15">
              <w:rPr>
                <w:rFonts w:ascii="Times New Roman" w:hAnsi="Times New Roman"/>
                <w:b/>
                <w:sz w:val="24"/>
              </w:rPr>
              <w:t xml:space="preserve"> vklady</w:t>
            </w:r>
            <w:r w:rsidR="009D4E15">
              <w:rPr>
                <w:rFonts w:ascii="Times New Roman" w:hAnsi="Times New Roman"/>
                <w:b/>
                <w:sz w:val="24"/>
              </w:rPr>
              <w:t xml:space="preserve"> a </w:t>
            </w:r>
            <w:r w:rsidRPr="009D4E15">
              <w:rPr>
                <w:rFonts w:ascii="Times New Roman" w:hAnsi="Times New Roman"/>
                <w:b/>
                <w:sz w:val="24"/>
              </w:rPr>
              <w:t>vklady od malých obchodných klientov,</w:t>
            </w:r>
            <w:r w:rsidR="009D4E15">
              <w:rPr>
                <w:rFonts w:ascii="Times New Roman" w:hAnsi="Times New Roman"/>
                <w:b/>
                <w:sz w:val="24"/>
              </w:rPr>
              <w:t xml:space="preserve"> z </w:t>
            </w:r>
            <w:r w:rsidRPr="009D4E15">
              <w:rPr>
                <w:rFonts w:ascii="Times New Roman" w:hAnsi="Times New Roman"/>
                <w:b/>
                <w:sz w:val="24"/>
              </w:rPr>
              <w:t>čoho:</w:t>
            </w:r>
          </w:p>
          <w:p w14:paraId="4954A389" w14:textId="4316D9F2" w:rsidR="009D4E15" w:rsidRDefault="007E1815" w:rsidP="00D819DE">
            <w:pPr>
              <w:spacing w:after="120" w:line="278" w:lineRule="exact"/>
              <w:jc w:val="both"/>
              <w:rPr>
                <w:rFonts w:ascii="Times New Roman" w:hAnsi="Times New Roman"/>
                <w:sz w:val="24"/>
              </w:rPr>
            </w:pPr>
            <w:r w:rsidRPr="009D4E15">
              <w:rPr>
                <w:rFonts w:ascii="Times New Roman" w:hAnsi="Times New Roman"/>
                <w:sz w:val="24"/>
              </w:rPr>
              <w:t xml:space="preserve">Inštitúcie ako neváženú hodnotu zverejňujú hodnotu </w:t>
            </w:r>
            <w:proofErr w:type="spellStart"/>
            <w:r w:rsidRPr="009D4E15">
              <w:rPr>
                <w:rFonts w:ascii="Times New Roman" w:hAnsi="Times New Roman"/>
                <w:sz w:val="24"/>
              </w:rPr>
              <w:t>retailových</w:t>
            </w:r>
            <w:proofErr w:type="spellEnd"/>
            <w:r w:rsidRPr="009D4E15">
              <w:rPr>
                <w:rFonts w:ascii="Times New Roman" w:hAnsi="Times New Roman"/>
                <w:sz w:val="24"/>
              </w:rPr>
              <w:t xml:space="preserve"> vkladov</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článkami 24</w:t>
            </w:r>
            <w:r w:rsidR="009D4E15">
              <w:rPr>
                <w:rFonts w:ascii="Times New Roman" w:hAnsi="Times New Roman"/>
                <w:sz w:val="24"/>
              </w:rPr>
              <w:t xml:space="preserve"> a </w:t>
            </w:r>
            <w:r w:rsidRPr="009D4E15">
              <w:rPr>
                <w:rFonts w:ascii="Times New Roman" w:hAnsi="Times New Roman"/>
                <w:sz w:val="24"/>
              </w:rPr>
              <w:t>25 delegovaného nariadenia Komisie (EÚ) 2015/61</w:t>
            </w:r>
            <w:r w:rsidR="009D4E15">
              <w:rPr>
                <w:rFonts w:ascii="Times New Roman" w:hAnsi="Times New Roman"/>
                <w:sz w:val="24"/>
              </w:rPr>
              <w:t>.</w:t>
            </w:r>
          </w:p>
          <w:p w14:paraId="2645E17B" w14:textId="3926DFC5" w:rsidR="007E1815" w:rsidRPr="009D4E15" w:rsidRDefault="007E1815" w:rsidP="00D819DE">
            <w:pPr>
              <w:spacing w:after="120" w:line="278" w:lineRule="exact"/>
              <w:jc w:val="both"/>
              <w:rPr>
                <w:rFonts w:ascii="Times New Roman" w:hAnsi="Times New Roman" w:cs="Times New Roman"/>
                <w:bCs/>
                <w:sz w:val="24"/>
              </w:rPr>
            </w:pPr>
            <w:r w:rsidRPr="009D4E15">
              <w:rPr>
                <w:rFonts w:ascii="Times New Roman" w:hAnsi="Times New Roman"/>
                <w:sz w:val="24"/>
              </w:rPr>
              <w:t>Inštitúcie ako váženú hodnotu zverejňujú záporný peňažný tok</w:t>
            </w:r>
            <w:r w:rsidR="009D4E15">
              <w:rPr>
                <w:rFonts w:ascii="Times New Roman" w:hAnsi="Times New Roman"/>
                <w:sz w:val="24"/>
              </w:rPr>
              <w:t xml:space="preserve"> z </w:t>
            </w:r>
            <w:proofErr w:type="spellStart"/>
            <w:r w:rsidRPr="009D4E15">
              <w:rPr>
                <w:rFonts w:ascii="Times New Roman" w:hAnsi="Times New Roman"/>
                <w:sz w:val="24"/>
              </w:rPr>
              <w:t>retailových</w:t>
            </w:r>
            <w:proofErr w:type="spellEnd"/>
            <w:r w:rsidRPr="009D4E15">
              <w:rPr>
                <w:rFonts w:ascii="Times New Roman" w:hAnsi="Times New Roman"/>
                <w:sz w:val="24"/>
              </w:rPr>
              <w:t xml:space="preserve"> vkladov</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článkami 24</w:t>
            </w:r>
            <w:r w:rsidR="009D4E15">
              <w:rPr>
                <w:rFonts w:ascii="Times New Roman" w:hAnsi="Times New Roman"/>
                <w:sz w:val="24"/>
              </w:rPr>
              <w:t xml:space="preserve"> a </w:t>
            </w:r>
            <w:r w:rsidRPr="009D4E15">
              <w:rPr>
                <w:rFonts w:ascii="Times New Roman" w:hAnsi="Times New Roman"/>
                <w:sz w:val="24"/>
              </w:rPr>
              <w:t>25 delegovaného nariadenia Komisie (EÚ) 2015/61.</w:t>
            </w:r>
          </w:p>
          <w:p w14:paraId="61E7FEDA" w14:textId="27745B72" w:rsidR="007E1815" w:rsidRPr="009D4E15" w:rsidRDefault="007E1815" w:rsidP="00D819DE">
            <w:pPr>
              <w:spacing w:after="120" w:line="278" w:lineRule="exact"/>
              <w:jc w:val="both"/>
              <w:rPr>
                <w:rFonts w:ascii="Times New Roman" w:hAnsi="Times New Roman" w:cs="Times New Roman"/>
                <w:bCs/>
                <w:sz w:val="24"/>
              </w:rPr>
            </w:pPr>
            <w:r w:rsidRPr="009D4E15">
              <w:rPr>
                <w:rFonts w:ascii="Times New Roman" w:hAnsi="Times New Roman"/>
                <w:sz w:val="24"/>
              </w:rPr>
              <w:t xml:space="preserve">Inštitúcie tu zverejňujú </w:t>
            </w:r>
            <w:proofErr w:type="spellStart"/>
            <w:r w:rsidRPr="009D4E15">
              <w:rPr>
                <w:rFonts w:ascii="Times New Roman" w:hAnsi="Times New Roman"/>
                <w:sz w:val="24"/>
              </w:rPr>
              <w:t>retailové</w:t>
            </w:r>
            <w:proofErr w:type="spellEnd"/>
            <w:r w:rsidRPr="009D4E15">
              <w:rPr>
                <w:rFonts w:ascii="Times New Roman" w:hAnsi="Times New Roman"/>
                <w:sz w:val="24"/>
              </w:rPr>
              <w:t xml:space="preserve"> vklady</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411 ods. 2 CRR.</w:t>
            </w:r>
          </w:p>
          <w:p w14:paraId="1C28E2DD" w14:textId="392BA1E1" w:rsidR="007E1815" w:rsidRPr="009D4E15" w:rsidRDefault="007E1815" w:rsidP="00D819DE">
            <w:pPr>
              <w:tabs>
                <w:tab w:val="left" w:pos="3317"/>
              </w:tabs>
              <w:spacing w:after="120" w:line="278" w:lineRule="exact"/>
              <w:jc w:val="both"/>
              <w:rPr>
                <w:rFonts w:ascii="Times New Roman" w:hAnsi="Times New Roman" w:cs="Times New Roman"/>
                <w:sz w:val="24"/>
              </w:rPr>
            </w:pPr>
            <w:r w:rsidRPr="009D4E15">
              <w:rPr>
                <w:rFonts w:ascii="Times New Roman" w:hAnsi="Times New Roman"/>
                <w:sz w:val="24"/>
              </w:rPr>
              <w:t>V súlade</w:t>
            </w:r>
            <w:r w:rsidR="009D4E15">
              <w:rPr>
                <w:rFonts w:ascii="Times New Roman" w:hAnsi="Times New Roman"/>
                <w:sz w:val="24"/>
              </w:rPr>
              <w:t xml:space="preserve"> s </w:t>
            </w:r>
            <w:r w:rsidRPr="009D4E15">
              <w:rPr>
                <w:rFonts w:ascii="Times New Roman" w:hAnsi="Times New Roman"/>
                <w:sz w:val="24"/>
              </w:rPr>
              <w:t>článkom 28 ods. 6 delegovaného nariadenia Komisie (EÚ) 2015/61 inštitúcie zverejňujú</w:t>
            </w:r>
            <w:r w:rsidR="009D4E15">
              <w:rPr>
                <w:rFonts w:ascii="Times New Roman" w:hAnsi="Times New Roman"/>
                <w:sz w:val="24"/>
              </w:rPr>
              <w:t xml:space="preserve"> v </w:t>
            </w:r>
            <w:r w:rsidRPr="009D4E15">
              <w:rPr>
                <w:rFonts w:ascii="Times New Roman" w:hAnsi="Times New Roman"/>
                <w:sz w:val="24"/>
              </w:rPr>
              <w:t xml:space="preserve">rámci príslušnej kategórie </w:t>
            </w:r>
            <w:proofErr w:type="spellStart"/>
            <w:r w:rsidRPr="009D4E15">
              <w:rPr>
                <w:rFonts w:ascii="Times New Roman" w:hAnsi="Times New Roman"/>
                <w:sz w:val="24"/>
              </w:rPr>
              <w:t>retailových</w:t>
            </w:r>
            <w:proofErr w:type="spellEnd"/>
            <w:r w:rsidRPr="009D4E15">
              <w:rPr>
                <w:rFonts w:ascii="Times New Roman" w:hAnsi="Times New Roman"/>
                <w:sz w:val="24"/>
              </w:rPr>
              <w:t xml:space="preserve"> vkladov aj sumu dlhových cenných papierov, dlhopisov</w:t>
            </w:r>
            <w:r w:rsidR="009D4E15">
              <w:rPr>
                <w:rFonts w:ascii="Times New Roman" w:hAnsi="Times New Roman"/>
                <w:sz w:val="24"/>
              </w:rPr>
              <w:t xml:space="preserve"> a </w:t>
            </w:r>
            <w:r w:rsidRPr="009D4E15">
              <w:rPr>
                <w:rFonts w:ascii="Times New Roman" w:hAnsi="Times New Roman"/>
                <w:sz w:val="24"/>
              </w:rPr>
              <w:t xml:space="preserve">iných emitovaných cenných papierov, ktoré sa predávajú výlučne na </w:t>
            </w:r>
            <w:proofErr w:type="spellStart"/>
            <w:r w:rsidRPr="009D4E15">
              <w:rPr>
                <w:rFonts w:ascii="Times New Roman" w:hAnsi="Times New Roman"/>
                <w:sz w:val="24"/>
              </w:rPr>
              <w:t>retailovom</w:t>
            </w:r>
            <w:proofErr w:type="spellEnd"/>
            <w:r w:rsidRPr="009D4E15">
              <w:rPr>
                <w:rFonts w:ascii="Times New Roman" w:hAnsi="Times New Roman"/>
                <w:sz w:val="24"/>
              </w:rPr>
              <w:t xml:space="preserve"> trhu</w:t>
            </w:r>
            <w:r w:rsidR="009D4E15">
              <w:rPr>
                <w:rFonts w:ascii="Times New Roman" w:hAnsi="Times New Roman"/>
                <w:sz w:val="24"/>
              </w:rPr>
              <w:t xml:space="preserve"> a </w:t>
            </w:r>
            <w:r w:rsidRPr="009D4E15">
              <w:rPr>
                <w:rFonts w:ascii="Times New Roman" w:hAnsi="Times New Roman"/>
                <w:sz w:val="24"/>
              </w:rPr>
              <w:t xml:space="preserve">držia na </w:t>
            </w:r>
            <w:proofErr w:type="spellStart"/>
            <w:r w:rsidRPr="009D4E15">
              <w:rPr>
                <w:rFonts w:ascii="Times New Roman" w:hAnsi="Times New Roman"/>
                <w:sz w:val="24"/>
              </w:rPr>
              <w:t>retailovom</w:t>
            </w:r>
            <w:proofErr w:type="spellEnd"/>
            <w:r w:rsidRPr="009D4E15">
              <w:rPr>
                <w:rFonts w:ascii="Times New Roman" w:hAnsi="Times New Roman"/>
                <w:sz w:val="24"/>
              </w:rPr>
              <w:t xml:space="preserve"> účte. Inštitúcie posúdia pri tejto kategórii záväzkov uplatniteľné miery záporných peňažných tokov stanovené delegovaným nariadením Komisie (EÚ) 2015/61 pre rôzne kategórie </w:t>
            </w:r>
            <w:proofErr w:type="spellStart"/>
            <w:r w:rsidRPr="009D4E15">
              <w:rPr>
                <w:rFonts w:ascii="Times New Roman" w:hAnsi="Times New Roman"/>
                <w:sz w:val="24"/>
              </w:rPr>
              <w:t>retailových</w:t>
            </w:r>
            <w:proofErr w:type="spellEnd"/>
            <w:r w:rsidRPr="009D4E15">
              <w:rPr>
                <w:rFonts w:ascii="Times New Roman" w:hAnsi="Times New Roman"/>
                <w:sz w:val="24"/>
              </w:rPr>
              <w:t xml:space="preserve"> vkladov. </w:t>
            </w:r>
          </w:p>
        </w:tc>
      </w:tr>
      <w:tr w:rsidR="007E1815" w:rsidRPr="009D4E15" w14:paraId="51FA4D94" w14:textId="77777777" w:rsidTr="00D819DE">
        <w:trPr>
          <w:trHeight w:val="316"/>
        </w:trPr>
        <w:tc>
          <w:tcPr>
            <w:tcW w:w="1384" w:type="dxa"/>
          </w:tcPr>
          <w:p w14:paraId="33F0252C"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t>3</w:t>
            </w:r>
          </w:p>
        </w:tc>
        <w:tc>
          <w:tcPr>
            <w:tcW w:w="7655" w:type="dxa"/>
          </w:tcPr>
          <w:p w14:paraId="1ECEDB42" w14:textId="77777777" w:rsidR="007E1815" w:rsidRPr="009D4E15" w:rsidRDefault="007E1815" w:rsidP="00D819DE">
            <w:pPr>
              <w:autoSpaceDE w:val="0"/>
              <w:autoSpaceDN w:val="0"/>
              <w:adjustRightInd w:val="0"/>
              <w:spacing w:before="120" w:after="120"/>
              <w:rPr>
                <w:rFonts w:ascii="Times New Roman" w:hAnsi="Times New Roman"/>
                <w:b/>
                <w:sz w:val="24"/>
              </w:rPr>
            </w:pPr>
            <w:r w:rsidRPr="009D4E15">
              <w:rPr>
                <w:rFonts w:ascii="Times New Roman" w:hAnsi="Times New Roman"/>
                <w:b/>
                <w:sz w:val="24"/>
              </w:rPr>
              <w:t>Stabilné vklady</w:t>
            </w:r>
          </w:p>
          <w:p w14:paraId="00BE3764" w14:textId="5B56D25A" w:rsidR="007E1815" w:rsidRPr="009D4E15" w:rsidRDefault="007E1815" w:rsidP="00D819DE">
            <w:pPr>
              <w:autoSpaceDE w:val="0"/>
              <w:autoSpaceDN w:val="0"/>
              <w:adjustRightInd w:val="0"/>
              <w:spacing w:after="120"/>
              <w:jc w:val="both"/>
              <w:rPr>
                <w:rFonts w:ascii="Times New Roman" w:hAnsi="Times New Roman" w:cs="Times New Roman"/>
                <w:sz w:val="24"/>
              </w:rPr>
            </w:pPr>
            <w:r w:rsidRPr="009D4E15">
              <w:rPr>
                <w:rFonts w:ascii="Times New Roman" w:hAnsi="Times New Roman"/>
                <w:sz w:val="24"/>
              </w:rPr>
              <w:t>Inštitúcie ako neváženú hodnotu zverejňujú súčet hodnôt stabilných vkladov</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24 delegovaného nariadenia Komisie (EÚ) 2015/61.</w:t>
            </w:r>
          </w:p>
          <w:p w14:paraId="1C5FA496" w14:textId="5D7A191C" w:rsidR="007E1815" w:rsidRPr="009D4E15" w:rsidRDefault="007E1815" w:rsidP="00D819DE">
            <w:pPr>
              <w:autoSpaceDE w:val="0"/>
              <w:autoSpaceDN w:val="0"/>
              <w:adjustRightInd w:val="0"/>
              <w:spacing w:after="120"/>
              <w:jc w:val="both"/>
              <w:rPr>
                <w:rFonts w:ascii="Times New Roman" w:hAnsi="Times New Roman" w:cs="Times New Roman"/>
                <w:sz w:val="24"/>
              </w:rPr>
            </w:pPr>
            <w:r w:rsidRPr="009D4E15">
              <w:rPr>
                <w:rFonts w:ascii="Times New Roman" w:hAnsi="Times New Roman"/>
                <w:sz w:val="24"/>
              </w:rPr>
              <w:t>Inštitúcie ako váženú hodnotu zverejňujú súčet záporných peňažných tokov stabilných vkladov</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24 delegovaného nariadenia Komisie (EÚ) 2015/61.</w:t>
            </w:r>
          </w:p>
          <w:p w14:paraId="1C39DD3F" w14:textId="4196BE80" w:rsidR="007E1815" w:rsidRPr="009D4E15" w:rsidRDefault="007E1815" w:rsidP="00D819DE">
            <w:pPr>
              <w:autoSpaceDE w:val="0"/>
              <w:autoSpaceDN w:val="0"/>
              <w:adjustRightInd w:val="0"/>
              <w:spacing w:after="120"/>
              <w:jc w:val="both"/>
              <w:rPr>
                <w:rFonts w:ascii="Times New Roman" w:hAnsi="Times New Roman" w:cs="Times New Roman"/>
                <w:sz w:val="24"/>
              </w:rPr>
            </w:pPr>
            <w:r w:rsidRPr="009D4E15">
              <w:rPr>
                <w:rFonts w:ascii="Times New Roman" w:hAnsi="Times New Roman"/>
                <w:sz w:val="24"/>
              </w:rPr>
              <w:lastRenderedPageBreak/>
              <w:t xml:space="preserve">Inštitúcie tu zverejňujú časť súm </w:t>
            </w:r>
            <w:proofErr w:type="spellStart"/>
            <w:r w:rsidRPr="009D4E15">
              <w:rPr>
                <w:rFonts w:ascii="Times New Roman" w:hAnsi="Times New Roman"/>
                <w:sz w:val="24"/>
              </w:rPr>
              <w:t>retailových</w:t>
            </w:r>
            <w:proofErr w:type="spellEnd"/>
            <w:r w:rsidRPr="009D4E15">
              <w:rPr>
                <w:rFonts w:ascii="Times New Roman" w:hAnsi="Times New Roman"/>
                <w:sz w:val="24"/>
              </w:rPr>
              <w:t xml:space="preserve"> vkladov krytú systémom ochrany vkladov</w:t>
            </w:r>
            <w:r w:rsidR="009D4E15">
              <w:rPr>
                <w:rFonts w:ascii="Times New Roman" w:hAnsi="Times New Roman"/>
                <w:sz w:val="24"/>
              </w:rPr>
              <w:t xml:space="preserve"> v </w:t>
            </w:r>
            <w:r w:rsidRPr="009D4E15">
              <w:rPr>
                <w:rFonts w:ascii="Times New Roman" w:hAnsi="Times New Roman"/>
                <w:sz w:val="24"/>
              </w:rPr>
              <w:t>súlade so smernicou 94/19/ES</w:t>
            </w:r>
            <w:r w:rsidRPr="009D4E15">
              <w:rPr>
                <w:rStyle w:val="FootnoteReference"/>
                <w:rFonts w:ascii="Times New Roman" w:hAnsi="Times New Roman" w:cs="Times New Roman"/>
                <w:sz w:val="24"/>
              </w:rPr>
              <w:footnoteReference w:id="3"/>
            </w:r>
            <w:r w:rsidRPr="009D4E15">
              <w:rPr>
                <w:rFonts w:ascii="Times New Roman" w:hAnsi="Times New Roman"/>
                <w:sz w:val="24"/>
              </w:rPr>
              <w:t xml:space="preserve"> alebo smernicou 2014/49/EÚ</w:t>
            </w:r>
            <w:r w:rsidRPr="009D4E15">
              <w:rPr>
                <w:rStyle w:val="FootnoteReference"/>
                <w:rFonts w:ascii="Times New Roman" w:hAnsi="Times New Roman" w:cs="Times New Roman"/>
                <w:sz w:val="24"/>
              </w:rPr>
              <w:footnoteReference w:id="4"/>
            </w:r>
            <w:r w:rsidRPr="009D4E15">
              <w:rPr>
                <w:rFonts w:ascii="Times New Roman" w:hAnsi="Times New Roman"/>
                <w:sz w:val="24"/>
              </w:rPr>
              <w:t xml:space="preserve"> alebo rovnocenným systémom ochrany vkladov</w:t>
            </w:r>
            <w:r w:rsidR="009D4E15">
              <w:rPr>
                <w:rFonts w:ascii="Times New Roman" w:hAnsi="Times New Roman"/>
                <w:sz w:val="24"/>
              </w:rPr>
              <w:t xml:space="preserve"> v </w:t>
            </w:r>
            <w:r w:rsidRPr="009D4E15">
              <w:rPr>
                <w:rFonts w:ascii="Times New Roman" w:hAnsi="Times New Roman"/>
                <w:sz w:val="24"/>
              </w:rPr>
              <w:t>tretej krajine, ktorá je buď súčasťou zriadeného vzťahu,</w:t>
            </w:r>
            <w:r w:rsidR="009D4E15">
              <w:rPr>
                <w:rFonts w:ascii="Times New Roman" w:hAnsi="Times New Roman"/>
                <w:sz w:val="24"/>
              </w:rPr>
              <w:t xml:space="preserve"> v </w:t>
            </w:r>
            <w:r w:rsidRPr="009D4E15">
              <w:rPr>
                <w:rFonts w:ascii="Times New Roman" w:hAnsi="Times New Roman"/>
                <w:sz w:val="24"/>
              </w:rPr>
              <w:t>rámci ktorého je výber vysoko nepravdepodobný, alebo je vedená na transakčnom účte</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24 ods. 2, resp. ods. 3 delegovaného nariadenia Komisie (EÚ) 2015/61, ak:</w:t>
            </w:r>
          </w:p>
          <w:p w14:paraId="72E97531" w14:textId="3F6BF55C"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uvedené vklady nespĺňajú kritériá pre vyššiu mieru záporných peňažných tokov</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25 ods. 2, 3 alebo 5 delegovaného nariadenia Komisie (EÚ) 2015/61, a</w:t>
            </w:r>
          </w:p>
          <w:p w14:paraId="0141BCF2" w14:textId="72EB34A6"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9D4E15">
              <w:rPr>
                <w:rFonts w:ascii="Times New Roman" w:hAnsi="Times New Roman"/>
                <w:sz w:val="24"/>
              </w:rPr>
              <w:t>uvedené vklady neboli prijaté</w:t>
            </w:r>
            <w:r w:rsidR="009D4E15">
              <w:rPr>
                <w:rFonts w:ascii="Times New Roman" w:hAnsi="Times New Roman"/>
                <w:sz w:val="24"/>
              </w:rPr>
              <w:t xml:space="preserve"> v </w:t>
            </w:r>
            <w:r w:rsidRPr="009D4E15">
              <w:rPr>
                <w:rFonts w:ascii="Times New Roman" w:hAnsi="Times New Roman"/>
                <w:sz w:val="24"/>
              </w:rPr>
              <w:t>tretích krajinách, pri ktorých sa uplatňuje vyšší záporný peňažný tok</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 xml:space="preserve">článkom 25 ods. 5 delegovaného nariadenia Komisie (EÚ) 2015/61. </w:t>
            </w:r>
          </w:p>
        </w:tc>
      </w:tr>
      <w:tr w:rsidR="007E1815" w:rsidRPr="009D4E15" w14:paraId="2C7142E2" w14:textId="77777777" w:rsidTr="00D819DE">
        <w:trPr>
          <w:trHeight w:val="316"/>
        </w:trPr>
        <w:tc>
          <w:tcPr>
            <w:tcW w:w="1384" w:type="dxa"/>
          </w:tcPr>
          <w:p w14:paraId="0A7F136B" w14:textId="77777777" w:rsidR="007E1815" w:rsidRPr="009D4E15" w:rsidRDefault="007E1815" w:rsidP="00D819DE">
            <w:pPr>
              <w:autoSpaceDE w:val="0"/>
              <w:autoSpaceDN w:val="0"/>
              <w:adjustRightInd w:val="0"/>
              <w:spacing w:after="120"/>
              <w:jc w:val="center"/>
              <w:rPr>
                <w:rFonts w:ascii="Times New Roman" w:hAnsi="Times New Roman" w:cs="Times New Roman"/>
                <w:sz w:val="24"/>
              </w:rPr>
            </w:pPr>
            <w:r w:rsidRPr="009D4E15">
              <w:rPr>
                <w:rFonts w:ascii="Times New Roman" w:hAnsi="Times New Roman"/>
                <w:sz w:val="24"/>
              </w:rPr>
              <w:lastRenderedPageBreak/>
              <w:t>4</w:t>
            </w:r>
          </w:p>
        </w:tc>
        <w:tc>
          <w:tcPr>
            <w:tcW w:w="7655" w:type="dxa"/>
          </w:tcPr>
          <w:p w14:paraId="481896FC" w14:textId="77777777" w:rsidR="007E1815" w:rsidRPr="009D4E15" w:rsidRDefault="007E1815" w:rsidP="00D819DE">
            <w:pPr>
              <w:spacing w:before="120" w:after="120" w:line="190" w:lineRule="exact"/>
              <w:rPr>
                <w:rFonts w:ascii="Times New Roman" w:hAnsi="Times New Roman" w:cs="Times New Roman"/>
                <w:b/>
                <w:sz w:val="24"/>
              </w:rPr>
            </w:pPr>
            <w:r w:rsidRPr="009D4E15">
              <w:rPr>
                <w:rFonts w:ascii="Times New Roman" w:hAnsi="Times New Roman"/>
                <w:b/>
                <w:sz w:val="24"/>
              </w:rPr>
              <w:t>Menej stabilné vklady</w:t>
            </w:r>
          </w:p>
          <w:p w14:paraId="72651457" w14:textId="1DE88779" w:rsidR="007E1815" w:rsidRPr="009D4E15" w:rsidRDefault="007E1815" w:rsidP="00D819DE">
            <w:pPr>
              <w:spacing w:after="120" w:line="278" w:lineRule="exact"/>
              <w:jc w:val="both"/>
              <w:rPr>
                <w:rFonts w:ascii="Times New Roman" w:hAnsi="Times New Roman" w:cs="Times New Roman"/>
                <w:sz w:val="24"/>
              </w:rPr>
            </w:pPr>
            <w:r w:rsidRPr="009D4E15">
              <w:rPr>
                <w:rFonts w:ascii="Times New Roman" w:hAnsi="Times New Roman"/>
                <w:sz w:val="24"/>
              </w:rPr>
              <w:t xml:space="preserve">Inštitúcie ako neváženú hodnotu zverejňujú súčet hodnôt </w:t>
            </w:r>
            <w:proofErr w:type="spellStart"/>
            <w:r w:rsidRPr="009D4E15">
              <w:rPr>
                <w:rFonts w:ascii="Times New Roman" w:hAnsi="Times New Roman"/>
                <w:sz w:val="24"/>
              </w:rPr>
              <w:t>retailových</w:t>
            </w:r>
            <w:proofErr w:type="spellEnd"/>
            <w:r w:rsidRPr="009D4E15">
              <w:rPr>
                <w:rFonts w:ascii="Times New Roman" w:hAnsi="Times New Roman"/>
                <w:sz w:val="24"/>
              </w:rPr>
              <w:t xml:space="preserve"> vkladov</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25 ods. 1, 2</w:t>
            </w:r>
            <w:r w:rsidR="009D4E15">
              <w:rPr>
                <w:rFonts w:ascii="Times New Roman" w:hAnsi="Times New Roman"/>
                <w:sz w:val="24"/>
              </w:rPr>
              <w:t xml:space="preserve"> a </w:t>
            </w:r>
            <w:r w:rsidRPr="009D4E15">
              <w:rPr>
                <w:rFonts w:ascii="Times New Roman" w:hAnsi="Times New Roman"/>
                <w:sz w:val="24"/>
              </w:rPr>
              <w:t>3 delegovaného nariadenia Komisie (EÚ) 2015/61.</w:t>
            </w:r>
          </w:p>
          <w:p w14:paraId="2ACA42CC" w14:textId="6B64FA63" w:rsidR="007E1815" w:rsidRPr="009D4E15" w:rsidRDefault="007E1815" w:rsidP="00D819DE">
            <w:pPr>
              <w:autoSpaceDE w:val="0"/>
              <w:autoSpaceDN w:val="0"/>
              <w:adjustRightInd w:val="0"/>
              <w:spacing w:after="120"/>
              <w:jc w:val="both"/>
              <w:rPr>
                <w:rFonts w:ascii="Times New Roman" w:hAnsi="Times New Roman" w:cs="Times New Roman"/>
                <w:b/>
                <w:sz w:val="24"/>
              </w:rPr>
            </w:pPr>
            <w:r w:rsidRPr="009D4E15">
              <w:rPr>
                <w:rFonts w:ascii="Times New Roman" w:hAnsi="Times New Roman"/>
                <w:sz w:val="24"/>
              </w:rPr>
              <w:t xml:space="preserve">Inštitúcie ako váženú hodnotu zverejňujú súčet záporných peňažných tokov </w:t>
            </w:r>
            <w:proofErr w:type="spellStart"/>
            <w:r w:rsidRPr="009D4E15">
              <w:rPr>
                <w:rFonts w:ascii="Times New Roman" w:hAnsi="Times New Roman"/>
                <w:sz w:val="24"/>
              </w:rPr>
              <w:t>retailových</w:t>
            </w:r>
            <w:proofErr w:type="spellEnd"/>
            <w:r w:rsidRPr="009D4E15">
              <w:rPr>
                <w:rFonts w:ascii="Times New Roman" w:hAnsi="Times New Roman"/>
                <w:sz w:val="24"/>
              </w:rPr>
              <w:t xml:space="preserve"> vkladov</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25 ods. 1, 2</w:t>
            </w:r>
            <w:r w:rsidR="009D4E15">
              <w:rPr>
                <w:rFonts w:ascii="Times New Roman" w:hAnsi="Times New Roman"/>
                <w:sz w:val="24"/>
              </w:rPr>
              <w:t xml:space="preserve"> a </w:t>
            </w:r>
            <w:r w:rsidRPr="009D4E15">
              <w:rPr>
                <w:rFonts w:ascii="Times New Roman" w:hAnsi="Times New Roman"/>
                <w:sz w:val="24"/>
              </w:rPr>
              <w:t>3 delegovaného nariadenia Komisie (EÚ) 2015/61.</w:t>
            </w:r>
          </w:p>
        </w:tc>
      </w:tr>
      <w:tr w:rsidR="007E1815" w:rsidRPr="009D4E15" w14:paraId="6AC39664" w14:textId="77777777" w:rsidTr="00D819DE">
        <w:trPr>
          <w:trHeight w:val="316"/>
        </w:trPr>
        <w:tc>
          <w:tcPr>
            <w:tcW w:w="1384" w:type="dxa"/>
          </w:tcPr>
          <w:p w14:paraId="101FA97A"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t>5</w:t>
            </w:r>
          </w:p>
        </w:tc>
        <w:tc>
          <w:tcPr>
            <w:tcW w:w="7655" w:type="dxa"/>
          </w:tcPr>
          <w:p w14:paraId="29B56AD7" w14:textId="77777777" w:rsidR="007E1815" w:rsidRPr="009D4E15" w:rsidRDefault="007E1815" w:rsidP="00D819DE">
            <w:pPr>
              <w:spacing w:before="120" w:after="120" w:line="190" w:lineRule="exact"/>
              <w:rPr>
                <w:rFonts w:ascii="Times New Roman" w:hAnsi="Times New Roman"/>
                <w:sz w:val="24"/>
              </w:rPr>
            </w:pPr>
            <w:r w:rsidRPr="009D4E15">
              <w:rPr>
                <w:rFonts w:ascii="Times New Roman" w:hAnsi="Times New Roman"/>
                <w:b/>
                <w:sz w:val="24"/>
              </w:rPr>
              <w:t>Nezabezpečené veľkoobchodné financovanie</w:t>
            </w:r>
          </w:p>
          <w:p w14:paraId="2FD07274" w14:textId="7747416F" w:rsidR="007E1815" w:rsidRPr="009D4E15" w:rsidRDefault="007E1815" w:rsidP="00D819DE">
            <w:pPr>
              <w:autoSpaceDE w:val="0"/>
              <w:autoSpaceDN w:val="0"/>
              <w:adjustRightInd w:val="0"/>
              <w:spacing w:after="120"/>
              <w:jc w:val="both"/>
              <w:rPr>
                <w:rFonts w:ascii="Times New Roman" w:hAnsi="Times New Roman" w:cs="Times New Roman"/>
                <w:b/>
                <w:sz w:val="24"/>
              </w:rPr>
            </w:pPr>
            <w:r w:rsidRPr="009D4E15">
              <w:rPr>
                <w:rFonts w:ascii="Times New Roman" w:hAnsi="Times New Roman"/>
                <w:sz w:val="24"/>
              </w:rPr>
              <w:t>Inštitúcie zverejňujú súčty nevážených</w:t>
            </w:r>
            <w:r w:rsidR="009D4E15">
              <w:rPr>
                <w:rFonts w:ascii="Times New Roman" w:hAnsi="Times New Roman"/>
                <w:sz w:val="24"/>
              </w:rPr>
              <w:t xml:space="preserve"> a </w:t>
            </w:r>
            <w:r w:rsidRPr="009D4E15">
              <w:rPr>
                <w:rFonts w:ascii="Times New Roman" w:hAnsi="Times New Roman"/>
                <w:sz w:val="24"/>
              </w:rPr>
              <w:t>vážených hodnôt, ktoré treba zverejniť</w:t>
            </w:r>
            <w:r w:rsidR="009D4E15">
              <w:rPr>
                <w:rFonts w:ascii="Times New Roman" w:hAnsi="Times New Roman"/>
                <w:sz w:val="24"/>
              </w:rPr>
              <w:t xml:space="preserve"> v </w:t>
            </w:r>
            <w:r w:rsidRPr="009D4E15">
              <w:rPr>
                <w:rFonts w:ascii="Times New Roman" w:hAnsi="Times New Roman"/>
                <w:sz w:val="24"/>
              </w:rPr>
              <w:t>riadku 6 „Prevádzkové vklady (všetky protistrany)</w:t>
            </w:r>
            <w:r w:rsidR="009D4E15">
              <w:rPr>
                <w:rFonts w:ascii="Times New Roman" w:hAnsi="Times New Roman"/>
                <w:sz w:val="24"/>
              </w:rPr>
              <w:t xml:space="preserve"> a </w:t>
            </w:r>
            <w:r w:rsidRPr="009D4E15">
              <w:rPr>
                <w:rFonts w:ascii="Times New Roman" w:hAnsi="Times New Roman"/>
                <w:sz w:val="24"/>
              </w:rPr>
              <w:t>vklady</w:t>
            </w:r>
            <w:r w:rsidR="009D4E15">
              <w:rPr>
                <w:rFonts w:ascii="Times New Roman" w:hAnsi="Times New Roman"/>
                <w:sz w:val="24"/>
              </w:rPr>
              <w:t xml:space="preserve"> v </w:t>
            </w:r>
            <w:r w:rsidRPr="009D4E15">
              <w:rPr>
                <w:rFonts w:ascii="Times New Roman" w:hAnsi="Times New Roman"/>
                <w:sz w:val="24"/>
              </w:rPr>
              <w:t>sieťach družstevných bánk“,</w:t>
            </w:r>
            <w:r w:rsidR="009D4E15">
              <w:rPr>
                <w:rFonts w:ascii="Times New Roman" w:hAnsi="Times New Roman"/>
                <w:sz w:val="24"/>
              </w:rPr>
              <w:t xml:space="preserve"> v </w:t>
            </w:r>
            <w:r w:rsidRPr="009D4E15">
              <w:rPr>
                <w:rFonts w:ascii="Times New Roman" w:hAnsi="Times New Roman"/>
                <w:sz w:val="24"/>
              </w:rPr>
              <w:t>riadku 7 „Neprevádzkové vklady (všetky protistrany)“</w:t>
            </w:r>
            <w:r w:rsidR="009D4E15">
              <w:rPr>
                <w:rFonts w:ascii="Times New Roman" w:hAnsi="Times New Roman"/>
                <w:sz w:val="24"/>
              </w:rPr>
              <w:t xml:space="preserve"> a v </w:t>
            </w:r>
            <w:r w:rsidRPr="009D4E15">
              <w:rPr>
                <w:rFonts w:ascii="Times New Roman" w:hAnsi="Times New Roman"/>
                <w:sz w:val="24"/>
              </w:rPr>
              <w:t>riadku 8 „Nezabezpečený dlh“ tohto vzoru.</w:t>
            </w:r>
          </w:p>
        </w:tc>
      </w:tr>
      <w:tr w:rsidR="007E1815" w:rsidRPr="009D4E15" w14:paraId="3699975C" w14:textId="77777777" w:rsidTr="00D819DE">
        <w:trPr>
          <w:trHeight w:val="316"/>
        </w:trPr>
        <w:tc>
          <w:tcPr>
            <w:tcW w:w="1384" w:type="dxa"/>
          </w:tcPr>
          <w:p w14:paraId="6C6D7AC1"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t>6</w:t>
            </w:r>
          </w:p>
        </w:tc>
        <w:tc>
          <w:tcPr>
            <w:tcW w:w="7655" w:type="dxa"/>
          </w:tcPr>
          <w:p w14:paraId="3F0B24B1" w14:textId="19C667E7" w:rsidR="007E1815" w:rsidRPr="009D4E15" w:rsidRDefault="007E1815" w:rsidP="00D819DE">
            <w:pPr>
              <w:autoSpaceDE w:val="0"/>
              <w:autoSpaceDN w:val="0"/>
              <w:adjustRightInd w:val="0"/>
              <w:spacing w:before="120" w:after="120"/>
              <w:jc w:val="both"/>
              <w:rPr>
                <w:rFonts w:ascii="Times New Roman" w:hAnsi="Times New Roman"/>
                <w:sz w:val="24"/>
              </w:rPr>
            </w:pPr>
            <w:r w:rsidRPr="009D4E15">
              <w:rPr>
                <w:rFonts w:ascii="Times New Roman" w:hAnsi="Times New Roman"/>
                <w:b/>
                <w:sz w:val="24"/>
              </w:rPr>
              <w:t>Prevádzkové vklady (všetky protistrany)</w:t>
            </w:r>
            <w:r w:rsidR="009D4E15">
              <w:rPr>
                <w:rFonts w:ascii="Times New Roman" w:hAnsi="Times New Roman"/>
                <w:b/>
                <w:sz w:val="24"/>
              </w:rPr>
              <w:t xml:space="preserve"> a </w:t>
            </w:r>
            <w:r w:rsidRPr="009D4E15">
              <w:rPr>
                <w:rFonts w:ascii="Times New Roman" w:hAnsi="Times New Roman"/>
                <w:b/>
                <w:sz w:val="24"/>
              </w:rPr>
              <w:t>vklady</w:t>
            </w:r>
            <w:r w:rsidR="009D4E15">
              <w:rPr>
                <w:rFonts w:ascii="Times New Roman" w:hAnsi="Times New Roman"/>
                <w:b/>
                <w:sz w:val="24"/>
              </w:rPr>
              <w:t xml:space="preserve"> v </w:t>
            </w:r>
            <w:r w:rsidRPr="009D4E15">
              <w:rPr>
                <w:rFonts w:ascii="Times New Roman" w:hAnsi="Times New Roman"/>
                <w:b/>
                <w:sz w:val="24"/>
              </w:rPr>
              <w:t>sieťach družstevných bánk</w:t>
            </w:r>
          </w:p>
          <w:p w14:paraId="298B6767" w14:textId="67D69A79" w:rsidR="007E1815" w:rsidRPr="009D4E15" w:rsidRDefault="007E1815" w:rsidP="00D819DE">
            <w:pPr>
              <w:autoSpaceDE w:val="0"/>
              <w:autoSpaceDN w:val="0"/>
              <w:adjustRightInd w:val="0"/>
              <w:spacing w:after="120"/>
              <w:jc w:val="both"/>
              <w:rPr>
                <w:rFonts w:ascii="Times New Roman" w:hAnsi="Times New Roman"/>
                <w:sz w:val="24"/>
              </w:rPr>
            </w:pPr>
            <w:r w:rsidRPr="009D4E15">
              <w:rPr>
                <w:rFonts w:ascii="Times New Roman" w:hAnsi="Times New Roman"/>
                <w:sz w:val="24"/>
              </w:rPr>
              <w:t>Inštitúcie ako neváženú hodnotu zverejňujú hodnotu prevádzkových vkladov</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27 delegovaného nariadenia Komisie (EÚ) 2015/61.</w:t>
            </w:r>
          </w:p>
          <w:p w14:paraId="640AB0BC" w14:textId="6FBC504A" w:rsidR="007E1815" w:rsidRPr="009D4E15" w:rsidRDefault="007E1815" w:rsidP="00D819DE">
            <w:pPr>
              <w:autoSpaceDE w:val="0"/>
              <w:autoSpaceDN w:val="0"/>
              <w:adjustRightInd w:val="0"/>
              <w:spacing w:after="120"/>
              <w:jc w:val="both"/>
              <w:rPr>
                <w:rFonts w:ascii="Times New Roman" w:hAnsi="Times New Roman"/>
                <w:sz w:val="24"/>
              </w:rPr>
            </w:pPr>
            <w:r w:rsidRPr="009D4E15">
              <w:rPr>
                <w:rFonts w:ascii="Times New Roman" w:hAnsi="Times New Roman"/>
                <w:sz w:val="24"/>
              </w:rPr>
              <w:t>Inštitúcie ako váženú hodnotu zverejňujú záporné peňažné toky prevádzkových vkladov</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27 delegovaného nariadenia Komisie (EÚ) 2015/61.</w:t>
            </w:r>
          </w:p>
          <w:p w14:paraId="092AFFBB" w14:textId="08C5E2C4" w:rsidR="007E1815" w:rsidRPr="009D4E15" w:rsidRDefault="007E1815" w:rsidP="00D819DE">
            <w:pPr>
              <w:autoSpaceDE w:val="0"/>
              <w:autoSpaceDN w:val="0"/>
              <w:adjustRightInd w:val="0"/>
              <w:spacing w:after="120"/>
              <w:jc w:val="both"/>
              <w:rPr>
                <w:rFonts w:ascii="Times New Roman" w:hAnsi="Times New Roman" w:cs="Times New Roman"/>
                <w:sz w:val="24"/>
              </w:rPr>
            </w:pPr>
            <w:r w:rsidRPr="009D4E15">
              <w:rPr>
                <w:rFonts w:ascii="Times New Roman" w:hAnsi="Times New Roman"/>
                <w:sz w:val="24"/>
              </w:rPr>
              <w:t>Inštitúcie tu zverejňujú časť prevádzkových vkladov</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27 delegovaného nariadenia Komisie (EÚ) 2015/61, ktorá je potrebná na poskytovanie prevádzkových služieb. Vklady vyplývajúce zo vzťahu korešpondenčného bankovníctva alebo</w:t>
            </w:r>
            <w:r w:rsidR="009D4E15">
              <w:rPr>
                <w:rFonts w:ascii="Times New Roman" w:hAnsi="Times New Roman"/>
                <w:sz w:val="24"/>
              </w:rPr>
              <w:t xml:space="preserve"> z </w:t>
            </w:r>
            <w:r w:rsidRPr="009D4E15">
              <w:rPr>
                <w:rFonts w:ascii="Times New Roman" w:hAnsi="Times New Roman"/>
                <w:sz w:val="24"/>
              </w:rPr>
              <w:t xml:space="preserve">poskytovania služieb prime </w:t>
            </w:r>
            <w:proofErr w:type="spellStart"/>
            <w:r w:rsidRPr="009D4E15">
              <w:rPr>
                <w:rFonts w:ascii="Times New Roman" w:hAnsi="Times New Roman"/>
                <w:sz w:val="24"/>
              </w:rPr>
              <w:t>brokerage</w:t>
            </w:r>
            <w:proofErr w:type="spellEnd"/>
            <w:r w:rsidRPr="009D4E15">
              <w:rPr>
                <w:rFonts w:ascii="Times New Roman" w:hAnsi="Times New Roman"/>
                <w:sz w:val="24"/>
              </w:rPr>
              <w:t xml:space="preserve"> sa považujú za neprevádzkové vklady</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27 ods. 5 delegovaného nariadenia Komisie (EÚ) 2015/61.</w:t>
            </w:r>
          </w:p>
          <w:p w14:paraId="51A15DD5" w14:textId="77777777" w:rsidR="007E1815" w:rsidRPr="009D4E15" w:rsidRDefault="007E1815" w:rsidP="00D819DE">
            <w:pPr>
              <w:autoSpaceDE w:val="0"/>
              <w:autoSpaceDN w:val="0"/>
              <w:adjustRightInd w:val="0"/>
              <w:spacing w:after="120"/>
              <w:jc w:val="both"/>
              <w:rPr>
                <w:rFonts w:ascii="Times New Roman" w:hAnsi="Times New Roman" w:cs="Times New Roman"/>
                <w:sz w:val="24"/>
              </w:rPr>
            </w:pPr>
            <w:r w:rsidRPr="009D4E15">
              <w:rPr>
                <w:rFonts w:ascii="Times New Roman" w:hAnsi="Times New Roman"/>
                <w:sz w:val="24"/>
              </w:rPr>
              <w:t>Časť prevádzkových vkladov, ktorá presahuje sumu potrebnú na poskytovanie prevádzkových služieb, sa tu nezverejňuje.</w:t>
            </w:r>
          </w:p>
        </w:tc>
      </w:tr>
      <w:tr w:rsidR="007E1815" w:rsidRPr="009D4E15" w14:paraId="10E4889F" w14:textId="77777777" w:rsidTr="00D819DE">
        <w:trPr>
          <w:trHeight w:val="316"/>
        </w:trPr>
        <w:tc>
          <w:tcPr>
            <w:tcW w:w="1384" w:type="dxa"/>
          </w:tcPr>
          <w:p w14:paraId="3D507C3D"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lastRenderedPageBreak/>
              <w:t>7</w:t>
            </w:r>
          </w:p>
        </w:tc>
        <w:tc>
          <w:tcPr>
            <w:tcW w:w="7655" w:type="dxa"/>
          </w:tcPr>
          <w:p w14:paraId="53BB0581" w14:textId="77777777" w:rsidR="007E1815" w:rsidRPr="009D4E15" w:rsidRDefault="007E1815" w:rsidP="00D819DE">
            <w:pPr>
              <w:spacing w:before="120" w:after="120" w:line="190" w:lineRule="exact"/>
              <w:rPr>
                <w:rFonts w:ascii="Times New Roman" w:hAnsi="Times New Roman"/>
                <w:b/>
                <w:sz w:val="24"/>
              </w:rPr>
            </w:pPr>
            <w:r w:rsidRPr="009D4E15">
              <w:rPr>
                <w:rFonts w:ascii="Times New Roman" w:hAnsi="Times New Roman"/>
                <w:b/>
                <w:sz w:val="24"/>
              </w:rPr>
              <w:t>Neprevádzkové vklady (všetky protistrany)</w:t>
            </w:r>
          </w:p>
          <w:p w14:paraId="48CEFB6E" w14:textId="11945B53" w:rsidR="007E1815" w:rsidRPr="009D4E15" w:rsidRDefault="007E1815" w:rsidP="00D819DE">
            <w:pPr>
              <w:autoSpaceDE w:val="0"/>
              <w:autoSpaceDN w:val="0"/>
              <w:adjustRightInd w:val="0"/>
              <w:spacing w:after="120"/>
              <w:jc w:val="both"/>
              <w:rPr>
                <w:rFonts w:ascii="Times New Roman" w:hAnsi="Times New Roman"/>
                <w:sz w:val="24"/>
              </w:rPr>
            </w:pPr>
            <w:r w:rsidRPr="009D4E15">
              <w:rPr>
                <w:rFonts w:ascii="Times New Roman" w:hAnsi="Times New Roman"/>
                <w:sz w:val="24"/>
              </w:rPr>
              <w:t>Inštitúcie ako neváženú hodnotu zverejňujú hodnotu neprevádzkových vkladov podľa článku 27 ods. 5, článku 28 ods. 1</w:t>
            </w:r>
            <w:r w:rsidR="009D4E15">
              <w:rPr>
                <w:rFonts w:ascii="Times New Roman" w:hAnsi="Times New Roman"/>
                <w:sz w:val="24"/>
              </w:rPr>
              <w:t xml:space="preserve"> a </w:t>
            </w:r>
            <w:r w:rsidRPr="009D4E15">
              <w:rPr>
                <w:rFonts w:ascii="Times New Roman" w:hAnsi="Times New Roman"/>
                <w:sz w:val="24"/>
              </w:rPr>
              <w:t>článku 31a ods. 1 delegovaného nariadenia Komisie (EÚ) 2015/61.</w:t>
            </w:r>
          </w:p>
          <w:p w14:paraId="4790956F" w14:textId="66FDE959" w:rsidR="007E1815" w:rsidRPr="009D4E15" w:rsidRDefault="007E1815" w:rsidP="00D819DE">
            <w:pPr>
              <w:autoSpaceDE w:val="0"/>
              <w:autoSpaceDN w:val="0"/>
              <w:adjustRightInd w:val="0"/>
              <w:spacing w:after="120"/>
              <w:jc w:val="both"/>
              <w:rPr>
                <w:rFonts w:ascii="Times New Roman" w:hAnsi="Times New Roman" w:cs="Times New Roman"/>
                <w:sz w:val="24"/>
              </w:rPr>
            </w:pPr>
            <w:r w:rsidRPr="009D4E15">
              <w:rPr>
                <w:rFonts w:ascii="Times New Roman" w:hAnsi="Times New Roman"/>
                <w:sz w:val="24"/>
              </w:rPr>
              <w:t>Inštitúcie ako váženú hodnotu zverejňujú záporný peňažný tok neprevádzkových vkladov podľa článku 27 ods. 5, článku 28 ods. 1</w:t>
            </w:r>
            <w:r w:rsidR="009D4E15">
              <w:rPr>
                <w:rFonts w:ascii="Times New Roman" w:hAnsi="Times New Roman"/>
                <w:sz w:val="24"/>
              </w:rPr>
              <w:t xml:space="preserve"> a </w:t>
            </w:r>
            <w:r w:rsidRPr="009D4E15">
              <w:rPr>
                <w:rFonts w:ascii="Times New Roman" w:hAnsi="Times New Roman"/>
                <w:sz w:val="24"/>
              </w:rPr>
              <w:t>článku 31a ods. 1 delegovaného nariadenia Komisie (EÚ) 2015/61.</w:t>
            </w:r>
          </w:p>
          <w:p w14:paraId="10C1A170" w14:textId="31723CCC" w:rsidR="007E1815" w:rsidRPr="009D4E15" w:rsidRDefault="007E1815" w:rsidP="00D819DE">
            <w:pPr>
              <w:autoSpaceDE w:val="0"/>
              <w:autoSpaceDN w:val="0"/>
              <w:adjustRightInd w:val="0"/>
              <w:spacing w:after="120"/>
              <w:jc w:val="both"/>
              <w:rPr>
                <w:rFonts w:ascii="Times New Roman" w:hAnsi="Times New Roman" w:cs="Times New Roman"/>
                <w:sz w:val="24"/>
              </w:rPr>
            </w:pPr>
            <w:r w:rsidRPr="009D4E15">
              <w:rPr>
                <w:rFonts w:ascii="Times New Roman" w:hAnsi="Times New Roman"/>
                <w:sz w:val="24"/>
              </w:rPr>
              <w:t>Inštitúcie tu zverejňujú vklady vyplývajúce</w:t>
            </w:r>
            <w:r w:rsidR="009D4E15">
              <w:rPr>
                <w:rFonts w:ascii="Times New Roman" w:hAnsi="Times New Roman"/>
                <w:sz w:val="24"/>
              </w:rPr>
              <w:t xml:space="preserve"> z </w:t>
            </w:r>
            <w:r w:rsidRPr="009D4E15">
              <w:rPr>
                <w:rFonts w:ascii="Times New Roman" w:hAnsi="Times New Roman"/>
                <w:sz w:val="24"/>
              </w:rPr>
              <w:t>korešpondenčného bankovníctva alebo</w:t>
            </w:r>
            <w:r w:rsidR="009D4E15">
              <w:rPr>
                <w:rFonts w:ascii="Times New Roman" w:hAnsi="Times New Roman"/>
                <w:sz w:val="24"/>
              </w:rPr>
              <w:t xml:space="preserve"> z </w:t>
            </w:r>
            <w:r w:rsidRPr="009D4E15">
              <w:rPr>
                <w:rFonts w:ascii="Times New Roman" w:hAnsi="Times New Roman"/>
                <w:sz w:val="24"/>
              </w:rPr>
              <w:t xml:space="preserve">poskytovania služieb prime </w:t>
            </w:r>
            <w:proofErr w:type="spellStart"/>
            <w:r w:rsidRPr="009D4E15">
              <w:rPr>
                <w:rFonts w:ascii="Times New Roman" w:hAnsi="Times New Roman"/>
                <w:sz w:val="24"/>
              </w:rPr>
              <w:t>brokerage</w:t>
            </w:r>
            <w:proofErr w:type="spellEnd"/>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27 ods. 5 delegovaného nariadenia Komisie (EÚ) 2015/61.</w:t>
            </w:r>
          </w:p>
          <w:p w14:paraId="6F5AFE8E" w14:textId="4E2714FC" w:rsidR="007E1815" w:rsidRPr="009D4E15" w:rsidRDefault="007E1815" w:rsidP="00D819DE">
            <w:pPr>
              <w:autoSpaceDE w:val="0"/>
              <w:autoSpaceDN w:val="0"/>
              <w:adjustRightInd w:val="0"/>
              <w:spacing w:after="120"/>
              <w:jc w:val="both"/>
              <w:rPr>
                <w:rFonts w:ascii="Times New Roman" w:hAnsi="Times New Roman" w:cs="Times New Roman"/>
                <w:b/>
                <w:sz w:val="24"/>
              </w:rPr>
            </w:pPr>
            <w:r w:rsidRPr="009D4E15">
              <w:rPr>
                <w:rFonts w:ascii="Times New Roman" w:hAnsi="Times New Roman"/>
                <w:sz w:val="24"/>
              </w:rPr>
              <w:t>Tu sa zverejňuje tá časť prevádzkových vkladov</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27 ods. 5 delegovaného nariadenia Komisie (EÚ) 2015/61, ktorá presahuje prevádzkové vklady potrebné na poskytovanie prevádzkových služieb.</w:t>
            </w:r>
          </w:p>
        </w:tc>
      </w:tr>
      <w:tr w:rsidR="007E1815" w:rsidRPr="009D4E15" w14:paraId="0C113736" w14:textId="77777777" w:rsidTr="00D819DE">
        <w:trPr>
          <w:trHeight w:val="316"/>
        </w:trPr>
        <w:tc>
          <w:tcPr>
            <w:tcW w:w="1384" w:type="dxa"/>
          </w:tcPr>
          <w:p w14:paraId="2A59F921"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t>8</w:t>
            </w:r>
          </w:p>
        </w:tc>
        <w:tc>
          <w:tcPr>
            <w:tcW w:w="7655" w:type="dxa"/>
          </w:tcPr>
          <w:p w14:paraId="58B737C3" w14:textId="77777777" w:rsidR="007E1815" w:rsidRPr="009D4E15" w:rsidRDefault="007E1815" w:rsidP="00D819DE">
            <w:pPr>
              <w:spacing w:before="120" w:after="120" w:line="190" w:lineRule="exact"/>
              <w:rPr>
                <w:rFonts w:ascii="Times New Roman" w:hAnsi="Times New Roman"/>
                <w:sz w:val="24"/>
              </w:rPr>
            </w:pPr>
            <w:r w:rsidRPr="009D4E15">
              <w:rPr>
                <w:rFonts w:ascii="Times New Roman" w:hAnsi="Times New Roman"/>
                <w:b/>
                <w:sz w:val="24"/>
              </w:rPr>
              <w:t>Nezabezpečený dlh</w:t>
            </w:r>
          </w:p>
          <w:p w14:paraId="07E30657" w14:textId="05870C11" w:rsidR="007E1815" w:rsidRPr="009D4E15" w:rsidRDefault="007E1815" w:rsidP="00D819DE">
            <w:pPr>
              <w:autoSpaceDE w:val="0"/>
              <w:autoSpaceDN w:val="0"/>
              <w:adjustRightInd w:val="0"/>
              <w:spacing w:after="120"/>
              <w:jc w:val="both"/>
              <w:rPr>
                <w:rFonts w:ascii="Times New Roman" w:hAnsi="Times New Roman"/>
                <w:sz w:val="24"/>
              </w:rPr>
            </w:pPr>
            <w:r w:rsidRPr="009D4E15">
              <w:rPr>
                <w:rFonts w:ascii="Times New Roman" w:hAnsi="Times New Roman"/>
                <w:sz w:val="24"/>
              </w:rPr>
              <w:t>Inštitúcie ako neváženú hodnotu zverejňujú nesplatený zostatok dlhových cenných papierov, dlhopisov</w:t>
            </w:r>
            <w:r w:rsidR="009D4E15">
              <w:rPr>
                <w:rFonts w:ascii="Times New Roman" w:hAnsi="Times New Roman"/>
                <w:sz w:val="24"/>
              </w:rPr>
              <w:t xml:space="preserve"> a </w:t>
            </w:r>
            <w:r w:rsidRPr="009D4E15">
              <w:rPr>
                <w:rFonts w:ascii="Times New Roman" w:hAnsi="Times New Roman"/>
                <w:sz w:val="24"/>
              </w:rPr>
              <w:t xml:space="preserve">ďalších dlhových cenných papierov emitovaných inštitúciou iných než tých, ktoré sa zverejňujú ako </w:t>
            </w:r>
            <w:proofErr w:type="spellStart"/>
            <w:r w:rsidRPr="009D4E15">
              <w:rPr>
                <w:rFonts w:ascii="Times New Roman" w:hAnsi="Times New Roman"/>
                <w:sz w:val="24"/>
              </w:rPr>
              <w:t>retailové</w:t>
            </w:r>
            <w:proofErr w:type="spellEnd"/>
            <w:r w:rsidRPr="009D4E15">
              <w:rPr>
                <w:rFonts w:ascii="Times New Roman" w:hAnsi="Times New Roman"/>
                <w:sz w:val="24"/>
              </w:rPr>
              <w:t xml:space="preserve"> vklady, ako sa uvádza</w:t>
            </w:r>
            <w:r w:rsidR="009D4E15">
              <w:rPr>
                <w:rFonts w:ascii="Times New Roman" w:hAnsi="Times New Roman"/>
                <w:sz w:val="24"/>
              </w:rPr>
              <w:t xml:space="preserve"> v </w:t>
            </w:r>
            <w:r w:rsidRPr="009D4E15">
              <w:rPr>
                <w:rFonts w:ascii="Times New Roman" w:hAnsi="Times New Roman"/>
                <w:sz w:val="24"/>
              </w:rPr>
              <w:t>článku 28 ods. 6 delegovaného nariadenia Komisie (EÚ) 2015/61. Táto suma zahŕňa aj kupóny, ktoré sú splatné počas nasledujúcich 30 kalendárnych dní vo vzťahu</w:t>
            </w:r>
            <w:r w:rsidR="009D4E15">
              <w:rPr>
                <w:rFonts w:ascii="Times New Roman" w:hAnsi="Times New Roman"/>
                <w:sz w:val="24"/>
              </w:rPr>
              <w:t xml:space="preserve"> k </w:t>
            </w:r>
            <w:r w:rsidRPr="009D4E15">
              <w:rPr>
                <w:rFonts w:ascii="Times New Roman" w:hAnsi="Times New Roman"/>
                <w:sz w:val="24"/>
              </w:rPr>
              <w:t>všetkým týmto cenným papierom.</w:t>
            </w:r>
          </w:p>
          <w:p w14:paraId="2B76EA8F" w14:textId="31E8679A" w:rsidR="007E1815" w:rsidRPr="009D4E15" w:rsidRDefault="007E1815" w:rsidP="00D819DE">
            <w:pPr>
              <w:autoSpaceDE w:val="0"/>
              <w:autoSpaceDN w:val="0"/>
              <w:adjustRightInd w:val="0"/>
              <w:spacing w:after="120"/>
              <w:jc w:val="both"/>
              <w:rPr>
                <w:rFonts w:ascii="Times New Roman" w:hAnsi="Times New Roman" w:cs="Times New Roman"/>
                <w:b/>
                <w:sz w:val="24"/>
              </w:rPr>
            </w:pPr>
            <w:r w:rsidRPr="009D4E15">
              <w:rPr>
                <w:rFonts w:ascii="Times New Roman" w:hAnsi="Times New Roman"/>
                <w:sz w:val="24"/>
              </w:rPr>
              <w:t>Inštitúcie ako váženú hodnotu zverejňujú záporný peňažný tok uvedených dlhových cenných papierov, dlhopisov</w:t>
            </w:r>
            <w:r w:rsidR="009D4E15">
              <w:rPr>
                <w:rFonts w:ascii="Times New Roman" w:hAnsi="Times New Roman"/>
                <w:sz w:val="24"/>
              </w:rPr>
              <w:t xml:space="preserve"> a </w:t>
            </w:r>
            <w:r w:rsidRPr="009D4E15">
              <w:rPr>
                <w:rFonts w:ascii="Times New Roman" w:hAnsi="Times New Roman"/>
                <w:sz w:val="24"/>
              </w:rPr>
              <w:t>iných dlhových cenných papierov uvedených</w:t>
            </w:r>
            <w:r w:rsidR="009D4E15">
              <w:rPr>
                <w:rFonts w:ascii="Times New Roman" w:hAnsi="Times New Roman"/>
                <w:sz w:val="24"/>
              </w:rPr>
              <w:t xml:space="preserve"> v </w:t>
            </w:r>
            <w:r w:rsidRPr="009D4E15">
              <w:rPr>
                <w:rFonts w:ascii="Times New Roman" w:hAnsi="Times New Roman"/>
                <w:sz w:val="24"/>
              </w:rPr>
              <w:t>predchádzajúcom odseku.</w:t>
            </w:r>
          </w:p>
        </w:tc>
      </w:tr>
      <w:tr w:rsidR="007E1815" w:rsidRPr="009D4E15" w14:paraId="11912F1B" w14:textId="77777777" w:rsidTr="00D819DE">
        <w:trPr>
          <w:trHeight w:val="316"/>
        </w:trPr>
        <w:tc>
          <w:tcPr>
            <w:tcW w:w="1384" w:type="dxa"/>
          </w:tcPr>
          <w:p w14:paraId="0B7FBC22"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t>9</w:t>
            </w:r>
          </w:p>
        </w:tc>
        <w:tc>
          <w:tcPr>
            <w:tcW w:w="7655" w:type="dxa"/>
          </w:tcPr>
          <w:p w14:paraId="3E610997" w14:textId="77777777" w:rsidR="007E1815" w:rsidRPr="009D4E15" w:rsidRDefault="007E1815" w:rsidP="00D819DE">
            <w:pPr>
              <w:spacing w:before="120" w:after="120" w:line="190" w:lineRule="exact"/>
              <w:rPr>
                <w:rFonts w:ascii="Times New Roman" w:hAnsi="Times New Roman" w:cs="Times New Roman"/>
                <w:b/>
                <w:sz w:val="24"/>
              </w:rPr>
            </w:pPr>
            <w:r w:rsidRPr="009D4E15">
              <w:rPr>
                <w:rFonts w:ascii="Times New Roman" w:hAnsi="Times New Roman"/>
                <w:b/>
                <w:sz w:val="24"/>
              </w:rPr>
              <w:t>Zabezpečené veľkoobchodné financovanie</w:t>
            </w:r>
          </w:p>
          <w:p w14:paraId="2BB9CA43" w14:textId="36DE2CCC" w:rsidR="007E1815" w:rsidRPr="009D4E15" w:rsidRDefault="007E1815" w:rsidP="00D819DE">
            <w:pPr>
              <w:autoSpaceDE w:val="0"/>
              <w:autoSpaceDN w:val="0"/>
              <w:adjustRightInd w:val="0"/>
              <w:spacing w:after="120"/>
              <w:jc w:val="both"/>
              <w:rPr>
                <w:rFonts w:ascii="Times New Roman" w:hAnsi="Times New Roman" w:cs="Times New Roman"/>
                <w:b/>
                <w:sz w:val="24"/>
              </w:rPr>
            </w:pPr>
            <w:r w:rsidRPr="009D4E15">
              <w:rPr>
                <w:rFonts w:ascii="Times New Roman" w:hAnsi="Times New Roman"/>
                <w:sz w:val="24"/>
              </w:rPr>
              <w:t>Inštitúcie ako váženú hodnotu zverejňujú súčet záporných peňažných tokov vyplývajúcich zo zabezpečených pôžičiek alebo transakcií kapitálového trhu, ako sa uvádza</w:t>
            </w:r>
            <w:r w:rsidR="009D4E15">
              <w:rPr>
                <w:rFonts w:ascii="Times New Roman" w:hAnsi="Times New Roman"/>
                <w:sz w:val="24"/>
              </w:rPr>
              <w:t xml:space="preserve"> v </w:t>
            </w:r>
            <w:r w:rsidRPr="009D4E15">
              <w:rPr>
                <w:rFonts w:ascii="Times New Roman" w:hAnsi="Times New Roman"/>
                <w:sz w:val="24"/>
              </w:rPr>
              <w:t>článku 28 ods. 3 delegovaného nariadenia Komisie (EÚ) 2015/61,</w:t>
            </w:r>
            <w:r w:rsidR="009D4E15">
              <w:rPr>
                <w:rFonts w:ascii="Times New Roman" w:hAnsi="Times New Roman"/>
                <w:sz w:val="24"/>
              </w:rPr>
              <w:t xml:space="preserve"> a </w:t>
            </w:r>
            <w:r w:rsidRPr="009D4E15">
              <w:rPr>
                <w:rFonts w:ascii="Times New Roman" w:hAnsi="Times New Roman"/>
                <w:sz w:val="24"/>
              </w:rPr>
              <w:t>zo swapov na kolaterál</w:t>
            </w:r>
            <w:r w:rsidR="009D4E15">
              <w:rPr>
                <w:rFonts w:ascii="Times New Roman" w:hAnsi="Times New Roman"/>
                <w:sz w:val="24"/>
              </w:rPr>
              <w:t xml:space="preserve"> a </w:t>
            </w:r>
            <w:r w:rsidRPr="009D4E15">
              <w:rPr>
                <w:rFonts w:ascii="Times New Roman" w:hAnsi="Times New Roman"/>
                <w:sz w:val="24"/>
              </w:rPr>
              <w:t>iných transakcií</w:t>
            </w:r>
            <w:r w:rsidR="009D4E15">
              <w:rPr>
                <w:rFonts w:ascii="Times New Roman" w:hAnsi="Times New Roman"/>
                <w:sz w:val="24"/>
              </w:rPr>
              <w:t xml:space="preserve"> s </w:t>
            </w:r>
            <w:r w:rsidRPr="009D4E15">
              <w:rPr>
                <w:rFonts w:ascii="Times New Roman" w:hAnsi="Times New Roman"/>
                <w:sz w:val="24"/>
              </w:rPr>
              <w:t>podobnou formou</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28 ods. 4 delegovaného nariadenia Komisie (EÚ) 2015/61.</w:t>
            </w:r>
          </w:p>
        </w:tc>
      </w:tr>
      <w:tr w:rsidR="007E1815" w:rsidRPr="009D4E15" w14:paraId="1E67FE9B" w14:textId="77777777" w:rsidTr="00D819DE">
        <w:trPr>
          <w:trHeight w:val="316"/>
        </w:trPr>
        <w:tc>
          <w:tcPr>
            <w:tcW w:w="1384" w:type="dxa"/>
          </w:tcPr>
          <w:p w14:paraId="09C8CC38"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t>10</w:t>
            </w:r>
          </w:p>
        </w:tc>
        <w:tc>
          <w:tcPr>
            <w:tcW w:w="7655" w:type="dxa"/>
          </w:tcPr>
          <w:p w14:paraId="774F36AA" w14:textId="77777777" w:rsidR="007E1815" w:rsidRPr="009D4E15" w:rsidRDefault="007E1815" w:rsidP="00D819DE">
            <w:pPr>
              <w:autoSpaceDE w:val="0"/>
              <w:autoSpaceDN w:val="0"/>
              <w:adjustRightInd w:val="0"/>
              <w:spacing w:before="120" w:after="120"/>
              <w:jc w:val="both"/>
              <w:rPr>
                <w:rFonts w:ascii="Times New Roman" w:hAnsi="Times New Roman"/>
                <w:b/>
                <w:sz w:val="24"/>
              </w:rPr>
            </w:pPr>
            <w:r w:rsidRPr="009D4E15">
              <w:rPr>
                <w:rFonts w:ascii="Times New Roman" w:hAnsi="Times New Roman"/>
                <w:b/>
                <w:sz w:val="24"/>
              </w:rPr>
              <w:t>Dodatočné požiadavky</w:t>
            </w:r>
          </w:p>
          <w:p w14:paraId="34F10C0C" w14:textId="08DB69F6" w:rsidR="007E1815" w:rsidRPr="009D4E15" w:rsidRDefault="007E1815" w:rsidP="00D819DE">
            <w:pPr>
              <w:autoSpaceDE w:val="0"/>
              <w:autoSpaceDN w:val="0"/>
              <w:adjustRightInd w:val="0"/>
              <w:spacing w:after="120"/>
              <w:jc w:val="both"/>
              <w:rPr>
                <w:rFonts w:ascii="Times New Roman" w:hAnsi="Times New Roman" w:cs="Times New Roman"/>
                <w:b/>
                <w:sz w:val="24"/>
              </w:rPr>
            </w:pPr>
            <w:r w:rsidRPr="009D4E15">
              <w:rPr>
                <w:rFonts w:ascii="Times New Roman" w:hAnsi="Times New Roman"/>
                <w:sz w:val="24"/>
              </w:rPr>
              <w:t>Inštitúcie zverejňujú súčty nevážených</w:t>
            </w:r>
            <w:r w:rsidR="009D4E15">
              <w:rPr>
                <w:rFonts w:ascii="Times New Roman" w:hAnsi="Times New Roman"/>
                <w:sz w:val="24"/>
              </w:rPr>
              <w:t xml:space="preserve"> a </w:t>
            </w:r>
            <w:r w:rsidRPr="009D4E15">
              <w:rPr>
                <w:rFonts w:ascii="Times New Roman" w:hAnsi="Times New Roman"/>
                <w:sz w:val="24"/>
              </w:rPr>
              <w:t>vážených hodnôt, ktoré treba zverejniť</w:t>
            </w:r>
            <w:r w:rsidR="009D4E15">
              <w:rPr>
                <w:rFonts w:ascii="Times New Roman" w:hAnsi="Times New Roman"/>
                <w:sz w:val="24"/>
              </w:rPr>
              <w:t xml:space="preserve"> v </w:t>
            </w:r>
            <w:r w:rsidRPr="009D4E15">
              <w:rPr>
                <w:rFonts w:ascii="Times New Roman" w:hAnsi="Times New Roman"/>
                <w:sz w:val="24"/>
              </w:rPr>
              <w:t>riadku 11 „Záporné peňažné toky súvisiace</w:t>
            </w:r>
            <w:r w:rsidR="009D4E15">
              <w:rPr>
                <w:rFonts w:ascii="Times New Roman" w:hAnsi="Times New Roman"/>
                <w:sz w:val="24"/>
              </w:rPr>
              <w:t xml:space="preserve"> s </w:t>
            </w:r>
            <w:r w:rsidRPr="009D4E15">
              <w:rPr>
                <w:rFonts w:ascii="Times New Roman" w:hAnsi="Times New Roman"/>
                <w:sz w:val="24"/>
              </w:rPr>
              <w:t>derivátovými expozíciami</w:t>
            </w:r>
            <w:r w:rsidR="009D4E15">
              <w:rPr>
                <w:rFonts w:ascii="Times New Roman" w:hAnsi="Times New Roman"/>
                <w:sz w:val="24"/>
              </w:rPr>
              <w:t xml:space="preserve"> a </w:t>
            </w:r>
            <w:r w:rsidRPr="009D4E15">
              <w:rPr>
                <w:rFonts w:ascii="Times New Roman" w:hAnsi="Times New Roman"/>
                <w:sz w:val="24"/>
              </w:rPr>
              <w:t>inými požiadavkami na kolaterál“,</w:t>
            </w:r>
            <w:r w:rsidR="009D4E15">
              <w:rPr>
                <w:rFonts w:ascii="Times New Roman" w:hAnsi="Times New Roman"/>
                <w:sz w:val="24"/>
              </w:rPr>
              <w:t xml:space="preserve"> v </w:t>
            </w:r>
            <w:r w:rsidRPr="009D4E15">
              <w:rPr>
                <w:rFonts w:ascii="Times New Roman" w:hAnsi="Times New Roman"/>
                <w:sz w:val="24"/>
              </w:rPr>
              <w:t>riadku 12 „Záporné peňažné toky súvisiace so stratou financovania pri dlhových produktoch“</w:t>
            </w:r>
            <w:r w:rsidR="009D4E15">
              <w:rPr>
                <w:rFonts w:ascii="Times New Roman" w:hAnsi="Times New Roman"/>
                <w:sz w:val="24"/>
              </w:rPr>
              <w:t xml:space="preserve"> a v </w:t>
            </w:r>
            <w:r w:rsidRPr="009D4E15">
              <w:rPr>
                <w:rFonts w:ascii="Times New Roman" w:hAnsi="Times New Roman"/>
                <w:sz w:val="24"/>
              </w:rPr>
              <w:t xml:space="preserve">riadku 13 „Kreditné </w:t>
            </w:r>
            <w:proofErr w:type="spellStart"/>
            <w:r w:rsidRPr="009D4E15">
              <w:rPr>
                <w:rFonts w:ascii="Times New Roman" w:hAnsi="Times New Roman"/>
                <w:sz w:val="24"/>
              </w:rPr>
              <w:t>facility</w:t>
            </w:r>
            <w:proofErr w:type="spellEnd"/>
            <w:r w:rsidR="009D4E15">
              <w:rPr>
                <w:rFonts w:ascii="Times New Roman" w:hAnsi="Times New Roman"/>
                <w:sz w:val="24"/>
              </w:rPr>
              <w:t xml:space="preserve"> a </w:t>
            </w:r>
            <w:r w:rsidRPr="009D4E15">
              <w:rPr>
                <w:rFonts w:ascii="Times New Roman" w:hAnsi="Times New Roman"/>
                <w:sz w:val="24"/>
              </w:rPr>
              <w:t>nástroje likvidity“ tohto vzoru.</w:t>
            </w:r>
          </w:p>
        </w:tc>
      </w:tr>
      <w:tr w:rsidR="007E1815" w:rsidRPr="009D4E15" w14:paraId="6C258881" w14:textId="77777777" w:rsidTr="00D819DE">
        <w:trPr>
          <w:trHeight w:val="316"/>
        </w:trPr>
        <w:tc>
          <w:tcPr>
            <w:tcW w:w="1384" w:type="dxa"/>
          </w:tcPr>
          <w:p w14:paraId="169F3669"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t>11</w:t>
            </w:r>
          </w:p>
        </w:tc>
        <w:tc>
          <w:tcPr>
            <w:tcW w:w="7655" w:type="dxa"/>
          </w:tcPr>
          <w:p w14:paraId="74F71329" w14:textId="1DC68340" w:rsidR="007E1815" w:rsidRPr="009D4E15" w:rsidRDefault="007E1815" w:rsidP="00D819DE">
            <w:pPr>
              <w:autoSpaceDE w:val="0"/>
              <w:autoSpaceDN w:val="0"/>
              <w:adjustRightInd w:val="0"/>
              <w:spacing w:before="120" w:after="120"/>
              <w:jc w:val="both"/>
              <w:rPr>
                <w:rFonts w:ascii="Times New Roman" w:hAnsi="Times New Roman"/>
                <w:sz w:val="24"/>
              </w:rPr>
            </w:pPr>
            <w:r w:rsidRPr="009D4E15">
              <w:rPr>
                <w:rFonts w:ascii="Times New Roman" w:hAnsi="Times New Roman"/>
                <w:b/>
                <w:sz w:val="24"/>
              </w:rPr>
              <w:t>Záporné peňažné toky súvisiace</w:t>
            </w:r>
            <w:r w:rsidR="009D4E15">
              <w:rPr>
                <w:rFonts w:ascii="Times New Roman" w:hAnsi="Times New Roman"/>
                <w:b/>
                <w:sz w:val="24"/>
              </w:rPr>
              <w:t xml:space="preserve"> s </w:t>
            </w:r>
            <w:r w:rsidRPr="009D4E15">
              <w:rPr>
                <w:rFonts w:ascii="Times New Roman" w:hAnsi="Times New Roman"/>
                <w:b/>
                <w:sz w:val="24"/>
              </w:rPr>
              <w:t>derivátovými expozíciami</w:t>
            </w:r>
            <w:r w:rsidR="009D4E15">
              <w:rPr>
                <w:rFonts w:ascii="Times New Roman" w:hAnsi="Times New Roman"/>
                <w:b/>
                <w:sz w:val="24"/>
              </w:rPr>
              <w:t xml:space="preserve"> a </w:t>
            </w:r>
            <w:r w:rsidRPr="009D4E15">
              <w:rPr>
                <w:rFonts w:ascii="Times New Roman" w:hAnsi="Times New Roman"/>
                <w:b/>
                <w:sz w:val="24"/>
              </w:rPr>
              <w:t>inými požiadavkami na kolaterál</w:t>
            </w:r>
          </w:p>
          <w:p w14:paraId="45A714DD" w14:textId="6DF9AC6E" w:rsidR="007E1815" w:rsidRPr="009D4E15" w:rsidRDefault="007E1815" w:rsidP="00D819DE">
            <w:pPr>
              <w:autoSpaceDE w:val="0"/>
              <w:autoSpaceDN w:val="0"/>
              <w:adjustRightInd w:val="0"/>
              <w:spacing w:after="120"/>
              <w:jc w:val="both"/>
              <w:rPr>
                <w:rFonts w:ascii="Times New Roman" w:hAnsi="Times New Roman" w:cs="Times New Roman"/>
                <w:sz w:val="24"/>
              </w:rPr>
            </w:pPr>
            <w:r w:rsidRPr="009D4E15">
              <w:rPr>
                <w:rFonts w:ascii="Times New Roman" w:hAnsi="Times New Roman"/>
                <w:sz w:val="24"/>
              </w:rPr>
              <w:t>Inštitúcie ako neváženú hodnotu zverejňujú súčet nasledujúcich súm</w:t>
            </w:r>
            <w:r w:rsidR="009D4E15">
              <w:rPr>
                <w:rFonts w:ascii="Times New Roman" w:hAnsi="Times New Roman"/>
                <w:sz w:val="24"/>
              </w:rPr>
              <w:t xml:space="preserve"> a </w:t>
            </w:r>
            <w:r w:rsidRPr="009D4E15">
              <w:rPr>
                <w:rFonts w:ascii="Times New Roman" w:hAnsi="Times New Roman"/>
                <w:sz w:val="24"/>
              </w:rPr>
              <w:t>ako váženú hodnotu súčet nasledujúcich záporných peňažných tokov:</w:t>
            </w:r>
          </w:p>
          <w:p w14:paraId="35D83DA0" w14:textId="79FC98C7"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Trhová hodnota</w:t>
            </w:r>
            <w:r w:rsidR="009D4E15">
              <w:rPr>
                <w:rFonts w:ascii="Times New Roman" w:hAnsi="Times New Roman"/>
                <w:sz w:val="24"/>
              </w:rPr>
              <w:t xml:space="preserve"> a </w:t>
            </w:r>
            <w:r w:rsidRPr="009D4E15">
              <w:rPr>
                <w:rFonts w:ascii="Times New Roman" w:hAnsi="Times New Roman"/>
                <w:sz w:val="24"/>
              </w:rPr>
              <w:t>príslušné záporné peňažné toky kolaterálu iného než kolaterál úrovne 1, ktorý je zložený pre zmluvy uvedené</w:t>
            </w:r>
            <w:r w:rsidR="009D4E15">
              <w:rPr>
                <w:rFonts w:ascii="Times New Roman" w:hAnsi="Times New Roman"/>
                <w:sz w:val="24"/>
              </w:rPr>
              <w:t xml:space="preserve"> v </w:t>
            </w:r>
            <w:r w:rsidRPr="009D4E15">
              <w:rPr>
                <w:rFonts w:ascii="Times New Roman" w:hAnsi="Times New Roman"/>
                <w:sz w:val="24"/>
              </w:rPr>
              <w:t>prílohe II</w:t>
            </w:r>
            <w:r w:rsidR="009D4E15">
              <w:rPr>
                <w:rFonts w:ascii="Times New Roman" w:hAnsi="Times New Roman"/>
                <w:sz w:val="24"/>
              </w:rPr>
              <w:t xml:space="preserve"> </w:t>
            </w:r>
            <w:r w:rsidR="009D4E15">
              <w:rPr>
                <w:rFonts w:ascii="Times New Roman" w:hAnsi="Times New Roman"/>
                <w:sz w:val="24"/>
              </w:rPr>
              <w:lastRenderedPageBreak/>
              <w:t>k </w:t>
            </w:r>
            <w:r w:rsidRPr="009D4E15">
              <w:rPr>
                <w:rFonts w:ascii="Times New Roman" w:hAnsi="Times New Roman"/>
                <w:sz w:val="24"/>
              </w:rPr>
              <w:t>CRR</w:t>
            </w:r>
            <w:r w:rsidR="009D4E15">
              <w:rPr>
                <w:rFonts w:ascii="Times New Roman" w:hAnsi="Times New Roman"/>
                <w:sz w:val="24"/>
              </w:rPr>
              <w:t xml:space="preserve"> a </w:t>
            </w:r>
            <w:r w:rsidRPr="009D4E15">
              <w:rPr>
                <w:rFonts w:ascii="Times New Roman" w:hAnsi="Times New Roman"/>
                <w:sz w:val="24"/>
              </w:rPr>
              <w:t>kreditné deriváty, podľa článku 30 ods. 1 delegovaného nariadenia Komisie (EÚ) 2015/61.</w:t>
            </w:r>
          </w:p>
          <w:p w14:paraId="43C0E6B6" w14:textId="2DBBEB75"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Trhová hodnota</w:t>
            </w:r>
            <w:r w:rsidR="009D4E15">
              <w:rPr>
                <w:rFonts w:ascii="Times New Roman" w:hAnsi="Times New Roman"/>
                <w:sz w:val="24"/>
              </w:rPr>
              <w:t xml:space="preserve"> a </w:t>
            </w:r>
            <w:r w:rsidRPr="009D4E15">
              <w:rPr>
                <w:rFonts w:ascii="Times New Roman" w:hAnsi="Times New Roman"/>
                <w:sz w:val="24"/>
              </w:rPr>
              <w:t>príslušné záporné peňažné toky kolaterálu vo forme aktív krytých dlhopisov mimoriadne vysokej kvality (EHQ) úrovne 1, ktorý je zložený pre zmluvy uvedené</w:t>
            </w:r>
            <w:r w:rsidR="009D4E15">
              <w:rPr>
                <w:rFonts w:ascii="Times New Roman" w:hAnsi="Times New Roman"/>
                <w:sz w:val="24"/>
              </w:rPr>
              <w:t xml:space="preserve"> v </w:t>
            </w:r>
            <w:r w:rsidRPr="009D4E15">
              <w:rPr>
                <w:rFonts w:ascii="Times New Roman" w:hAnsi="Times New Roman"/>
                <w:sz w:val="24"/>
              </w:rPr>
              <w:t>prílohe II</w:t>
            </w:r>
            <w:r w:rsidR="009D4E15">
              <w:rPr>
                <w:rFonts w:ascii="Times New Roman" w:hAnsi="Times New Roman"/>
                <w:sz w:val="24"/>
              </w:rPr>
              <w:t xml:space="preserve"> k </w:t>
            </w:r>
            <w:r w:rsidRPr="009D4E15">
              <w:rPr>
                <w:rFonts w:ascii="Times New Roman" w:hAnsi="Times New Roman"/>
                <w:sz w:val="24"/>
              </w:rPr>
              <w:t>CRR</w:t>
            </w:r>
            <w:r w:rsidR="009D4E15">
              <w:rPr>
                <w:rFonts w:ascii="Times New Roman" w:hAnsi="Times New Roman"/>
                <w:sz w:val="24"/>
              </w:rPr>
              <w:t xml:space="preserve"> a </w:t>
            </w:r>
            <w:r w:rsidRPr="009D4E15">
              <w:rPr>
                <w:rFonts w:ascii="Times New Roman" w:hAnsi="Times New Roman"/>
                <w:sz w:val="24"/>
              </w:rPr>
              <w:t>kreditné deriváty, podľa článku 30 ods. 1 delegovaného nariadenia Komisie (EÚ) 2015/61.</w:t>
            </w:r>
          </w:p>
          <w:p w14:paraId="1991D208" w14:textId="70754D40" w:rsid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Celková výška dodatočných záporných peňažných tokov vypočítaná</w:t>
            </w:r>
            <w:r w:rsidR="009D4E15">
              <w:rPr>
                <w:rFonts w:ascii="Times New Roman" w:hAnsi="Times New Roman"/>
                <w:sz w:val="24"/>
              </w:rPr>
              <w:t xml:space="preserve"> a </w:t>
            </w:r>
            <w:r w:rsidRPr="009D4E15">
              <w:rPr>
                <w:rFonts w:ascii="Times New Roman" w:hAnsi="Times New Roman"/>
                <w:sz w:val="24"/>
              </w:rPr>
              <w:t>oznámená príslušným orgánom</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30 ods. 2 delegovaného nariadenia Komisie (EÚ) 2015/61 ako významné záporné peňažné toky</w:t>
            </w:r>
            <w:r w:rsidR="009D4E15">
              <w:rPr>
                <w:rFonts w:ascii="Times New Roman" w:hAnsi="Times New Roman"/>
                <w:sz w:val="24"/>
              </w:rPr>
              <w:t xml:space="preserve"> v </w:t>
            </w:r>
            <w:r w:rsidRPr="009D4E15">
              <w:rPr>
                <w:rFonts w:ascii="Times New Roman" w:hAnsi="Times New Roman"/>
                <w:sz w:val="24"/>
              </w:rPr>
              <w:t>dôsledku zhoršenia vlastnej kreditnej kvality</w:t>
            </w:r>
            <w:r w:rsidR="009D4E15">
              <w:rPr>
                <w:rFonts w:ascii="Times New Roman" w:hAnsi="Times New Roman"/>
                <w:sz w:val="24"/>
              </w:rPr>
              <w:t>.</w:t>
            </w:r>
          </w:p>
          <w:p w14:paraId="22B5AC48" w14:textId="266A5B68"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Výška záporných peňažných tokov vyplývajúcich</w:t>
            </w:r>
            <w:r w:rsidR="009D4E15">
              <w:rPr>
                <w:rFonts w:ascii="Times New Roman" w:hAnsi="Times New Roman"/>
                <w:sz w:val="24"/>
              </w:rPr>
              <w:t xml:space="preserve"> z </w:t>
            </w:r>
            <w:r w:rsidRPr="009D4E15">
              <w:rPr>
                <w:rFonts w:ascii="Times New Roman" w:hAnsi="Times New Roman"/>
                <w:sz w:val="24"/>
              </w:rPr>
              <w:t>vplyvu negatívneho trhového scenára na derivátové transakcie, ako sa stanovuje</w:t>
            </w:r>
            <w:r w:rsidR="009D4E15">
              <w:rPr>
                <w:rFonts w:ascii="Times New Roman" w:hAnsi="Times New Roman"/>
                <w:sz w:val="24"/>
              </w:rPr>
              <w:t xml:space="preserve"> v </w:t>
            </w:r>
            <w:r w:rsidRPr="009D4E15">
              <w:rPr>
                <w:rFonts w:ascii="Times New Roman" w:hAnsi="Times New Roman"/>
                <w:sz w:val="24"/>
              </w:rPr>
              <w:t>článku 30 ods. 3 delegovaného nariadenia Komisie (EÚ) 2015/61</w:t>
            </w:r>
            <w:r w:rsidR="009D4E15">
              <w:rPr>
                <w:rFonts w:ascii="Times New Roman" w:hAnsi="Times New Roman"/>
                <w:sz w:val="24"/>
              </w:rPr>
              <w:t xml:space="preserve"> a </w:t>
            </w:r>
            <w:r w:rsidRPr="009D4E15">
              <w:rPr>
                <w:rFonts w:ascii="Times New Roman" w:hAnsi="Times New Roman"/>
                <w:sz w:val="24"/>
              </w:rPr>
              <w:t>ako je vypočítaná</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delegovaným nariadením Komisie (EÚ) 2017/208</w:t>
            </w:r>
            <w:r w:rsidRPr="009D4E15">
              <w:rPr>
                <w:rStyle w:val="FootnoteReference"/>
                <w:rFonts w:ascii="Times New Roman" w:hAnsi="Times New Roman"/>
                <w:sz w:val="24"/>
              </w:rPr>
              <w:footnoteReference w:id="5"/>
            </w:r>
            <w:r w:rsidRPr="009D4E15">
              <w:rPr>
                <w:rFonts w:ascii="Times New Roman" w:hAnsi="Times New Roman"/>
                <w:sz w:val="24"/>
              </w:rPr>
              <w:t>.</w:t>
            </w:r>
          </w:p>
          <w:p w14:paraId="6D62FCC4" w14:textId="1A52DD51" w:rsid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Výška záporných peňažných tokov očakávaných počas 30 kalendárnych dní zo zmlúv uvedených</w:t>
            </w:r>
            <w:r w:rsidR="009D4E15">
              <w:rPr>
                <w:rFonts w:ascii="Times New Roman" w:hAnsi="Times New Roman"/>
                <w:sz w:val="24"/>
              </w:rPr>
              <w:t xml:space="preserve"> v </w:t>
            </w:r>
            <w:r w:rsidRPr="009D4E15">
              <w:rPr>
                <w:rFonts w:ascii="Times New Roman" w:hAnsi="Times New Roman"/>
                <w:sz w:val="24"/>
              </w:rPr>
              <w:t>prílohe II</w:t>
            </w:r>
            <w:r w:rsidR="009D4E15">
              <w:rPr>
                <w:rFonts w:ascii="Times New Roman" w:hAnsi="Times New Roman"/>
                <w:sz w:val="24"/>
              </w:rPr>
              <w:t xml:space="preserve"> k </w:t>
            </w:r>
            <w:r w:rsidRPr="009D4E15">
              <w:rPr>
                <w:rFonts w:ascii="Times New Roman" w:hAnsi="Times New Roman"/>
                <w:sz w:val="24"/>
              </w:rPr>
              <w:t>CRR</w:t>
            </w:r>
            <w:r w:rsidR="009D4E15">
              <w:rPr>
                <w:rFonts w:ascii="Times New Roman" w:hAnsi="Times New Roman"/>
                <w:sz w:val="24"/>
              </w:rPr>
              <w:t xml:space="preserve"> a z </w:t>
            </w:r>
            <w:r w:rsidRPr="009D4E15">
              <w:rPr>
                <w:rFonts w:ascii="Times New Roman" w:hAnsi="Times New Roman"/>
                <w:sz w:val="24"/>
              </w:rPr>
              <w:t>kreditných derivátov, ako sa stanovuje</w:t>
            </w:r>
            <w:r w:rsidR="009D4E15">
              <w:rPr>
                <w:rFonts w:ascii="Times New Roman" w:hAnsi="Times New Roman"/>
                <w:sz w:val="24"/>
              </w:rPr>
              <w:t xml:space="preserve"> v </w:t>
            </w:r>
            <w:r w:rsidRPr="009D4E15">
              <w:rPr>
                <w:rFonts w:ascii="Times New Roman" w:hAnsi="Times New Roman"/>
                <w:sz w:val="24"/>
              </w:rPr>
              <w:t>článku 30 ods. 4 delegovaného nariadenia Komisie (EÚ) 2015/61</w:t>
            </w:r>
            <w:r w:rsidR="009D4E15">
              <w:rPr>
                <w:rFonts w:ascii="Times New Roman" w:hAnsi="Times New Roman"/>
                <w:sz w:val="24"/>
              </w:rPr>
              <w:t xml:space="preserve"> a </w:t>
            </w:r>
            <w:r w:rsidRPr="009D4E15">
              <w:rPr>
                <w:rFonts w:ascii="Times New Roman" w:hAnsi="Times New Roman"/>
                <w:sz w:val="24"/>
              </w:rPr>
              <w:t>ako je vypočítaná</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21 delegovaného nariadenia Komisie (EÚ) 2015/61</w:t>
            </w:r>
            <w:r w:rsidR="009D4E15">
              <w:rPr>
                <w:rFonts w:ascii="Times New Roman" w:hAnsi="Times New Roman"/>
                <w:sz w:val="24"/>
              </w:rPr>
              <w:t>.</w:t>
            </w:r>
          </w:p>
          <w:p w14:paraId="3AC6EFEA" w14:textId="0A148818" w:rsid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Trhová hodnota</w:t>
            </w:r>
            <w:r w:rsidR="009D4E15">
              <w:rPr>
                <w:rFonts w:ascii="Times New Roman" w:hAnsi="Times New Roman"/>
                <w:sz w:val="24"/>
              </w:rPr>
              <w:t xml:space="preserve"> a </w:t>
            </w:r>
            <w:r w:rsidRPr="009D4E15">
              <w:rPr>
                <w:rFonts w:ascii="Times New Roman" w:hAnsi="Times New Roman"/>
                <w:sz w:val="24"/>
              </w:rPr>
              <w:t>príslušné záporné peňažné toky nadmerného kolaterálu, ktorý má inštitúcia</w:t>
            </w:r>
            <w:r w:rsidR="009D4E15">
              <w:rPr>
                <w:rFonts w:ascii="Times New Roman" w:hAnsi="Times New Roman"/>
                <w:sz w:val="24"/>
              </w:rPr>
              <w:t xml:space="preserve"> v </w:t>
            </w:r>
            <w:r w:rsidRPr="009D4E15">
              <w:rPr>
                <w:rFonts w:ascii="Times New Roman" w:hAnsi="Times New Roman"/>
                <w:sz w:val="24"/>
              </w:rPr>
              <w:t>držbe</w:t>
            </w:r>
            <w:r w:rsidR="009D4E15">
              <w:rPr>
                <w:rFonts w:ascii="Times New Roman" w:hAnsi="Times New Roman"/>
                <w:sz w:val="24"/>
              </w:rPr>
              <w:t xml:space="preserve"> a o </w:t>
            </w:r>
            <w:r w:rsidRPr="009D4E15">
              <w:rPr>
                <w:rFonts w:ascii="Times New Roman" w:hAnsi="Times New Roman"/>
                <w:sz w:val="24"/>
              </w:rPr>
              <w:t>ktorého splatenie na základe zmluvy môže protistrana kedykoľvek požiadať, ako sa stanovuje</w:t>
            </w:r>
            <w:r w:rsidR="009D4E15">
              <w:rPr>
                <w:rFonts w:ascii="Times New Roman" w:hAnsi="Times New Roman"/>
                <w:sz w:val="24"/>
              </w:rPr>
              <w:t xml:space="preserve"> v </w:t>
            </w:r>
            <w:r w:rsidRPr="009D4E15">
              <w:rPr>
                <w:rFonts w:ascii="Times New Roman" w:hAnsi="Times New Roman"/>
                <w:sz w:val="24"/>
              </w:rPr>
              <w:t>článku 30 ods. 6 písm. a) delegovaného nariadenia Komisie (EÚ) 2015/61</w:t>
            </w:r>
            <w:r w:rsidR="009D4E15">
              <w:rPr>
                <w:rFonts w:ascii="Times New Roman" w:hAnsi="Times New Roman"/>
                <w:sz w:val="24"/>
              </w:rPr>
              <w:t>.</w:t>
            </w:r>
          </w:p>
          <w:p w14:paraId="6B583DA2" w14:textId="643C45F1" w:rsid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Trhová hodnota</w:t>
            </w:r>
            <w:r w:rsidR="009D4E15">
              <w:rPr>
                <w:rFonts w:ascii="Times New Roman" w:hAnsi="Times New Roman"/>
                <w:sz w:val="24"/>
              </w:rPr>
              <w:t xml:space="preserve"> a </w:t>
            </w:r>
            <w:r w:rsidRPr="009D4E15">
              <w:rPr>
                <w:rFonts w:ascii="Times New Roman" w:hAnsi="Times New Roman"/>
                <w:sz w:val="24"/>
              </w:rPr>
              <w:t>príslušné záporné peňažné toky kolaterálu, ktorý sa má poskytnúť protistrane do 30 kalendárnych dní, ako sa stanovuje</w:t>
            </w:r>
            <w:r w:rsidR="009D4E15">
              <w:rPr>
                <w:rFonts w:ascii="Times New Roman" w:hAnsi="Times New Roman"/>
                <w:sz w:val="24"/>
              </w:rPr>
              <w:t xml:space="preserve"> v </w:t>
            </w:r>
            <w:r w:rsidRPr="009D4E15">
              <w:rPr>
                <w:rFonts w:ascii="Times New Roman" w:hAnsi="Times New Roman"/>
                <w:sz w:val="24"/>
              </w:rPr>
              <w:t>článku 30 ods. 6 písm. b) delegovaného nariadenia Komisie (EÚ) 2015/61</w:t>
            </w:r>
            <w:r w:rsidR="009D4E15">
              <w:rPr>
                <w:rFonts w:ascii="Times New Roman" w:hAnsi="Times New Roman"/>
                <w:sz w:val="24"/>
              </w:rPr>
              <w:t>.</w:t>
            </w:r>
          </w:p>
          <w:p w14:paraId="0C747E7F" w14:textId="19F7E878"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Trhová hodnota</w:t>
            </w:r>
            <w:r w:rsidR="009D4E15">
              <w:rPr>
                <w:rFonts w:ascii="Times New Roman" w:hAnsi="Times New Roman"/>
                <w:sz w:val="24"/>
              </w:rPr>
              <w:t xml:space="preserve"> a </w:t>
            </w:r>
            <w:r w:rsidRPr="009D4E15">
              <w:rPr>
                <w:rFonts w:ascii="Times New Roman" w:hAnsi="Times New Roman"/>
                <w:sz w:val="24"/>
              </w:rPr>
              <w:t>príslušné záporné peňažné toky kolaterálu, ktorý spĺňa podmienky na vymedzenie ako likvidné aktíva na účely hlavy II delegovaného nariadenia Komisie (EÚ) 2015/61</w:t>
            </w:r>
            <w:r w:rsidR="009D4E15">
              <w:rPr>
                <w:rFonts w:ascii="Times New Roman" w:hAnsi="Times New Roman"/>
                <w:sz w:val="24"/>
              </w:rPr>
              <w:t xml:space="preserve"> a </w:t>
            </w:r>
            <w:r w:rsidRPr="009D4E15">
              <w:rPr>
                <w:rFonts w:ascii="Times New Roman" w:hAnsi="Times New Roman"/>
                <w:sz w:val="24"/>
              </w:rPr>
              <w:t>ktorý možno nahradiť aktívami zodpovedajúcimi aktívam, ktoré by nespĺňali podmienky na vymedzenie ako likvidné aktíva na účely hlavy II toho istého nariadenia bez súhlasu inštitúcie, ako sa stanovuje</w:t>
            </w:r>
            <w:r w:rsidR="009D4E15">
              <w:rPr>
                <w:rFonts w:ascii="Times New Roman" w:hAnsi="Times New Roman"/>
                <w:sz w:val="24"/>
              </w:rPr>
              <w:t xml:space="preserve"> v </w:t>
            </w:r>
            <w:r w:rsidRPr="009D4E15">
              <w:rPr>
                <w:rFonts w:ascii="Times New Roman" w:hAnsi="Times New Roman"/>
                <w:sz w:val="24"/>
              </w:rPr>
              <w:t>článku 30 ods. 6 písm. c) delegovaného nariadenia Komisie (EÚ) 2015/61.</w:t>
            </w:r>
          </w:p>
        </w:tc>
      </w:tr>
      <w:tr w:rsidR="007E1815" w:rsidRPr="009D4E15" w14:paraId="73604DCD" w14:textId="77777777" w:rsidTr="00D819DE">
        <w:trPr>
          <w:trHeight w:val="316"/>
        </w:trPr>
        <w:tc>
          <w:tcPr>
            <w:tcW w:w="1384" w:type="dxa"/>
          </w:tcPr>
          <w:p w14:paraId="76F2A9CE"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lastRenderedPageBreak/>
              <w:t>12</w:t>
            </w:r>
          </w:p>
        </w:tc>
        <w:tc>
          <w:tcPr>
            <w:tcW w:w="7655" w:type="dxa"/>
          </w:tcPr>
          <w:p w14:paraId="5669483C" w14:textId="77777777" w:rsidR="007E1815" w:rsidRPr="009D4E15" w:rsidRDefault="007E1815" w:rsidP="00D819DE">
            <w:pPr>
              <w:spacing w:before="120" w:after="120" w:line="190" w:lineRule="exact"/>
              <w:rPr>
                <w:rFonts w:ascii="Times New Roman" w:hAnsi="Times New Roman" w:cs="Times New Roman"/>
                <w:b/>
                <w:sz w:val="24"/>
              </w:rPr>
            </w:pPr>
            <w:r w:rsidRPr="009D4E15">
              <w:rPr>
                <w:rFonts w:ascii="Times New Roman" w:hAnsi="Times New Roman"/>
                <w:b/>
                <w:sz w:val="24"/>
              </w:rPr>
              <w:t>Záporné peňažné toky súvisiace so stratou financovania pri dlhových produktoch</w:t>
            </w:r>
          </w:p>
          <w:p w14:paraId="2004FE24" w14:textId="08273C2B" w:rsidR="007E1815" w:rsidRPr="009D4E15" w:rsidRDefault="007E1815" w:rsidP="00D819DE">
            <w:pPr>
              <w:autoSpaceDE w:val="0"/>
              <w:autoSpaceDN w:val="0"/>
              <w:adjustRightInd w:val="0"/>
              <w:spacing w:after="120"/>
              <w:jc w:val="both"/>
              <w:rPr>
                <w:rFonts w:ascii="Times New Roman" w:hAnsi="Times New Roman" w:cs="Times New Roman"/>
                <w:sz w:val="24"/>
              </w:rPr>
            </w:pPr>
            <w:r w:rsidRPr="009D4E15">
              <w:rPr>
                <w:rFonts w:ascii="Times New Roman" w:hAnsi="Times New Roman"/>
                <w:sz w:val="24"/>
              </w:rPr>
              <w:t>Inštitúcie ako neváženú hodnotu zverejňujú hodnotu straty financovania pri štruktúrovaných finančných činnostiach</w:t>
            </w:r>
            <w:r w:rsidR="009D4E15">
              <w:rPr>
                <w:rFonts w:ascii="Times New Roman" w:hAnsi="Times New Roman"/>
                <w:sz w:val="24"/>
              </w:rPr>
              <w:t xml:space="preserve"> a </w:t>
            </w:r>
            <w:r w:rsidRPr="009D4E15">
              <w:rPr>
                <w:rFonts w:ascii="Times New Roman" w:hAnsi="Times New Roman"/>
                <w:sz w:val="24"/>
              </w:rPr>
              <w:t xml:space="preserve">ako váženú hodnotu zverejňujú záporné peňažné toky týkajúce sa straty financovania pri štruktúrovaných </w:t>
            </w:r>
            <w:r w:rsidRPr="009D4E15">
              <w:rPr>
                <w:rFonts w:ascii="Times New Roman" w:hAnsi="Times New Roman"/>
                <w:sz w:val="24"/>
              </w:rPr>
              <w:lastRenderedPageBreak/>
              <w:t>finančných činnostiach, ako sa uvádza</w:t>
            </w:r>
            <w:r w:rsidR="009D4E15">
              <w:rPr>
                <w:rFonts w:ascii="Times New Roman" w:hAnsi="Times New Roman"/>
                <w:sz w:val="24"/>
              </w:rPr>
              <w:t xml:space="preserve"> v </w:t>
            </w:r>
            <w:r w:rsidRPr="009D4E15">
              <w:rPr>
                <w:rFonts w:ascii="Times New Roman" w:hAnsi="Times New Roman"/>
                <w:sz w:val="24"/>
              </w:rPr>
              <w:t>článku 30 ods. 8 až 10 delegovaného nariadenia Komisie (EÚ) 2015/61.</w:t>
            </w:r>
          </w:p>
          <w:p w14:paraId="7A966478" w14:textId="4178D963" w:rsidR="007E1815" w:rsidRPr="009D4E15" w:rsidRDefault="007E1815" w:rsidP="00D819DE">
            <w:pPr>
              <w:autoSpaceDE w:val="0"/>
              <w:autoSpaceDN w:val="0"/>
              <w:adjustRightInd w:val="0"/>
              <w:spacing w:after="120"/>
              <w:jc w:val="both"/>
              <w:rPr>
                <w:rFonts w:ascii="Times New Roman" w:hAnsi="Times New Roman" w:cs="Times New Roman"/>
                <w:sz w:val="24"/>
              </w:rPr>
            </w:pPr>
            <w:r w:rsidRPr="009D4E15">
              <w:rPr>
                <w:rFonts w:ascii="Times New Roman" w:hAnsi="Times New Roman"/>
                <w:sz w:val="24"/>
              </w:rPr>
              <w:t>Inštitúcie predpokladajú 100</w:t>
            </w:r>
            <w:r w:rsidR="009D4E15">
              <w:rPr>
                <w:rFonts w:ascii="Times New Roman" w:hAnsi="Times New Roman"/>
                <w:sz w:val="24"/>
              </w:rPr>
              <w:t> %</w:t>
            </w:r>
            <w:r w:rsidRPr="009D4E15">
              <w:rPr>
                <w:rFonts w:ascii="Times New Roman" w:hAnsi="Times New Roman"/>
                <w:sz w:val="24"/>
              </w:rPr>
              <w:t xml:space="preserve"> záporný peňažný tok</w:t>
            </w:r>
            <w:r w:rsidR="009D4E15">
              <w:rPr>
                <w:rFonts w:ascii="Times New Roman" w:hAnsi="Times New Roman"/>
                <w:sz w:val="24"/>
              </w:rPr>
              <w:t xml:space="preserve"> v </w:t>
            </w:r>
            <w:r w:rsidRPr="009D4E15">
              <w:rPr>
                <w:rFonts w:ascii="Times New Roman" w:hAnsi="Times New Roman"/>
                <w:sz w:val="24"/>
              </w:rPr>
              <w:t>súvislosti so stratou financovania pri cenných papieroch zabezpečených aktívami, krytých dlhopisoch</w:t>
            </w:r>
            <w:r w:rsidR="009D4E15">
              <w:rPr>
                <w:rFonts w:ascii="Times New Roman" w:hAnsi="Times New Roman"/>
                <w:sz w:val="24"/>
              </w:rPr>
              <w:t xml:space="preserve"> a </w:t>
            </w:r>
            <w:r w:rsidRPr="009D4E15">
              <w:rPr>
                <w:rFonts w:ascii="Times New Roman" w:hAnsi="Times New Roman"/>
                <w:sz w:val="24"/>
              </w:rPr>
              <w:t>iných štruktúrovaných finančných nástrojoch so splatnosťou do 30 kalendárnych dní emitovaných úverovou inštitúciou alebo sponzorovanými účelovo vytvorenými subjektmi (</w:t>
            </w:r>
            <w:proofErr w:type="spellStart"/>
            <w:r w:rsidRPr="009D4E15">
              <w:rPr>
                <w:rFonts w:ascii="Times New Roman" w:hAnsi="Times New Roman"/>
                <w:sz w:val="24"/>
              </w:rPr>
              <w:t>conduits</w:t>
            </w:r>
            <w:proofErr w:type="spellEnd"/>
            <w:r w:rsidRPr="009D4E15">
              <w:rPr>
                <w:rFonts w:ascii="Times New Roman" w:hAnsi="Times New Roman"/>
                <w:sz w:val="24"/>
              </w:rPr>
              <w:t>) alebo účelovo vytvorenými subjektmi.</w:t>
            </w:r>
          </w:p>
          <w:p w14:paraId="7699550A" w14:textId="3387BC51" w:rsidR="007E1815" w:rsidRPr="009D4E15" w:rsidRDefault="007E1815" w:rsidP="00D819DE">
            <w:pPr>
              <w:autoSpaceDE w:val="0"/>
              <w:autoSpaceDN w:val="0"/>
              <w:adjustRightInd w:val="0"/>
              <w:spacing w:after="120"/>
              <w:jc w:val="both"/>
              <w:rPr>
                <w:rFonts w:ascii="Times New Roman" w:hAnsi="Times New Roman" w:cs="Times New Roman"/>
                <w:b/>
                <w:sz w:val="24"/>
              </w:rPr>
            </w:pPr>
            <w:r w:rsidRPr="009D4E15">
              <w:rPr>
                <w:rFonts w:ascii="Times New Roman" w:hAnsi="Times New Roman"/>
                <w:sz w:val="24"/>
              </w:rPr>
              <w:t>Inštitúcie, ktoré sú poskytovateľmi nástrojov likvidity súvisiacich</w:t>
            </w:r>
            <w:r w:rsidR="009D4E15">
              <w:rPr>
                <w:rFonts w:ascii="Times New Roman" w:hAnsi="Times New Roman"/>
                <w:sz w:val="24"/>
              </w:rPr>
              <w:t xml:space="preserve"> s </w:t>
            </w:r>
            <w:r w:rsidRPr="009D4E15">
              <w:rPr>
                <w:rFonts w:ascii="Times New Roman" w:hAnsi="Times New Roman"/>
                <w:sz w:val="24"/>
              </w:rPr>
              <w:t>tu zverejnenými programami financovania, nemusia splatný finančný nástroj</w:t>
            </w:r>
            <w:r w:rsidR="009D4E15">
              <w:rPr>
                <w:rFonts w:ascii="Times New Roman" w:hAnsi="Times New Roman"/>
                <w:sz w:val="24"/>
              </w:rPr>
              <w:t xml:space="preserve"> a </w:t>
            </w:r>
            <w:r w:rsidRPr="009D4E15">
              <w:rPr>
                <w:rFonts w:ascii="Times New Roman" w:hAnsi="Times New Roman"/>
                <w:sz w:val="24"/>
              </w:rPr>
              <w:t>nástroj likvidity pre konsolidované programy započítavať dvakrát.</w:t>
            </w:r>
          </w:p>
        </w:tc>
      </w:tr>
      <w:tr w:rsidR="007E1815" w:rsidRPr="009D4E15" w14:paraId="509D8875" w14:textId="77777777" w:rsidTr="00D819DE">
        <w:trPr>
          <w:trHeight w:val="316"/>
        </w:trPr>
        <w:tc>
          <w:tcPr>
            <w:tcW w:w="1384" w:type="dxa"/>
          </w:tcPr>
          <w:p w14:paraId="5095A456"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lastRenderedPageBreak/>
              <w:t>13</w:t>
            </w:r>
          </w:p>
        </w:tc>
        <w:tc>
          <w:tcPr>
            <w:tcW w:w="7655" w:type="dxa"/>
          </w:tcPr>
          <w:p w14:paraId="17CE629E" w14:textId="14BC0E0C" w:rsidR="007E1815" w:rsidRPr="009D4E15" w:rsidRDefault="007E1815" w:rsidP="00D819DE">
            <w:pPr>
              <w:spacing w:before="120" w:after="120" w:line="190" w:lineRule="exact"/>
              <w:rPr>
                <w:rFonts w:ascii="Times New Roman" w:hAnsi="Times New Roman"/>
                <w:sz w:val="24"/>
              </w:rPr>
            </w:pPr>
            <w:r w:rsidRPr="009D4E15">
              <w:rPr>
                <w:rFonts w:ascii="Times New Roman" w:hAnsi="Times New Roman"/>
                <w:b/>
                <w:sz w:val="24"/>
              </w:rPr>
              <w:t xml:space="preserve">Kreditné </w:t>
            </w:r>
            <w:proofErr w:type="spellStart"/>
            <w:r w:rsidRPr="009D4E15">
              <w:rPr>
                <w:rFonts w:ascii="Times New Roman" w:hAnsi="Times New Roman"/>
                <w:b/>
                <w:sz w:val="24"/>
              </w:rPr>
              <w:t>facility</w:t>
            </w:r>
            <w:proofErr w:type="spellEnd"/>
            <w:r w:rsidR="009D4E15">
              <w:rPr>
                <w:rFonts w:ascii="Times New Roman" w:hAnsi="Times New Roman"/>
                <w:b/>
                <w:sz w:val="24"/>
              </w:rPr>
              <w:t xml:space="preserve"> a </w:t>
            </w:r>
            <w:r w:rsidRPr="009D4E15">
              <w:rPr>
                <w:rFonts w:ascii="Times New Roman" w:hAnsi="Times New Roman"/>
                <w:b/>
                <w:sz w:val="24"/>
              </w:rPr>
              <w:t>nástroje likvidity</w:t>
            </w:r>
          </w:p>
          <w:p w14:paraId="63AA0609" w14:textId="373976E2" w:rsidR="007E1815" w:rsidRPr="009D4E15" w:rsidRDefault="007E1815" w:rsidP="00D819DE">
            <w:pPr>
              <w:autoSpaceDE w:val="0"/>
              <w:autoSpaceDN w:val="0"/>
              <w:adjustRightInd w:val="0"/>
              <w:spacing w:after="120"/>
              <w:jc w:val="both"/>
              <w:rPr>
                <w:rFonts w:ascii="Times New Roman" w:hAnsi="Times New Roman" w:cs="Times New Roman"/>
                <w:sz w:val="24"/>
              </w:rPr>
            </w:pPr>
            <w:r w:rsidRPr="009D4E15">
              <w:rPr>
                <w:rFonts w:ascii="Times New Roman" w:hAnsi="Times New Roman"/>
                <w:sz w:val="24"/>
              </w:rPr>
              <w:t xml:space="preserve">Inštitúcie ako neváženú hodnotu zverejňujú hodnotu kreditných </w:t>
            </w:r>
            <w:proofErr w:type="spellStart"/>
            <w:r w:rsidRPr="009D4E15">
              <w:rPr>
                <w:rFonts w:ascii="Times New Roman" w:hAnsi="Times New Roman"/>
                <w:sz w:val="24"/>
              </w:rPr>
              <w:t>facilít</w:t>
            </w:r>
            <w:proofErr w:type="spellEnd"/>
            <w:r w:rsidR="009D4E15">
              <w:rPr>
                <w:rFonts w:ascii="Times New Roman" w:hAnsi="Times New Roman"/>
                <w:sz w:val="24"/>
              </w:rPr>
              <w:t xml:space="preserve"> a </w:t>
            </w:r>
            <w:r w:rsidRPr="009D4E15">
              <w:rPr>
                <w:rFonts w:ascii="Times New Roman" w:hAnsi="Times New Roman"/>
                <w:sz w:val="24"/>
              </w:rPr>
              <w:t>nástrojov likvidity</w:t>
            </w:r>
            <w:r w:rsidR="009D4E15">
              <w:rPr>
                <w:rFonts w:ascii="Times New Roman" w:hAnsi="Times New Roman"/>
                <w:sz w:val="24"/>
              </w:rPr>
              <w:t xml:space="preserve"> a </w:t>
            </w:r>
            <w:r w:rsidRPr="009D4E15">
              <w:rPr>
                <w:rFonts w:ascii="Times New Roman" w:hAnsi="Times New Roman"/>
                <w:sz w:val="24"/>
              </w:rPr>
              <w:t xml:space="preserve">ako váženú hodnotu zverejňujú záporné peňažné toky kreditných </w:t>
            </w:r>
            <w:proofErr w:type="spellStart"/>
            <w:r w:rsidRPr="009D4E15">
              <w:rPr>
                <w:rFonts w:ascii="Times New Roman" w:hAnsi="Times New Roman"/>
                <w:sz w:val="24"/>
              </w:rPr>
              <w:t>facilít</w:t>
            </w:r>
            <w:proofErr w:type="spellEnd"/>
            <w:r w:rsidR="009D4E15">
              <w:rPr>
                <w:rFonts w:ascii="Times New Roman" w:hAnsi="Times New Roman"/>
                <w:sz w:val="24"/>
              </w:rPr>
              <w:t xml:space="preserve"> a </w:t>
            </w:r>
            <w:r w:rsidRPr="009D4E15">
              <w:rPr>
                <w:rFonts w:ascii="Times New Roman" w:hAnsi="Times New Roman"/>
                <w:sz w:val="24"/>
              </w:rPr>
              <w:t>nástrojov likvidity, ako sa uvádza</w:t>
            </w:r>
            <w:r w:rsidR="009D4E15">
              <w:rPr>
                <w:rFonts w:ascii="Times New Roman" w:hAnsi="Times New Roman"/>
                <w:sz w:val="24"/>
              </w:rPr>
              <w:t xml:space="preserve"> v </w:t>
            </w:r>
            <w:r w:rsidRPr="009D4E15">
              <w:rPr>
                <w:rFonts w:ascii="Times New Roman" w:hAnsi="Times New Roman"/>
                <w:sz w:val="24"/>
              </w:rPr>
              <w:t>článku 31 delegovaného nariadenia Komisie (EÚ) 2015/61.</w:t>
            </w:r>
          </w:p>
          <w:p w14:paraId="0CB681C8" w14:textId="68C2174F" w:rsidR="007E1815" w:rsidRPr="009D4E15" w:rsidRDefault="007E1815" w:rsidP="00D819DE">
            <w:pPr>
              <w:autoSpaceDE w:val="0"/>
              <w:autoSpaceDN w:val="0"/>
              <w:adjustRightInd w:val="0"/>
              <w:spacing w:after="120"/>
              <w:jc w:val="both"/>
              <w:rPr>
                <w:rFonts w:ascii="Times New Roman" w:hAnsi="Times New Roman" w:cs="Times New Roman"/>
                <w:b/>
                <w:sz w:val="24"/>
              </w:rPr>
            </w:pPr>
            <w:r w:rsidRPr="009D4E15">
              <w:rPr>
                <w:rFonts w:ascii="Times New Roman" w:hAnsi="Times New Roman"/>
                <w:sz w:val="24"/>
              </w:rPr>
              <w:t xml:space="preserve">Inštitúcie tu zverejňujú aj záväzné </w:t>
            </w:r>
            <w:proofErr w:type="spellStart"/>
            <w:r w:rsidRPr="009D4E15">
              <w:rPr>
                <w:rFonts w:ascii="Times New Roman" w:hAnsi="Times New Roman"/>
                <w:sz w:val="24"/>
              </w:rPr>
              <w:t>facility</w:t>
            </w:r>
            <w:proofErr w:type="spellEnd"/>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29 delegovaného nariadenia Komisie (EÚ) 2015/61.</w:t>
            </w:r>
          </w:p>
        </w:tc>
      </w:tr>
      <w:tr w:rsidR="007E1815" w:rsidRPr="009D4E15" w14:paraId="714288CA" w14:textId="77777777" w:rsidTr="00D819DE">
        <w:trPr>
          <w:trHeight w:val="316"/>
        </w:trPr>
        <w:tc>
          <w:tcPr>
            <w:tcW w:w="1384" w:type="dxa"/>
          </w:tcPr>
          <w:p w14:paraId="4688D030"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t>14</w:t>
            </w:r>
          </w:p>
        </w:tc>
        <w:tc>
          <w:tcPr>
            <w:tcW w:w="7655" w:type="dxa"/>
          </w:tcPr>
          <w:p w14:paraId="09A7998F" w14:textId="77777777" w:rsidR="007E1815" w:rsidRPr="009D4E15" w:rsidRDefault="007E1815" w:rsidP="00D819DE">
            <w:pPr>
              <w:spacing w:before="120" w:after="120" w:line="190" w:lineRule="exact"/>
              <w:rPr>
                <w:rFonts w:ascii="Times New Roman" w:hAnsi="Times New Roman"/>
                <w:sz w:val="24"/>
              </w:rPr>
            </w:pPr>
            <w:r w:rsidRPr="009D4E15">
              <w:rPr>
                <w:rFonts w:ascii="Times New Roman" w:hAnsi="Times New Roman"/>
                <w:b/>
                <w:sz w:val="24"/>
              </w:rPr>
              <w:t>Iné zmluvné záväzky financovania</w:t>
            </w:r>
          </w:p>
          <w:p w14:paraId="7DBAA770" w14:textId="3C1655A8" w:rsidR="007E1815" w:rsidRPr="009D4E15" w:rsidRDefault="007E1815" w:rsidP="00D819DE">
            <w:pPr>
              <w:autoSpaceDE w:val="0"/>
              <w:autoSpaceDN w:val="0"/>
              <w:adjustRightInd w:val="0"/>
              <w:spacing w:after="120"/>
              <w:jc w:val="both"/>
              <w:rPr>
                <w:rFonts w:ascii="Times New Roman" w:hAnsi="Times New Roman" w:cs="Times New Roman"/>
                <w:sz w:val="24"/>
              </w:rPr>
            </w:pPr>
            <w:r w:rsidRPr="009D4E15">
              <w:rPr>
                <w:rFonts w:ascii="Times New Roman" w:hAnsi="Times New Roman"/>
                <w:sz w:val="24"/>
              </w:rPr>
              <w:t>Inštitúcie ako neváženú hodnotu zverejňujú súčet hodnôt nasledujúcich položiek</w:t>
            </w:r>
            <w:r w:rsidR="009D4E15">
              <w:rPr>
                <w:rFonts w:ascii="Times New Roman" w:hAnsi="Times New Roman"/>
                <w:sz w:val="24"/>
              </w:rPr>
              <w:t xml:space="preserve"> a </w:t>
            </w:r>
            <w:r w:rsidRPr="009D4E15">
              <w:rPr>
                <w:rFonts w:ascii="Times New Roman" w:hAnsi="Times New Roman"/>
                <w:sz w:val="24"/>
              </w:rPr>
              <w:t>ako váženú hodnotu súčet záporných peňažných tokov nasledujúcich položiek:</w:t>
            </w:r>
          </w:p>
          <w:p w14:paraId="7CB65F22" w14:textId="18F5115F"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Aktíva vypožičané na nezabezpečenom základe</w:t>
            </w:r>
            <w:r w:rsidR="009D4E15">
              <w:rPr>
                <w:rFonts w:ascii="Times New Roman" w:hAnsi="Times New Roman"/>
                <w:sz w:val="24"/>
              </w:rPr>
              <w:t xml:space="preserve"> a </w:t>
            </w:r>
            <w:r w:rsidRPr="009D4E15">
              <w:rPr>
                <w:rFonts w:ascii="Times New Roman" w:hAnsi="Times New Roman"/>
                <w:sz w:val="24"/>
              </w:rPr>
              <w:t>splatné do 30 dní, ako sa stanovuje</w:t>
            </w:r>
            <w:r w:rsidR="009D4E15">
              <w:rPr>
                <w:rFonts w:ascii="Times New Roman" w:hAnsi="Times New Roman"/>
                <w:sz w:val="24"/>
              </w:rPr>
              <w:t xml:space="preserve"> v </w:t>
            </w:r>
            <w:r w:rsidRPr="009D4E15">
              <w:rPr>
                <w:rFonts w:ascii="Times New Roman" w:hAnsi="Times New Roman"/>
                <w:sz w:val="24"/>
              </w:rPr>
              <w:t>článku 28 ods. 7 delegovaného nariadenia Komisie (EÚ) 2015/61. Tieto aktíva sa považujú za aktíva, ktoré sa znížia</w:t>
            </w:r>
            <w:r w:rsidR="009D4E15">
              <w:rPr>
                <w:rFonts w:ascii="Times New Roman" w:hAnsi="Times New Roman"/>
                <w:sz w:val="24"/>
              </w:rPr>
              <w:t xml:space="preserve"> v </w:t>
            </w:r>
            <w:r w:rsidRPr="009D4E15">
              <w:rPr>
                <w:rFonts w:ascii="Times New Roman" w:hAnsi="Times New Roman"/>
                <w:sz w:val="24"/>
              </w:rPr>
              <w:t>celej výške, čo vedie</w:t>
            </w:r>
            <w:r w:rsidR="009D4E15">
              <w:rPr>
                <w:rFonts w:ascii="Times New Roman" w:hAnsi="Times New Roman"/>
                <w:sz w:val="24"/>
              </w:rPr>
              <w:t xml:space="preserve"> k </w:t>
            </w:r>
            <w:r w:rsidRPr="009D4E15">
              <w:rPr>
                <w:rFonts w:ascii="Times New Roman" w:hAnsi="Times New Roman"/>
                <w:sz w:val="24"/>
              </w:rPr>
              <w:t>100</w:t>
            </w:r>
            <w:r w:rsidR="009D4E15">
              <w:rPr>
                <w:rFonts w:ascii="Times New Roman" w:hAnsi="Times New Roman"/>
                <w:sz w:val="24"/>
              </w:rPr>
              <w:t> %</w:t>
            </w:r>
            <w:r w:rsidRPr="009D4E15">
              <w:rPr>
                <w:rFonts w:ascii="Times New Roman" w:hAnsi="Times New Roman"/>
                <w:sz w:val="24"/>
              </w:rPr>
              <w:t xml:space="preserve"> zápornému peňažnému toku. Inštitúcie zverejňujú trhovú hodnotu aktív vypožičaných na nezabezpečenom základe</w:t>
            </w:r>
            <w:r w:rsidR="009D4E15">
              <w:rPr>
                <w:rFonts w:ascii="Times New Roman" w:hAnsi="Times New Roman"/>
                <w:sz w:val="24"/>
              </w:rPr>
              <w:t xml:space="preserve"> a </w:t>
            </w:r>
            <w:r w:rsidRPr="009D4E15">
              <w:rPr>
                <w:rFonts w:ascii="Times New Roman" w:hAnsi="Times New Roman"/>
                <w:sz w:val="24"/>
              </w:rPr>
              <w:t>splatných do 30 dní, ak úverová inštitúcia tieto cenné papiere nevlastní</w:t>
            </w:r>
            <w:r w:rsidR="009D4E15">
              <w:rPr>
                <w:rFonts w:ascii="Times New Roman" w:hAnsi="Times New Roman"/>
                <w:sz w:val="24"/>
              </w:rPr>
              <w:t xml:space="preserve"> a </w:t>
            </w:r>
            <w:r w:rsidRPr="009D4E15">
              <w:rPr>
                <w:rFonts w:ascii="Times New Roman" w:hAnsi="Times New Roman"/>
                <w:sz w:val="24"/>
              </w:rPr>
              <w:t>netvoria súčasť vankúša likvidity inštitúcií.</w:t>
            </w:r>
          </w:p>
          <w:p w14:paraId="70915989" w14:textId="4458DDDE" w:rsid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Krátke pozície kryté nezabezpečeným vypožičaním cenných papierov. Ako sa stanovuje</w:t>
            </w:r>
            <w:r w:rsidR="009D4E15">
              <w:rPr>
                <w:rFonts w:ascii="Times New Roman" w:hAnsi="Times New Roman"/>
                <w:sz w:val="24"/>
              </w:rPr>
              <w:t xml:space="preserve"> v </w:t>
            </w:r>
            <w:r w:rsidRPr="009D4E15">
              <w:rPr>
                <w:rFonts w:ascii="Times New Roman" w:hAnsi="Times New Roman"/>
                <w:sz w:val="24"/>
              </w:rPr>
              <w:t>článku 30 ods. 5 delegovaného nariadenia Komisie (EÚ) 2015/61, inštitúcie pripočítajú dodatočný záporný peňažný tok zodpovedajúci 100</w:t>
            </w:r>
            <w:r w:rsidR="009D4E15">
              <w:rPr>
                <w:rFonts w:ascii="Times New Roman" w:hAnsi="Times New Roman"/>
                <w:sz w:val="24"/>
              </w:rPr>
              <w:t> %</w:t>
            </w:r>
            <w:r w:rsidRPr="009D4E15">
              <w:rPr>
                <w:rFonts w:ascii="Times New Roman" w:hAnsi="Times New Roman"/>
                <w:sz w:val="24"/>
              </w:rPr>
              <w:t xml:space="preserve"> trhovej hodnoty cenných papierov alebo iných aktív predaných nakrátko, okrem prípadu, keď si ich úverová inštitúcia požičala za podmienok, ktoré vyžadujú ich vrátenie až po horizonte 30 kalendárnych dní. Ak je krátka pozícia krytá transakciou financovania prostredníctvom cenných papierov zabezpečených kolaterálom, úverová inštitúcia predpokladá, že krátka pozícia sa zachová počas obdobia 30 kalendárnych dní</w:t>
            </w:r>
            <w:r w:rsidR="009D4E15">
              <w:rPr>
                <w:rFonts w:ascii="Times New Roman" w:hAnsi="Times New Roman"/>
                <w:sz w:val="24"/>
              </w:rPr>
              <w:t xml:space="preserve"> a </w:t>
            </w:r>
            <w:r w:rsidRPr="009D4E15">
              <w:rPr>
                <w:rFonts w:ascii="Times New Roman" w:hAnsi="Times New Roman"/>
                <w:sz w:val="24"/>
              </w:rPr>
              <w:t>uplatnil sa na ňu 0</w:t>
            </w:r>
            <w:r w:rsidR="009D4E15">
              <w:rPr>
                <w:rFonts w:ascii="Times New Roman" w:hAnsi="Times New Roman"/>
                <w:sz w:val="24"/>
              </w:rPr>
              <w:t> %</w:t>
            </w:r>
            <w:r w:rsidRPr="009D4E15">
              <w:rPr>
                <w:rFonts w:ascii="Times New Roman" w:hAnsi="Times New Roman"/>
                <w:sz w:val="24"/>
              </w:rPr>
              <w:t xml:space="preserve"> záporný peňažný tok</w:t>
            </w:r>
            <w:r w:rsidR="009D4E15">
              <w:rPr>
                <w:rFonts w:ascii="Times New Roman" w:hAnsi="Times New Roman"/>
                <w:sz w:val="24"/>
              </w:rPr>
              <w:t>.</w:t>
            </w:r>
          </w:p>
          <w:p w14:paraId="08CAE7CC" w14:textId="3A0B4169" w:rsid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Záväzky vyplývajúce</w:t>
            </w:r>
            <w:r w:rsidR="009D4E15">
              <w:rPr>
                <w:rFonts w:ascii="Times New Roman" w:hAnsi="Times New Roman"/>
                <w:sz w:val="24"/>
              </w:rPr>
              <w:t xml:space="preserve"> z </w:t>
            </w:r>
            <w:r w:rsidRPr="009D4E15">
              <w:rPr>
                <w:rFonts w:ascii="Times New Roman" w:hAnsi="Times New Roman"/>
                <w:sz w:val="24"/>
              </w:rPr>
              <w:t>prevádzkových nákladov. Ako sa stanovuje</w:t>
            </w:r>
            <w:r w:rsidR="009D4E15">
              <w:rPr>
                <w:rFonts w:ascii="Times New Roman" w:hAnsi="Times New Roman"/>
                <w:sz w:val="24"/>
              </w:rPr>
              <w:t xml:space="preserve"> v </w:t>
            </w:r>
            <w:r w:rsidRPr="009D4E15">
              <w:rPr>
                <w:rFonts w:ascii="Times New Roman" w:hAnsi="Times New Roman"/>
                <w:sz w:val="24"/>
              </w:rPr>
              <w:t>článku 28 ods. 2 delegovaného nariadenia Komisie (EÚ) 2015/61, inštitúcie zverejňujú výšku nesplateného zostatku záväzkov vyplývajúcich</w:t>
            </w:r>
            <w:r w:rsidR="009D4E15">
              <w:rPr>
                <w:rFonts w:ascii="Times New Roman" w:hAnsi="Times New Roman"/>
                <w:sz w:val="24"/>
              </w:rPr>
              <w:t xml:space="preserve"> z </w:t>
            </w:r>
            <w:r w:rsidRPr="009D4E15">
              <w:rPr>
                <w:rFonts w:ascii="Times New Roman" w:hAnsi="Times New Roman"/>
                <w:sz w:val="24"/>
              </w:rPr>
              <w:t>vlastných prevádzkových nákladov úverovej inštitúcie. Tieto záväzky nespúšťajú záporné peňažné toky</w:t>
            </w:r>
            <w:r w:rsidR="009D4E15">
              <w:rPr>
                <w:rFonts w:ascii="Times New Roman" w:hAnsi="Times New Roman"/>
                <w:sz w:val="24"/>
              </w:rPr>
              <w:t>.</w:t>
            </w:r>
          </w:p>
          <w:p w14:paraId="50308A9D" w14:textId="7D9E9CEC"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9D4E15">
              <w:rPr>
                <w:rFonts w:ascii="Times New Roman" w:hAnsi="Times New Roman"/>
                <w:sz w:val="24"/>
              </w:rPr>
              <w:lastRenderedPageBreak/>
              <w:t>Iné nezabezpečené transakcie, ktoré sú splatné</w:t>
            </w:r>
            <w:r w:rsidR="009D4E15">
              <w:rPr>
                <w:rFonts w:ascii="Times New Roman" w:hAnsi="Times New Roman"/>
                <w:sz w:val="24"/>
              </w:rPr>
              <w:t xml:space="preserve"> v </w:t>
            </w:r>
            <w:r w:rsidRPr="009D4E15">
              <w:rPr>
                <w:rFonts w:ascii="Times New Roman" w:hAnsi="Times New Roman"/>
                <w:sz w:val="24"/>
              </w:rPr>
              <w:t>nasledujúcich 30 kalendárnych dňoch</w:t>
            </w:r>
            <w:r w:rsidR="009D4E15">
              <w:rPr>
                <w:rFonts w:ascii="Times New Roman" w:hAnsi="Times New Roman"/>
                <w:sz w:val="24"/>
              </w:rPr>
              <w:t xml:space="preserve"> a </w:t>
            </w:r>
            <w:r w:rsidRPr="009D4E15">
              <w:rPr>
                <w:rFonts w:ascii="Times New Roman" w:hAnsi="Times New Roman"/>
                <w:sz w:val="24"/>
              </w:rPr>
              <w:t>nie sú zahrnuté</w:t>
            </w:r>
            <w:r w:rsidR="009D4E15">
              <w:rPr>
                <w:rFonts w:ascii="Times New Roman" w:hAnsi="Times New Roman"/>
                <w:sz w:val="24"/>
              </w:rPr>
              <w:t xml:space="preserve"> v </w:t>
            </w:r>
            <w:r w:rsidRPr="009D4E15">
              <w:rPr>
                <w:rFonts w:ascii="Times New Roman" w:hAnsi="Times New Roman"/>
                <w:sz w:val="24"/>
              </w:rPr>
              <w:t>článkoch 24 až 31 delegovaného nariadenia Komisie (EÚ) 2015/61, ktoré, ako sa stanovuje</w:t>
            </w:r>
            <w:r w:rsidR="009D4E15">
              <w:rPr>
                <w:rFonts w:ascii="Times New Roman" w:hAnsi="Times New Roman"/>
                <w:sz w:val="24"/>
              </w:rPr>
              <w:t xml:space="preserve"> v </w:t>
            </w:r>
            <w:r w:rsidRPr="009D4E15">
              <w:rPr>
                <w:rFonts w:ascii="Times New Roman" w:hAnsi="Times New Roman"/>
                <w:sz w:val="24"/>
              </w:rPr>
              <w:t>článku 31a ods. 1 delegovaného nariadenia Komisie (EÚ) 2015/61, spúšťajú 100</w:t>
            </w:r>
            <w:r w:rsidR="009D4E15">
              <w:rPr>
                <w:rFonts w:ascii="Times New Roman" w:hAnsi="Times New Roman"/>
                <w:sz w:val="24"/>
              </w:rPr>
              <w:t> %</w:t>
            </w:r>
            <w:r w:rsidRPr="009D4E15">
              <w:rPr>
                <w:rFonts w:ascii="Times New Roman" w:hAnsi="Times New Roman"/>
                <w:sz w:val="24"/>
              </w:rPr>
              <w:t xml:space="preserve"> mieru záporných peňažných tokov.</w:t>
            </w:r>
          </w:p>
        </w:tc>
      </w:tr>
      <w:tr w:rsidR="007E1815" w:rsidRPr="009D4E15" w14:paraId="6D04A99C" w14:textId="77777777" w:rsidTr="00D819DE">
        <w:trPr>
          <w:trHeight w:val="316"/>
        </w:trPr>
        <w:tc>
          <w:tcPr>
            <w:tcW w:w="1384" w:type="dxa"/>
          </w:tcPr>
          <w:p w14:paraId="2086B2D5"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lastRenderedPageBreak/>
              <w:t>15</w:t>
            </w:r>
          </w:p>
        </w:tc>
        <w:tc>
          <w:tcPr>
            <w:tcW w:w="7655" w:type="dxa"/>
          </w:tcPr>
          <w:p w14:paraId="6A875C2F" w14:textId="77777777" w:rsidR="007E1815" w:rsidRPr="009D4E15" w:rsidRDefault="007E1815" w:rsidP="00D819DE">
            <w:pPr>
              <w:spacing w:before="120" w:after="120" w:line="190" w:lineRule="exact"/>
              <w:jc w:val="both"/>
              <w:rPr>
                <w:rFonts w:ascii="Times New Roman" w:hAnsi="Times New Roman" w:cs="Times New Roman"/>
                <w:b/>
                <w:sz w:val="24"/>
              </w:rPr>
            </w:pPr>
            <w:r w:rsidRPr="009D4E15">
              <w:rPr>
                <w:rFonts w:ascii="Times New Roman" w:hAnsi="Times New Roman"/>
                <w:b/>
                <w:sz w:val="24"/>
              </w:rPr>
              <w:t>Iné podmienené záväzky financovania</w:t>
            </w:r>
          </w:p>
          <w:p w14:paraId="65E869DD" w14:textId="2AA0DF6A" w:rsidR="007E1815" w:rsidRPr="009D4E15" w:rsidRDefault="007E1815" w:rsidP="00D819DE">
            <w:pPr>
              <w:spacing w:after="120" w:line="278" w:lineRule="exact"/>
              <w:jc w:val="both"/>
              <w:rPr>
                <w:rFonts w:ascii="Times New Roman" w:hAnsi="Times New Roman" w:cs="Times New Roman"/>
                <w:sz w:val="24"/>
              </w:rPr>
            </w:pPr>
            <w:r w:rsidRPr="009D4E15">
              <w:rPr>
                <w:rFonts w:ascii="Times New Roman" w:hAnsi="Times New Roman"/>
                <w:sz w:val="24"/>
              </w:rPr>
              <w:t>Inštitúcie ako neváženú hodnotu zverejňujú súčet hodnôt nasledujúcich položiek</w:t>
            </w:r>
            <w:r w:rsidR="009D4E15">
              <w:rPr>
                <w:rFonts w:ascii="Times New Roman" w:hAnsi="Times New Roman"/>
                <w:sz w:val="24"/>
              </w:rPr>
              <w:t xml:space="preserve"> a </w:t>
            </w:r>
            <w:r w:rsidRPr="009D4E15">
              <w:rPr>
                <w:rFonts w:ascii="Times New Roman" w:hAnsi="Times New Roman"/>
                <w:sz w:val="24"/>
              </w:rPr>
              <w:t>ako váženú hodnotu súčet záporných peňažných tokov nasledujúcich položiek:</w:t>
            </w:r>
          </w:p>
          <w:p w14:paraId="715E6E65" w14:textId="54D21D1C" w:rsid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Iné produkty</w:t>
            </w:r>
            <w:r w:rsidR="009D4E15">
              <w:rPr>
                <w:rFonts w:ascii="Times New Roman" w:hAnsi="Times New Roman"/>
                <w:sz w:val="24"/>
              </w:rPr>
              <w:t xml:space="preserve"> a </w:t>
            </w:r>
            <w:r w:rsidRPr="009D4E15">
              <w:rPr>
                <w:rFonts w:ascii="Times New Roman" w:hAnsi="Times New Roman"/>
                <w:sz w:val="24"/>
              </w:rPr>
              <w:t>služby uvedené</w:t>
            </w:r>
            <w:r w:rsidR="009D4E15">
              <w:rPr>
                <w:rFonts w:ascii="Times New Roman" w:hAnsi="Times New Roman"/>
                <w:sz w:val="24"/>
              </w:rPr>
              <w:t xml:space="preserve"> v </w:t>
            </w:r>
            <w:r w:rsidRPr="009D4E15">
              <w:rPr>
                <w:rFonts w:ascii="Times New Roman" w:hAnsi="Times New Roman"/>
                <w:sz w:val="24"/>
              </w:rPr>
              <w:t>článku 23 delegovaného nariadenia Komisie (EÚ) 2015/61. Inštitúcie tu zverejňujú produkty alebo služby uvedené</w:t>
            </w:r>
            <w:r w:rsidR="009D4E15">
              <w:rPr>
                <w:rFonts w:ascii="Times New Roman" w:hAnsi="Times New Roman"/>
                <w:sz w:val="24"/>
              </w:rPr>
              <w:t xml:space="preserve"> v </w:t>
            </w:r>
            <w:r w:rsidRPr="009D4E15">
              <w:rPr>
                <w:rFonts w:ascii="Times New Roman" w:hAnsi="Times New Roman"/>
                <w:sz w:val="24"/>
              </w:rPr>
              <w:t>článku 23 ods. 1 delegovaného nariadenia Komisie (EÚ) 2015/61. Suma, ktorá sa má zverejniť, je maximálna suma, ktorá by sa mohla čerpať</w:t>
            </w:r>
            <w:r w:rsidR="009D4E15">
              <w:rPr>
                <w:rFonts w:ascii="Times New Roman" w:hAnsi="Times New Roman"/>
                <w:sz w:val="24"/>
              </w:rPr>
              <w:t xml:space="preserve"> z </w:t>
            </w:r>
            <w:r w:rsidRPr="009D4E15">
              <w:rPr>
                <w:rFonts w:ascii="Times New Roman" w:hAnsi="Times New Roman"/>
                <w:sz w:val="24"/>
              </w:rPr>
              <w:t>produktov alebo služieb uvedených</w:t>
            </w:r>
            <w:r w:rsidR="009D4E15">
              <w:rPr>
                <w:rFonts w:ascii="Times New Roman" w:hAnsi="Times New Roman"/>
                <w:sz w:val="24"/>
              </w:rPr>
              <w:t xml:space="preserve"> v </w:t>
            </w:r>
            <w:r w:rsidRPr="009D4E15">
              <w:rPr>
                <w:rFonts w:ascii="Times New Roman" w:hAnsi="Times New Roman"/>
                <w:sz w:val="24"/>
              </w:rPr>
              <w:t>článku 23 ods. 1 delegovaného nariadenia Komisie (EÚ) 2015/61</w:t>
            </w:r>
            <w:r w:rsidR="009D4E15">
              <w:rPr>
                <w:rFonts w:ascii="Times New Roman" w:hAnsi="Times New Roman"/>
                <w:sz w:val="24"/>
              </w:rPr>
              <w:t>.</w:t>
            </w:r>
          </w:p>
          <w:p w14:paraId="6E9711E2" w14:textId="3363B685" w:rsid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Prekročenie zmluvných prísľubov na poskytnutie financovania nefinančným klientom do 30 kalendárnych dní, ako sa stanovuje</w:t>
            </w:r>
            <w:r w:rsidR="009D4E15">
              <w:rPr>
                <w:rFonts w:ascii="Times New Roman" w:hAnsi="Times New Roman"/>
                <w:sz w:val="24"/>
              </w:rPr>
              <w:t xml:space="preserve"> v </w:t>
            </w:r>
            <w:r w:rsidRPr="009D4E15">
              <w:rPr>
                <w:rFonts w:ascii="Times New Roman" w:hAnsi="Times New Roman"/>
                <w:sz w:val="24"/>
              </w:rPr>
              <w:t>článku 31a ods. 2 delegovaného nariadenia Komisie (EÚ) 2015/61</w:t>
            </w:r>
            <w:r w:rsidR="009D4E15">
              <w:rPr>
                <w:rFonts w:ascii="Times New Roman" w:hAnsi="Times New Roman"/>
                <w:sz w:val="24"/>
              </w:rPr>
              <w:t>.</w:t>
            </w:r>
          </w:p>
          <w:p w14:paraId="460FF3B1" w14:textId="47BBC5A5"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sidRPr="009D4E15">
              <w:rPr>
                <w:rFonts w:ascii="Times New Roman" w:hAnsi="Times New Roman"/>
                <w:sz w:val="24"/>
              </w:rPr>
              <w:t xml:space="preserve">Interné vzájomné započítavanie </w:t>
            </w:r>
            <w:proofErr w:type="spellStart"/>
            <w:r w:rsidRPr="009D4E15">
              <w:rPr>
                <w:rFonts w:ascii="Times New Roman" w:hAnsi="Times New Roman"/>
                <w:sz w:val="24"/>
              </w:rPr>
              <w:t>klientských</w:t>
            </w:r>
            <w:proofErr w:type="spellEnd"/>
            <w:r w:rsidRPr="009D4E15">
              <w:rPr>
                <w:rFonts w:ascii="Times New Roman" w:hAnsi="Times New Roman"/>
                <w:sz w:val="24"/>
              </w:rPr>
              <w:t xml:space="preserve"> pozícií</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30 ods. 11 delegovaného nariadenia Komisie (EÚ) 2015/61. Inštitúcie tu zverejňujú trhovú hodnotu nelikvidných aktív klienta, ktoré úverová inštitúcia použila</w:t>
            </w:r>
            <w:r w:rsidR="009D4E15">
              <w:rPr>
                <w:rFonts w:ascii="Times New Roman" w:hAnsi="Times New Roman"/>
                <w:sz w:val="24"/>
              </w:rPr>
              <w:t xml:space="preserve"> v </w:t>
            </w:r>
            <w:r w:rsidRPr="009D4E15">
              <w:rPr>
                <w:rFonts w:ascii="Times New Roman" w:hAnsi="Times New Roman"/>
                <w:sz w:val="24"/>
              </w:rPr>
              <w:t xml:space="preserve">súvislosti so službami prime </w:t>
            </w:r>
            <w:proofErr w:type="spellStart"/>
            <w:r w:rsidRPr="009D4E15">
              <w:rPr>
                <w:rFonts w:ascii="Times New Roman" w:hAnsi="Times New Roman"/>
                <w:sz w:val="24"/>
              </w:rPr>
              <w:t>brokerage</w:t>
            </w:r>
            <w:proofErr w:type="spellEnd"/>
            <w:r w:rsidRPr="009D4E15">
              <w:rPr>
                <w:rFonts w:ascii="Times New Roman" w:hAnsi="Times New Roman"/>
                <w:sz w:val="24"/>
              </w:rPr>
              <w:t xml:space="preserve"> na krytie predajov nakrátko iného klienta tak, že ich interne spárovala.</w:t>
            </w:r>
          </w:p>
        </w:tc>
      </w:tr>
      <w:tr w:rsidR="007E1815" w:rsidRPr="009D4E15" w14:paraId="5C1E26D1" w14:textId="77777777" w:rsidTr="00D819DE">
        <w:trPr>
          <w:trHeight w:val="316"/>
        </w:trPr>
        <w:tc>
          <w:tcPr>
            <w:tcW w:w="1384" w:type="dxa"/>
          </w:tcPr>
          <w:p w14:paraId="66EBBD7B"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t>16</w:t>
            </w:r>
          </w:p>
        </w:tc>
        <w:tc>
          <w:tcPr>
            <w:tcW w:w="7655" w:type="dxa"/>
          </w:tcPr>
          <w:p w14:paraId="7CD1029A" w14:textId="77777777" w:rsidR="007E1815" w:rsidRPr="009D4E15" w:rsidRDefault="007E1815" w:rsidP="00D819DE">
            <w:pPr>
              <w:spacing w:before="120" w:after="120" w:line="190" w:lineRule="exact"/>
              <w:rPr>
                <w:rFonts w:ascii="Times New Roman" w:hAnsi="Times New Roman"/>
                <w:sz w:val="24"/>
              </w:rPr>
            </w:pPr>
            <w:r w:rsidRPr="009D4E15">
              <w:rPr>
                <w:rFonts w:ascii="Times New Roman" w:hAnsi="Times New Roman"/>
                <w:b/>
                <w:sz w:val="24"/>
              </w:rPr>
              <w:t>CELKOVÉ ZÁPORNÉ PEŇAŽNÉ TOKY</w:t>
            </w:r>
          </w:p>
          <w:p w14:paraId="795DD5DD" w14:textId="77777777" w:rsidR="007E1815" w:rsidRPr="009D4E15" w:rsidRDefault="007E1815" w:rsidP="00D819DE">
            <w:pPr>
              <w:spacing w:after="120" w:line="288" w:lineRule="exact"/>
              <w:rPr>
                <w:rFonts w:ascii="Times New Roman" w:hAnsi="Times New Roman" w:cs="Times New Roman"/>
                <w:sz w:val="24"/>
              </w:rPr>
            </w:pPr>
            <w:r w:rsidRPr="009D4E15">
              <w:rPr>
                <w:rFonts w:ascii="Times New Roman" w:hAnsi="Times New Roman"/>
                <w:sz w:val="24"/>
              </w:rPr>
              <w:t>Inštitúcie zverejňujú súčet váženej hodnoty nasledujúcich položiek podľa týchto pokynov:</w:t>
            </w:r>
          </w:p>
          <w:p w14:paraId="1FE26C4F" w14:textId="539663B1"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 xml:space="preserve">Riadok 2: </w:t>
            </w:r>
            <w:proofErr w:type="spellStart"/>
            <w:r w:rsidRPr="009D4E15">
              <w:rPr>
                <w:rFonts w:ascii="Times New Roman" w:hAnsi="Times New Roman"/>
                <w:sz w:val="24"/>
              </w:rPr>
              <w:t>Retailové</w:t>
            </w:r>
            <w:proofErr w:type="spellEnd"/>
            <w:r w:rsidRPr="009D4E15">
              <w:rPr>
                <w:rFonts w:ascii="Times New Roman" w:hAnsi="Times New Roman"/>
                <w:sz w:val="24"/>
              </w:rPr>
              <w:t xml:space="preserve"> vklady</w:t>
            </w:r>
            <w:r w:rsidR="009D4E15">
              <w:rPr>
                <w:rFonts w:ascii="Times New Roman" w:hAnsi="Times New Roman"/>
                <w:sz w:val="24"/>
              </w:rPr>
              <w:t xml:space="preserve"> a </w:t>
            </w:r>
            <w:r w:rsidRPr="009D4E15">
              <w:rPr>
                <w:rFonts w:ascii="Times New Roman" w:hAnsi="Times New Roman"/>
                <w:sz w:val="24"/>
              </w:rPr>
              <w:t>vklady od malých obchodných klientov tohto vzoru;</w:t>
            </w:r>
          </w:p>
          <w:p w14:paraId="4C61D144" w14:textId="77777777"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Riadok 5: Nezabezpečené veľkoobchodné financovanie tohto vzoru,</w:t>
            </w:r>
          </w:p>
          <w:p w14:paraId="5FA5EAE1" w14:textId="77777777"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Riadok 9: Zabezpečené veľkoobchodné financovanie tohto vzoru,</w:t>
            </w:r>
          </w:p>
          <w:p w14:paraId="7B309705" w14:textId="77777777"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Riadok 10: Dodatočné požiadavky tohto vzoru,</w:t>
            </w:r>
          </w:p>
          <w:p w14:paraId="121EA07E" w14:textId="77777777"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Riadok 14: Iné zmluvné záväzky financovania tohto vzoru;</w:t>
            </w:r>
          </w:p>
          <w:p w14:paraId="3BFFB70C" w14:textId="77777777"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Riadok 15: Ostatné podmienené záväzky financovania tohto vzoru.</w:t>
            </w:r>
          </w:p>
        </w:tc>
      </w:tr>
      <w:tr w:rsidR="007E1815" w:rsidRPr="009D4E15" w14:paraId="79A60795" w14:textId="77777777" w:rsidTr="00D819DE">
        <w:trPr>
          <w:trHeight w:val="316"/>
        </w:trPr>
        <w:tc>
          <w:tcPr>
            <w:tcW w:w="1384" w:type="dxa"/>
          </w:tcPr>
          <w:p w14:paraId="0BC40981"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t>17</w:t>
            </w:r>
          </w:p>
        </w:tc>
        <w:tc>
          <w:tcPr>
            <w:tcW w:w="7655" w:type="dxa"/>
          </w:tcPr>
          <w:p w14:paraId="7AAD4AB7" w14:textId="77777777" w:rsidR="007E1815" w:rsidRPr="009D4E15" w:rsidRDefault="007E1815" w:rsidP="00D819DE">
            <w:pPr>
              <w:spacing w:before="120" w:after="120" w:line="190" w:lineRule="exact"/>
              <w:rPr>
                <w:rFonts w:ascii="Times New Roman" w:hAnsi="Times New Roman"/>
                <w:sz w:val="24"/>
              </w:rPr>
            </w:pPr>
            <w:r w:rsidRPr="009D4E15">
              <w:rPr>
                <w:rFonts w:ascii="Times New Roman" w:hAnsi="Times New Roman"/>
                <w:b/>
                <w:sz w:val="24"/>
              </w:rPr>
              <w:t xml:space="preserve">Zabezpečené pôžičky (napr. obrátené </w:t>
            </w:r>
            <w:proofErr w:type="spellStart"/>
            <w:r w:rsidRPr="009D4E15">
              <w:rPr>
                <w:rFonts w:ascii="Times New Roman" w:hAnsi="Times New Roman"/>
                <w:b/>
                <w:sz w:val="24"/>
              </w:rPr>
              <w:t>repo</w:t>
            </w:r>
            <w:proofErr w:type="spellEnd"/>
            <w:r w:rsidRPr="009D4E15">
              <w:rPr>
                <w:rFonts w:ascii="Times New Roman" w:hAnsi="Times New Roman"/>
                <w:b/>
                <w:sz w:val="24"/>
              </w:rPr>
              <w:t xml:space="preserve"> obchody)</w:t>
            </w:r>
          </w:p>
          <w:p w14:paraId="651838CD" w14:textId="77777777" w:rsidR="007E1815" w:rsidRPr="009D4E15" w:rsidRDefault="007E1815" w:rsidP="00D819DE">
            <w:pPr>
              <w:spacing w:after="120" w:line="288" w:lineRule="exact"/>
              <w:jc w:val="both"/>
              <w:rPr>
                <w:rFonts w:ascii="Times New Roman" w:hAnsi="Times New Roman" w:cs="Times New Roman"/>
                <w:sz w:val="24"/>
              </w:rPr>
            </w:pPr>
            <w:r w:rsidRPr="009D4E15">
              <w:rPr>
                <w:rFonts w:ascii="Times New Roman" w:hAnsi="Times New Roman"/>
                <w:sz w:val="24"/>
              </w:rPr>
              <w:t>Inštitúcie ako neváženú hodnotu zverejňujú súčet:</w:t>
            </w:r>
          </w:p>
          <w:p w14:paraId="6D480715" w14:textId="75794B48"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súm zabezpečených pôžičiek</w:t>
            </w:r>
            <w:r w:rsidR="009D4E15">
              <w:rPr>
                <w:rFonts w:ascii="Times New Roman" w:hAnsi="Times New Roman"/>
                <w:sz w:val="24"/>
              </w:rPr>
              <w:t xml:space="preserve"> a </w:t>
            </w:r>
            <w:r w:rsidRPr="009D4E15">
              <w:rPr>
                <w:rFonts w:ascii="Times New Roman" w:hAnsi="Times New Roman"/>
                <w:sz w:val="24"/>
              </w:rPr>
              <w:t>transakcií kapitálového trhu so zostatkovou splatnosťou nie dlhšou než 30 dní, ako sa stanovuje</w:t>
            </w:r>
            <w:r w:rsidR="009D4E15">
              <w:rPr>
                <w:rFonts w:ascii="Times New Roman" w:hAnsi="Times New Roman"/>
                <w:sz w:val="24"/>
              </w:rPr>
              <w:t xml:space="preserve"> v </w:t>
            </w:r>
            <w:r w:rsidRPr="009D4E15">
              <w:rPr>
                <w:rFonts w:ascii="Times New Roman" w:hAnsi="Times New Roman"/>
                <w:sz w:val="24"/>
              </w:rPr>
              <w:t>článku 32 ods. 3 písm. b), c)</w:t>
            </w:r>
            <w:r w:rsidR="009D4E15">
              <w:rPr>
                <w:rFonts w:ascii="Times New Roman" w:hAnsi="Times New Roman"/>
                <w:sz w:val="24"/>
              </w:rPr>
              <w:t xml:space="preserve"> a </w:t>
            </w:r>
            <w:r w:rsidRPr="009D4E15">
              <w:rPr>
                <w:rFonts w:ascii="Times New Roman" w:hAnsi="Times New Roman"/>
                <w:sz w:val="24"/>
              </w:rPr>
              <w:t>f) delegovaného nariadenia Komisie (EÚ) 2015/61,</w:t>
            </w:r>
          </w:p>
          <w:p w14:paraId="7F449F12" w14:textId="00E869E9" w:rsidR="007E1815" w:rsidRPr="009D4E15"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sidRPr="009D4E15">
              <w:rPr>
                <w:rFonts w:ascii="Times New Roman" w:hAnsi="Times New Roman"/>
                <w:sz w:val="24"/>
              </w:rPr>
              <w:t>trhovej hodnoty požičaného kolaterálu</w:t>
            </w:r>
            <w:r w:rsidR="009D4E15">
              <w:rPr>
                <w:rFonts w:ascii="Times New Roman" w:hAnsi="Times New Roman"/>
                <w:sz w:val="24"/>
              </w:rPr>
              <w:t xml:space="preserve"> v </w:t>
            </w:r>
            <w:r w:rsidRPr="009D4E15">
              <w:rPr>
                <w:rFonts w:ascii="Times New Roman" w:hAnsi="Times New Roman"/>
                <w:sz w:val="24"/>
              </w:rPr>
              <w:t>swapoch na kolaterál podľa článku 32 ods. 3 delegovaného nariadenia Komisie (EÚ) 2015/61.</w:t>
            </w:r>
          </w:p>
          <w:p w14:paraId="06976BDB" w14:textId="77777777" w:rsidR="007E1815" w:rsidRPr="009D4E15" w:rsidRDefault="007E1815" w:rsidP="00D819DE">
            <w:pPr>
              <w:spacing w:after="120" w:line="288" w:lineRule="exact"/>
              <w:jc w:val="both"/>
              <w:rPr>
                <w:rFonts w:ascii="Times New Roman" w:hAnsi="Times New Roman" w:cs="Times New Roman"/>
                <w:sz w:val="24"/>
              </w:rPr>
            </w:pPr>
            <w:r w:rsidRPr="009D4E15">
              <w:rPr>
                <w:rFonts w:ascii="Times New Roman" w:hAnsi="Times New Roman"/>
                <w:sz w:val="24"/>
              </w:rPr>
              <w:t>Inštitúcie ako váženú hodnotu zverejňujú súčet:</w:t>
            </w:r>
          </w:p>
          <w:p w14:paraId="7A115CD7" w14:textId="55AC10A3"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lastRenderedPageBreak/>
              <w:t>kladných peňažných tokov zo zabezpečených pôžičiek</w:t>
            </w:r>
            <w:r w:rsidR="009D4E15">
              <w:rPr>
                <w:rFonts w:ascii="Times New Roman" w:hAnsi="Times New Roman"/>
                <w:sz w:val="24"/>
              </w:rPr>
              <w:t xml:space="preserve"> a </w:t>
            </w:r>
            <w:r w:rsidRPr="009D4E15">
              <w:rPr>
                <w:rFonts w:ascii="Times New Roman" w:hAnsi="Times New Roman"/>
                <w:sz w:val="24"/>
              </w:rPr>
              <w:t>transakcií kapitálového trhu so zostatkovou splatnosťou nie dlhšou než 30 dní, ako sa stanovuje</w:t>
            </w:r>
            <w:r w:rsidR="009D4E15">
              <w:rPr>
                <w:rFonts w:ascii="Times New Roman" w:hAnsi="Times New Roman"/>
                <w:sz w:val="24"/>
              </w:rPr>
              <w:t xml:space="preserve"> v </w:t>
            </w:r>
            <w:r w:rsidRPr="009D4E15">
              <w:rPr>
                <w:rFonts w:ascii="Times New Roman" w:hAnsi="Times New Roman"/>
                <w:sz w:val="24"/>
              </w:rPr>
              <w:t>článku 32 ods. 3 písm. b), c)</w:t>
            </w:r>
            <w:r w:rsidR="009D4E15">
              <w:rPr>
                <w:rFonts w:ascii="Times New Roman" w:hAnsi="Times New Roman"/>
                <w:sz w:val="24"/>
              </w:rPr>
              <w:t xml:space="preserve"> a </w:t>
            </w:r>
            <w:r w:rsidRPr="009D4E15">
              <w:rPr>
                <w:rFonts w:ascii="Times New Roman" w:hAnsi="Times New Roman"/>
                <w:sz w:val="24"/>
              </w:rPr>
              <w:t>f) delegovaného nariadenia Komisie (EÚ) 2015/61,</w:t>
            </w:r>
          </w:p>
          <w:p w14:paraId="07238B5C" w14:textId="73275B45"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9D4E15">
              <w:rPr>
                <w:rFonts w:ascii="Times New Roman" w:hAnsi="Times New Roman"/>
                <w:sz w:val="24"/>
              </w:rPr>
              <w:t>kladných peňažných tokov zo swapov na kolaterál, ako sa stanovuje</w:t>
            </w:r>
            <w:r w:rsidR="009D4E15">
              <w:rPr>
                <w:rFonts w:ascii="Times New Roman" w:hAnsi="Times New Roman"/>
                <w:sz w:val="24"/>
              </w:rPr>
              <w:t xml:space="preserve"> v </w:t>
            </w:r>
            <w:r w:rsidRPr="009D4E15">
              <w:rPr>
                <w:rFonts w:ascii="Times New Roman" w:hAnsi="Times New Roman"/>
                <w:sz w:val="24"/>
              </w:rPr>
              <w:t>článku 32 ods. 3 delegovaného nariadenia Komisie (EÚ) 2015/61.</w:t>
            </w:r>
          </w:p>
        </w:tc>
      </w:tr>
      <w:tr w:rsidR="007E1815" w:rsidRPr="009D4E15" w14:paraId="001A0BC1" w14:textId="77777777" w:rsidTr="00D819DE">
        <w:trPr>
          <w:trHeight w:val="316"/>
        </w:trPr>
        <w:tc>
          <w:tcPr>
            <w:tcW w:w="1384" w:type="dxa"/>
          </w:tcPr>
          <w:p w14:paraId="717DE40D"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lastRenderedPageBreak/>
              <w:t>18</w:t>
            </w:r>
          </w:p>
        </w:tc>
        <w:tc>
          <w:tcPr>
            <w:tcW w:w="7655" w:type="dxa"/>
          </w:tcPr>
          <w:p w14:paraId="05A2A98F" w14:textId="77FA87D9" w:rsidR="007E1815" w:rsidRPr="009D4E15" w:rsidRDefault="007E1815" w:rsidP="00D819DE">
            <w:pPr>
              <w:spacing w:before="120" w:after="120" w:line="190" w:lineRule="exact"/>
              <w:rPr>
                <w:rFonts w:ascii="Times New Roman" w:hAnsi="Times New Roman"/>
                <w:b/>
                <w:sz w:val="24"/>
              </w:rPr>
            </w:pPr>
            <w:r w:rsidRPr="009D4E15">
              <w:rPr>
                <w:rFonts w:ascii="Times New Roman" w:hAnsi="Times New Roman"/>
                <w:b/>
                <w:sz w:val="24"/>
              </w:rPr>
              <w:t>Kladné peňažné toky</w:t>
            </w:r>
            <w:r w:rsidR="009D4E15">
              <w:rPr>
                <w:rFonts w:ascii="Times New Roman" w:hAnsi="Times New Roman"/>
                <w:b/>
                <w:sz w:val="24"/>
              </w:rPr>
              <w:t xml:space="preserve"> z </w:t>
            </w:r>
            <w:r w:rsidRPr="009D4E15">
              <w:rPr>
                <w:rFonts w:ascii="Times New Roman" w:hAnsi="Times New Roman"/>
                <w:b/>
                <w:sz w:val="24"/>
              </w:rPr>
              <w:t>plne bezproblémových expozícií</w:t>
            </w:r>
          </w:p>
          <w:p w14:paraId="4C4F768A" w14:textId="3DBE523B" w:rsidR="007E1815" w:rsidRPr="009D4E15" w:rsidRDefault="007E1815" w:rsidP="00D819DE">
            <w:pPr>
              <w:spacing w:after="120" w:line="278" w:lineRule="exact"/>
              <w:jc w:val="both"/>
              <w:rPr>
                <w:rFonts w:ascii="Times New Roman" w:hAnsi="Times New Roman" w:cs="Times New Roman"/>
                <w:sz w:val="24"/>
              </w:rPr>
            </w:pPr>
            <w:r w:rsidRPr="009D4E15">
              <w:rPr>
                <w:rFonts w:ascii="Times New Roman" w:hAnsi="Times New Roman"/>
                <w:sz w:val="24"/>
              </w:rPr>
              <w:t>Inštitúcie ako neváženú hodnotu zverejňujú súčet celkových hodnôt položiek</w:t>
            </w:r>
            <w:r w:rsidR="009D4E15">
              <w:rPr>
                <w:rFonts w:ascii="Times New Roman" w:hAnsi="Times New Roman"/>
                <w:sz w:val="24"/>
              </w:rPr>
              <w:t xml:space="preserve"> a </w:t>
            </w:r>
            <w:r w:rsidRPr="009D4E15">
              <w:rPr>
                <w:rFonts w:ascii="Times New Roman" w:hAnsi="Times New Roman"/>
                <w:sz w:val="24"/>
              </w:rPr>
              <w:t>ako váženú hodnotu súčet kladných peňažných tokov položiek:</w:t>
            </w:r>
          </w:p>
          <w:p w14:paraId="0CF90BD2" w14:textId="77777777" w:rsid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peňazí splatných nefinančnými klientmi (okrem centrálnych bánk), ako sa stanovuje</w:t>
            </w:r>
            <w:r w:rsidR="009D4E15">
              <w:rPr>
                <w:rFonts w:ascii="Times New Roman" w:hAnsi="Times New Roman"/>
                <w:sz w:val="24"/>
              </w:rPr>
              <w:t xml:space="preserve"> v </w:t>
            </w:r>
            <w:r w:rsidRPr="009D4E15">
              <w:rPr>
                <w:rFonts w:ascii="Times New Roman" w:hAnsi="Times New Roman"/>
                <w:sz w:val="24"/>
              </w:rPr>
              <w:t>článku 32 ods. 3 písm. a) delegovaného nariadenia Komisie (EÚ) 2015/61,</w:t>
            </w:r>
          </w:p>
          <w:p w14:paraId="4D3487DB" w14:textId="77777777" w:rsid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peňazí splatných centrálnymi bankami</w:t>
            </w:r>
            <w:r w:rsidR="009D4E15">
              <w:rPr>
                <w:rFonts w:ascii="Times New Roman" w:hAnsi="Times New Roman"/>
                <w:sz w:val="24"/>
              </w:rPr>
              <w:t xml:space="preserve"> a </w:t>
            </w:r>
            <w:r w:rsidRPr="009D4E15">
              <w:rPr>
                <w:rFonts w:ascii="Times New Roman" w:hAnsi="Times New Roman"/>
                <w:sz w:val="24"/>
              </w:rPr>
              <w:t>finančnými klientmi, ako sa stanovuje</w:t>
            </w:r>
            <w:r w:rsidR="009D4E15">
              <w:rPr>
                <w:rFonts w:ascii="Times New Roman" w:hAnsi="Times New Roman"/>
                <w:sz w:val="24"/>
              </w:rPr>
              <w:t xml:space="preserve"> v </w:t>
            </w:r>
            <w:r w:rsidRPr="009D4E15">
              <w:rPr>
                <w:rFonts w:ascii="Times New Roman" w:hAnsi="Times New Roman"/>
                <w:sz w:val="24"/>
              </w:rPr>
              <w:t>článku 32 ods. 2 písm. a) delegovaného nariadenia Komisie (EÚ) 2015/61,</w:t>
            </w:r>
          </w:p>
          <w:p w14:paraId="216498BF" w14:textId="49473E79"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peňazí splatných</w:t>
            </w:r>
            <w:r w:rsidR="009D4E15">
              <w:rPr>
                <w:rFonts w:ascii="Times New Roman" w:hAnsi="Times New Roman"/>
                <w:sz w:val="24"/>
              </w:rPr>
              <w:t xml:space="preserve"> z </w:t>
            </w:r>
            <w:r w:rsidRPr="009D4E15">
              <w:rPr>
                <w:rFonts w:ascii="Times New Roman" w:hAnsi="Times New Roman"/>
                <w:sz w:val="24"/>
              </w:rPr>
              <w:t>transakcií obchodného financovania, ako sa stanovuje</w:t>
            </w:r>
            <w:r w:rsidR="009D4E15">
              <w:rPr>
                <w:rFonts w:ascii="Times New Roman" w:hAnsi="Times New Roman"/>
                <w:sz w:val="24"/>
              </w:rPr>
              <w:t xml:space="preserve"> v </w:t>
            </w:r>
            <w:r w:rsidRPr="009D4E15">
              <w:rPr>
                <w:rFonts w:ascii="Times New Roman" w:hAnsi="Times New Roman"/>
                <w:sz w:val="24"/>
              </w:rPr>
              <w:t>článku 32 ods. 2 písm. b) delegovaného nariadenia Komisie (EÚ) 2015/61, so zostatkovou splatnosťou nie dlhšou než 30 dní,</w:t>
            </w:r>
          </w:p>
          <w:p w14:paraId="2B448E76" w14:textId="5BA56EDA"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9D4E15">
              <w:rPr>
                <w:rFonts w:ascii="Times New Roman" w:hAnsi="Times New Roman"/>
                <w:sz w:val="24"/>
              </w:rPr>
              <w:t>kladných peňažných tokov zodpovedajúcich záporným peňažným tokom</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prísľubmi podporných úverov, ako sa uvádza</w:t>
            </w:r>
            <w:r w:rsidR="009D4E15">
              <w:rPr>
                <w:rFonts w:ascii="Times New Roman" w:hAnsi="Times New Roman"/>
                <w:sz w:val="24"/>
              </w:rPr>
              <w:t xml:space="preserve"> v </w:t>
            </w:r>
            <w:r w:rsidRPr="009D4E15">
              <w:rPr>
                <w:rFonts w:ascii="Times New Roman" w:hAnsi="Times New Roman"/>
                <w:sz w:val="24"/>
              </w:rPr>
              <w:t>článku 31 ods. 9 delegovaného nariadenia Komisie (EÚ) 2015/61.</w:t>
            </w:r>
          </w:p>
        </w:tc>
      </w:tr>
      <w:tr w:rsidR="007E1815" w:rsidRPr="009D4E15" w14:paraId="63C35840" w14:textId="77777777" w:rsidTr="00D819DE">
        <w:trPr>
          <w:trHeight w:val="316"/>
        </w:trPr>
        <w:tc>
          <w:tcPr>
            <w:tcW w:w="1384" w:type="dxa"/>
          </w:tcPr>
          <w:p w14:paraId="02419826"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t>19</w:t>
            </w:r>
          </w:p>
        </w:tc>
        <w:tc>
          <w:tcPr>
            <w:tcW w:w="7655" w:type="dxa"/>
          </w:tcPr>
          <w:p w14:paraId="2976A3A7" w14:textId="77777777" w:rsidR="007E1815" w:rsidRPr="009D4E15" w:rsidRDefault="007E1815" w:rsidP="00D819DE">
            <w:pPr>
              <w:spacing w:before="120" w:after="120" w:line="190" w:lineRule="exact"/>
              <w:rPr>
                <w:rFonts w:ascii="Times New Roman" w:hAnsi="Times New Roman"/>
                <w:sz w:val="24"/>
              </w:rPr>
            </w:pPr>
            <w:r w:rsidRPr="009D4E15">
              <w:rPr>
                <w:rFonts w:ascii="Times New Roman" w:hAnsi="Times New Roman"/>
                <w:b/>
                <w:sz w:val="24"/>
              </w:rPr>
              <w:t>Iné kladné peňažné toky</w:t>
            </w:r>
          </w:p>
          <w:p w14:paraId="47710836" w14:textId="67B00BD6" w:rsidR="007E1815" w:rsidRPr="009D4E15" w:rsidRDefault="007E1815" w:rsidP="00D819DE">
            <w:pPr>
              <w:spacing w:after="120" w:line="278" w:lineRule="exact"/>
              <w:jc w:val="both"/>
              <w:rPr>
                <w:rFonts w:ascii="Times New Roman" w:hAnsi="Times New Roman" w:cs="Times New Roman"/>
                <w:sz w:val="24"/>
              </w:rPr>
            </w:pPr>
            <w:r w:rsidRPr="009D4E15">
              <w:rPr>
                <w:rFonts w:ascii="Times New Roman" w:hAnsi="Times New Roman"/>
                <w:sz w:val="24"/>
              </w:rPr>
              <w:t>Inštitúcie ako neváženú hodnotu zverejňujú súčet celkových hodnôt položiek</w:t>
            </w:r>
            <w:r w:rsidR="009D4E15">
              <w:rPr>
                <w:rFonts w:ascii="Times New Roman" w:hAnsi="Times New Roman"/>
                <w:sz w:val="24"/>
              </w:rPr>
              <w:t xml:space="preserve"> a </w:t>
            </w:r>
            <w:r w:rsidRPr="009D4E15">
              <w:rPr>
                <w:rFonts w:ascii="Times New Roman" w:hAnsi="Times New Roman"/>
                <w:sz w:val="24"/>
              </w:rPr>
              <w:t>ako váženú hodnotu súčet kladných peňažných tokov položiek:</w:t>
            </w:r>
          </w:p>
          <w:p w14:paraId="6193B200" w14:textId="77777777" w:rsid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peňazí splatných</w:t>
            </w:r>
            <w:r w:rsidR="009D4E15">
              <w:rPr>
                <w:rFonts w:ascii="Times New Roman" w:hAnsi="Times New Roman"/>
                <w:sz w:val="24"/>
              </w:rPr>
              <w:t xml:space="preserve"> z </w:t>
            </w:r>
            <w:r w:rsidRPr="009D4E15">
              <w:rPr>
                <w:rFonts w:ascii="Times New Roman" w:hAnsi="Times New Roman"/>
                <w:sz w:val="24"/>
              </w:rPr>
              <w:t>cenných papierov so splatnosťou do 30 dní, ako sa stanovuje</w:t>
            </w:r>
            <w:r w:rsidR="009D4E15">
              <w:rPr>
                <w:rFonts w:ascii="Times New Roman" w:hAnsi="Times New Roman"/>
                <w:sz w:val="24"/>
              </w:rPr>
              <w:t xml:space="preserve"> v </w:t>
            </w:r>
            <w:r w:rsidRPr="009D4E15">
              <w:rPr>
                <w:rFonts w:ascii="Times New Roman" w:hAnsi="Times New Roman"/>
                <w:sz w:val="24"/>
              </w:rPr>
              <w:t>článku 32 ods. 2 písm. c) delegovaného nariadenia Komisie (EÚ) 2015/61,</w:t>
            </w:r>
          </w:p>
          <w:p w14:paraId="0EA1B0AA" w14:textId="734CBA4B"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úverov bez stanoveného zmluvného konečného dátumu, ako sa stanovuje</w:t>
            </w:r>
            <w:r w:rsidR="009D4E15">
              <w:rPr>
                <w:rFonts w:ascii="Times New Roman" w:hAnsi="Times New Roman"/>
                <w:sz w:val="24"/>
              </w:rPr>
              <w:t xml:space="preserve"> v </w:t>
            </w:r>
            <w:r w:rsidRPr="009D4E15">
              <w:rPr>
                <w:rFonts w:ascii="Times New Roman" w:hAnsi="Times New Roman"/>
                <w:sz w:val="24"/>
              </w:rPr>
              <w:t>článku 32 ods. 3 písm. i) delegovaného nariadenia Komisie (EÚ) 2015/61,</w:t>
            </w:r>
          </w:p>
          <w:p w14:paraId="6C032E9D" w14:textId="3EE442D0"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peňazí splatných</w:t>
            </w:r>
            <w:r w:rsidR="009D4E15">
              <w:rPr>
                <w:rFonts w:ascii="Times New Roman" w:hAnsi="Times New Roman"/>
                <w:sz w:val="24"/>
              </w:rPr>
              <w:t xml:space="preserve"> z </w:t>
            </w:r>
            <w:r w:rsidRPr="009D4E15">
              <w:rPr>
                <w:rFonts w:ascii="Times New Roman" w:hAnsi="Times New Roman"/>
                <w:sz w:val="24"/>
              </w:rPr>
              <w:t>pozícií</w:t>
            </w:r>
            <w:r w:rsidR="009D4E15">
              <w:rPr>
                <w:rFonts w:ascii="Times New Roman" w:hAnsi="Times New Roman"/>
                <w:sz w:val="24"/>
              </w:rPr>
              <w:t xml:space="preserve"> v </w:t>
            </w:r>
            <w:r w:rsidRPr="009D4E15">
              <w:rPr>
                <w:rFonts w:ascii="Times New Roman" w:hAnsi="Times New Roman"/>
                <w:sz w:val="24"/>
              </w:rPr>
              <w:t>nástrojoch vlastného imania viazaných na významný index za predpokladu, že nedochádza</w:t>
            </w:r>
            <w:r w:rsidR="009D4E15">
              <w:rPr>
                <w:rFonts w:ascii="Times New Roman" w:hAnsi="Times New Roman"/>
                <w:sz w:val="24"/>
              </w:rPr>
              <w:t xml:space="preserve"> k </w:t>
            </w:r>
            <w:r w:rsidRPr="009D4E15">
              <w:rPr>
                <w:rFonts w:ascii="Times New Roman" w:hAnsi="Times New Roman"/>
                <w:sz w:val="24"/>
              </w:rPr>
              <w:t>dvojitému započítavaniu</w:t>
            </w:r>
            <w:r w:rsidR="009D4E15">
              <w:rPr>
                <w:rFonts w:ascii="Times New Roman" w:hAnsi="Times New Roman"/>
                <w:sz w:val="24"/>
              </w:rPr>
              <w:t xml:space="preserve"> s </w:t>
            </w:r>
            <w:r w:rsidRPr="009D4E15">
              <w:rPr>
                <w:rFonts w:ascii="Times New Roman" w:hAnsi="Times New Roman"/>
                <w:sz w:val="24"/>
              </w:rPr>
              <w:t>likvidnými aktívami, ako sa stanovuje</w:t>
            </w:r>
            <w:r w:rsidR="009D4E15">
              <w:rPr>
                <w:rFonts w:ascii="Times New Roman" w:hAnsi="Times New Roman"/>
                <w:sz w:val="24"/>
              </w:rPr>
              <w:t xml:space="preserve"> v </w:t>
            </w:r>
            <w:r w:rsidRPr="009D4E15">
              <w:rPr>
                <w:rFonts w:ascii="Times New Roman" w:hAnsi="Times New Roman"/>
                <w:sz w:val="24"/>
              </w:rPr>
              <w:t>článku 32 ods. 2 písm. d) delegovaného nariadenia Komisie (EÚ) 2015/61. Pozícia zahŕňa peniaze, ktoré sú zmluvne splatné do 30 kalendárnych dní, ako napríklad dividendy</w:t>
            </w:r>
            <w:r w:rsidR="009D4E15">
              <w:rPr>
                <w:rFonts w:ascii="Times New Roman" w:hAnsi="Times New Roman"/>
                <w:sz w:val="24"/>
              </w:rPr>
              <w:t xml:space="preserve"> z </w:t>
            </w:r>
            <w:r w:rsidRPr="009D4E15">
              <w:rPr>
                <w:rFonts w:ascii="Times New Roman" w:hAnsi="Times New Roman"/>
                <w:sz w:val="24"/>
              </w:rPr>
              <w:t>takýchto významných indexov vyplácané</w:t>
            </w:r>
            <w:r w:rsidR="009D4E15">
              <w:rPr>
                <w:rFonts w:ascii="Times New Roman" w:hAnsi="Times New Roman"/>
                <w:sz w:val="24"/>
              </w:rPr>
              <w:t xml:space="preserve"> v </w:t>
            </w:r>
            <w:r w:rsidRPr="009D4E15">
              <w:rPr>
                <w:rFonts w:ascii="Times New Roman" w:hAnsi="Times New Roman"/>
                <w:sz w:val="24"/>
              </w:rPr>
              <w:t>hotovosti</w:t>
            </w:r>
            <w:r w:rsidR="009D4E15">
              <w:rPr>
                <w:rFonts w:ascii="Times New Roman" w:hAnsi="Times New Roman"/>
                <w:sz w:val="24"/>
              </w:rPr>
              <w:t xml:space="preserve"> a </w:t>
            </w:r>
            <w:r w:rsidRPr="009D4E15">
              <w:rPr>
                <w:rFonts w:ascii="Times New Roman" w:hAnsi="Times New Roman"/>
                <w:sz w:val="24"/>
              </w:rPr>
              <w:t>hotovosť splatná</w:t>
            </w:r>
            <w:r w:rsidR="009D4E15">
              <w:rPr>
                <w:rFonts w:ascii="Times New Roman" w:hAnsi="Times New Roman"/>
                <w:sz w:val="24"/>
              </w:rPr>
              <w:t xml:space="preserve"> z </w:t>
            </w:r>
            <w:r w:rsidRPr="009D4E15">
              <w:rPr>
                <w:rFonts w:ascii="Times New Roman" w:hAnsi="Times New Roman"/>
                <w:sz w:val="24"/>
              </w:rPr>
              <w:t>takýchto predaných, ale ešte nevyrovnaných nástrojov vlastného imania, ak sa neuznávajú za likvidné aktíva</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hlavou II delegovaného nariadenia Komisie (EÚ) 2015/61,</w:t>
            </w:r>
          </w:p>
          <w:p w14:paraId="4EC485E1" w14:textId="77777777" w:rsid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kladných peňažných tokov</w:t>
            </w:r>
            <w:r w:rsidR="009D4E15">
              <w:rPr>
                <w:rFonts w:ascii="Times New Roman" w:hAnsi="Times New Roman"/>
                <w:sz w:val="24"/>
              </w:rPr>
              <w:t xml:space="preserve"> z </w:t>
            </w:r>
            <w:r w:rsidRPr="009D4E15">
              <w:rPr>
                <w:rFonts w:ascii="Times New Roman" w:hAnsi="Times New Roman"/>
                <w:sz w:val="24"/>
              </w:rPr>
              <w:t>uvoľnených zostatkov</w:t>
            </w:r>
            <w:r w:rsidR="009D4E15">
              <w:rPr>
                <w:rFonts w:ascii="Times New Roman" w:hAnsi="Times New Roman"/>
                <w:sz w:val="24"/>
              </w:rPr>
              <w:t xml:space="preserve"> v </w:t>
            </w:r>
            <w:r w:rsidRPr="009D4E15">
              <w:rPr>
                <w:rFonts w:ascii="Times New Roman" w:hAnsi="Times New Roman"/>
                <w:sz w:val="24"/>
              </w:rPr>
              <w:t>držbe na oddelených účtoch</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proofErr w:type="spellStart"/>
            <w:r w:rsidRPr="009D4E15">
              <w:rPr>
                <w:rFonts w:ascii="Times New Roman" w:hAnsi="Times New Roman"/>
                <w:sz w:val="24"/>
              </w:rPr>
              <w:t>regulatórnymi</w:t>
            </w:r>
            <w:proofErr w:type="spellEnd"/>
            <w:r w:rsidRPr="009D4E15">
              <w:rPr>
                <w:rFonts w:ascii="Times New Roman" w:hAnsi="Times New Roman"/>
                <w:sz w:val="24"/>
              </w:rPr>
              <w:t xml:space="preserve"> požiadavkami na ochranu aktív klienta</w:t>
            </w:r>
            <w:r w:rsidR="009D4E15">
              <w:rPr>
                <w:rFonts w:ascii="Times New Roman" w:hAnsi="Times New Roman"/>
                <w:sz w:val="24"/>
              </w:rPr>
              <w:t xml:space="preserve"> z </w:t>
            </w:r>
            <w:r w:rsidRPr="009D4E15">
              <w:rPr>
                <w:rFonts w:ascii="Times New Roman" w:hAnsi="Times New Roman"/>
                <w:sz w:val="24"/>
              </w:rPr>
              <w:t>obchodovania, ako sa stanovuje</w:t>
            </w:r>
            <w:r w:rsidR="009D4E15">
              <w:rPr>
                <w:rFonts w:ascii="Times New Roman" w:hAnsi="Times New Roman"/>
                <w:sz w:val="24"/>
              </w:rPr>
              <w:t xml:space="preserve"> v </w:t>
            </w:r>
            <w:r w:rsidRPr="009D4E15">
              <w:rPr>
                <w:rFonts w:ascii="Times New Roman" w:hAnsi="Times New Roman"/>
                <w:sz w:val="24"/>
              </w:rPr>
              <w:t>článku 32 ods. 4 delegovaného nariadenia Komisie (EÚ) 2015/61. Kladné peňažné toky sa zohľadňujú len vtedy, ak sa tieto zostatky zachovávajú</w:t>
            </w:r>
            <w:r w:rsidR="009D4E15">
              <w:rPr>
                <w:rFonts w:ascii="Times New Roman" w:hAnsi="Times New Roman"/>
                <w:sz w:val="24"/>
              </w:rPr>
              <w:t xml:space="preserve"> v </w:t>
            </w:r>
            <w:r w:rsidRPr="009D4E15">
              <w:rPr>
                <w:rFonts w:ascii="Times New Roman" w:hAnsi="Times New Roman"/>
                <w:sz w:val="24"/>
              </w:rPr>
              <w:t xml:space="preserve">likvidných </w:t>
            </w:r>
            <w:r w:rsidRPr="009D4E15">
              <w:rPr>
                <w:rFonts w:ascii="Times New Roman" w:hAnsi="Times New Roman"/>
                <w:sz w:val="24"/>
              </w:rPr>
              <w:lastRenderedPageBreak/>
              <w:t>aktívach, ako sa stanovuje</w:t>
            </w:r>
            <w:r w:rsidR="009D4E15">
              <w:rPr>
                <w:rFonts w:ascii="Times New Roman" w:hAnsi="Times New Roman"/>
                <w:sz w:val="24"/>
              </w:rPr>
              <w:t xml:space="preserve"> v </w:t>
            </w:r>
            <w:r w:rsidRPr="009D4E15">
              <w:rPr>
                <w:rFonts w:ascii="Times New Roman" w:hAnsi="Times New Roman"/>
                <w:sz w:val="24"/>
              </w:rPr>
              <w:t>hlave II delegovaného nariadenia Komisie (EÚ) 2015/61,</w:t>
            </w:r>
          </w:p>
          <w:p w14:paraId="5C6FC3C4" w14:textId="7A20936C"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kladných peňažných tokov</w:t>
            </w:r>
            <w:r w:rsidR="009D4E15">
              <w:rPr>
                <w:rFonts w:ascii="Times New Roman" w:hAnsi="Times New Roman"/>
                <w:sz w:val="24"/>
              </w:rPr>
              <w:t xml:space="preserve"> z </w:t>
            </w:r>
            <w:r w:rsidRPr="009D4E15">
              <w:rPr>
                <w:rFonts w:ascii="Times New Roman" w:hAnsi="Times New Roman"/>
                <w:sz w:val="24"/>
              </w:rPr>
              <w:t>derivátov, ako sa stanovuje</w:t>
            </w:r>
            <w:r w:rsidR="009D4E15">
              <w:rPr>
                <w:rFonts w:ascii="Times New Roman" w:hAnsi="Times New Roman"/>
                <w:sz w:val="24"/>
              </w:rPr>
              <w:t xml:space="preserve"> v </w:t>
            </w:r>
            <w:r w:rsidRPr="009D4E15">
              <w:rPr>
                <w:rFonts w:ascii="Times New Roman" w:hAnsi="Times New Roman"/>
                <w:sz w:val="24"/>
              </w:rPr>
              <w:t>článku 32 ods. 5</w:t>
            </w:r>
            <w:r w:rsidR="009D4E15">
              <w:rPr>
                <w:rFonts w:ascii="Times New Roman" w:hAnsi="Times New Roman"/>
                <w:sz w:val="24"/>
              </w:rPr>
              <w:t xml:space="preserve"> v </w:t>
            </w:r>
            <w:r w:rsidRPr="009D4E15">
              <w:rPr>
                <w:rFonts w:ascii="Times New Roman" w:hAnsi="Times New Roman"/>
                <w:sz w:val="24"/>
              </w:rPr>
              <w:t>spojení</w:t>
            </w:r>
            <w:r w:rsidR="009D4E15">
              <w:rPr>
                <w:rFonts w:ascii="Times New Roman" w:hAnsi="Times New Roman"/>
                <w:sz w:val="24"/>
              </w:rPr>
              <w:t xml:space="preserve"> s </w:t>
            </w:r>
            <w:r w:rsidRPr="009D4E15">
              <w:rPr>
                <w:rFonts w:ascii="Times New Roman" w:hAnsi="Times New Roman"/>
                <w:sz w:val="24"/>
              </w:rPr>
              <w:t>článkom 21 delegovaného nariadenia Komisie (EÚ) 2015/61,</w:t>
            </w:r>
          </w:p>
          <w:p w14:paraId="0C0BB0B8" w14:textId="77777777" w:rsid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kladných peňažných tokov</w:t>
            </w:r>
            <w:r w:rsidR="009D4E15">
              <w:rPr>
                <w:rFonts w:ascii="Times New Roman" w:hAnsi="Times New Roman"/>
                <w:sz w:val="24"/>
              </w:rPr>
              <w:t xml:space="preserve"> z </w:t>
            </w:r>
            <w:r w:rsidRPr="009D4E15">
              <w:rPr>
                <w:rFonts w:ascii="Times New Roman" w:hAnsi="Times New Roman"/>
                <w:sz w:val="24"/>
              </w:rPr>
              <w:t xml:space="preserve">nevyčerpaných kreditných </w:t>
            </w:r>
            <w:proofErr w:type="spellStart"/>
            <w:r w:rsidRPr="009D4E15">
              <w:rPr>
                <w:rFonts w:ascii="Times New Roman" w:hAnsi="Times New Roman"/>
                <w:sz w:val="24"/>
              </w:rPr>
              <w:t>facilít</w:t>
            </w:r>
            <w:proofErr w:type="spellEnd"/>
            <w:r w:rsidRPr="009D4E15">
              <w:rPr>
                <w:rFonts w:ascii="Times New Roman" w:hAnsi="Times New Roman"/>
                <w:sz w:val="24"/>
              </w:rPr>
              <w:t xml:space="preserve"> alebo nástrojov likvidity poskytnutých členmi skupiny alebo schémy inštitucionálneho zabezpečenia, ak príslušné orgány udelili povolenie uplatňovať vyššiu mieru kladných peňažných tokov</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34 delegovaného nariadenia Komisie (EÚ) 2015/61,</w:t>
            </w:r>
          </w:p>
          <w:p w14:paraId="53725212" w14:textId="6450D517"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9D4E15">
              <w:rPr>
                <w:rFonts w:ascii="Times New Roman" w:hAnsi="Times New Roman"/>
                <w:sz w:val="24"/>
              </w:rPr>
              <w:t xml:space="preserve">iných kladných peňažných tokov podľa článku 32 ods. 2 delegovaného nariadenia Komisie (EÚ) 2015/61. </w:t>
            </w:r>
          </w:p>
        </w:tc>
      </w:tr>
      <w:tr w:rsidR="007E1815" w:rsidRPr="009D4E15" w14:paraId="64E3E330" w14:textId="77777777" w:rsidTr="00D819DE">
        <w:trPr>
          <w:trHeight w:val="316"/>
        </w:trPr>
        <w:tc>
          <w:tcPr>
            <w:tcW w:w="1384" w:type="dxa"/>
          </w:tcPr>
          <w:p w14:paraId="581D75AD"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lastRenderedPageBreak/>
              <w:t>EU-19a</w:t>
            </w:r>
          </w:p>
        </w:tc>
        <w:tc>
          <w:tcPr>
            <w:tcW w:w="7655" w:type="dxa"/>
          </w:tcPr>
          <w:p w14:paraId="7D38534C" w14:textId="2850D281" w:rsidR="007E1815" w:rsidRPr="009D4E15" w:rsidRDefault="007E1815" w:rsidP="00D819DE">
            <w:pPr>
              <w:spacing w:before="120" w:after="120" w:line="278" w:lineRule="exact"/>
              <w:rPr>
                <w:rFonts w:ascii="Times New Roman" w:hAnsi="Times New Roman" w:cs="Times New Roman"/>
                <w:b/>
                <w:sz w:val="24"/>
              </w:rPr>
            </w:pPr>
            <w:r w:rsidRPr="009D4E15">
              <w:rPr>
                <w:rFonts w:ascii="Times New Roman" w:hAnsi="Times New Roman"/>
                <w:b/>
                <w:sz w:val="24"/>
              </w:rPr>
              <w:t>(Rozdiel medzi celkovými váženými kladnými peňažnými tokmi</w:t>
            </w:r>
            <w:r w:rsidR="009D4E15">
              <w:rPr>
                <w:rFonts w:ascii="Times New Roman" w:hAnsi="Times New Roman"/>
                <w:b/>
                <w:sz w:val="24"/>
              </w:rPr>
              <w:t xml:space="preserve"> a </w:t>
            </w:r>
            <w:r w:rsidRPr="009D4E15">
              <w:rPr>
                <w:rFonts w:ascii="Times New Roman" w:hAnsi="Times New Roman"/>
                <w:b/>
                <w:sz w:val="24"/>
              </w:rPr>
              <w:t>celkovými váženými zápornými peňažnými tokmi, ktoré vyplývajú</w:t>
            </w:r>
            <w:r w:rsidR="009D4E15">
              <w:rPr>
                <w:rFonts w:ascii="Times New Roman" w:hAnsi="Times New Roman"/>
                <w:b/>
                <w:sz w:val="24"/>
              </w:rPr>
              <w:t xml:space="preserve"> z </w:t>
            </w:r>
            <w:r w:rsidRPr="009D4E15">
              <w:rPr>
                <w:rFonts w:ascii="Times New Roman" w:hAnsi="Times New Roman"/>
                <w:b/>
                <w:sz w:val="24"/>
              </w:rPr>
              <w:t>transakcií</w:t>
            </w:r>
            <w:r w:rsidR="009D4E15">
              <w:rPr>
                <w:rFonts w:ascii="Times New Roman" w:hAnsi="Times New Roman"/>
                <w:b/>
                <w:sz w:val="24"/>
              </w:rPr>
              <w:t xml:space="preserve"> v </w:t>
            </w:r>
            <w:r w:rsidRPr="009D4E15">
              <w:rPr>
                <w:rFonts w:ascii="Times New Roman" w:hAnsi="Times New Roman"/>
                <w:b/>
                <w:sz w:val="24"/>
              </w:rPr>
              <w:t>tretích krajinách,</w:t>
            </w:r>
            <w:r w:rsidR="009D4E15">
              <w:rPr>
                <w:rFonts w:ascii="Times New Roman" w:hAnsi="Times New Roman"/>
                <w:b/>
                <w:sz w:val="24"/>
              </w:rPr>
              <w:t xml:space="preserve"> v </w:t>
            </w:r>
            <w:r w:rsidRPr="009D4E15">
              <w:rPr>
                <w:rFonts w:ascii="Times New Roman" w:hAnsi="Times New Roman"/>
                <w:b/>
                <w:sz w:val="24"/>
              </w:rPr>
              <w:t>ktorých existujú obmedzenia prevodu, alebo ktoré sú denominované</w:t>
            </w:r>
            <w:r w:rsidR="009D4E15">
              <w:rPr>
                <w:rFonts w:ascii="Times New Roman" w:hAnsi="Times New Roman"/>
                <w:b/>
                <w:sz w:val="24"/>
              </w:rPr>
              <w:t xml:space="preserve"> v </w:t>
            </w:r>
            <w:r w:rsidRPr="009D4E15">
              <w:rPr>
                <w:rFonts w:ascii="Times New Roman" w:hAnsi="Times New Roman"/>
                <w:b/>
                <w:sz w:val="24"/>
              </w:rPr>
              <w:t>nekonvertibilných menách)</w:t>
            </w:r>
          </w:p>
          <w:p w14:paraId="74E08890" w14:textId="451EFE13" w:rsidR="007E1815" w:rsidRPr="009D4E15" w:rsidRDefault="007E1815" w:rsidP="00D819DE">
            <w:pPr>
              <w:spacing w:after="120" w:line="278" w:lineRule="exact"/>
              <w:jc w:val="both"/>
              <w:rPr>
                <w:rFonts w:ascii="Times New Roman" w:hAnsi="Times New Roman" w:cs="Times New Roman"/>
                <w:sz w:val="24"/>
              </w:rPr>
            </w:pPr>
            <w:r w:rsidRPr="009D4E15">
              <w:rPr>
                <w:rFonts w:ascii="Times New Roman" w:hAnsi="Times New Roman"/>
                <w:sz w:val="24"/>
              </w:rPr>
              <w:t>Ako sa stanovuje</w:t>
            </w:r>
            <w:r w:rsidR="009D4E15">
              <w:rPr>
                <w:rFonts w:ascii="Times New Roman" w:hAnsi="Times New Roman"/>
                <w:sz w:val="24"/>
              </w:rPr>
              <w:t xml:space="preserve"> v </w:t>
            </w:r>
            <w:r w:rsidRPr="009D4E15">
              <w:rPr>
                <w:rFonts w:ascii="Times New Roman" w:hAnsi="Times New Roman"/>
                <w:sz w:val="24"/>
              </w:rPr>
              <w:t>článku 32 ods. 8 delegovaného nariadenia Komisie (EÚ) 2015/61, inštitúcie ako váženú hodnotu zverejňujú prebytok týchto vážených kladných peňažných tokov vo vzťahu</w:t>
            </w:r>
            <w:r w:rsidR="009D4E15">
              <w:rPr>
                <w:rFonts w:ascii="Times New Roman" w:hAnsi="Times New Roman"/>
                <w:sz w:val="24"/>
              </w:rPr>
              <w:t xml:space="preserve"> k </w:t>
            </w:r>
            <w:r w:rsidRPr="009D4E15">
              <w:rPr>
                <w:rFonts w:ascii="Times New Roman" w:hAnsi="Times New Roman"/>
                <w:sz w:val="24"/>
              </w:rPr>
              <w:t>týmto záporným peňažným tokom.</w:t>
            </w:r>
          </w:p>
        </w:tc>
      </w:tr>
      <w:tr w:rsidR="007E1815" w:rsidRPr="009D4E15" w14:paraId="2E7E87F2" w14:textId="77777777" w:rsidTr="00D819DE">
        <w:trPr>
          <w:trHeight w:val="316"/>
        </w:trPr>
        <w:tc>
          <w:tcPr>
            <w:tcW w:w="1384" w:type="dxa"/>
          </w:tcPr>
          <w:p w14:paraId="158F916A"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t>EU-19b</w:t>
            </w:r>
          </w:p>
        </w:tc>
        <w:tc>
          <w:tcPr>
            <w:tcW w:w="7655" w:type="dxa"/>
          </w:tcPr>
          <w:p w14:paraId="3FCA5557" w14:textId="0B3B7B3E" w:rsidR="007E1815" w:rsidRPr="009D4E15" w:rsidRDefault="007E1815" w:rsidP="00D819DE">
            <w:pPr>
              <w:spacing w:before="120" w:after="120" w:line="190" w:lineRule="exact"/>
              <w:jc w:val="both"/>
              <w:rPr>
                <w:rFonts w:ascii="Times New Roman" w:hAnsi="Times New Roman" w:cs="Times New Roman"/>
                <w:b/>
                <w:sz w:val="24"/>
              </w:rPr>
            </w:pPr>
            <w:r w:rsidRPr="009D4E15">
              <w:rPr>
                <w:rFonts w:ascii="Times New Roman" w:hAnsi="Times New Roman"/>
                <w:b/>
                <w:sz w:val="24"/>
              </w:rPr>
              <w:t>(Prebytok kladných peňažných tokov</w:t>
            </w:r>
            <w:r w:rsidR="009D4E15">
              <w:rPr>
                <w:rFonts w:ascii="Times New Roman" w:hAnsi="Times New Roman"/>
                <w:b/>
                <w:sz w:val="24"/>
              </w:rPr>
              <w:t xml:space="preserve"> z </w:t>
            </w:r>
            <w:r w:rsidRPr="009D4E15">
              <w:rPr>
                <w:rFonts w:ascii="Times New Roman" w:hAnsi="Times New Roman"/>
                <w:b/>
                <w:sz w:val="24"/>
              </w:rPr>
              <w:t>prepojenej špecializovanej úverovej inštitúcie)</w:t>
            </w:r>
          </w:p>
          <w:p w14:paraId="5038CF89" w14:textId="065496A4" w:rsidR="007E1815" w:rsidRPr="009D4E15" w:rsidRDefault="007E1815" w:rsidP="00D819DE">
            <w:pPr>
              <w:autoSpaceDE w:val="0"/>
              <w:autoSpaceDN w:val="0"/>
              <w:adjustRightInd w:val="0"/>
              <w:spacing w:after="120"/>
              <w:jc w:val="both"/>
              <w:rPr>
                <w:rFonts w:ascii="Times New Roman" w:hAnsi="Times New Roman" w:cs="Times New Roman"/>
                <w:sz w:val="24"/>
              </w:rPr>
            </w:pPr>
            <w:r w:rsidRPr="009D4E15">
              <w:rPr>
                <w:rFonts w:ascii="Times New Roman" w:hAnsi="Times New Roman"/>
                <w:sz w:val="24"/>
              </w:rPr>
              <w:t>Ako sa stanovuje</w:t>
            </w:r>
            <w:r w:rsidR="009D4E15">
              <w:rPr>
                <w:rFonts w:ascii="Times New Roman" w:hAnsi="Times New Roman"/>
                <w:sz w:val="24"/>
              </w:rPr>
              <w:t xml:space="preserve"> v </w:t>
            </w:r>
            <w:r w:rsidRPr="009D4E15">
              <w:rPr>
                <w:rFonts w:ascii="Times New Roman" w:hAnsi="Times New Roman"/>
                <w:sz w:val="24"/>
              </w:rPr>
              <w:t>článku 2 ods. 3 písm. e)</w:t>
            </w:r>
            <w:r w:rsidR="009D4E15">
              <w:rPr>
                <w:rFonts w:ascii="Times New Roman" w:hAnsi="Times New Roman"/>
                <w:sz w:val="24"/>
              </w:rPr>
              <w:t xml:space="preserve"> a v </w:t>
            </w:r>
            <w:r w:rsidRPr="009D4E15">
              <w:rPr>
                <w:rFonts w:ascii="Times New Roman" w:hAnsi="Times New Roman"/>
                <w:sz w:val="24"/>
              </w:rPr>
              <w:t>článku 33 ods. 6 delegovaného nariadenia Komisie (EÚ) 2015/61, úverové inštitúcie na účely zverejňovania na konsolidovanom základe zverejňujú ako váženú hodnotu kladné peňažné toky vyplývajúce</w:t>
            </w:r>
            <w:r w:rsidR="009D4E15">
              <w:rPr>
                <w:rFonts w:ascii="Times New Roman" w:hAnsi="Times New Roman"/>
                <w:sz w:val="24"/>
              </w:rPr>
              <w:t xml:space="preserve"> z </w:t>
            </w:r>
            <w:r w:rsidRPr="009D4E15">
              <w:rPr>
                <w:rFonts w:ascii="Times New Roman" w:hAnsi="Times New Roman"/>
                <w:sz w:val="24"/>
              </w:rPr>
              <w:t>prepojenej špecializovanej úverovej inštitúcie uvedenej</w:t>
            </w:r>
            <w:r w:rsidR="009D4E15">
              <w:rPr>
                <w:rFonts w:ascii="Times New Roman" w:hAnsi="Times New Roman"/>
                <w:sz w:val="24"/>
              </w:rPr>
              <w:t xml:space="preserve"> v </w:t>
            </w:r>
            <w:r w:rsidRPr="009D4E15">
              <w:rPr>
                <w:rFonts w:ascii="Times New Roman" w:hAnsi="Times New Roman"/>
                <w:sz w:val="24"/>
              </w:rPr>
              <w:t>článku 33 ods. 3</w:t>
            </w:r>
            <w:r w:rsidR="009D4E15">
              <w:rPr>
                <w:rFonts w:ascii="Times New Roman" w:hAnsi="Times New Roman"/>
                <w:sz w:val="24"/>
              </w:rPr>
              <w:t xml:space="preserve"> a </w:t>
            </w:r>
            <w:r w:rsidRPr="009D4E15">
              <w:rPr>
                <w:rFonts w:ascii="Times New Roman" w:hAnsi="Times New Roman"/>
                <w:sz w:val="24"/>
              </w:rPr>
              <w:t>4 delegovaného nariadenia Komisie (EÚ) 2015/61, ktoré presahujú výšku záporných peňažných tokov vyplývajúcich</w:t>
            </w:r>
            <w:r w:rsidR="009D4E15">
              <w:rPr>
                <w:rFonts w:ascii="Times New Roman" w:hAnsi="Times New Roman"/>
                <w:sz w:val="24"/>
              </w:rPr>
              <w:t xml:space="preserve"> z </w:t>
            </w:r>
            <w:r w:rsidRPr="009D4E15">
              <w:rPr>
                <w:rFonts w:ascii="Times New Roman" w:hAnsi="Times New Roman"/>
                <w:sz w:val="24"/>
              </w:rPr>
              <w:t>toho istého podniku.</w:t>
            </w:r>
          </w:p>
        </w:tc>
      </w:tr>
      <w:tr w:rsidR="007E1815" w:rsidRPr="009D4E15" w14:paraId="707030E1" w14:textId="77777777" w:rsidTr="00D819DE">
        <w:trPr>
          <w:trHeight w:val="316"/>
        </w:trPr>
        <w:tc>
          <w:tcPr>
            <w:tcW w:w="1384" w:type="dxa"/>
          </w:tcPr>
          <w:p w14:paraId="47322C33"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t>20</w:t>
            </w:r>
          </w:p>
        </w:tc>
        <w:tc>
          <w:tcPr>
            <w:tcW w:w="7655" w:type="dxa"/>
          </w:tcPr>
          <w:p w14:paraId="6AD67FD5" w14:textId="77777777" w:rsidR="007E1815" w:rsidRPr="009D4E15" w:rsidRDefault="007E1815" w:rsidP="00D819DE">
            <w:pPr>
              <w:spacing w:before="120" w:after="120" w:line="190" w:lineRule="exact"/>
              <w:rPr>
                <w:rFonts w:ascii="Times New Roman" w:hAnsi="Times New Roman" w:cs="Times New Roman"/>
                <w:b/>
                <w:sz w:val="24"/>
              </w:rPr>
            </w:pPr>
            <w:r w:rsidRPr="009D4E15">
              <w:rPr>
                <w:rFonts w:ascii="Times New Roman" w:hAnsi="Times New Roman"/>
                <w:b/>
                <w:sz w:val="24"/>
              </w:rPr>
              <w:t>CELKOVÉ KLADNÉ PEŇAŽNÉ TOKY</w:t>
            </w:r>
          </w:p>
          <w:p w14:paraId="41F31061" w14:textId="5448C765" w:rsidR="007E1815" w:rsidRPr="009D4E15" w:rsidRDefault="007E1815" w:rsidP="00D819DE">
            <w:pPr>
              <w:spacing w:after="120" w:line="288" w:lineRule="exact"/>
              <w:rPr>
                <w:rFonts w:ascii="Times New Roman" w:hAnsi="Times New Roman" w:cs="Times New Roman"/>
                <w:sz w:val="24"/>
              </w:rPr>
            </w:pPr>
            <w:r w:rsidRPr="009D4E15">
              <w:rPr>
                <w:rFonts w:ascii="Times New Roman" w:hAnsi="Times New Roman"/>
                <w:sz w:val="24"/>
              </w:rPr>
              <w:t>Inštitúcie zverejňujú súčet neváženej</w:t>
            </w:r>
            <w:r w:rsidR="009D4E15">
              <w:rPr>
                <w:rFonts w:ascii="Times New Roman" w:hAnsi="Times New Roman"/>
                <w:sz w:val="24"/>
              </w:rPr>
              <w:t xml:space="preserve"> a </w:t>
            </w:r>
            <w:r w:rsidRPr="009D4E15">
              <w:rPr>
                <w:rFonts w:ascii="Times New Roman" w:hAnsi="Times New Roman"/>
                <w:sz w:val="24"/>
              </w:rPr>
              <w:t>váženej hodnoty nasledujúcich položiek podľa týchto pokynov:</w:t>
            </w:r>
          </w:p>
          <w:p w14:paraId="24C838C6" w14:textId="77777777"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 xml:space="preserve">Riadok 17: Zabezpečené pôžičky (napr. obrátené </w:t>
            </w:r>
            <w:proofErr w:type="spellStart"/>
            <w:r w:rsidRPr="009D4E15">
              <w:rPr>
                <w:rFonts w:ascii="Times New Roman" w:hAnsi="Times New Roman"/>
                <w:sz w:val="24"/>
              </w:rPr>
              <w:t>repo</w:t>
            </w:r>
            <w:proofErr w:type="spellEnd"/>
            <w:r w:rsidRPr="009D4E15">
              <w:rPr>
                <w:rFonts w:ascii="Times New Roman" w:hAnsi="Times New Roman"/>
                <w:sz w:val="24"/>
              </w:rPr>
              <w:t xml:space="preserve"> obchody) tohto vzoru.</w:t>
            </w:r>
          </w:p>
          <w:p w14:paraId="3036CE1C" w14:textId="281BB7E8"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Riadok 18: Kladné peňažné toky</w:t>
            </w:r>
            <w:r w:rsidR="009D4E15">
              <w:rPr>
                <w:rFonts w:ascii="Times New Roman" w:hAnsi="Times New Roman"/>
                <w:sz w:val="24"/>
              </w:rPr>
              <w:t xml:space="preserve"> z </w:t>
            </w:r>
            <w:r w:rsidRPr="009D4E15">
              <w:rPr>
                <w:rFonts w:ascii="Times New Roman" w:hAnsi="Times New Roman"/>
                <w:sz w:val="24"/>
              </w:rPr>
              <w:t>plne bezproblémových expozícií tohto vzoru.</w:t>
            </w:r>
          </w:p>
          <w:p w14:paraId="418DDB45" w14:textId="77777777"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Riadok 19: Ostatné kladné peňažné toky tohto vzoru.</w:t>
            </w:r>
          </w:p>
          <w:p w14:paraId="7A21AA66" w14:textId="77777777"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mínus:</w:t>
            </w:r>
          </w:p>
          <w:p w14:paraId="7892FE11" w14:textId="0088D2A1"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Riadok EU-19a: (Rozdiel medzi celkovými váženými kladnými peňažnými tokmi</w:t>
            </w:r>
            <w:r w:rsidR="009D4E15">
              <w:rPr>
                <w:rFonts w:ascii="Times New Roman" w:hAnsi="Times New Roman"/>
                <w:sz w:val="24"/>
              </w:rPr>
              <w:t xml:space="preserve"> a </w:t>
            </w:r>
            <w:r w:rsidRPr="009D4E15">
              <w:rPr>
                <w:rFonts w:ascii="Times New Roman" w:hAnsi="Times New Roman"/>
                <w:sz w:val="24"/>
              </w:rPr>
              <w:t>celkovými váženými zápornými peňažnými tokmi, ktoré vyplývajú</w:t>
            </w:r>
            <w:r w:rsidR="009D4E15">
              <w:rPr>
                <w:rFonts w:ascii="Times New Roman" w:hAnsi="Times New Roman"/>
                <w:sz w:val="24"/>
              </w:rPr>
              <w:t xml:space="preserve"> z </w:t>
            </w:r>
            <w:r w:rsidRPr="009D4E15">
              <w:rPr>
                <w:rFonts w:ascii="Times New Roman" w:hAnsi="Times New Roman"/>
                <w:sz w:val="24"/>
              </w:rPr>
              <w:t>transakcií</w:t>
            </w:r>
            <w:r w:rsidR="009D4E15">
              <w:rPr>
                <w:rFonts w:ascii="Times New Roman" w:hAnsi="Times New Roman"/>
                <w:sz w:val="24"/>
              </w:rPr>
              <w:t xml:space="preserve"> v </w:t>
            </w:r>
            <w:r w:rsidRPr="009D4E15">
              <w:rPr>
                <w:rFonts w:ascii="Times New Roman" w:hAnsi="Times New Roman"/>
                <w:sz w:val="24"/>
              </w:rPr>
              <w:t>tretích krajinách,</w:t>
            </w:r>
            <w:r w:rsidR="009D4E15">
              <w:rPr>
                <w:rFonts w:ascii="Times New Roman" w:hAnsi="Times New Roman"/>
                <w:sz w:val="24"/>
              </w:rPr>
              <w:t xml:space="preserve"> v </w:t>
            </w:r>
            <w:r w:rsidRPr="009D4E15">
              <w:rPr>
                <w:rFonts w:ascii="Times New Roman" w:hAnsi="Times New Roman"/>
                <w:sz w:val="24"/>
              </w:rPr>
              <w:t>ktorých existujú obmedzenia prevodu, alebo ktoré sú denominované</w:t>
            </w:r>
            <w:r w:rsidR="009D4E15">
              <w:rPr>
                <w:rFonts w:ascii="Times New Roman" w:hAnsi="Times New Roman"/>
                <w:sz w:val="24"/>
              </w:rPr>
              <w:t xml:space="preserve"> v </w:t>
            </w:r>
            <w:r w:rsidRPr="009D4E15">
              <w:rPr>
                <w:rFonts w:ascii="Times New Roman" w:hAnsi="Times New Roman"/>
                <w:sz w:val="24"/>
              </w:rPr>
              <w:t>nekonvertibilných menách) tohto vzoru.</w:t>
            </w:r>
          </w:p>
          <w:p w14:paraId="3A29CB7C" w14:textId="5C06ADE8" w:rsidR="007E1815" w:rsidRPr="009D4E15"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D4E15">
              <w:rPr>
                <w:rFonts w:ascii="Times New Roman" w:hAnsi="Times New Roman"/>
                <w:sz w:val="24"/>
              </w:rPr>
              <w:t>Riadok EU-19b: (Prebytok kladných peňažných tokov</w:t>
            </w:r>
            <w:r w:rsidR="009D4E15">
              <w:rPr>
                <w:rFonts w:ascii="Times New Roman" w:hAnsi="Times New Roman"/>
                <w:sz w:val="24"/>
              </w:rPr>
              <w:t xml:space="preserve"> z </w:t>
            </w:r>
            <w:r w:rsidRPr="009D4E15">
              <w:rPr>
                <w:rFonts w:ascii="Times New Roman" w:hAnsi="Times New Roman"/>
                <w:sz w:val="24"/>
              </w:rPr>
              <w:t>prepojenej špecializovanej úverovej inštitúcie) tohto vzoru.</w:t>
            </w:r>
          </w:p>
        </w:tc>
      </w:tr>
      <w:tr w:rsidR="007E1815" w:rsidRPr="009D4E15" w14:paraId="69EE9490" w14:textId="77777777" w:rsidTr="00D819DE">
        <w:trPr>
          <w:trHeight w:val="316"/>
        </w:trPr>
        <w:tc>
          <w:tcPr>
            <w:tcW w:w="1384" w:type="dxa"/>
          </w:tcPr>
          <w:p w14:paraId="1B1029F7"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lastRenderedPageBreak/>
              <w:t>EU-20a</w:t>
            </w:r>
          </w:p>
        </w:tc>
        <w:tc>
          <w:tcPr>
            <w:tcW w:w="7655" w:type="dxa"/>
          </w:tcPr>
          <w:p w14:paraId="5626B6E1" w14:textId="77777777" w:rsidR="007E1815" w:rsidRPr="009D4E15" w:rsidRDefault="007E1815" w:rsidP="009D4E15">
            <w:pPr>
              <w:keepNext/>
              <w:keepLines/>
              <w:spacing w:before="120" w:after="120" w:line="190" w:lineRule="exact"/>
              <w:rPr>
                <w:rFonts w:ascii="Times New Roman" w:hAnsi="Times New Roman" w:cs="Times New Roman"/>
                <w:b/>
                <w:sz w:val="24"/>
              </w:rPr>
            </w:pPr>
            <w:r w:rsidRPr="009D4E15">
              <w:rPr>
                <w:rFonts w:ascii="Times New Roman" w:hAnsi="Times New Roman"/>
                <w:b/>
                <w:sz w:val="24"/>
              </w:rPr>
              <w:t>Plne vyňaté kladné peňažné toky</w:t>
            </w:r>
          </w:p>
          <w:p w14:paraId="2642C0E3" w14:textId="19AC10F7" w:rsidR="007E1815" w:rsidRPr="009D4E15" w:rsidRDefault="007E1815" w:rsidP="009D4E15">
            <w:pPr>
              <w:keepNext/>
              <w:keepLines/>
              <w:spacing w:after="120"/>
              <w:jc w:val="both"/>
              <w:rPr>
                <w:rFonts w:ascii="Times New Roman" w:hAnsi="Times New Roman" w:cs="Times New Roman"/>
                <w:b/>
                <w:sz w:val="24"/>
              </w:rPr>
            </w:pPr>
            <w:r w:rsidRPr="009D4E15">
              <w:rPr>
                <w:rFonts w:ascii="Times New Roman" w:hAnsi="Times New Roman"/>
                <w:sz w:val="24"/>
              </w:rPr>
              <w:t>Inštitúcie zverejňujú ako neváženú hodnotu</w:t>
            </w:r>
            <w:r w:rsidR="009D4E15">
              <w:rPr>
                <w:rFonts w:ascii="Times New Roman" w:hAnsi="Times New Roman"/>
                <w:sz w:val="24"/>
              </w:rPr>
              <w:t xml:space="preserve"> a </w:t>
            </w:r>
            <w:r w:rsidRPr="009D4E15">
              <w:rPr>
                <w:rFonts w:ascii="Times New Roman" w:hAnsi="Times New Roman"/>
                <w:sz w:val="24"/>
              </w:rPr>
              <w:t>ako váženú hodnotu celkovú výšku aktív/splatných peňazí/maximálnej hodnoty, ktorú možno čerpať,</w:t>
            </w:r>
            <w:r w:rsidR="009D4E15">
              <w:rPr>
                <w:rFonts w:ascii="Times New Roman" w:hAnsi="Times New Roman"/>
                <w:sz w:val="24"/>
              </w:rPr>
              <w:t xml:space="preserve"> a </w:t>
            </w:r>
            <w:r w:rsidRPr="009D4E15">
              <w:rPr>
                <w:rFonts w:ascii="Times New Roman" w:hAnsi="Times New Roman"/>
                <w:sz w:val="24"/>
              </w:rPr>
              <w:t>ich príslušné celkové kladné peňažné toky, ktoré sú vyňaté</w:t>
            </w:r>
            <w:r w:rsidR="009D4E15">
              <w:rPr>
                <w:rFonts w:ascii="Times New Roman" w:hAnsi="Times New Roman"/>
                <w:sz w:val="24"/>
              </w:rPr>
              <w:t xml:space="preserve"> z </w:t>
            </w:r>
            <w:r w:rsidRPr="009D4E15">
              <w:rPr>
                <w:rFonts w:ascii="Times New Roman" w:hAnsi="Times New Roman"/>
                <w:sz w:val="24"/>
              </w:rPr>
              <w:t>horného ohraničenia kladných peňažných tokov</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článkami 32, 33</w:t>
            </w:r>
            <w:r w:rsidR="009D4E15">
              <w:rPr>
                <w:rFonts w:ascii="Times New Roman" w:hAnsi="Times New Roman"/>
                <w:sz w:val="24"/>
              </w:rPr>
              <w:t xml:space="preserve"> a </w:t>
            </w:r>
            <w:r w:rsidRPr="009D4E15">
              <w:rPr>
                <w:rFonts w:ascii="Times New Roman" w:hAnsi="Times New Roman"/>
                <w:sz w:val="24"/>
              </w:rPr>
              <w:t>34 delegovaného nariadenia Komisie (EÚ) 2015/61.</w:t>
            </w:r>
          </w:p>
        </w:tc>
      </w:tr>
      <w:tr w:rsidR="007E1815" w:rsidRPr="009D4E15" w14:paraId="00E79BE0" w14:textId="77777777" w:rsidTr="00D819DE">
        <w:trPr>
          <w:trHeight w:val="316"/>
        </w:trPr>
        <w:tc>
          <w:tcPr>
            <w:tcW w:w="1384" w:type="dxa"/>
          </w:tcPr>
          <w:p w14:paraId="00C638D3"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t>EU-20b</w:t>
            </w:r>
          </w:p>
        </w:tc>
        <w:tc>
          <w:tcPr>
            <w:tcW w:w="7655" w:type="dxa"/>
          </w:tcPr>
          <w:p w14:paraId="4F7EA854" w14:textId="44FDB3B3" w:rsidR="007E1815" w:rsidRPr="009D4E15" w:rsidRDefault="007E1815" w:rsidP="00D819DE">
            <w:pPr>
              <w:spacing w:before="120" w:after="120" w:line="190" w:lineRule="exact"/>
              <w:rPr>
                <w:rFonts w:ascii="Times New Roman" w:hAnsi="Times New Roman" w:cs="Times New Roman"/>
                <w:b/>
                <w:sz w:val="24"/>
              </w:rPr>
            </w:pPr>
            <w:r w:rsidRPr="009D4E15">
              <w:rPr>
                <w:rFonts w:ascii="Times New Roman" w:hAnsi="Times New Roman"/>
                <w:b/>
                <w:sz w:val="24"/>
              </w:rPr>
              <w:t>kladné peňažné toky podliehajúce hornému ohraničeniu 90</w:t>
            </w:r>
            <w:r w:rsidR="009D4E15">
              <w:rPr>
                <w:rFonts w:ascii="Times New Roman" w:hAnsi="Times New Roman"/>
                <w:b/>
                <w:sz w:val="24"/>
              </w:rPr>
              <w:t> %</w:t>
            </w:r>
          </w:p>
          <w:p w14:paraId="490C88C4" w14:textId="5ECEDBF8" w:rsidR="007E1815" w:rsidRPr="009D4E15" w:rsidRDefault="007E1815" w:rsidP="00D819DE">
            <w:pPr>
              <w:spacing w:after="120"/>
              <w:jc w:val="both"/>
              <w:rPr>
                <w:rFonts w:ascii="Times New Roman" w:hAnsi="Times New Roman" w:cs="Times New Roman"/>
                <w:b/>
                <w:sz w:val="24"/>
              </w:rPr>
            </w:pPr>
            <w:r w:rsidRPr="009D4E15">
              <w:rPr>
                <w:rFonts w:ascii="Times New Roman" w:hAnsi="Times New Roman"/>
                <w:sz w:val="24"/>
              </w:rPr>
              <w:t>Inštitúcie zverejňujú ako neváženú hodnotu</w:t>
            </w:r>
            <w:r w:rsidR="009D4E15">
              <w:rPr>
                <w:rFonts w:ascii="Times New Roman" w:hAnsi="Times New Roman"/>
                <w:sz w:val="24"/>
              </w:rPr>
              <w:t xml:space="preserve"> a </w:t>
            </w:r>
            <w:r w:rsidRPr="009D4E15">
              <w:rPr>
                <w:rFonts w:ascii="Times New Roman" w:hAnsi="Times New Roman"/>
                <w:sz w:val="24"/>
              </w:rPr>
              <w:t>ako váženú hodnotu celkovú výšku aktív/splatných peňazí/maximálnej hodnoty, ktorú možno čerpať,</w:t>
            </w:r>
            <w:r w:rsidR="009D4E15">
              <w:rPr>
                <w:rFonts w:ascii="Times New Roman" w:hAnsi="Times New Roman"/>
                <w:sz w:val="24"/>
              </w:rPr>
              <w:t xml:space="preserve"> a </w:t>
            </w:r>
            <w:r w:rsidRPr="009D4E15">
              <w:rPr>
                <w:rFonts w:ascii="Times New Roman" w:hAnsi="Times New Roman"/>
                <w:sz w:val="24"/>
              </w:rPr>
              <w:t>ich príslušné celkové kladné peňažné toky, na ktoré sa vzťahuje horné ohraničenie kladných peňažných tokov vo výške 90</w:t>
            </w:r>
            <w:r w:rsidR="009D4E15">
              <w:rPr>
                <w:rFonts w:ascii="Times New Roman" w:hAnsi="Times New Roman"/>
                <w:sz w:val="24"/>
              </w:rPr>
              <w:t> %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článkami 32, 33</w:t>
            </w:r>
            <w:r w:rsidR="009D4E15">
              <w:rPr>
                <w:rFonts w:ascii="Times New Roman" w:hAnsi="Times New Roman"/>
                <w:sz w:val="24"/>
              </w:rPr>
              <w:t xml:space="preserve"> a </w:t>
            </w:r>
            <w:r w:rsidRPr="009D4E15">
              <w:rPr>
                <w:rFonts w:ascii="Times New Roman" w:hAnsi="Times New Roman"/>
                <w:sz w:val="24"/>
              </w:rPr>
              <w:t>34 delegovaného nariadenia Komisie (EÚ) 2015/61.</w:t>
            </w:r>
          </w:p>
        </w:tc>
      </w:tr>
      <w:tr w:rsidR="007E1815" w:rsidRPr="009D4E15" w14:paraId="7677F56D" w14:textId="77777777" w:rsidTr="00D819DE">
        <w:trPr>
          <w:trHeight w:val="316"/>
        </w:trPr>
        <w:tc>
          <w:tcPr>
            <w:tcW w:w="1384" w:type="dxa"/>
          </w:tcPr>
          <w:p w14:paraId="50539D97"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t>EU-20c</w:t>
            </w:r>
          </w:p>
        </w:tc>
        <w:tc>
          <w:tcPr>
            <w:tcW w:w="7655" w:type="dxa"/>
          </w:tcPr>
          <w:p w14:paraId="32D1930F" w14:textId="7878EEE1" w:rsidR="007E1815" w:rsidRPr="009D4E15" w:rsidRDefault="007E1815" w:rsidP="00D819DE">
            <w:pPr>
              <w:spacing w:before="120" w:after="120" w:line="190" w:lineRule="exact"/>
              <w:rPr>
                <w:rFonts w:ascii="Times New Roman" w:hAnsi="Times New Roman" w:cs="Times New Roman"/>
                <w:b/>
                <w:sz w:val="24"/>
              </w:rPr>
            </w:pPr>
            <w:r w:rsidRPr="009D4E15">
              <w:rPr>
                <w:rFonts w:ascii="Times New Roman" w:hAnsi="Times New Roman"/>
                <w:b/>
                <w:sz w:val="24"/>
              </w:rPr>
              <w:t>Kladné peňažné toky podliehajúce hornému ohraničeniu 75</w:t>
            </w:r>
            <w:r w:rsidR="009D4E15">
              <w:rPr>
                <w:rFonts w:ascii="Times New Roman" w:hAnsi="Times New Roman"/>
                <w:b/>
                <w:sz w:val="24"/>
              </w:rPr>
              <w:t> %</w:t>
            </w:r>
          </w:p>
          <w:p w14:paraId="2D03664A" w14:textId="577890DA" w:rsidR="007E1815" w:rsidRPr="009D4E15" w:rsidRDefault="007E1815" w:rsidP="00D819DE">
            <w:pPr>
              <w:spacing w:after="120" w:line="288" w:lineRule="exact"/>
              <w:jc w:val="both"/>
              <w:rPr>
                <w:rFonts w:ascii="Times New Roman" w:hAnsi="Times New Roman" w:cs="Times New Roman"/>
                <w:b/>
                <w:sz w:val="24"/>
              </w:rPr>
            </w:pPr>
            <w:r w:rsidRPr="009D4E15">
              <w:rPr>
                <w:rFonts w:ascii="Times New Roman" w:hAnsi="Times New Roman"/>
                <w:sz w:val="24"/>
              </w:rPr>
              <w:t>Inštitúcie zverejňujú ako neváženú hodnotu</w:t>
            </w:r>
            <w:r w:rsidR="009D4E15">
              <w:rPr>
                <w:rFonts w:ascii="Times New Roman" w:hAnsi="Times New Roman"/>
                <w:sz w:val="24"/>
              </w:rPr>
              <w:t xml:space="preserve"> a </w:t>
            </w:r>
            <w:r w:rsidRPr="009D4E15">
              <w:rPr>
                <w:rFonts w:ascii="Times New Roman" w:hAnsi="Times New Roman"/>
                <w:sz w:val="24"/>
              </w:rPr>
              <w:t>ako váženú hodnotu celkovú výšku aktív/splatných peňazí/maximálnej hodnoty, ktorú možno čerpať,</w:t>
            </w:r>
            <w:r w:rsidR="009D4E15">
              <w:rPr>
                <w:rFonts w:ascii="Times New Roman" w:hAnsi="Times New Roman"/>
                <w:sz w:val="24"/>
              </w:rPr>
              <w:t xml:space="preserve"> a </w:t>
            </w:r>
            <w:r w:rsidRPr="009D4E15">
              <w:rPr>
                <w:rFonts w:ascii="Times New Roman" w:hAnsi="Times New Roman"/>
                <w:sz w:val="24"/>
              </w:rPr>
              <w:t>ich príslušné celkové kladné peňažné toky, na ktoré sa vzťahuje horné ohraničenie kladných peňažných tokov vo výške 75</w:t>
            </w:r>
            <w:r w:rsidR="009D4E15">
              <w:rPr>
                <w:rFonts w:ascii="Times New Roman" w:hAnsi="Times New Roman"/>
                <w:sz w:val="24"/>
              </w:rPr>
              <w:t> %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článkami 32, 33</w:t>
            </w:r>
            <w:r w:rsidR="009D4E15">
              <w:rPr>
                <w:rFonts w:ascii="Times New Roman" w:hAnsi="Times New Roman"/>
                <w:sz w:val="24"/>
              </w:rPr>
              <w:t xml:space="preserve"> a </w:t>
            </w:r>
            <w:r w:rsidRPr="009D4E15">
              <w:rPr>
                <w:rFonts w:ascii="Times New Roman" w:hAnsi="Times New Roman"/>
                <w:sz w:val="24"/>
              </w:rPr>
              <w:t>34 delegovaného nariadenia Komisie (EÚ) 2015/61.</w:t>
            </w:r>
          </w:p>
        </w:tc>
      </w:tr>
      <w:tr w:rsidR="007E1815" w:rsidRPr="009D4E15" w14:paraId="520F14A1" w14:textId="77777777" w:rsidTr="00D819DE">
        <w:trPr>
          <w:trHeight w:val="316"/>
        </w:trPr>
        <w:tc>
          <w:tcPr>
            <w:tcW w:w="1384" w:type="dxa"/>
          </w:tcPr>
          <w:p w14:paraId="730F60EA"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t>EU-21</w:t>
            </w:r>
          </w:p>
        </w:tc>
        <w:tc>
          <w:tcPr>
            <w:tcW w:w="7655" w:type="dxa"/>
          </w:tcPr>
          <w:p w14:paraId="3005D6D6" w14:textId="77777777" w:rsidR="007E1815" w:rsidRPr="009D4E15" w:rsidRDefault="007E1815" w:rsidP="00D819DE">
            <w:pPr>
              <w:spacing w:before="120" w:after="120" w:line="190" w:lineRule="exact"/>
              <w:rPr>
                <w:rFonts w:ascii="Times New Roman" w:hAnsi="Times New Roman"/>
                <w:sz w:val="24"/>
              </w:rPr>
            </w:pPr>
            <w:r w:rsidRPr="009D4E15">
              <w:rPr>
                <w:rFonts w:ascii="Times New Roman" w:hAnsi="Times New Roman"/>
                <w:b/>
                <w:sz w:val="24"/>
              </w:rPr>
              <w:t>VANKÚŠ LIKVIDITY</w:t>
            </w:r>
          </w:p>
          <w:p w14:paraId="6B0FA3E2" w14:textId="63999C0C" w:rsidR="007E1815" w:rsidRPr="009D4E15" w:rsidRDefault="007E1815" w:rsidP="00D819DE">
            <w:pPr>
              <w:autoSpaceDE w:val="0"/>
              <w:autoSpaceDN w:val="0"/>
              <w:adjustRightInd w:val="0"/>
              <w:spacing w:after="120"/>
              <w:jc w:val="both"/>
              <w:rPr>
                <w:rFonts w:ascii="Times New Roman" w:hAnsi="Times New Roman" w:cs="Times New Roman"/>
                <w:b/>
                <w:sz w:val="24"/>
              </w:rPr>
            </w:pPr>
            <w:r w:rsidRPr="009D4E15">
              <w:rPr>
                <w:rFonts w:ascii="Times New Roman" w:hAnsi="Times New Roman"/>
                <w:sz w:val="24"/>
              </w:rPr>
              <w:t>Inštitúcie ako upravenú hodnotu zverejňujú hodnotu vankúša likvidity inštitúcie vypočítanú</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prílohou I – Vzorce na určenie zloženia vankúša likvidity podľa delegovaného nariadenia Komisie (EÚ) 2015/61.</w:t>
            </w:r>
          </w:p>
        </w:tc>
      </w:tr>
      <w:tr w:rsidR="007E1815" w:rsidRPr="009D4E15" w14:paraId="1BE8238A" w14:textId="77777777" w:rsidTr="00D819DE">
        <w:trPr>
          <w:trHeight w:val="316"/>
        </w:trPr>
        <w:tc>
          <w:tcPr>
            <w:tcW w:w="1384" w:type="dxa"/>
          </w:tcPr>
          <w:p w14:paraId="27974453"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t>22</w:t>
            </w:r>
          </w:p>
        </w:tc>
        <w:tc>
          <w:tcPr>
            <w:tcW w:w="7655" w:type="dxa"/>
          </w:tcPr>
          <w:p w14:paraId="7124E3D7" w14:textId="77777777" w:rsidR="007E1815" w:rsidRPr="009D4E15" w:rsidRDefault="007E1815" w:rsidP="00D819DE">
            <w:pPr>
              <w:spacing w:before="120" w:after="120" w:line="190" w:lineRule="exact"/>
              <w:rPr>
                <w:rFonts w:ascii="Times New Roman" w:hAnsi="Times New Roman"/>
                <w:sz w:val="24"/>
              </w:rPr>
            </w:pPr>
            <w:r w:rsidRPr="009D4E15">
              <w:rPr>
                <w:rFonts w:ascii="Times New Roman" w:hAnsi="Times New Roman"/>
                <w:b/>
                <w:sz w:val="24"/>
              </w:rPr>
              <w:t>CELKOVÉ ČISTÉ ZÁPORNÉ PEŇAŽNÉ TOKY</w:t>
            </w:r>
          </w:p>
          <w:p w14:paraId="2F459815" w14:textId="40E85A24" w:rsidR="007E1815" w:rsidRPr="009D4E15" w:rsidRDefault="007E1815" w:rsidP="00D819DE">
            <w:pPr>
              <w:autoSpaceDE w:val="0"/>
              <w:autoSpaceDN w:val="0"/>
              <w:adjustRightInd w:val="0"/>
              <w:spacing w:after="120"/>
              <w:jc w:val="both"/>
              <w:rPr>
                <w:rFonts w:ascii="Times New Roman" w:hAnsi="Times New Roman" w:cs="Times New Roman"/>
                <w:sz w:val="24"/>
              </w:rPr>
            </w:pPr>
            <w:r w:rsidRPr="009D4E15">
              <w:rPr>
                <w:rFonts w:ascii="Times New Roman" w:hAnsi="Times New Roman"/>
                <w:sz w:val="24"/>
              </w:rPr>
              <w:t>Inštitúcie ako upravenú hodnotu zverejňujú čistý záporný tok likvidity, ktorý sa rovná celkovým záporným peňažným tokom po odpočítaní zníženia</w:t>
            </w:r>
            <w:r w:rsidR="009D4E15">
              <w:rPr>
                <w:rFonts w:ascii="Times New Roman" w:hAnsi="Times New Roman"/>
                <w:sz w:val="24"/>
              </w:rPr>
              <w:t xml:space="preserve"> o </w:t>
            </w:r>
            <w:r w:rsidRPr="009D4E15">
              <w:rPr>
                <w:rFonts w:ascii="Times New Roman" w:hAnsi="Times New Roman"/>
                <w:sz w:val="24"/>
              </w:rPr>
              <w:t>plne vyňaté kladné peňažné toky, zníženia</w:t>
            </w:r>
            <w:r w:rsidR="009D4E15">
              <w:rPr>
                <w:rFonts w:ascii="Times New Roman" w:hAnsi="Times New Roman"/>
                <w:sz w:val="24"/>
              </w:rPr>
              <w:t xml:space="preserve"> o </w:t>
            </w:r>
            <w:r w:rsidRPr="009D4E15">
              <w:rPr>
                <w:rFonts w:ascii="Times New Roman" w:hAnsi="Times New Roman"/>
                <w:sz w:val="24"/>
              </w:rPr>
              <w:t>kladné peňažné toky podliehajúce 90</w:t>
            </w:r>
            <w:r w:rsidR="009D4E15">
              <w:rPr>
                <w:rFonts w:ascii="Times New Roman" w:hAnsi="Times New Roman"/>
                <w:sz w:val="24"/>
              </w:rPr>
              <w:t> %</w:t>
            </w:r>
            <w:r w:rsidRPr="009D4E15">
              <w:rPr>
                <w:rFonts w:ascii="Times New Roman" w:hAnsi="Times New Roman"/>
                <w:sz w:val="24"/>
              </w:rPr>
              <w:t xml:space="preserve"> hornému ohraničeniu</w:t>
            </w:r>
            <w:r w:rsidR="009D4E15">
              <w:rPr>
                <w:rFonts w:ascii="Times New Roman" w:hAnsi="Times New Roman"/>
                <w:sz w:val="24"/>
              </w:rPr>
              <w:t xml:space="preserve"> a </w:t>
            </w:r>
            <w:r w:rsidRPr="009D4E15">
              <w:rPr>
                <w:rFonts w:ascii="Times New Roman" w:hAnsi="Times New Roman"/>
                <w:sz w:val="24"/>
              </w:rPr>
              <w:t>zníženia</w:t>
            </w:r>
            <w:r w:rsidR="009D4E15">
              <w:rPr>
                <w:rFonts w:ascii="Times New Roman" w:hAnsi="Times New Roman"/>
                <w:sz w:val="24"/>
              </w:rPr>
              <w:t xml:space="preserve"> o </w:t>
            </w:r>
            <w:r w:rsidRPr="009D4E15">
              <w:rPr>
                <w:rFonts w:ascii="Times New Roman" w:hAnsi="Times New Roman"/>
                <w:sz w:val="24"/>
              </w:rPr>
              <w:t>kladné peňažné toky podliehajúce 75</w:t>
            </w:r>
            <w:r w:rsidR="009D4E15">
              <w:rPr>
                <w:rFonts w:ascii="Times New Roman" w:hAnsi="Times New Roman"/>
                <w:sz w:val="24"/>
              </w:rPr>
              <w:t> %</w:t>
            </w:r>
            <w:r w:rsidRPr="009D4E15">
              <w:rPr>
                <w:rFonts w:ascii="Times New Roman" w:hAnsi="Times New Roman"/>
                <w:sz w:val="24"/>
              </w:rPr>
              <w:t xml:space="preserve"> hornému ohraničeniu.</w:t>
            </w:r>
          </w:p>
        </w:tc>
      </w:tr>
      <w:tr w:rsidR="007E1815" w:rsidRPr="009D4E15" w14:paraId="2D61E9FD" w14:textId="77777777" w:rsidTr="00D819DE">
        <w:trPr>
          <w:trHeight w:val="316"/>
        </w:trPr>
        <w:tc>
          <w:tcPr>
            <w:tcW w:w="1384" w:type="dxa"/>
          </w:tcPr>
          <w:p w14:paraId="33A82AAB" w14:textId="77777777" w:rsidR="007E1815" w:rsidRPr="009D4E15" w:rsidRDefault="007E1815" w:rsidP="00D819DE">
            <w:pPr>
              <w:autoSpaceDE w:val="0"/>
              <w:autoSpaceDN w:val="0"/>
              <w:adjustRightInd w:val="0"/>
              <w:spacing w:after="120"/>
              <w:jc w:val="center"/>
              <w:rPr>
                <w:rFonts w:ascii="Times New Roman" w:eastAsia="Times New Roman" w:hAnsi="Times New Roman" w:cs="Times New Roman"/>
                <w:sz w:val="24"/>
              </w:rPr>
            </w:pPr>
            <w:r w:rsidRPr="009D4E15">
              <w:rPr>
                <w:rFonts w:ascii="Times New Roman" w:hAnsi="Times New Roman"/>
                <w:sz w:val="24"/>
              </w:rPr>
              <w:t>23</w:t>
            </w:r>
          </w:p>
        </w:tc>
        <w:tc>
          <w:tcPr>
            <w:tcW w:w="7655" w:type="dxa"/>
          </w:tcPr>
          <w:p w14:paraId="5579AB2D" w14:textId="77777777" w:rsidR="007E1815" w:rsidRPr="009D4E15" w:rsidRDefault="007E1815" w:rsidP="00D819DE">
            <w:pPr>
              <w:autoSpaceDE w:val="0"/>
              <w:autoSpaceDN w:val="0"/>
              <w:adjustRightInd w:val="0"/>
              <w:spacing w:before="120" w:after="120"/>
              <w:jc w:val="both"/>
              <w:rPr>
                <w:rFonts w:ascii="Times New Roman" w:hAnsi="Times New Roman"/>
                <w:sz w:val="24"/>
              </w:rPr>
            </w:pPr>
            <w:r w:rsidRPr="009D4E15">
              <w:rPr>
                <w:rFonts w:ascii="Times New Roman" w:hAnsi="Times New Roman"/>
                <w:b/>
                <w:sz w:val="24"/>
              </w:rPr>
              <w:t>UKAZOVATEĽ KRYTIA LIKVIDITY (%)</w:t>
            </w:r>
          </w:p>
          <w:p w14:paraId="37A8BB02" w14:textId="2FD4DCC6" w:rsidR="007E1815" w:rsidRPr="009D4E15" w:rsidRDefault="007E1815" w:rsidP="00D819DE">
            <w:pPr>
              <w:autoSpaceDE w:val="0"/>
              <w:autoSpaceDN w:val="0"/>
              <w:adjustRightInd w:val="0"/>
              <w:spacing w:after="120"/>
              <w:jc w:val="both"/>
              <w:rPr>
                <w:rFonts w:ascii="Times New Roman" w:hAnsi="Times New Roman" w:cs="Times New Roman"/>
                <w:sz w:val="24"/>
              </w:rPr>
            </w:pPr>
            <w:r w:rsidRPr="009D4E15">
              <w:rPr>
                <w:rFonts w:ascii="Times New Roman" w:hAnsi="Times New Roman"/>
                <w:sz w:val="24"/>
              </w:rPr>
              <w:t>Inštitúcie ako upravenú hodnotu zverejňujú percentuálny podiel položky „Ukazovateľ krytia likvidity (%)“</w:t>
            </w:r>
            <w:r w:rsidR="009D4E15">
              <w:rPr>
                <w:rFonts w:ascii="Times New Roman" w:hAnsi="Times New Roman"/>
                <w:sz w:val="24"/>
              </w:rPr>
              <w:t xml:space="preserve"> v </w:t>
            </w:r>
            <w:r w:rsidRPr="009D4E15">
              <w:rPr>
                <w:rFonts w:ascii="Times New Roman" w:hAnsi="Times New Roman"/>
                <w:sz w:val="24"/>
              </w:rPr>
              <w:t>zmysle vymedzenia</w:t>
            </w:r>
            <w:r w:rsidR="009D4E15">
              <w:rPr>
                <w:rFonts w:ascii="Times New Roman" w:hAnsi="Times New Roman"/>
                <w:sz w:val="24"/>
              </w:rPr>
              <w:t xml:space="preserve"> v </w:t>
            </w:r>
            <w:r w:rsidRPr="009D4E15">
              <w:rPr>
                <w:rFonts w:ascii="Times New Roman" w:hAnsi="Times New Roman"/>
                <w:sz w:val="24"/>
              </w:rPr>
              <w:t>článku 4 ods. 1 delegovaného nariadenia Komisie (EÚ) 2015/61.</w:t>
            </w:r>
          </w:p>
          <w:p w14:paraId="5F1B1783" w14:textId="58340B76" w:rsidR="007E1815" w:rsidRPr="009D4E15" w:rsidRDefault="007E1815" w:rsidP="00D819DE">
            <w:pPr>
              <w:autoSpaceDE w:val="0"/>
              <w:autoSpaceDN w:val="0"/>
              <w:adjustRightInd w:val="0"/>
              <w:spacing w:after="120"/>
              <w:jc w:val="both"/>
              <w:rPr>
                <w:rFonts w:ascii="Times New Roman" w:hAnsi="Times New Roman" w:cs="Times New Roman"/>
                <w:sz w:val="24"/>
              </w:rPr>
            </w:pPr>
            <w:r w:rsidRPr="009D4E15">
              <w:rPr>
                <w:rFonts w:ascii="Times New Roman" w:hAnsi="Times New Roman"/>
                <w:sz w:val="24"/>
              </w:rPr>
              <w:t>Ukazovateľ krytia likvidity sa rovná pomeru vankúša likvidity úverovej inštitúcie</w:t>
            </w:r>
            <w:r w:rsidR="009D4E15">
              <w:rPr>
                <w:rFonts w:ascii="Times New Roman" w:hAnsi="Times New Roman"/>
                <w:sz w:val="24"/>
              </w:rPr>
              <w:t xml:space="preserve"> k </w:t>
            </w:r>
            <w:r w:rsidRPr="009D4E15">
              <w:rPr>
                <w:rFonts w:ascii="Times New Roman" w:hAnsi="Times New Roman"/>
                <w:sz w:val="24"/>
              </w:rPr>
              <w:t>jej čistým záporným tokom likvidity za stresové obdobie 30 kalendárnych dní</w:t>
            </w:r>
            <w:r w:rsidR="009D4E15">
              <w:rPr>
                <w:rFonts w:ascii="Times New Roman" w:hAnsi="Times New Roman"/>
                <w:sz w:val="24"/>
              </w:rPr>
              <w:t xml:space="preserve"> a </w:t>
            </w:r>
            <w:r w:rsidRPr="009D4E15">
              <w:rPr>
                <w:rFonts w:ascii="Times New Roman" w:hAnsi="Times New Roman"/>
                <w:sz w:val="24"/>
              </w:rPr>
              <w:t>vyjadruje sa ako percentuálny podiel.</w:t>
            </w:r>
          </w:p>
        </w:tc>
      </w:tr>
    </w:tbl>
    <w:p w14:paraId="205A49E2" w14:textId="77777777" w:rsidR="007E1815" w:rsidRPr="009D4E15" w:rsidRDefault="007E1815" w:rsidP="007E1815">
      <w:pPr>
        <w:rPr>
          <w:rFonts w:ascii="Times New Roman" w:hAnsi="Times New Roman" w:cs="Times New Roman"/>
          <w:sz w:val="24"/>
        </w:rPr>
      </w:pPr>
    </w:p>
    <w:p w14:paraId="7939F827" w14:textId="47059CD5" w:rsidR="009D4E15" w:rsidRDefault="007E1815" w:rsidP="007E1815">
      <w:pPr>
        <w:pStyle w:val="Titlelevel2"/>
        <w:spacing w:before="120" w:after="120"/>
        <w:rPr>
          <w:rFonts w:ascii="Times New Roman" w:hAnsi="Times New Roman"/>
          <w:b/>
          <w:color w:val="auto"/>
          <w:sz w:val="24"/>
        </w:rPr>
      </w:pPr>
      <w:r w:rsidRPr="009D4E15">
        <w:rPr>
          <w:rFonts w:ascii="Times New Roman" w:hAnsi="Times New Roman"/>
          <w:b/>
          <w:color w:val="auto"/>
          <w:sz w:val="24"/>
        </w:rPr>
        <w:t>Tabuľka EU LIQB týkajúca sa kvalitatívnych informácií</w:t>
      </w:r>
      <w:r w:rsidR="009D4E15">
        <w:rPr>
          <w:rFonts w:ascii="Times New Roman" w:hAnsi="Times New Roman"/>
          <w:b/>
          <w:color w:val="auto"/>
          <w:sz w:val="24"/>
        </w:rPr>
        <w:t xml:space="preserve"> o </w:t>
      </w:r>
      <w:r w:rsidRPr="009D4E15">
        <w:rPr>
          <w:rFonts w:ascii="Times New Roman" w:hAnsi="Times New Roman"/>
          <w:b/>
          <w:color w:val="auto"/>
          <w:sz w:val="24"/>
        </w:rPr>
        <w:t>ukazovateli krytia likvidity (LCR), ktorá dopĺňa vzor EU LIQ1</w:t>
      </w:r>
      <w:r w:rsidR="009D4E15">
        <w:rPr>
          <w:rFonts w:ascii="Times New Roman" w:hAnsi="Times New Roman"/>
          <w:b/>
          <w:color w:val="auto"/>
          <w:sz w:val="24"/>
        </w:rPr>
        <w:t>.</w:t>
      </w:r>
    </w:p>
    <w:p w14:paraId="6A1420AB" w14:textId="42C26F2C" w:rsidR="007E1815" w:rsidRPr="009D4E15"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D4E15">
        <w:rPr>
          <w:rFonts w:ascii="Times New Roman" w:hAnsi="Times New Roman"/>
          <w:sz w:val="24"/>
        </w:rPr>
        <w:t>Inštitúcie, na ktoré sa vzťahuje šiesta časť CRR, zverejňujú informácie uvedené</w:t>
      </w:r>
      <w:r w:rsidR="009D4E15">
        <w:rPr>
          <w:rFonts w:ascii="Times New Roman" w:hAnsi="Times New Roman"/>
          <w:sz w:val="24"/>
        </w:rPr>
        <w:t xml:space="preserve"> v </w:t>
      </w:r>
      <w:r w:rsidRPr="009D4E15">
        <w:rPr>
          <w:rFonts w:ascii="Times New Roman" w:hAnsi="Times New Roman"/>
          <w:sz w:val="24"/>
        </w:rPr>
        <w:t>článku 451a ods. 2 CRR podľa pokynov uvedených nižšie</w:t>
      </w:r>
      <w:r w:rsidR="009D4E15">
        <w:rPr>
          <w:rFonts w:ascii="Times New Roman" w:hAnsi="Times New Roman"/>
          <w:sz w:val="24"/>
        </w:rPr>
        <w:t xml:space="preserve"> v </w:t>
      </w:r>
      <w:r w:rsidRPr="009D4E15">
        <w:rPr>
          <w:rFonts w:ascii="Times New Roman" w:hAnsi="Times New Roman"/>
          <w:sz w:val="24"/>
        </w:rPr>
        <w:t>tejto prílohe</w:t>
      </w:r>
      <w:r w:rsidR="009D4E15">
        <w:rPr>
          <w:rFonts w:ascii="Times New Roman" w:hAnsi="Times New Roman"/>
          <w:sz w:val="24"/>
        </w:rPr>
        <w:t xml:space="preserve"> s </w:t>
      </w:r>
      <w:r w:rsidRPr="009D4E15">
        <w:rPr>
          <w:rFonts w:ascii="Times New Roman" w:hAnsi="Times New Roman"/>
          <w:sz w:val="24"/>
        </w:rPr>
        <w:t>cieľom vyplniť tabuľku EU LIQB, ktorá je uvedená</w:t>
      </w:r>
      <w:r w:rsidR="009D4E15">
        <w:rPr>
          <w:rFonts w:ascii="Times New Roman" w:hAnsi="Times New Roman"/>
          <w:sz w:val="24"/>
        </w:rPr>
        <w:t xml:space="preserve"> v </w:t>
      </w:r>
      <w:r w:rsidRPr="009D4E15">
        <w:rPr>
          <w:rFonts w:ascii="Times New Roman" w:hAnsi="Times New Roman"/>
          <w:sz w:val="24"/>
        </w:rPr>
        <w:t>prílohe XIII</w:t>
      </w:r>
      <w:r w:rsidR="009D4E15">
        <w:rPr>
          <w:rFonts w:ascii="Times New Roman" w:hAnsi="Times New Roman"/>
          <w:sz w:val="24"/>
        </w:rPr>
        <w:t xml:space="preserve"> k </w:t>
      </w:r>
      <w:r w:rsidRPr="009D4E15">
        <w:rPr>
          <w:rFonts w:ascii="Times New Roman" w:hAnsi="Times New Roman"/>
          <w:sz w:val="24"/>
        </w:rPr>
        <w:t>tomuto vykonávaciemu nariadeniu.</w:t>
      </w:r>
    </w:p>
    <w:p w14:paraId="213633D0" w14:textId="18D65637" w:rsidR="007E1815" w:rsidRPr="009D4E15"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D4E15">
        <w:rPr>
          <w:rFonts w:ascii="Times New Roman" w:hAnsi="Times New Roman"/>
          <w:sz w:val="24"/>
        </w:rPr>
        <w:lastRenderedPageBreak/>
        <w:t>V tabuľke EU LIQB sa uvádzajú kvalitatívne informácie</w:t>
      </w:r>
      <w:r w:rsidR="009D4E15">
        <w:rPr>
          <w:rFonts w:ascii="Times New Roman" w:hAnsi="Times New Roman"/>
          <w:sz w:val="24"/>
        </w:rPr>
        <w:t xml:space="preserve"> o </w:t>
      </w:r>
      <w:r w:rsidRPr="009D4E15">
        <w:rPr>
          <w:rFonts w:ascii="Times New Roman" w:hAnsi="Times New Roman"/>
          <w:sz w:val="24"/>
        </w:rPr>
        <w:t>položkách zahrnutých vo vzore EU LIQ1 týkajúcom sa kvantitatívnych informácií</w:t>
      </w:r>
      <w:r w:rsidR="009D4E15">
        <w:rPr>
          <w:rFonts w:ascii="Times New Roman" w:hAnsi="Times New Roman"/>
          <w:sz w:val="24"/>
        </w:rPr>
        <w:t xml:space="preserve"> o </w:t>
      </w:r>
      <w:r w:rsidRPr="009D4E15">
        <w:rPr>
          <w:rFonts w:ascii="Times New Roman" w:hAnsi="Times New Roman"/>
          <w:sz w:val="24"/>
        </w:rPr>
        <w:t>ukazovateli krytia likvidity (LCR).</w:t>
      </w:r>
    </w:p>
    <w:p w14:paraId="376E776C" w14:textId="298D0700" w:rsidR="007E1815" w:rsidRPr="009D4E15"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D4E15">
        <w:rPr>
          <w:rFonts w:ascii="Times New Roman" w:hAnsi="Times New Roman"/>
          <w:sz w:val="24"/>
        </w:rPr>
        <w:t>Inštitúcie, na ktoré sa vzťahuje šiesta časť CRR, považujú textové polia uvedené</w:t>
      </w:r>
      <w:r w:rsidR="009D4E15">
        <w:rPr>
          <w:rFonts w:ascii="Times New Roman" w:hAnsi="Times New Roman"/>
          <w:sz w:val="24"/>
        </w:rPr>
        <w:t xml:space="preserve"> v </w:t>
      </w:r>
      <w:r w:rsidRPr="009D4E15">
        <w:rPr>
          <w:rFonts w:ascii="Times New Roman" w:hAnsi="Times New Roman"/>
          <w:sz w:val="24"/>
        </w:rPr>
        <w:t>tejto tabuľke za polia</w:t>
      </w:r>
      <w:r w:rsidR="009D4E15">
        <w:rPr>
          <w:rFonts w:ascii="Times New Roman" w:hAnsi="Times New Roman"/>
          <w:sz w:val="24"/>
        </w:rPr>
        <w:t xml:space="preserve"> s </w:t>
      </w:r>
      <w:r w:rsidRPr="009D4E15">
        <w:rPr>
          <w:rFonts w:ascii="Times New Roman" w:hAnsi="Times New Roman"/>
          <w:sz w:val="24"/>
        </w:rPr>
        <w:t>ľubovoľným textom</w:t>
      </w:r>
      <w:r w:rsidR="009D4E15">
        <w:rPr>
          <w:rFonts w:ascii="Times New Roman" w:hAnsi="Times New Roman"/>
          <w:sz w:val="24"/>
        </w:rPr>
        <w:t xml:space="preserve"> a </w:t>
      </w:r>
      <w:r w:rsidRPr="009D4E15">
        <w:rPr>
          <w:rFonts w:ascii="Times New Roman" w:hAnsi="Times New Roman"/>
          <w:sz w:val="24"/>
        </w:rPr>
        <w:t>zverejňujú položky, ktoré sú tam uvedené, ak je to možné,</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ich posúdením</w:t>
      </w:r>
      <w:r w:rsidR="009D4E15">
        <w:rPr>
          <w:rFonts w:ascii="Times New Roman" w:hAnsi="Times New Roman"/>
          <w:sz w:val="24"/>
        </w:rPr>
        <w:t xml:space="preserve"> v </w:t>
      </w:r>
      <w:r w:rsidRPr="009D4E15">
        <w:rPr>
          <w:rFonts w:ascii="Times New Roman" w:hAnsi="Times New Roman"/>
          <w:sz w:val="24"/>
        </w:rPr>
        <w:t>kontexte vymedzenia ukazovateľa krytia likvidity uvedeného</w:t>
      </w:r>
      <w:r w:rsidR="009D4E15">
        <w:rPr>
          <w:rFonts w:ascii="Times New Roman" w:hAnsi="Times New Roman"/>
          <w:sz w:val="24"/>
        </w:rPr>
        <w:t xml:space="preserve"> v </w:t>
      </w:r>
      <w:r w:rsidRPr="009D4E15">
        <w:rPr>
          <w:rFonts w:ascii="Times New Roman" w:hAnsi="Times New Roman"/>
          <w:sz w:val="24"/>
        </w:rPr>
        <w:t>delegovanom nariadení Komisie (EÚ) 2015/61</w:t>
      </w:r>
      <w:r w:rsidR="009D4E15">
        <w:rPr>
          <w:rFonts w:ascii="Times New Roman" w:hAnsi="Times New Roman"/>
          <w:sz w:val="24"/>
        </w:rPr>
        <w:t xml:space="preserve"> a </w:t>
      </w:r>
      <w:r w:rsidRPr="009D4E15">
        <w:rPr>
          <w:rFonts w:ascii="Times New Roman" w:hAnsi="Times New Roman"/>
          <w:sz w:val="24"/>
        </w:rPr>
        <w:t>dodatočných ukazovateľov na sledovanie likvidity stanovených</w:t>
      </w:r>
      <w:r w:rsidR="009D4E15">
        <w:rPr>
          <w:rFonts w:ascii="Times New Roman" w:hAnsi="Times New Roman"/>
          <w:sz w:val="24"/>
        </w:rPr>
        <w:t xml:space="preserve"> v </w:t>
      </w:r>
      <w:r w:rsidRPr="009D4E15">
        <w:rPr>
          <w:rFonts w:ascii="Times New Roman" w:hAnsi="Times New Roman"/>
          <w:sz w:val="24"/>
        </w:rPr>
        <w:t xml:space="preserve">kapitole 7b vykonávacieho nariadenia Komisie (EÚ) </w:t>
      </w:r>
      <w:r w:rsidR="009D4E15">
        <w:rPr>
          <w:rFonts w:ascii="Times New Roman" w:hAnsi="Times New Roman"/>
          <w:sz w:val="24"/>
        </w:rPr>
        <w:t>č. </w:t>
      </w:r>
      <w:r w:rsidRPr="009D4E15">
        <w:rPr>
          <w:rFonts w:ascii="Times New Roman" w:hAnsi="Times New Roman"/>
          <w:sz w:val="24"/>
        </w:rPr>
        <w:t>680/2014</w:t>
      </w:r>
      <w:r w:rsidRPr="009D4E15">
        <w:rPr>
          <w:rStyle w:val="FootnoteReference"/>
          <w:rFonts w:ascii="Times New Roman" w:hAnsi="Times New Roman" w:cs="Times New Roman"/>
          <w:sz w:val="24"/>
        </w:rPr>
        <w:footnoteReference w:id="6"/>
      </w:r>
      <w:r w:rsidRPr="009D4E15">
        <w:rPr>
          <w:rFonts w:ascii="Times New Roman" w:hAnsi="Times New Roman"/>
          <w:sz w:val="24"/>
        </w:rPr>
        <w:t>.</w:t>
      </w:r>
    </w:p>
    <w:p w14:paraId="23E8414E" w14:textId="50169344" w:rsidR="007E1815" w:rsidRPr="009D4E15" w:rsidRDefault="007E1815" w:rsidP="009D4E15">
      <w:pPr>
        <w:pStyle w:val="ListNumber"/>
        <w:numPr>
          <w:ilvl w:val="0"/>
          <w:numId w:val="0"/>
        </w:numPr>
        <w:spacing w:before="120" w:after="120"/>
        <w:rPr>
          <w:rFonts w:ascii="Times New Roman" w:hAnsi="Times New Roman"/>
          <w:b/>
          <w:sz w:val="24"/>
        </w:rPr>
      </w:pPr>
      <w:r w:rsidRPr="009D4E15">
        <w:rPr>
          <w:rFonts w:ascii="Times New Roman" w:hAnsi="Times New Roman"/>
          <w:b/>
          <w:sz w:val="24"/>
        </w:rPr>
        <w:t>Pokyny</w:t>
      </w:r>
      <w:r w:rsidR="009D4E15">
        <w:rPr>
          <w:rFonts w:ascii="Times New Roman" w:hAnsi="Times New Roman"/>
          <w:b/>
          <w:sz w:val="24"/>
        </w:rPr>
        <w:t xml:space="preserve"> k </w:t>
      </w:r>
      <w:r w:rsidRPr="009D4E15">
        <w:rPr>
          <w:rFonts w:ascii="Times New Roman" w:hAnsi="Times New Roman"/>
          <w:b/>
          <w:sz w:val="24"/>
        </w:rPr>
        <w:t>vzoru EU LIQ2 týkajúcemu sa zverejňovania ukazovateľa čistého stabilného financovania (NSFR)</w:t>
      </w:r>
    </w:p>
    <w:p w14:paraId="40DE4FFB" w14:textId="7157A9D2" w:rsidR="009D4E15" w:rsidRDefault="007E1815" w:rsidP="007E1815">
      <w:pPr>
        <w:widowControl w:val="0"/>
        <w:numPr>
          <w:ilvl w:val="0"/>
          <w:numId w:val="2"/>
        </w:numPr>
        <w:tabs>
          <w:tab w:val="left" w:pos="983"/>
        </w:tabs>
        <w:spacing w:before="120" w:after="120"/>
        <w:ind w:left="720"/>
        <w:jc w:val="both"/>
        <w:rPr>
          <w:rFonts w:ascii="Times New Roman" w:hAnsi="Times New Roman"/>
          <w:sz w:val="24"/>
        </w:rPr>
      </w:pPr>
      <w:r w:rsidRPr="009D4E15">
        <w:rPr>
          <w:rFonts w:ascii="Times New Roman" w:hAnsi="Times New Roman"/>
          <w:sz w:val="24"/>
        </w:rPr>
        <w:t>Inštitúcie, na ktoré sa vzťahuje šiesta časť CRR, zverejňujú informácie zahrnuté vo vzore EU LIQ2 pri uplatňovaní článku 451a ods. 3 CRR</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pokynmi uvedenými</w:t>
      </w:r>
      <w:r w:rsidR="009D4E15">
        <w:rPr>
          <w:rFonts w:ascii="Times New Roman" w:hAnsi="Times New Roman"/>
          <w:sz w:val="24"/>
        </w:rPr>
        <w:t xml:space="preserve"> v </w:t>
      </w:r>
      <w:r w:rsidRPr="009D4E15">
        <w:rPr>
          <w:rFonts w:ascii="Times New Roman" w:hAnsi="Times New Roman"/>
          <w:sz w:val="24"/>
        </w:rPr>
        <w:t>tejto prílohe. Zverejňujú sa údaje ku koncu štvrťroka za každý štvrťrok príslušného obdobia zverejňovania informácií. Napríklad</w:t>
      </w:r>
      <w:r w:rsidR="009D4E15">
        <w:rPr>
          <w:rFonts w:ascii="Times New Roman" w:hAnsi="Times New Roman"/>
          <w:sz w:val="24"/>
        </w:rPr>
        <w:t xml:space="preserve"> v </w:t>
      </w:r>
      <w:r w:rsidRPr="009D4E15">
        <w:rPr>
          <w:rFonts w:ascii="Times New Roman" w:hAnsi="Times New Roman"/>
          <w:sz w:val="24"/>
        </w:rPr>
        <w:t>prípade ročného zverejňovania to zahŕňa štyri súbory údajov za posledný štvrťrok</w:t>
      </w:r>
      <w:r w:rsidR="009D4E15">
        <w:rPr>
          <w:rFonts w:ascii="Times New Roman" w:hAnsi="Times New Roman"/>
          <w:sz w:val="24"/>
        </w:rPr>
        <w:t xml:space="preserve"> a </w:t>
      </w:r>
      <w:r w:rsidRPr="009D4E15">
        <w:rPr>
          <w:rFonts w:ascii="Times New Roman" w:hAnsi="Times New Roman"/>
          <w:sz w:val="24"/>
        </w:rPr>
        <w:t>tri predchádzajúce štvrťroky</w:t>
      </w:r>
      <w:r w:rsidR="009D4E15">
        <w:rPr>
          <w:rFonts w:ascii="Times New Roman" w:hAnsi="Times New Roman"/>
          <w:sz w:val="24"/>
        </w:rPr>
        <w:t>.</w:t>
      </w:r>
    </w:p>
    <w:p w14:paraId="3A73B8D7" w14:textId="0DA2D71D" w:rsidR="007E1815" w:rsidRPr="009D4E15"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D4E15">
        <w:rPr>
          <w:rFonts w:ascii="Times New Roman" w:hAnsi="Times New Roman"/>
          <w:sz w:val="24"/>
        </w:rPr>
        <w:t>Informácie požadované vo vzore EU LIQ2 zahŕňajú všetky aktíva, záväzky</w:t>
      </w:r>
      <w:r w:rsidR="009D4E15">
        <w:rPr>
          <w:rFonts w:ascii="Times New Roman" w:hAnsi="Times New Roman"/>
          <w:sz w:val="24"/>
        </w:rPr>
        <w:t xml:space="preserve"> a </w:t>
      </w:r>
      <w:r w:rsidRPr="009D4E15">
        <w:rPr>
          <w:rFonts w:ascii="Times New Roman" w:hAnsi="Times New Roman"/>
          <w:sz w:val="24"/>
        </w:rPr>
        <w:t>podsúvahové položky bez ohľadu na menu,</w:t>
      </w:r>
      <w:r w:rsidR="009D4E15">
        <w:rPr>
          <w:rFonts w:ascii="Times New Roman" w:hAnsi="Times New Roman"/>
          <w:sz w:val="24"/>
        </w:rPr>
        <w:t xml:space="preserve"> v </w:t>
      </w:r>
      <w:r w:rsidRPr="009D4E15">
        <w:rPr>
          <w:rFonts w:ascii="Times New Roman" w:hAnsi="Times New Roman"/>
          <w:sz w:val="24"/>
        </w:rPr>
        <w:t>ktorej sú denominované,</w:t>
      </w:r>
      <w:r w:rsidR="009D4E15">
        <w:rPr>
          <w:rFonts w:ascii="Times New Roman" w:hAnsi="Times New Roman"/>
          <w:sz w:val="24"/>
        </w:rPr>
        <w:t xml:space="preserve"> a </w:t>
      </w:r>
      <w:r w:rsidRPr="009D4E15">
        <w:rPr>
          <w:rFonts w:ascii="Times New Roman" w:hAnsi="Times New Roman"/>
          <w:sz w:val="24"/>
        </w:rPr>
        <w:t>zverejňujú sa</w:t>
      </w:r>
      <w:r w:rsidR="009D4E15">
        <w:rPr>
          <w:rFonts w:ascii="Times New Roman" w:hAnsi="Times New Roman"/>
          <w:sz w:val="24"/>
        </w:rPr>
        <w:t xml:space="preserve"> v </w:t>
      </w:r>
      <w:r w:rsidRPr="009D4E15">
        <w:rPr>
          <w:rFonts w:ascii="Times New Roman" w:hAnsi="Times New Roman"/>
          <w:sz w:val="24"/>
        </w:rPr>
        <w:t>mene vykazovania, ako je vymedzená</w:t>
      </w:r>
      <w:r w:rsidR="009D4E15">
        <w:rPr>
          <w:rFonts w:ascii="Times New Roman" w:hAnsi="Times New Roman"/>
          <w:sz w:val="24"/>
        </w:rPr>
        <w:t xml:space="preserve"> v </w:t>
      </w:r>
      <w:r w:rsidRPr="009D4E15">
        <w:rPr>
          <w:rFonts w:ascii="Times New Roman" w:hAnsi="Times New Roman"/>
          <w:sz w:val="24"/>
        </w:rPr>
        <w:t>článku 411 ods. 15 CRR.</w:t>
      </w:r>
    </w:p>
    <w:p w14:paraId="0486D079" w14:textId="0BDE2A25" w:rsidR="007E1815" w:rsidRPr="009D4E15"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D4E15">
        <w:rPr>
          <w:rFonts w:ascii="Times New Roman" w:hAnsi="Times New Roman"/>
          <w:sz w:val="24"/>
        </w:rPr>
        <w:t>S cieľom zabrániť dvojitému započítaniu inštitúcie nezverejňujú aktíva ani záväzky spojené</w:t>
      </w:r>
      <w:r w:rsidR="009D4E15">
        <w:rPr>
          <w:rFonts w:ascii="Times New Roman" w:hAnsi="Times New Roman"/>
          <w:sz w:val="24"/>
        </w:rPr>
        <w:t xml:space="preserve"> s </w:t>
      </w:r>
      <w:r w:rsidRPr="009D4E15">
        <w:rPr>
          <w:rFonts w:ascii="Times New Roman" w:hAnsi="Times New Roman"/>
          <w:sz w:val="24"/>
        </w:rPr>
        <w:t>kolaterálom poskytnutým alebo prijatým ako variačná marža</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428k ods. 4</w:t>
      </w:r>
      <w:r w:rsidR="009D4E15">
        <w:rPr>
          <w:rFonts w:ascii="Times New Roman" w:hAnsi="Times New Roman"/>
          <w:sz w:val="24"/>
        </w:rPr>
        <w:t xml:space="preserve"> a </w:t>
      </w:r>
      <w:r w:rsidRPr="009D4E15">
        <w:rPr>
          <w:rFonts w:ascii="Times New Roman" w:hAnsi="Times New Roman"/>
          <w:sz w:val="24"/>
        </w:rPr>
        <w:t>článkom 428ah ods. 2 CRR, počiatočná marža</w:t>
      </w:r>
      <w:r w:rsidR="009D4E15">
        <w:rPr>
          <w:rFonts w:ascii="Times New Roman" w:hAnsi="Times New Roman"/>
          <w:sz w:val="24"/>
        </w:rPr>
        <w:t xml:space="preserve"> a </w:t>
      </w:r>
      <w:r w:rsidRPr="009D4E15">
        <w:rPr>
          <w:rFonts w:ascii="Times New Roman" w:hAnsi="Times New Roman"/>
          <w:sz w:val="24"/>
        </w:rPr>
        <w:t>príspevok do fondu pre prípad zlyhania centrálnej protistrany</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428ag písm. a)</w:t>
      </w:r>
      <w:r w:rsidR="009D4E15">
        <w:rPr>
          <w:rFonts w:ascii="Times New Roman" w:hAnsi="Times New Roman"/>
          <w:sz w:val="24"/>
        </w:rPr>
        <w:t xml:space="preserve"> a </w:t>
      </w:r>
      <w:r w:rsidRPr="009D4E15">
        <w:rPr>
          <w:rFonts w:ascii="Times New Roman" w:hAnsi="Times New Roman"/>
          <w:sz w:val="24"/>
        </w:rPr>
        <w:t>článkom 428ag písm. b) CRR.</w:t>
      </w:r>
    </w:p>
    <w:p w14:paraId="42F8668F" w14:textId="2F16850B" w:rsidR="007E1815" w:rsidRPr="009D4E15"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D4E15">
        <w:rPr>
          <w:rFonts w:ascii="Times New Roman" w:hAnsi="Times New Roman"/>
          <w:sz w:val="24"/>
        </w:rPr>
        <w:t>Vklady vedené</w:t>
      </w:r>
      <w:r w:rsidR="009D4E15">
        <w:rPr>
          <w:rFonts w:ascii="Times New Roman" w:hAnsi="Times New Roman"/>
          <w:sz w:val="24"/>
        </w:rPr>
        <w:t xml:space="preserve"> v </w:t>
      </w:r>
      <w:r w:rsidRPr="009D4E15">
        <w:rPr>
          <w:rFonts w:ascii="Times New Roman" w:hAnsi="Times New Roman"/>
          <w:sz w:val="24"/>
        </w:rPr>
        <w:t>súvislosti so schémou inštitucionálneho zabezpečenia alebo sieťou družstevných spoločností, ktoré sa považujú za likvidné aktíva, sa zverejňujú ako také. Ostatné položky</w:t>
      </w:r>
      <w:r w:rsidR="009D4E15">
        <w:rPr>
          <w:rFonts w:ascii="Times New Roman" w:hAnsi="Times New Roman"/>
          <w:sz w:val="24"/>
        </w:rPr>
        <w:t xml:space="preserve"> v </w:t>
      </w:r>
      <w:r w:rsidRPr="009D4E15">
        <w:rPr>
          <w:rFonts w:ascii="Times New Roman" w:hAnsi="Times New Roman"/>
          <w:sz w:val="24"/>
        </w:rPr>
        <w:t>rámci skupiny alebo schémy inštitucionálneho zabezpečenia sa zverejňujú</w:t>
      </w:r>
      <w:r w:rsidR="009D4E15">
        <w:rPr>
          <w:rFonts w:ascii="Times New Roman" w:hAnsi="Times New Roman"/>
          <w:sz w:val="24"/>
        </w:rPr>
        <w:t xml:space="preserve"> v </w:t>
      </w:r>
      <w:r w:rsidRPr="009D4E15">
        <w:rPr>
          <w:rFonts w:ascii="Times New Roman" w:hAnsi="Times New Roman"/>
          <w:sz w:val="24"/>
        </w:rPr>
        <w:t>príslušných všeobecných kategóriách vo vzore požadovaného alebo dostupného stabilného financovania.</w:t>
      </w:r>
    </w:p>
    <w:p w14:paraId="4E83430E" w14:textId="54F0CC76" w:rsidR="007E1815" w:rsidRPr="009D4E15"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D4E15">
        <w:rPr>
          <w:rFonts w:ascii="Times New Roman" w:hAnsi="Times New Roman"/>
          <w:sz w:val="24"/>
        </w:rPr>
        <w:t>Inštitúcie vždy zverejňujú účtovné hodnoty ako „neváženú hodnotu podľa zostatkovej splatnosti“</w:t>
      </w:r>
      <w:r w:rsidR="009D4E15">
        <w:rPr>
          <w:rFonts w:ascii="Times New Roman" w:hAnsi="Times New Roman"/>
          <w:sz w:val="24"/>
        </w:rPr>
        <w:t xml:space="preserve"> v </w:t>
      </w:r>
      <w:r w:rsidRPr="009D4E15">
        <w:rPr>
          <w:rFonts w:ascii="Times New Roman" w:hAnsi="Times New Roman"/>
          <w:sz w:val="24"/>
        </w:rPr>
        <w:t>stĺpcoch a, b, c</w:t>
      </w:r>
      <w:r w:rsidR="009D4E15">
        <w:rPr>
          <w:rFonts w:ascii="Times New Roman" w:hAnsi="Times New Roman"/>
          <w:sz w:val="24"/>
        </w:rPr>
        <w:t xml:space="preserve"> a </w:t>
      </w:r>
      <w:r w:rsidRPr="009D4E15">
        <w:rPr>
          <w:rFonts w:ascii="Times New Roman" w:hAnsi="Times New Roman"/>
          <w:sz w:val="24"/>
        </w:rPr>
        <w:t>d vzoru,</w:t>
      </w:r>
      <w:r w:rsidR="009D4E15">
        <w:rPr>
          <w:rFonts w:ascii="Times New Roman" w:hAnsi="Times New Roman"/>
          <w:sz w:val="24"/>
        </w:rPr>
        <w:t xml:space="preserve"> s </w:t>
      </w:r>
      <w:r w:rsidRPr="009D4E15">
        <w:rPr>
          <w:rFonts w:ascii="Times New Roman" w:hAnsi="Times New Roman"/>
          <w:sz w:val="24"/>
        </w:rPr>
        <w:t>výnimkou prípadov zmlúv</w:t>
      </w:r>
      <w:r w:rsidR="009D4E15">
        <w:rPr>
          <w:rFonts w:ascii="Times New Roman" w:hAnsi="Times New Roman"/>
          <w:sz w:val="24"/>
        </w:rPr>
        <w:t xml:space="preserve"> o </w:t>
      </w:r>
      <w:r w:rsidRPr="009D4E15">
        <w:rPr>
          <w:rFonts w:ascii="Times New Roman" w:hAnsi="Times New Roman"/>
          <w:sz w:val="24"/>
        </w:rPr>
        <w:t>derivátoch, pri ktorých inštitúcie odkazujú na reálnu hodnotu stanovenú</w:t>
      </w:r>
      <w:r w:rsidR="009D4E15">
        <w:rPr>
          <w:rFonts w:ascii="Times New Roman" w:hAnsi="Times New Roman"/>
          <w:sz w:val="24"/>
        </w:rPr>
        <w:t xml:space="preserve"> v </w:t>
      </w:r>
      <w:r w:rsidRPr="009D4E15">
        <w:rPr>
          <w:rFonts w:ascii="Times New Roman" w:hAnsi="Times New Roman"/>
          <w:sz w:val="24"/>
        </w:rPr>
        <w:t>článku 428d ods. 2 CRR.</w:t>
      </w:r>
    </w:p>
    <w:p w14:paraId="1CB05863" w14:textId="6D71C7D0" w:rsidR="007E1815" w:rsidRPr="009D4E15"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D4E15">
        <w:rPr>
          <w:rFonts w:ascii="Times New Roman" w:hAnsi="Times New Roman"/>
          <w:sz w:val="24"/>
        </w:rPr>
        <w:t>V stĺpci e tohto vzoru inštitúcie zverejňujú „váženú hodnotu“. Táto hodnota odzrkadľuje hodnotu</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428c ods. 2 CRR, ktorá je výsledkom neváženej hodnoty vynásobenej koeficientmi stabilného financovania.</w:t>
      </w:r>
    </w:p>
    <w:p w14:paraId="343BA1D0" w14:textId="2A889501" w:rsidR="007E1815" w:rsidRPr="009D4E15"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D4E15">
        <w:rPr>
          <w:rFonts w:ascii="Times New Roman" w:hAnsi="Times New Roman"/>
          <w:sz w:val="24"/>
        </w:rPr>
        <w:t>Hodnota aktív</w:t>
      </w:r>
      <w:r w:rsidR="009D4E15">
        <w:rPr>
          <w:rFonts w:ascii="Times New Roman" w:hAnsi="Times New Roman"/>
          <w:sz w:val="24"/>
        </w:rPr>
        <w:t xml:space="preserve"> a </w:t>
      </w:r>
      <w:r w:rsidRPr="009D4E15">
        <w:rPr>
          <w:rFonts w:ascii="Times New Roman" w:hAnsi="Times New Roman"/>
          <w:sz w:val="24"/>
        </w:rPr>
        <w:t>záväzkov vyplývajúcich</w:t>
      </w:r>
      <w:r w:rsidR="009D4E15">
        <w:rPr>
          <w:rFonts w:ascii="Times New Roman" w:hAnsi="Times New Roman"/>
          <w:sz w:val="24"/>
        </w:rPr>
        <w:t xml:space="preserve"> z </w:t>
      </w:r>
      <w:r w:rsidRPr="009D4E15">
        <w:rPr>
          <w:rFonts w:ascii="Times New Roman" w:hAnsi="Times New Roman"/>
          <w:sz w:val="24"/>
        </w:rPr>
        <w:t>transakcií financovania prostredníctvom cenných papierov (SFT)</w:t>
      </w:r>
      <w:r w:rsidR="009D4E15">
        <w:rPr>
          <w:rFonts w:ascii="Times New Roman" w:hAnsi="Times New Roman"/>
          <w:sz w:val="24"/>
        </w:rPr>
        <w:t xml:space="preserve"> s </w:t>
      </w:r>
      <w:r w:rsidRPr="009D4E15">
        <w:rPr>
          <w:rFonts w:ascii="Times New Roman" w:hAnsi="Times New Roman"/>
          <w:sz w:val="24"/>
        </w:rPr>
        <w:t>jednou protistranou sa posudzuje na čistom základe, keď sa uplatňuje článok 428e CRR.</w:t>
      </w:r>
      <w:r w:rsidR="009D4E15">
        <w:rPr>
          <w:rFonts w:ascii="Times New Roman" w:hAnsi="Times New Roman"/>
          <w:sz w:val="24"/>
        </w:rPr>
        <w:t xml:space="preserve"> V </w:t>
      </w:r>
      <w:r w:rsidRPr="009D4E15">
        <w:rPr>
          <w:rFonts w:ascii="Times New Roman" w:hAnsi="Times New Roman"/>
          <w:sz w:val="24"/>
        </w:rPr>
        <w:t>prípade, že jednotlivé vzájomne započítané transakcie podliehali rôznym faktorom požadovaného stabilného financovania (RSF), ak sa posudzovali samostatne, čistá suma, ktorá sa má zverejniť</w:t>
      </w:r>
      <w:r w:rsidR="009D4E15">
        <w:rPr>
          <w:rFonts w:ascii="Times New Roman" w:hAnsi="Times New Roman"/>
          <w:sz w:val="24"/>
        </w:rPr>
        <w:t xml:space="preserve"> v </w:t>
      </w:r>
      <w:r w:rsidRPr="009D4E15">
        <w:rPr>
          <w:rFonts w:ascii="Times New Roman" w:hAnsi="Times New Roman"/>
          <w:sz w:val="24"/>
        </w:rPr>
        <w:t>prípade aktíva, podlieha vyššiemu koeficientu RSF spomedzi nich.</w:t>
      </w:r>
    </w:p>
    <w:p w14:paraId="6EBB65DA" w14:textId="3F48A4E3" w:rsidR="007E1815" w:rsidRPr="009D4E15"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D4E15">
        <w:rPr>
          <w:rFonts w:ascii="Times New Roman" w:hAnsi="Times New Roman"/>
          <w:sz w:val="24"/>
        </w:rPr>
        <w:lastRenderedPageBreak/>
        <w:t>Inštitúcie poskytnú</w:t>
      </w:r>
      <w:r w:rsidR="009D4E15">
        <w:rPr>
          <w:rFonts w:ascii="Times New Roman" w:hAnsi="Times New Roman"/>
          <w:sz w:val="24"/>
        </w:rPr>
        <w:t xml:space="preserve"> v </w:t>
      </w:r>
      <w:r w:rsidRPr="009D4E15">
        <w:rPr>
          <w:rFonts w:ascii="Times New Roman" w:hAnsi="Times New Roman"/>
          <w:sz w:val="24"/>
        </w:rPr>
        <w:t>opise sprevádzajúcom tento vzor všetky vysvetlenia potrebné na to, aby sa dali ľahšie pochopiť výsledky</w:t>
      </w:r>
      <w:r w:rsidR="009D4E15">
        <w:rPr>
          <w:rFonts w:ascii="Times New Roman" w:hAnsi="Times New Roman"/>
          <w:sz w:val="24"/>
        </w:rPr>
        <w:t xml:space="preserve"> a </w:t>
      </w:r>
      <w:r w:rsidRPr="009D4E15">
        <w:rPr>
          <w:rFonts w:ascii="Times New Roman" w:hAnsi="Times New Roman"/>
          <w:sz w:val="24"/>
        </w:rPr>
        <w:t>sprievodné údaje. Inštitúcie musia vysvetliť aspoň:</w:t>
      </w:r>
    </w:p>
    <w:p w14:paraId="263F4C5D" w14:textId="1D0A8DB1" w:rsidR="007E1815" w:rsidRPr="009D4E15" w:rsidRDefault="007E1815" w:rsidP="007E1815">
      <w:pPr>
        <w:pStyle w:val="ListNumber"/>
        <w:numPr>
          <w:ilvl w:val="1"/>
          <w:numId w:val="6"/>
        </w:numPr>
        <w:spacing w:after="150"/>
        <w:jc w:val="both"/>
        <w:rPr>
          <w:rFonts w:ascii="Times New Roman" w:hAnsi="Times New Roman"/>
          <w:sz w:val="24"/>
        </w:rPr>
      </w:pPr>
      <w:r w:rsidRPr="009D4E15">
        <w:rPr>
          <w:rFonts w:ascii="Times New Roman" w:hAnsi="Times New Roman"/>
          <w:sz w:val="24"/>
        </w:rPr>
        <w:t>faktory svojich výsledkov NSFR</w:t>
      </w:r>
      <w:r w:rsidR="009D4E15">
        <w:rPr>
          <w:rFonts w:ascii="Times New Roman" w:hAnsi="Times New Roman"/>
          <w:sz w:val="24"/>
        </w:rPr>
        <w:t xml:space="preserve"> a </w:t>
      </w:r>
      <w:r w:rsidRPr="009D4E15">
        <w:rPr>
          <w:rFonts w:ascii="Times New Roman" w:hAnsi="Times New Roman"/>
          <w:sz w:val="24"/>
        </w:rPr>
        <w:t>dôvody zmien</w:t>
      </w:r>
      <w:r w:rsidR="009D4E15">
        <w:rPr>
          <w:rFonts w:ascii="Times New Roman" w:hAnsi="Times New Roman"/>
          <w:sz w:val="24"/>
        </w:rPr>
        <w:t xml:space="preserve"> v </w:t>
      </w:r>
      <w:r w:rsidRPr="009D4E15">
        <w:rPr>
          <w:rFonts w:ascii="Times New Roman" w:hAnsi="Times New Roman"/>
          <w:sz w:val="24"/>
        </w:rPr>
        <w:t>rámci obdobia, ako aj zmeny</w:t>
      </w:r>
      <w:r w:rsidR="009D4E15">
        <w:rPr>
          <w:rFonts w:ascii="Times New Roman" w:hAnsi="Times New Roman"/>
          <w:sz w:val="24"/>
        </w:rPr>
        <w:t xml:space="preserve"> v </w:t>
      </w:r>
      <w:r w:rsidRPr="009D4E15">
        <w:rPr>
          <w:rFonts w:ascii="Times New Roman" w:hAnsi="Times New Roman"/>
          <w:sz w:val="24"/>
        </w:rPr>
        <w:t>čase (napr. zmeny</w:t>
      </w:r>
      <w:r w:rsidR="009D4E15">
        <w:rPr>
          <w:rFonts w:ascii="Times New Roman" w:hAnsi="Times New Roman"/>
          <w:sz w:val="24"/>
        </w:rPr>
        <w:t xml:space="preserve"> v </w:t>
      </w:r>
      <w:r w:rsidRPr="009D4E15">
        <w:rPr>
          <w:rFonts w:ascii="Times New Roman" w:hAnsi="Times New Roman"/>
          <w:sz w:val="24"/>
        </w:rPr>
        <w:t>stratégiách, štruktúre financovania, okolnostiach); a</w:t>
      </w:r>
    </w:p>
    <w:p w14:paraId="6561627A" w14:textId="77777777" w:rsidR="007E1815" w:rsidRPr="009D4E15" w:rsidRDefault="007E1815" w:rsidP="007E1815">
      <w:pPr>
        <w:pStyle w:val="ListNumber"/>
        <w:numPr>
          <w:ilvl w:val="0"/>
          <w:numId w:val="0"/>
        </w:numPr>
        <w:ind w:left="1071"/>
        <w:jc w:val="both"/>
        <w:rPr>
          <w:rFonts w:ascii="Times New Roman" w:hAnsi="Times New Roman"/>
          <w:sz w:val="24"/>
        </w:rPr>
      </w:pPr>
    </w:p>
    <w:p w14:paraId="640BC23A" w14:textId="142BA96F" w:rsidR="007E1815" w:rsidRPr="009D4E15" w:rsidRDefault="007E1815" w:rsidP="007E1815">
      <w:pPr>
        <w:pStyle w:val="ListNumber"/>
        <w:numPr>
          <w:ilvl w:val="1"/>
          <w:numId w:val="6"/>
        </w:numPr>
        <w:spacing w:after="150"/>
        <w:jc w:val="both"/>
        <w:rPr>
          <w:rFonts w:ascii="Times New Roman" w:hAnsi="Times New Roman"/>
          <w:sz w:val="24"/>
        </w:rPr>
      </w:pPr>
      <w:r w:rsidRPr="009D4E15">
        <w:rPr>
          <w:rFonts w:ascii="Times New Roman" w:hAnsi="Times New Roman"/>
          <w:sz w:val="24"/>
        </w:rPr>
        <w:t>zloženie vzájomne závislých aktív</w:t>
      </w:r>
      <w:r w:rsidR="009D4E15">
        <w:rPr>
          <w:rFonts w:ascii="Times New Roman" w:hAnsi="Times New Roman"/>
          <w:sz w:val="24"/>
        </w:rPr>
        <w:t xml:space="preserve"> a </w:t>
      </w:r>
      <w:r w:rsidRPr="009D4E15">
        <w:rPr>
          <w:rFonts w:ascii="Times New Roman" w:hAnsi="Times New Roman"/>
          <w:sz w:val="24"/>
        </w:rPr>
        <w:t>záväzkov inštitúcie</w:t>
      </w:r>
      <w:r w:rsidR="009D4E15">
        <w:rPr>
          <w:rFonts w:ascii="Times New Roman" w:hAnsi="Times New Roman"/>
          <w:sz w:val="24"/>
        </w:rPr>
        <w:t xml:space="preserve"> a </w:t>
      </w:r>
      <w:r w:rsidRPr="009D4E15">
        <w:rPr>
          <w:rFonts w:ascii="Times New Roman" w:hAnsi="Times New Roman"/>
          <w:sz w:val="24"/>
        </w:rPr>
        <w:t>to, do akej miery sú tieto transakcie vzájomne prepojené.</w:t>
      </w:r>
    </w:p>
    <w:p w14:paraId="32271818" w14:textId="77777777" w:rsidR="007E1815" w:rsidRPr="009D4E15" w:rsidRDefault="007E1815" w:rsidP="007E1815">
      <w:pPr>
        <w:rPr>
          <w:rFonts w:ascii="Times New Roman" w:hAnsi="Times New Roman"/>
          <w:b/>
          <w:sz w:val="24"/>
        </w:rPr>
      </w:pPr>
      <w:r w:rsidRPr="009D4E15">
        <w:rPr>
          <w:rFonts w:ascii="Times New Roman" w:hAnsi="Times New Roman"/>
          <w:b/>
          <w:sz w:val="24"/>
        </w:rPr>
        <w:t>Položky dostupného stabilného financovania (ASF)</w:t>
      </w:r>
    </w:p>
    <w:p w14:paraId="20D40F36" w14:textId="7BA8B7AC" w:rsidR="007E1815" w:rsidRPr="009D4E15"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D4E15">
        <w:rPr>
          <w:rFonts w:ascii="Times New Roman" w:hAnsi="Times New Roman"/>
          <w:sz w:val="24"/>
        </w:rPr>
        <w:t>Ak nie je</w:t>
      </w:r>
      <w:r w:rsidR="009D4E15">
        <w:rPr>
          <w:rFonts w:ascii="Times New Roman" w:hAnsi="Times New Roman"/>
          <w:sz w:val="24"/>
        </w:rPr>
        <w:t xml:space="preserve"> v </w:t>
      </w:r>
      <w:r w:rsidRPr="009D4E15">
        <w:rPr>
          <w:rFonts w:ascii="Times New Roman" w:hAnsi="Times New Roman"/>
          <w:sz w:val="24"/>
        </w:rPr>
        <w:t>šiestej časti hlave IV kapitole 3 CRR stanovené inak, suma dostupného stabilného financovania (ASF) sa</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428i CRR vypočítava tak, že sa hodnota záväzkov</w:t>
      </w:r>
      <w:r w:rsidR="009D4E15">
        <w:rPr>
          <w:rFonts w:ascii="Times New Roman" w:hAnsi="Times New Roman"/>
          <w:sz w:val="24"/>
        </w:rPr>
        <w:t xml:space="preserve"> a </w:t>
      </w:r>
      <w:r w:rsidRPr="009D4E15">
        <w:rPr>
          <w:rFonts w:ascii="Times New Roman" w:hAnsi="Times New Roman"/>
          <w:sz w:val="24"/>
        </w:rPr>
        <w:t>vlastných zdrojov, ktoré sú vyjadrené ako nevážená hodnota, vynásobí koeficientmi dostupného stabilného financovania. Vážená hodnota</w:t>
      </w:r>
      <w:r w:rsidR="009D4E15">
        <w:rPr>
          <w:rFonts w:ascii="Times New Roman" w:hAnsi="Times New Roman"/>
          <w:sz w:val="24"/>
        </w:rPr>
        <w:t xml:space="preserve"> v </w:t>
      </w:r>
      <w:r w:rsidRPr="009D4E15">
        <w:rPr>
          <w:rFonts w:ascii="Times New Roman" w:hAnsi="Times New Roman"/>
          <w:sz w:val="24"/>
        </w:rPr>
        <w:t>stĺpci e tohto vzoru odzrkadľuje výšku dostupného stabilného financovania.</w:t>
      </w:r>
    </w:p>
    <w:p w14:paraId="025850D4" w14:textId="594516E8" w:rsidR="007E1815" w:rsidRPr="009D4E15"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D4E15">
        <w:rPr>
          <w:rFonts w:ascii="Times New Roman" w:hAnsi="Times New Roman"/>
          <w:sz w:val="24"/>
        </w:rPr>
        <w:t>Všetky záväzky</w:t>
      </w:r>
      <w:r w:rsidR="009D4E15">
        <w:rPr>
          <w:rFonts w:ascii="Times New Roman" w:hAnsi="Times New Roman"/>
          <w:sz w:val="24"/>
        </w:rPr>
        <w:t xml:space="preserve"> a </w:t>
      </w:r>
      <w:r w:rsidRPr="009D4E15">
        <w:rPr>
          <w:rFonts w:ascii="Times New Roman" w:hAnsi="Times New Roman"/>
          <w:sz w:val="24"/>
        </w:rPr>
        <w:t>vlastné zdroje sa zverejňujú</w:t>
      </w:r>
      <w:r w:rsidR="009D4E15">
        <w:rPr>
          <w:rFonts w:ascii="Times New Roman" w:hAnsi="Times New Roman"/>
          <w:sz w:val="24"/>
        </w:rPr>
        <w:t xml:space="preserve"> v </w:t>
      </w:r>
      <w:r w:rsidRPr="009D4E15">
        <w:rPr>
          <w:rFonts w:ascii="Times New Roman" w:hAnsi="Times New Roman"/>
          <w:sz w:val="24"/>
        </w:rPr>
        <w:t>rozčlenení podľa ich zostatkovej splatnosti</w:t>
      </w:r>
      <w:r w:rsidR="009D4E15">
        <w:rPr>
          <w:rFonts w:ascii="Times New Roman" w:hAnsi="Times New Roman"/>
          <w:sz w:val="24"/>
        </w:rPr>
        <w:t xml:space="preserve"> v </w:t>
      </w:r>
      <w:r w:rsidRPr="009D4E15">
        <w:rPr>
          <w:rFonts w:ascii="Times New Roman" w:hAnsi="Times New Roman"/>
          <w:sz w:val="24"/>
        </w:rPr>
        <w:t>stĺpcoch a, b, c</w:t>
      </w:r>
      <w:r w:rsidR="009D4E15">
        <w:rPr>
          <w:rFonts w:ascii="Times New Roman" w:hAnsi="Times New Roman"/>
          <w:sz w:val="24"/>
        </w:rPr>
        <w:t xml:space="preserve"> a </w:t>
      </w:r>
      <w:r w:rsidRPr="009D4E15">
        <w:rPr>
          <w:rFonts w:ascii="Times New Roman" w:hAnsi="Times New Roman"/>
          <w:sz w:val="24"/>
        </w:rPr>
        <w:t>d tohto vzoru, vypočítanej</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článkami 428j, 428o</w:t>
      </w:r>
      <w:r w:rsidR="009D4E15">
        <w:rPr>
          <w:rFonts w:ascii="Times New Roman" w:hAnsi="Times New Roman"/>
          <w:sz w:val="24"/>
        </w:rPr>
        <w:t xml:space="preserve"> a </w:t>
      </w:r>
      <w:r w:rsidRPr="009D4E15">
        <w:rPr>
          <w:rFonts w:ascii="Times New Roman" w:hAnsi="Times New Roman"/>
          <w:sz w:val="24"/>
        </w:rPr>
        <w:t>428ak CRR,</w:t>
      </w:r>
      <w:r w:rsidR="009D4E15">
        <w:rPr>
          <w:rFonts w:ascii="Times New Roman" w:hAnsi="Times New Roman"/>
          <w:sz w:val="24"/>
        </w:rPr>
        <w:t xml:space="preserve"> v </w:t>
      </w:r>
      <w:r w:rsidRPr="009D4E15">
        <w:rPr>
          <w:rFonts w:ascii="Times New Roman" w:hAnsi="Times New Roman"/>
          <w:sz w:val="24"/>
        </w:rPr>
        <w:t>tomto rozčlenení podľa skupín splatností:</w:t>
      </w:r>
    </w:p>
    <w:p w14:paraId="11219010" w14:textId="77777777" w:rsidR="007E1815" w:rsidRPr="009D4E15" w:rsidRDefault="007E1815" w:rsidP="007E1815">
      <w:pPr>
        <w:pStyle w:val="ListNumber"/>
        <w:numPr>
          <w:ilvl w:val="0"/>
          <w:numId w:val="0"/>
        </w:numPr>
        <w:ind w:left="714"/>
        <w:jc w:val="both"/>
        <w:rPr>
          <w:rFonts w:ascii="Times New Roman" w:hAnsi="Times New Roman"/>
          <w:sz w:val="24"/>
        </w:rPr>
      </w:pPr>
    </w:p>
    <w:p w14:paraId="4FA06E63" w14:textId="2F96400D" w:rsidR="007E1815" w:rsidRPr="009D4E15" w:rsidRDefault="007E1815" w:rsidP="007E1815">
      <w:pPr>
        <w:pStyle w:val="ListNumber"/>
        <w:numPr>
          <w:ilvl w:val="1"/>
          <w:numId w:val="12"/>
        </w:numPr>
        <w:spacing w:after="150"/>
        <w:jc w:val="both"/>
        <w:rPr>
          <w:rFonts w:ascii="Times New Roman" w:hAnsi="Times New Roman"/>
          <w:sz w:val="24"/>
        </w:rPr>
      </w:pPr>
      <w:r w:rsidRPr="009D4E15">
        <w:rPr>
          <w:rFonts w:ascii="Times New Roman" w:hAnsi="Times New Roman"/>
          <w:sz w:val="24"/>
        </w:rPr>
        <w:t>bez splatnosti: položky, ktoré sa majú zverejniť</w:t>
      </w:r>
      <w:r w:rsidR="009D4E15">
        <w:rPr>
          <w:rFonts w:ascii="Times New Roman" w:hAnsi="Times New Roman"/>
          <w:sz w:val="24"/>
        </w:rPr>
        <w:t xml:space="preserve"> v </w:t>
      </w:r>
      <w:r w:rsidRPr="009D4E15">
        <w:rPr>
          <w:rFonts w:ascii="Times New Roman" w:hAnsi="Times New Roman"/>
          <w:sz w:val="24"/>
        </w:rPr>
        <w:t>časovej skupine „bez splatnosti“, nemajú stanovenú splatnosť alebo sú trvalé;</w:t>
      </w:r>
    </w:p>
    <w:p w14:paraId="58B79BC3" w14:textId="77777777" w:rsidR="007E1815" w:rsidRPr="009D4E15" w:rsidRDefault="007E1815" w:rsidP="007E1815">
      <w:pPr>
        <w:pStyle w:val="ListNumber"/>
        <w:numPr>
          <w:ilvl w:val="0"/>
          <w:numId w:val="0"/>
        </w:numPr>
        <w:ind w:left="1071"/>
        <w:jc w:val="both"/>
        <w:rPr>
          <w:rFonts w:ascii="Times New Roman" w:hAnsi="Times New Roman"/>
          <w:sz w:val="24"/>
        </w:rPr>
      </w:pPr>
    </w:p>
    <w:p w14:paraId="16DF72D7" w14:textId="77777777" w:rsidR="007E1815" w:rsidRPr="009D4E15" w:rsidRDefault="007E1815" w:rsidP="007E1815">
      <w:pPr>
        <w:pStyle w:val="ListNumber"/>
        <w:numPr>
          <w:ilvl w:val="1"/>
          <w:numId w:val="6"/>
        </w:numPr>
        <w:spacing w:after="150"/>
        <w:jc w:val="both"/>
        <w:rPr>
          <w:rFonts w:ascii="Times New Roman" w:hAnsi="Times New Roman"/>
          <w:sz w:val="24"/>
        </w:rPr>
      </w:pPr>
      <w:r w:rsidRPr="009D4E15">
        <w:rPr>
          <w:rFonts w:ascii="Times New Roman" w:hAnsi="Times New Roman"/>
          <w:sz w:val="24"/>
        </w:rPr>
        <w:t>zostatková splatnosť menej ako šesť mesiacov;</w:t>
      </w:r>
    </w:p>
    <w:p w14:paraId="15456445" w14:textId="77777777" w:rsidR="007E1815" w:rsidRPr="009D4E15" w:rsidRDefault="007E1815" w:rsidP="007E1815">
      <w:pPr>
        <w:pStyle w:val="ListNumber"/>
        <w:numPr>
          <w:ilvl w:val="0"/>
          <w:numId w:val="0"/>
        </w:numPr>
        <w:ind w:left="1071"/>
        <w:jc w:val="both"/>
        <w:rPr>
          <w:rFonts w:ascii="Times New Roman" w:hAnsi="Times New Roman"/>
          <w:sz w:val="24"/>
        </w:rPr>
      </w:pPr>
    </w:p>
    <w:p w14:paraId="22246D74" w14:textId="77777777" w:rsidR="007E1815" w:rsidRPr="009D4E15" w:rsidRDefault="007E1815" w:rsidP="007E1815">
      <w:pPr>
        <w:pStyle w:val="ListNumber"/>
        <w:numPr>
          <w:ilvl w:val="1"/>
          <w:numId w:val="6"/>
        </w:numPr>
        <w:spacing w:after="150"/>
        <w:jc w:val="both"/>
        <w:rPr>
          <w:rFonts w:ascii="Times New Roman" w:hAnsi="Times New Roman"/>
          <w:sz w:val="24"/>
        </w:rPr>
      </w:pPr>
      <w:r w:rsidRPr="009D4E15">
        <w:rPr>
          <w:rFonts w:ascii="Times New Roman" w:hAnsi="Times New Roman"/>
          <w:sz w:val="24"/>
        </w:rPr>
        <w:t>zostatková splatnosť minimálne šesť mesiacov, ale menej ako jeden rok; a</w:t>
      </w:r>
    </w:p>
    <w:p w14:paraId="6A87D26E" w14:textId="77777777" w:rsidR="007E1815" w:rsidRPr="009D4E15" w:rsidRDefault="007E1815" w:rsidP="007E1815">
      <w:pPr>
        <w:pStyle w:val="ListNumber"/>
        <w:numPr>
          <w:ilvl w:val="0"/>
          <w:numId w:val="0"/>
        </w:numPr>
        <w:ind w:left="1071"/>
        <w:jc w:val="both"/>
        <w:rPr>
          <w:rFonts w:ascii="Times New Roman" w:hAnsi="Times New Roman"/>
          <w:sz w:val="24"/>
        </w:rPr>
      </w:pPr>
    </w:p>
    <w:p w14:paraId="77A0B740" w14:textId="77777777" w:rsidR="007E1815" w:rsidRPr="009D4E15" w:rsidRDefault="007E1815" w:rsidP="007E1815">
      <w:pPr>
        <w:pStyle w:val="ListNumber"/>
        <w:numPr>
          <w:ilvl w:val="1"/>
          <w:numId w:val="6"/>
        </w:numPr>
        <w:spacing w:after="150"/>
        <w:jc w:val="both"/>
        <w:rPr>
          <w:rFonts w:ascii="Times New Roman" w:hAnsi="Times New Roman"/>
          <w:sz w:val="24"/>
        </w:rPr>
      </w:pPr>
      <w:r w:rsidRPr="009D4E15">
        <w:tab/>
      </w:r>
      <w:r w:rsidRPr="009D4E15">
        <w:rPr>
          <w:rFonts w:ascii="Times New Roman" w:hAnsi="Times New Roman"/>
          <w:sz w:val="24"/>
        </w:rPr>
        <w:t>zostatková splatnosť jeden rok alebo viac.</w:t>
      </w:r>
    </w:p>
    <w:p w14:paraId="6BA304AA" w14:textId="77777777" w:rsidR="007E1815" w:rsidRPr="009D4E15" w:rsidRDefault="007E1815" w:rsidP="007E1815">
      <w:pPr>
        <w:pStyle w:val="ListNumber"/>
        <w:numPr>
          <w:ilvl w:val="0"/>
          <w:numId w:val="0"/>
        </w:numPr>
        <w:rPr>
          <w:rFonts w:ascii="Times New Roman" w:hAnsi="Times New Roman"/>
          <w:sz w:val="24"/>
        </w:rPr>
      </w:pPr>
    </w:p>
    <w:p w14:paraId="67F6D5AE" w14:textId="77777777" w:rsidR="007E1815" w:rsidRPr="009D4E15" w:rsidRDefault="007E1815" w:rsidP="007E1815">
      <w:pPr>
        <w:pStyle w:val="ListNumber"/>
        <w:numPr>
          <w:ilvl w:val="0"/>
          <w:numId w:val="0"/>
        </w:numPr>
        <w:ind w:left="357" w:hanging="357"/>
        <w:jc w:val="both"/>
        <w:rPr>
          <w:rFonts w:ascii="Times New Roman" w:hAnsi="Times New Roman"/>
          <w:b/>
          <w:sz w:val="24"/>
        </w:rPr>
      </w:pPr>
      <w:r w:rsidRPr="009D4E15">
        <w:rPr>
          <w:rFonts w:ascii="Times New Roman" w:hAnsi="Times New Roman"/>
          <w:b/>
          <w:sz w:val="24"/>
        </w:rPr>
        <w:t>Položky požadovaného stabilného financovania (RSF)</w:t>
      </w:r>
    </w:p>
    <w:p w14:paraId="03707205" w14:textId="0B68080A" w:rsidR="007E1815" w:rsidRPr="009D4E15"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D4E15">
        <w:rPr>
          <w:rFonts w:ascii="Times New Roman" w:hAnsi="Times New Roman"/>
          <w:sz w:val="24"/>
        </w:rPr>
        <w:t>Inštitúcie zverejňujú</w:t>
      </w:r>
      <w:r w:rsidR="009D4E15">
        <w:rPr>
          <w:rFonts w:ascii="Times New Roman" w:hAnsi="Times New Roman"/>
          <w:sz w:val="24"/>
        </w:rPr>
        <w:t xml:space="preserve"> v </w:t>
      </w:r>
      <w:r w:rsidRPr="009D4E15">
        <w:rPr>
          <w:rFonts w:ascii="Times New Roman" w:hAnsi="Times New Roman"/>
          <w:sz w:val="24"/>
        </w:rPr>
        <w:t>príslušnej kategórii všetky aktíva,</w:t>
      </w:r>
      <w:r w:rsidR="009D4E15">
        <w:rPr>
          <w:rFonts w:ascii="Times New Roman" w:hAnsi="Times New Roman"/>
          <w:sz w:val="24"/>
        </w:rPr>
        <w:t xml:space="preserve"> v </w:t>
      </w:r>
      <w:r w:rsidRPr="009D4E15">
        <w:rPr>
          <w:rFonts w:ascii="Times New Roman" w:hAnsi="Times New Roman"/>
          <w:sz w:val="24"/>
        </w:rPr>
        <w:t>prípade ktorých zostávajú konečnými vlastníkmi, aj keď nie sú účtované</w:t>
      </w:r>
      <w:r w:rsidR="009D4E15">
        <w:rPr>
          <w:rFonts w:ascii="Times New Roman" w:hAnsi="Times New Roman"/>
          <w:sz w:val="24"/>
        </w:rPr>
        <w:t xml:space="preserve"> v </w:t>
      </w:r>
      <w:r w:rsidRPr="009D4E15">
        <w:rPr>
          <w:rFonts w:ascii="Times New Roman" w:hAnsi="Times New Roman"/>
          <w:sz w:val="24"/>
        </w:rPr>
        <w:t>ich súvahe. Aktíva,</w:t>
      </w:r>
      <w:r w:rsidR="009D4E15">
        <w:rPr>
          <w:rFonts w:ascii="Times New Roman" w:hAnsi="Times New Roman"/>
          <w:sz w:val="24"/>
        </w:rPr>
        <w:t xml:space="preserve"> v </w:t>
      </w:r>
      <w:r w:rsidRPr="009D4E15">
        <w:rPr>
          <w:rFonts w:ascii="Times New Roman" w:hAnsi="Times New Roman"/>
          <w:sz w:val="24"/>
        </w:rPr>
        <w:t>prípade ktorých inštitúcie nezostávajú konečnými vlastníkmi, sa nezverejňujú ani vtedy, ak sú tieto aktíva účtované</w:t>
      </w:r>
      <w:r w:rsidR="009D4E15">
        <w:rPr>
          <w:rFonts w:ascii="Times New Roman" w:hAnsi="Times New Roman"/>
          <w:sz w:val="24"/>
        </w:rPr>
        <w:t xml:space="preserve"> v </w:t>
      </w:r>
      <w:r w:rsidRPr="009D4E15">
        <w:rPr>
          <w:rFonts w:ascii="Times New Roman" w:hAnsi="Times New Roman"/>
          <w:sz w:val="24"/>
        </w:rPr>
        <w:t>ich súvahe.</w:t>
      </w:r>
    </w:p>
    <w:p w14:paraId="0BD2DC52" w14:textId="0F7940FF" w:rsidR="007E1815" w:rsidRPr="009D4E15"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D4E15">
        <w:rPr>
          <w:rFonts w:ascii="Times New Roman" w:hAnsi="Times New Roman"/>
          <w:sz w:val="24"/>
        </w:rPr>
        <w:t>Ak nie je</w:t>
      </w:r>
      <w:r w:rsidR="009D4E15">
        <w:rPr>
          <w:rFonts w:ascii="Times New Roman" w:hAnsi="Times New Roman"/>
          <w:sz w:val="24"/>
        </w:rPr>
        <w:t xml:space="preserve"> v </w:t>
      </w:r>
      <w:r w:rsidRPr="009D4E15">
        <w:rPr>
          <w:rFonts w:ascii="Times New Roman" w:hAnsi="Times New Roman"/>
          <w:sz w:val="24"/>
        </w:rPr>
        <w:t>šiestej časti hlave IV kapitole 4 CRR stanovené inak, suma požadovaného stabilného financovania (RSF) sa</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428p CRR vypočítava tak, že sa nevážená hodnota aktív</w:t>
      </w:r>
      <w:r w:rsidR="009D4E15">
        <w:rPr>
          <w:rFonts w:ascii="Times New Roman" w:hAnsi="Times New Roman"/>
          <w:sz w:val="24"/>
        </w:rPr>
        <w:t xml:space="preserve"> a </w:t>
      </w:r>
      <w:r w:rsidRPr="009D4E15">
        <w:rPr>
          <w:rFonts w:ascii="Times New Roman" w:hAnsi="Times New Roman"/>
          <w:sz w:val="24"/>
        </w:rPr>
        <w:t>podsúvahových položiek vynásobí koeficientmi požadovaného stabilného financovania.</w:t>
      </w:r>
    </w:p>
    <w:p w14:paraId="335AF99A" w14:textId="77EA333E" w:rsidR="007E1815" w:rsidRPr="009D4E15"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D4E15">
        <w:rPr>
          <w:rFonts w:ascii="Times New Roman" w:hAnsi="Times New Roman"/>
          <w:sz w:val="24"/>
        </w:rPr>
        <w:t>Aktíva, ktoré sú prípustné ako vysokokvalitné likvidné aktíva (HQLA)</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delegovaným nariadením Komisie (EÚ) 2015/61, sa zverejňujú ako také,</w:t>
      </w:r>
      <w:r w:rsidR="009D4E15">
        <w:rPr>
          <w:rFonts w:ascii="Times New Roman" w:hAnsi="Times New Roman"/>
          <w:sz w:val="24"/>
        </w:rPr>
        <w:t xml:space="preserve"> a </w:t>
      </w:r>
      <w:r w:rsidRPr="009D4E15">
        <w:rPr>
          <w:rFonts w:ascii="Times New Roman" w:hAnsi="Times New Roman"/>
          <w:sz w:val="24"/>
        </w:rPr>
        <w:t>to</w:t>
      </w:r>
      <w:r w:rsidR="009D4E15">
        <w:rPr>
          <w:rFonts w:ascii="Times New Roman" w:hAnsi="Times New Roman"/>
          <w:sz w:val="24"/>
        </w:rPr>
        <w:t xml:space="preserve"> v </w:t>
      </w:r>
      <w:r w:rsidRPr="009D4E15">
        <w:rPr>
          <w:rFonts w:ascii="Times New Roman" w:hAnsi="Times New Roman"/>
          <w:sz w:val="24"/>
        </w:rPr>
        <w:t>určenom riadku bez ohľadu na ich zostatkovú splatnosť.</w:t>
      </w:r>
    </w:p>
    <w:p w14:paraId="44264B2F" w14:textId="24A16273" w:rsidR="007E1815" w:rsidRPr="009D4E15"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D4E15">
        <w:rPr>
          <w:rFonts w:ascii="Times New Roman" w:hAnsi="Times New Roman"/>
          <w:sz w:val="24"/>
        </w:rPr>
        <w:t>Všetky aktíva</w:t>
      </w:r>
      <w:r w:rsidR="009D4E15">
        <w:rPr>
          <w:rFonts w:ascii="Times New Roman" w:hAnsi="Times New Roman"/>
          <w:sz w:val="24"/>
        </w:rPr>
        <w:t xml:space="preserve"> a </w:t>
      </w:r>
      <w:r w:rsidRPr="009D4E15">
        <w:rPr>
          <w:rFonts w:ascii="Times New Roman" w:hAnsi="Times New Roman"/>
          <w:sz w:val="24"/>
        </w:rPr>
        <w:t>podsúvahové položky iné ako HQLA sa zverejňujú</w:t>
      </w:r>
      <w:r w:rsidR="009D4E15">
        <w:rPr>
          <w:rFonts w:ascii="Times New Roman" w:hAnsi="Times New Roman"/>
          <w:sz w:val="24"/>
        </w:rPr>
        <w:t xml:space="preserve"> v </w:t>
      </w:r>
      <w:r w:rsidRPr="009D4E15">
        <w:rPr>
          <w:rFonts w:ascii="Times New Roman" w:hAnsi="Times New Roman"/>
          <w:sz w:val="24"/>
        </w:rPr>
        <w:t>rozčlenení podľa ich zostatkovej splatnosti</w:t>
      </w:r>
      <w:r w:rsidR="009D4E15">
        <w:rPr>
          <w:rFonts w:ascii="Times New Roman" w:hAnsi="Times New Roman"/>
          <w:sz w:val="24"/>
        </w:rPr>
        <w:t xml:space="preserve"> v </w:t>
      </w:r>
      <w:r w:rsidRPr="009D4E15">
        <w:rPr>
          <w:rFonts w:ascii="Times New Roman" w:hAnsi="Times New Roman"/>
          <w:sz w:val="24"/>
        </w:rPr>
        <w:t>súlade</w:t>
      </w:r>
      <w:r w:rsidR="009D4E15">
        <w:rPr>
          <w:rFonts w:ascii="Times New Roman" w:hAnsi="Times New Roman"/>
          <w:sz w:val="24"/>
        </w:rPr>
        <w:t xml:space="preserve"> s </w:t>
      </w:r>
      <w:r w:rsidRPr="009D4E15">
        <w:rPr>
          <w:rFonts w:ascii="Times New Roman" w:hAnsi="Times New Roman"/>
          <w:sz w:val="24"/>
        </w:rPr>
        <w:t>článkom 428q CRR. Skupiny splatností súm, štandardných koeficientov</w:t>
      </w:r>
      <w:r w:rsidR="009D4E15">
        <w:rPr>
          <w:rFonts w:ascii="Times New Roman" w:hAnsi="Times New Roman"/>
          <w:sz w:val="24"/>
        </w:rPr>
        <w:t xml:space="preserve"> a </w:t>
      </w:r>
      <w:r w:rsidRPr="009D4E15">
        <w:rPr>
          <w:rFonts w:ascii="Times New Roman" w:hAnsi="Times New Roman"/>
          <w:sz w:val="24"/>
        </w:rPr>
        <w:t>uplatniteľných koeficientov sú tieto:</w:t>
      </w:r>
    </w:p>
    <w:p w14:paraId="0C1F136F" w14:textId="77777777" w:rsidR="007E1815" w:rsidRPr="009D4E15" w:rsidRDefault="007E1815" w:rsidP="007E1815">
      <w:pPr>
        <w:pStyle w:val="ListNumber"/>
        <w:numPr>
          <w:ilvl w:val="0"/>
          <w:numId w:val="0"/>
        </w:numPr>
        <w:ind w:left="1071"/>
        <w:jc w:val="both"/>
        <w:rPr>
          <w:rFonts w:ascii="Times New Roman" w:hAnsi="Times New Roman"/>
          <w:sz w:val="24"/>
        </w:rPr>
      </w:pPr>
    </w:p>
    <w:p w14:paraId="1F393622" w14:textId="77777777" w:rsidR="007E1815" w:rsidRPr="009D4E15" w:rsidRDefault="007E1815" w:rsidP="007E1815">
      <w:pPr>
        <w:pStyle w:val="ListNumber"/>
        <w:numPr>
          <w:ilvl w:val="1"/>
          <w:numId w:val="13"/>
        </w:numPr>
        <w:spacing w:after="150"/>
        <w:jc w:val="both"/>
        <w:rPr>
          <w:rFonts w:ascii="Times New Roman" w:hAnsi="Times New Roman"/>
          <w:sz w:val="24"/>
        </w:rPr>
      </w:pPr>
      <w:r w:rsidRPr="009D4E15">
        <w:rPr>
          <w:rFonts w:ascii="Times New Roman" w:hAnsi="Times New Roman"/>
          <w:sz w:val="24"/>
        </w:rPr>
        <w:t>zostatková splatnosť menej ako šesť mesiacov alebo bez stanovenej splatnosti;</w:t>
      </w:r>
    </w:p>
    <w:p w14:paraId="70DE81A7" w14:textId="77777777" w:rsidR="007E1815" w:rsidRPr="009D4E15" w:rsidRDefault="007E1815" w:rsidP="007E1815">
      <w:pPr>
        <w:pStyle w:val="ListNumber"/>
        <w:numPr>
          <w:ilvl w:val="0"/>
          <w:numId w:val="0"/>
        </w:numPr>
        <w:ind w:left="1071"/>
        <w:jc w:val="both"/>
        <w:rPr>
          <w:rFonts w:ascii="Times New Roman" w:hAnsi="Times New Roman"/>
          <w:sz w:val="24"/>
        </w:rPr>
      </w:pPr>
    </w:p>
    <w:p w14:paraId="2320D290" w14:textId="77777777" w:rsidR="007E1815" w:rsidRPr="009D4E15" w:rsidRDefault="007E1815" w:rsidP="007E1815">
      <w:pPr>
        <w:pStyle w:val="ListNumber"/>
        <w:numPr>
          <w:ilvl w:val="1"/>
          <w:numId w:val="6"/>
        </w:numPr>
        <w:spacing w:after="150"/>
        <w:jc w:val="both"/>
        <w:rPr>
          <w:rFonts w:ascii="Times New Roman" w:hAnsi="Times New Roman"/>
          <w:sz w:val="24"/>
        </w:rPr>
      </w:pPr>
      <w:r w:rsidRPr="009D4E15">
        <w:rPr>
          <w:rFonts w:ascii="Times New Roman" w:hAnsi="Times New Roman"/>
          <w:sz w:val="24"/>
        </w:rPr>
        <w:t>zostatková splatnosť minimálne šesť mesiacov, ale menej ako jeden rok; a</w:t>
      </w:r>
    </w:p>
    <w:p w14:paraId="3D3AB18F" w14:textId="77777777" w:rsidR="007E1815" w:rsidRPr="009D4E15" w:rsidRDefault="007E1815" w:rsidP="007E1815">
      <w:pPr>
        <w:pStyle w:val="ListNumber"/>
        <w:numPr>
          <w:ilvl w:val="0"/>
          <w:numId w:val="0"/>
        </w:numPr>
        <w:ind w:left="1071"/>
        <w:jc w:val="both"/>
        <w:rPr>
          <w:rFonts w:ascii="Times New Roman" w:hAnsi="Times New Roman"/>
          <w:sz w:val="24"/>
        </w:rPr>
      </w:pPr>
    </w:p>
    <w:p w14:paraId="0FBA8D39" w14:textId="77777777" w:rsidR="007E1815" w:rsidRPr="009D4E15" w:rsidRDefault="007E1815" w:rsidP="007E1815">
      <w:pPr>
        <w:pStyle w:val="ListNumber"/>
        <w:numPr>
          <w:ilvl w:val="1"/>
          <w:numId w:val="6"/>
        </w:numPr>
        <w:spacing w:after="150"/>
        <w:jc w:val="both"/>
        <w:rPr>
          <w:rFonts w:ascii="Times New Roman" w:hAnsi="Times New Roman"/>
          <w:sz w:val="24"/>
        </w:rPr>
      </w:pPr>
      <w:r w:rsidRPr="009D4E15">
        <w:rPr>
          <w:rFonts w:ascii="Times New Roman" w:hAnsi="Times New Roman"/>
          <w:sz w:val="24"/>
        </w:rPr>
        <w:t>zostatková splatnosť jeden rok alebo viac.</w:t>
      </w:r>
    </w:p>
    <w:p w14:paraId="02C8881F" w14:textId="77777777" w:rsidR="007E1815" w:rsidRPr="009D4E15"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2"/>
        <w:gridCol w:w="7664"/>
      </w:tblGrid>
      <w:tr w:rsidR="007E1815" w:rsidRPr="009D4E15"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6F7CF1E2" w:rsidR="007E1815" w:rsidRPr="009D4E15" w:rsidRDefault="007E1815" w:rsidP="00D819DE">
            <w:pPr>
              <w:rPr>
                <w:rFonts w:ascii="Times New Roman" w:hAnsi="Times New Roman"/>
                <w:sz w:val="24"/>
                <w:lang w:val="sk-SK"/>
              </w:rPr>
            </w:pPr>
            <w:r w:rsidRPr="009D4E15">
              <w:rPr>
                <w:rFonts w:ascii="Times New Roman" w:hAnsi="Times New Roman"/>
                <w:b/>
                <w:sz w:val="24"/>
                <w:lang w:val="sk-SK"/>
              </w:rPr>
              <w:t>Odkazy na právne predpisy</w:t>
            </w:r>
            <w:r w:rsidR="009D4E15">
              <w:rPr>
                <w:rFonts w:ascii="Times New Roman" w:hAnsi="Times New Roman"/>
                <w:b/>
                <w:sz w:val="24"/>
                <w:lang w:val="sk-SK"/>
              </w:rPr>
              <w:t xml:space="preserve"> a </w:t>
            </w:r>
            <w:r w:rsidRPr="009D4E15">
              <w:rPr>
                <w:rFonts w:ascii="Times New Roman" w:hAnsi="Times New Roman"/>
                <w:b/>
                <w:sz w:val="24"/>
                <w:lang w:val="sk-SK"/>
              </w:rPr>
              <w:t>pokyny</w:t>
            </w:r>
          </w:p>
        </w:tc>
      </w:tr>
      <w:tr w:rsidR="007E1815" w:rsidRPr="009D4E15" w14:paraId="4222DCCE" w14:textId="77777777" w:rsidTr="00D819DE">
        <w:trPr>
          <w:trHeight w:val="567"/>
        </w:trPr>
        <w:tc>
          <w:tcPr>
            <w:tcW w:w="1355" w:type="dxa"/>
            <w:shd w:val="clear" w:color="auto" w:fill="D9D9D9" w:themeFill="background1" w:themeFillShade="D9"/>
          </w:tcPr>
          <w:p w14:paraId="5A502C58" w14:textId="77777777" w:rsidR="007E1815" w:rsidRPr="009D4E15" w:rsidRDefault="007E1815" w:rsidP="00D819DE">
            <w:pPr>
              <w:rPr>
                <w:rFonts w:ascii="Times New Roman" w:hAnsi="Times New Roman"/>
                <w:b/>
                <w:sz w:val="24"/>
                <w:lang w:val="sk-SK"/>
              </w:rPr>
            </w:pPr>
            <w:r w:rsidRPr="009D4E15">
              <w:rPr>
                <w:rFonts w:ascii="Times New Roman" w:hAnsi="Times New Roman"/>
                <w:b/>
                <w:sz w:val="24"/>
                <w:lang w:val="sk-SK"/>
              </w:rPr>
              <w:t>Riadok</w:t>
            </w:r>
          </w:p>
        </w:tc>
        <w:tc>
          <w:tcPr>
            <w:tcW w:w="7705" w:type="dxa"/>
            <w:shd w:val="clear" w:color="auto" w:fill="D0CECE"/>
          </w:tcPr>
          <w:p w14:paraId="50C21EC2" w14:textId="77777777" w:rsidR="007E1815" w:rsidRPr="009D4E15" w:rsidRDefault="007E1815" w:rsidP="00D819DE">
            <w:pPr>
              <w:rPr>
                <w:rFonts w:ascii="Times New Roman" w:hAnsi="Times New Roman"/>
                <w:sz w:val="24"/>
                <w:lang w:val="sk-SK"/>
              </w:rPr>
            </w:pPr>
            <w:r w:rsidRPr="009D4E15">
              <w:rPr>
                <w:rFonts w:ascii="Times New Roman" w:hAnsi="Times New Roman"/>
                <w:b/>
                <w:sz w:val="24"/>
                <w:lang w:val="sk-SK"/>
              </w:rPr>
              <w:t>Vysvetlenie</w:t>
            </w:r>
          </w:p>
        </w:tc>
      </w:tr>
      <w:tr w:rsidR="007E1815" w:rsidRPr="009D4E15" w14:paraId="47A97B92" w14:textId="77777777" w:rsidTr="00D819DE">
        <w:trPr>
          <w:trHeight w:val="567"/>
        </w:trPr>
        <w:tc>
          <w:tcPr>
            <w:tcW w:w="1355" w:type="dxa"/>
            <w:shd w:val="clear" w:color="auto" w:fill="D0CECE"/>
          </w:tcPr>
          <w:p w14:paraId="4E7DACFE" w14:textId="77777777" w:rsidR="007E1815" w:rsidRPr="009D4E15" w:rsidRDefault="007E1815" w:rsidP="00D819DE">
            <w:pPr>
              <w:rPr>
                <w:rFonts w:ascii="Times New Roman" w:hAnsi="Times New Roman"/>
                <w:sz w:val="24"/>
                <w:lang w:val="sk-SK"/>
              </w:rPr>
            </w:pPr>
          </w:p>
        </w:tc>
        <w:tc>
          <w:tcPr>
            <w:tcW w:w="7705" w:type="dxa"/>
            <w:shd w:val="clear" w:color="auto" w:fill="D0CECE"/>
          </w:tcPr>
          <w:p w14:paraId="4662642A" w14:textId="77777777" w:rsidR="007E1815" w:rsidRPr="009D4E15" w:rsidRDefault="007E1815" w:rsidP="00D819DE">
            <w:pPr>
              <w:rPr>
                <w:rFonts w:ascii="Times New Roman" w:hAnsi="Times New Roman"/>
                <w:b/>
                <w:sz w:val="24"/>
                <w:lang w:val="sk-SK"/>
              </w:rPr>
            </w:pPr>
            <w:r w:rsidRPr="009D4E15">
              <w:rPr>
                <w:rFonts w:ascii="Times New Roman" w:hAnsi="Times New Roman"/>
                <w:b/>
                <w:sz w:val="24"/>
                <w:lang w:val="sk-SK"/>
              </w:rPr>
              <w:t>Položky dostupného stabilného financovania (ASF)</w:t>
            </w:r>
          </w:p>
        </w:tc>
      </w:tr>
      <w:tr w:rsidR="007E1815" w:rsidRPr="009D4E15" w14:paraId="33C4FE49" w14:textId="77777777" w:rsidTr="00D819DE">
        <w:tc>
          <w:tcPr>
            <w:tcW w:w="1355" w:type="dxa"/>
          </w:tcPr>
          <w:p w14:paraId="4BF6617C"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1</w:t>
            </w:r>
          </w:p>
        </w:tc>
        <w:tc>
          <w:tcPr>
            <w:tcW w:w="7705" w:type="dxa"/>
          </w:tcPr>
          <w:p w14:paraId="4606BCE5" w14:textId="02BB07E2" w:rsidR="007E1815" w:rsidRPr="009D4E15" w:rsidRDefault="007E1815" w:rsidP="00D819DE">
            <w:pPr>
              <w:spacing w:after="240"/>
              <w:jc w:val="both"/>
              <w:rPr>
                <w:rFonts w:ascii="Times New Roman" w:hAnsi="Times New Roman"/>
                <w:sz w:val="24"/>
                <w:lang w:val="sk-SK"/>
              </w:rPr>
            </w:pPr>
            <w:r w:rsidRPr="009D4E15">
              <w:rPr>
                <w:rFonts w:ascii="Times New Roman" w:hAnsi="Times New Roman"/>
                <w:b/>
                <w:sz w:val="24"/>
                <w:lang w:val="sk-SK"/>
              </w:rPr>
              <w:t>Kapitálové položky</w:t>
            </w:r>
            <w:r w:rsidR="009D4E15">
              <w:rPr>
                <w:rFonts w:ascii="Times New Roman" w:hAnsi="Times New Roman"/>
                <w:b/>
                <w:sz w:val="24"/>
                <w:lang w:val="sk-SK"/>
              </w:rPr>
              <w:t xml:space="preserve"> a </w:t>
            </w:r>
            <w:r w:rsidRPr="009D4E15">
              <w:rPr>
                <w:rFonts w:ascii="Times New Roman" w:hAnsi="Times New Roman"/>
                <w:b/>
                <w:sz w:val="24"/>
                <w:lang w:val="sk-SK"/>
              </w:rPr>
              <w:t>nástroje</w:t>
            </w:r>
          </w:p>
          <w:p w14:paraId="0B8977C9" w14:textId="58DEB12F"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tu zverejňujú súčet hodnôt</w:t>
            </w:r>
            <w:r w:rsidR="009D4E15">
              <w:rPr>
                <w:rFonts w:ascii="Times New Roman" w:hAnsi="Times New Roman"/>
                <w:sz w:val="24"/>
                <w:lang w:val="sk-SK"/>
              </w:rPr>
              <w:t xml:space="preserve"> v </w:t>
            </w:r>
            <w:r w:rsidRPr="009D4E15">
              <w:rPr>
                <w:rFonts w:ascii="Times New Roman" w:hAnsi="Times New Roman"/>
                <w:sz w:val="24"/>
                <w:lang w:val="sk-SK"/>
              </w:rPr>
              <w:t>riadku 2</w:t>
            </w:r>
            <w:r w:rsidR="009D4E15">
              <w:rPr>
                <w:rFonts w:ascii="Times New Roman" w:hAnsi="Times New Roman"/>
                <w:sz w:val="24"/>
                <w:lang w:val="sk-SK"/>
              </w:rPr>
              <w:t xml:space="preserve"> a </w:t>
            </w:r>
            <w:r w:rsidRPr="009D4E15">
              <w:rPr>
                <w:rFonts w:ascii="Times New Roman" w:hAnsi="Times New Roman"/>
                <w:sz w:val="24"/>
                <w:lang w:val="sk-SK"/>
              </w:rPr>
              <w:t>riadku 3 tohto vzoru.</w:t>
            </w:r>
          </w:p>
        </w:tc>
      </w:tr>
      <w:tr w:rsidR="007E1815" w:rsidRPr="009D4E15" w14:paraId="1969A8FD" w14:textId="77777777" w:rsidTr="00D819DE">
        <w:tc>
          <w:tcPr>
            <w:tcW w:w="1355" w:type="dxa"/>
          </w:tcPr>
          <w:p w14:paraId="275C0D10"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2</w:t>
            </w:r>
          </w:p>
        </w:tc>
        <w:tc>
          <w:tcPr>
            <w:tcW w:w="7705" w:type="dxa"/>
          </w:tcPr>
          <w:p w14:paraId="116DF0CA" w14:textId="77777777" w:rsidR="007E1815" w:rsidRPr="009D4E15" w:rsidRDefault="007E1815" w:rsidP="00D819DE">
            <w:pPr>
              <w:spacing w:after="240"/>
              <w:jc w:val="both"/>
              <w:rPr>
                <w:rFonts w:ascii="Times New Roman" w:hAnsi="Times New Roman"/>
                <w:b/>
                <w:sz w:val="24"/>
                <w:lang w:val="sk-SK"/>
              </w:rPr>
            </w:pPr>
            <w:r w:rsidRPr="009D4E15">
              <w:rPr>
                <w:rFonts w:ascii="Times New Roman" w:hAnsi="Times New Roman"/>
                <w:b/>
                <w:sz w:val="24"/>
                <w:lang w:val="sk-SK"/>
              </w:rPr>
              <w:t>Vlastné zdroje</w:t>
            </w:r>
          </w:p>
          <w:p w14:paraId="41BB1DEB" w14:textId="28457BF3"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Článok 428o písm. a), b)</w:t>
            </w:r>
            <w:r w:rsidR="009D4E15">
              <w:rPr>
                <w:rFonts w:ascii="Times New Roman" w:hAnsi="Times New Roman"/>
                <w:sz w:val="24"/>
                <w:lang w:val="sk-SK"/>
              </w:rPr>
              <w:t xml:space="preserve"> a </w:t>
            </w:r>
            <w:r w:rsidRPr="009D4E15">
              <w:rPr>
                <w:rFonts w:ascii="Times New Roman" w:hAnsi="Times New Roman"/>
                <w:sz w:val="24"/>
                <w:lang w:val="sk-SK"/>
              </w:rPr>
              <w:t>c) CRR.</w:t>
            </w:r>
          </w:p>
          <w:p w14:paraId="4277A47A"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tu uvedú súčet týchto položiek:</w:t>
            </w:r>
          </w:p>
          <w:p w14:paraId="02EDA993" w14:textId="44DF2DB2" w:rsidR="007E1815" w:rsidRPr="009D4E15" w:rsidRDefault="007E1815" w:rsidP="007E1815">
            <w:pPr>
              <w:pStyle w:val="ListParagraph"/>
              <w:numPr>
                <w:ilvl w:val="0"/>
                <w:numId w:val="10"/>
              </w:numPr>
              <w:spacing w:after="240"/>
              <w:contextualSpacing/>
              <w:jc w:val="both"/>
              <w:rPr>
                <w:rFonts w:ascii="Times New Roman" w:hAnsi="Times New Roman"/>
                <w:sz w:val="24"/>
                <w:lang w:val="sk-SK"/>
              </w:rPr>
            </w:pPr>
            <w:r w:rsidRPr="009D4E15">
              <w:rPr>
                <w:rFonts w:ascii="Times New Roman" w:hAnsi="Times New Roman"/>
                <w:sz w:val="24"/>
                <w:lang w:val="sk-SK"/>
              </w:rPr>
              <w:t xml:space="preserve">položky vlastného kapitálu </w:t>
            </w:r>
            <w:proofErr w:type="spellStart"/>
            <w:r w:rsidRPr="009D4E15">
              <w:rPr>
                <w:rFonts w:ascii="Times New Roman" w:hAnsi="Times New Roman"/>
                <w:sz w:val="24"/>
                <w:lang w:val="sk-SK"/>
              </w:rPr>
              <w:t>Tier</w:t>
            </w:r>
            <w:proofErr w:type="spellEnd"/>
            <w:r w:rsidRPr="009D4E15">
              <w:rPr>
                <w:rFonts w:ascii="Times New Roman" w:hAnsi="Times New Roman"/>
                <w:sz w:val="24"/>
                <w:lang w:val="sk-SK"/>
              </w:rPr>
              <w:t xml:space="preserve"> 1 (CET1) pred uplatnením </w:t>
            </w:r>
            <w:proofErr w:type="spellStart"/>
            <w:r w:rsidRPr="009D4E15">
              <w:rPr>
                <w:rFonts w:ascii="Times New Roman" w:hAnsi="Times New Roman"/>
                <w:sz w:val="24"/>
                <w:lang w:val="sk-SK"/>
              </w:rPr>
              <w:t>prudenciálnych</w:t>
            </w:r>
            <w:proofErr w:type="spellEnd"/>
            <w:r w:rsidRPr="009D4E15">
              <w:rPr>
                <w:rFonts w:ascii="Times New Roman" w:hAnsi="Times New Roman"/>
                <w:sz w:val="24"/>
                <w:lang w:val="sk-SK"/>
              </w:rPr>
              <w:t xml:space="preserve"> filtrov, odpočtov</w:t>
            </w:r>
            <w:r w:rsidR="009D4E15">
              <w:rPr>
                <w:rFonts w:ascii="Times New Roman" w:hAnsi="Times New Roman"/>
                <w:sz w:val="24"/>
                <w:lang w:val="sk-SK"/>
              </w:rPr>
              <w:t xml:space="preserve"> a </w:t>
            </w:r>
            <w:r w:rsidRPr="009D4E15">
              <w:rPr>
                <w:rFonts w:ascii="Times New Roman" w:hAnsi="Times New Roman"/>
                <w:sz w:val="24"/>
                <w:lang w:val="sk-SK"/>
              </w:rPr>
              <w:t>výnimiek alebo alternatív stanovených</w:t>
            </w:r>
            <w:r w:rsidR="009D4E15">
              <w:rPr>
                <w:rFonts w:ascii="Times New Roman" w:hAnsi="Times New Roman"/>
                <w:sz w:val="24"/>
                <w:lang w:val="sk-SK"/>
              </w:rPr>
              <w:t xml:space="preserve"> v </w:t>
            </w:r>
            <w:r w:rsidRPr="009D4E15">
              <w:rPr>
                <w:rFonts w:ascii="Times New Roman" w:hAnsi="Times New Roman"/>
                <w:sz w:val="24"/>
                <w:lang w:val="sk-SK"/>
              </w:rPr>
              <w:t>článkoch 32 až 36, 48, 49</w:t>
            </w:r>
            <w:r w:rsidR="009D4E15">
              <w:rPr>
                <w:rFonts w:ascii="Times New Roman" w:hAnsi="Times New Roman"/>
                <w:sz w:val="24"/>
                <w:lang w:val="sk-SK"/>
              </w:rPr>
              <w:t xml:space="preserve"> a </w:t>
            </w:r>
            <w:r w:rsidRPr="009D4E15">
              <w:rPr>
                <w:rFonts w:ascii="Times New Roman" w:hAnsi="Times New Roman"/>
                <w:sz w:val="24"/>
                <w:lang w:val="sk-SK"/>
              </w:rPr>
              <w:t>79 CRR;</w:t>
            </w:r>
          </w:p>
          <w:p w14:paraId="728F2A4A" w14:textId="67D75350" w:rsidR="007E1815" w:rsidRPr="009D4E15" w:rsidRDefault="007E1815" w:rsidP="007E1815">
            <w:pPr>
              <w:pStyle w:val="ListParagraph"/>
              <w:numPr>
                <w:ilvl w:val="0"/>
                <w:numId w:val="10"/>
              </w:numPr>
              <w:spacing w:after="240"/>
              <w:contextualSpacing/>
              <w:jc w:val="both"/>
              <w:rPr>
                <w:rFonts w:ascii="Times New Roman" w:hAnsi="Times New Roman"/>
                <w:sz w:val="24"/>
                <w:lang w:val="sk-SK"/>
              </w:rPr>
            </w:pPr>
            <w:r w:rsidRPr="009D4E15">
              <w:rPr>
                <w:rFonts w:ascii="Times New Roman" w:hAnsi="Times New Roman"/>
                <w:sz w:val="24"/>
                <w:lang w:val="sk-SK"/>
              </w:rPr>
              <w:t xml:space="preserve">položky dodatočného kapitálu </w:t>
            </w:r>
            <w:proofErr w:type="spellStart"/>
            <w:r w:rsidRPr="009D4E15">
              <w:rPr>
                <w:rFonts w:ascii="Times New Roman" w:hAnsi="Times New Roman"/>
                <w:sz w:val="24"/>
                <w:lang w:val="sk-SK"/>
              </w:rPr>
              <w:t>Tier</w:t>
            </w:r>
            <w:proofErr w:type="spellEnd"/>
            <w:r w:rsidRPr="009D4E15">
              <w:rPr>
                <w:rFonts w:ascii="Times New Roman" w:hAnsi="Times New Roman"/>
                <w:sz w:val="24"/>
                <w:lang w:val="sk-SK"/>
              </w:rPr>
              <w:t xml:space="preserve"> 1 (AT1) pred uplatnením odpočtov</w:t>
            </w:r>
            <w:r w:rsidR="009D4E15">
              <w:rPr>
                <w:rFonts w:ascii="Times New Roman" w:hAnsi="Times New Roman"/>
                <w:sz w:val="24"/>
                <w:lang w:val="sk-SK"/>
              </w:rPr>
              <w:t xml:space="preserve"> a </w:t>
            </w:r>
            <w:r w:rsidRPr="009D4E15">
              <w:rPr>
                <w:rFonts w:ascii="Times New Roman" w:hAnsi="Times New Roman"/>
                <w:sz w:val="24"/>
                <w:lang w:val="sk-SK"/>
              </w:rPr>
              <w:t>výnimiek stanovených</w:t>
            </w:r>
            <w:r w:rsidR="009D4E15">
              <w:rPr>
                <w:rFonts w:ascii="Times New Roman" w:hAnsi="Times New Roman"/>
                <w:sz w:val="24"/>
                <w:lang w:val="sk-SK"/>
              </w:rPr>
              <w:t xml:space="preserve"> v </w:t>
            </w:r>
            <w:r w:rsidRPr="009D4E15">
              <w:rPr>
                <w:rFonts w:ascii="Times New Roman" w:hAnsi="Times New Roman"/>
                <w:sz w:val="24"/>
                <w:lang w:val="sk-SK"/>
              </w:rPr>
              <w:t>článkoch 56</w:t>
            </w:r>
            <w:r w:rsidR="009D4E15">
              <w:rPr>
                <w:rFonts w:ascii="Times New Roman" w:hAnsi="Times New Roman"/>
                <w:sz w:val="24"/>
                <w:lang w:val="sk-SK"/>
              </w:rPr>
              <w:t xml:space="preserve"> a </w:t>
            </w:r>
            <w:r w:rsidRPr="009D4E15">
              <w:rPr>
                <w:rFonts w:ascii="Times New Roman" w:hAnsi="Times New Roman"/>
                <w:sz w:val="24"/>
                <w:lang w:val="sk-SK"/>
              </w:rPr>
              <w:t>79 CRR; a</w:t>
            </w:r>
          </w:p>
          <w:p w14:paraId="79565A6F" w14:textId="5983064A" w:rsidR="007E1815" w:rsidRPr="009D4E15" w:rsidRDefault="007E1815" w:rsidP="007E1815">
            <w:pPr>
              <w:pStyle w:val="ListParagraph"/>
              <w:numPr>
                <w:ilvl w:val="0"/>
                <w:numId w:val="10"/>
              </w:numPr>
              <w:spacing w:after="240"/>
              <w:contextualSpacing/>
              <w:jc w:val="both"/>
              <w:rPr>
                <w:rFonts w:ascii="Times New Roman" w:hAnsi="Times New Roman"/>
                <w:sz w:val="24"/>
                <w:lang w:val="sk-SK"/>
              </w:rPr>
            </w:pPr>
            <w:r w:rsidRPr="009D4E15">
              <w:rPr>
                <w:rFonts w:ascii="Times New Roman" w:hAnsi="Times New Roman"/>
                <w:sz w:val="24"/>
                <w:lang w:val="sk-SK"/>
              </w:rPr>
              <w:t xml:space="preserve">položky kapitálu </w:t>
            </w:r>
            <w:proofErr w:type="spellStart"/>
            <w:r w:rsidRPr="009D4E15">
              <w:rPr>
                <w:rFonts w:ascii="Times New Roman" w:hAnsi="Times New Roman"/>
                <w:sz w:val="24"/>
                <w:lang w:val="sk-SK"/>
              </w:rPr>
              <w:t>Tier</w:t>
            </w:r>
            <w:proofErr w:type="spellEnd"/>
            <w:r w:rsidRPr="009D4E15">
              <w:rPr>
                <w:rFonts w:ascii="Times New Roman" w:hAnsi="Times New Roman"/>
                <w:sz w:val="24"/>
                <w:lang w:val="sk-SK"/>
              </w:rPr>
              <w:t xml:space="preserve"> 2 (T2) pred uplatnením odpočtov</w:t>
            </w:r>
            <w:r w:rsidR="009D4E15">
              <w:rPr>
                <w:rFonts w:ascii="Times New Roman" w:hAnsi="Times New Roman"/>
                <w:sz w:val="24"/>
                <w:lang w:val="sk-SK"/>
              </w:rPr>
              <w:t xml:space="preserve"> a </w:t>
            </w:r>
            <w:r w:rsidRPr="009D4E15">
              <w:rPr>
                <w:rFonts w:ascii="Times New Roman" w:hAnsi="Times New Roman"/>
                <w:sz w:val="24"/>
                <w:lang w:val="sk-SK"/>
              </w:rPr>
              <w:t>výnimiek stanovených</w:t>
            </w:r>
            <w:r w:rsidR="009D4E15">
              <w:rPr>
                <w:rFonts w:ascii="Times New Roman" w:hAnsi="Times New Roman"/>
                <w:sz w:val="24"/>
                <w:lang w:val="sk-SK"/>
              </w:rPr>
              <w:t xml:space="preserve"> v </w:t>
            </w:r>
            <w:r w:rsidRPr="009D4E15">
              <w:rPr>
                <w:rFonts w:ascii="Times New Roman" w:hAnsi="Times New Roman"/>
                <w:sz w:val="24"/>
                <w:lang w:val="sk-SK"/>
              </w:rPr>
              <w:t>článkoch 66</w:t>
            </w:r>
            <w:r w:rsidR="009D4E15">
              <w:rPr>
                <w:rFonts w:ascii="Times New Roman" w:hAnsi="Times New Roman"/>
                <w:sz w:val="24"/>
                <w:lang w:val="sk-SK"/>
              </w:rPr>
              <w:t xml:space="preserve"> a </w:t>
            </w:r>
            <w:r w:rsidRPr="009D4E15">
              <w:rPr>
                <w:rFonts w:ascii="Times New Roman" w:hAnsi="Times New Roman"/>
                <w:sz w:val="24"/>
                <w:lang w:val="sk-SK"/>
              </w:rPr>
              <w:t>79 CRR, ktoré majú</w:t>
            </w:r>
            <w:r w:rsidR="009D4E15">
              <w:rPr>
                <w:rFonts w:ascii="Times New Roman" w:hAnsi="Times New Roman"/>
                <w:sz w:val="24"/>
                <w:lang w:val="sk-SK"/>
              </w:rPr>
              <w:t xml:space="preserve"> k </w:t>
            </w:r>
            <w:r w:rsidRPr="009D4E15">
              <w:rPr>
                <w:rFonts w:ascii="Times New Roman" w:hAnsi="Times New Roman"/>
                <w:sz w:val="24"/>
                <w:lang w:val="sk-SK"/>
              </w:rPr>
              <w:t>referenčnému dátumu zverejňovania zostatkovú splatnosť jeden rok alebo viac.</w:t>
            </w:r>
          </w:p>
          <w:p w14:paraId="00D84758" w14:textId="019F84A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Položky CET1</w:t>
            </w:r>
            <w:r w:rsidR="009D4E15">
              <w:rPr>
                <w:rFonts w:ascii="Times New Roman" w:hAnsi="Times New Roman"/>
                <w:sz w:val="24"/>
                <w:lang w:val="sk-SK"/>
              </w:rPr>
              <w:t xml:space="preserve"> a </w:t>
            </w:r>
            <w:r w:rsidRPr="009D4E15">
              <w:rPr>
                <w:rFonts w:ascii="Times New Roman" w:hAnsi="Times New Roman"/>
                <w:sz w:val="24"/>
                <w:lang w:val="sk-SK"/>
              </w:rPr>
              <w:t>AT1 sú trvalé nástroje, ktoré sa zverejňujú</w:t>
            </w:r>
            <w:r w:rsidR="009D4E15">
              <w:rPr>
                <w:rFonts w:ascii="Times New Roman" w:hAnsi="Times New Roman"/>
                <w:sz w:val="24"/>
                <w:lang w:val="sk-SK"/>
              </w:rPr>
              <w:t xml:space="preserve"> v </w:t>
            </w:r>
            <w:r w:rsidRPr="009D4E15">
              <w:rPr>
                <w:rFonts w:ascii="Times New Roman" w:hAnsi="Times New Roman"/>
                <w:sz w:val="24"/>
                <w:lang w:val="sk-SK"/>
              </w:rPr>
              <w:t>skupine „bez splatnosti“.</w:t>
            </w:r>
            <w:r w:rsidR="009D4E15">
              <w:rPr>
                <w:rFonts w:ascii="Times New Roman" w:hAnsi="Times New Roman"/>
                <w:sz w:val="24"/>
                <w:lang w:val="sk-SK"/>
              </w:rPr>
              <w:t xml:space="preserve"> V </w:t>
            </w:r>
            <w:r w:rsidRPr="009D4E15">
              <w:rPr>
                <w:rFonts w:ascii="Times New Roman" w:hAnsi="Times New Roman"/>
                <w:sz w:val="24"/>
                <w:lang w:val="sk-SK"/>
              </w:rPr>
              <w:t>prípade položiek AT1, ktoré inštitúcia môže kúpiť na požiadanie, len ak je časové obdobie do dátumu kúpnych opcií kratšie ako jeden rok, sa tieto položky nezverejňujú</w:t>
            </w:r>
            <w:r w:rsidR="009D4E15">
              <w:rPr>
                <w:rFonts w:ascii="Times New Roman" w:hAnsi="Times New Roman"/>
                <w:sz w:val="24"/>
                <w:lang w:val="sk-SK"/>
              </w:rPr>
              <w:t xml:space="preserve"> v </w:t>
            </w:r>
            <w:r w:rsidRPr="009D4E15">
              <w:rPr>
                <w:rFonts w:ascii="Times New Roman" w:hAnsi="Times New Roman"/>
                <w:sz w:val="24"/>
                <w:lang w:val="sk-SK"/>
              </w:rPr>
              <w:t>žiadnej skupine splatností, ale</w:t>
            </w:r>
            <w:r w:rsidR="009D4E15">
              <w:rPr>
                <w:rFonts w:ascii="Times New Roman" w:hAnsi="Times New Roman"/>
                <w:sz w:val="24"/>
                <w:lang w:val="sk-SK"/>
              </w:rPr>
              <w:t xml:space="preserve"> v </w:t>
            </w:r>
            <w:r w:rsidRPr="009D4E15">
              <w:rPr>
                <w:rFonts w:ascii="Times New Roman" w:hAnsi="Times New Roman"/>
                <w:sz w:val="24"/>
                <w:lang w:val="sk-SK"/>
              </w:rPr>
              <w:t>príslušnej časovej skupine (t. j. zostatková splatnosť menej ako šesť mesiacov alebo zostatková splatnosť minimálne šesť mesiacov, ale menej ako jeden rok). To platí bez ohľadu na to, či opcia bola alebo nebola uplatnená.</w:t>
            </w:r>
          </w:p>
          <w:p w14:paraId="0435A78E" w14:textId="4BE5648D"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Pokiaľ ide</w:t>
            </w:r>
            <w:r w:rsidR="009D4E15">
              <w:rPr>
                <w:rFonts w:ascii="Times New Roman" w:hAnsi="Times New Roman"/>
                <w:sz w:val="24"/>
                <w:lang w:val="sk-SK"/>
              </w:rPr>
              <w:t xml:space="preserve"> o </w:t>
            </w:r>
            <w:r w:rsidRPr="009D4E15">
              <w:rPr>
                <w:rFonts w:ascii="Times New Roman" w:hAnsi="Times New Roman"/>
                <w:sz w:val="24"/>
                <w:lang w:val="sk-SK"/>
              </w:rPr>
              <w:t>položky T2, skupina splatností jeden rok alebo viac zahŕňa nástroje</w:t>
            </w:r>
            <w:r w:rsidR="009D4E15">
              <w:rPr>
                <w:rFonts w:ascii="Times New Roman" w:hAnsi="Times New Roman"/>
                <w:sz w:val="24"/>
                <w:lang w:val="sk-SK"/>
              </w:rPr>
              <w:t xml:space="preserve"> s </w:t>
            </w:r>
            <w:r w:rsidRPr="009D4E15">
              <w:rPr>
                <w:rFonts w:ascii="Times New Roman" w:hAnsi="Times New Roman"/>
                <w:sz w:val="24"/>
                <w:lang w:val="sk-SK"/>
              </w:rPr>
              <w:t>rovnocennou zostatkovou splatnosťou</w:t>
            </w:r>
            <w:r w:rsidR="009D4E15">
              <w:rPr>
                <w:rFonts w:ascii="Times New Roman" w:hAnsi="Times New Roman"/>
                <w:sz w:val="24"/>
                <w:lang w:val="sk-SK"/>
              </w:rPr>
              <w:t xml:space="preserve"> a </w:t>
            </w:r>
            <w:r w:rsidRPr="009D4E15">
              <w:rPr>
                <w:rFonts w:ascii="Times New Roman" w:hAnsi="Times New Roman"/>
                <w:sz w:val="24"/>
                <w:lang w:val="sk-SK"/>
              </w:rPr>
              <w:t>vo výnimočných prípadoch nástrojov T2 bez splatnosti aj tieto nástroje.</w:t>
            </w:r>
            <w:r w:rsidR="009D4E15">
              <w:rPr>
                <w:rFonts w:ascii="Times New Roman" w:hAnsi="Times New Roman"/>
                <w:sz w:val="24"/>
                <w:lang w:val="sk-SK"/>
              </w:rPr>
              <w:t xml:space="preserve"> V </w:t>
            </w:r>
            <w:r w:rsidRPr="009D4E15">
              <w:rPr>
                <w:rFonts w:ascii="Times New Roman" w:hAnsi="Times New Roman"/>
                <w:sz w:val="24"/>
                <w:lang w:val="sk-SK"/>
              </w:rPr>
              <w:t>prípade, že inštitúcia môže na požiadanie kúpiť položky T2,</w:t>
            </w:r>
            <w:r w:rsidR="009D4E15">
              <w:rPr>
                <w:rFonts w:ascii="Times New Roman" w:hAnsi="Times New Roman"/>
                <w:sz w:val="24"/>
                <w:lang w:val="sk-SK"/>
              </w:rPr>
              <w:t xml:space="preserve"> a </w:t>
            </w:r>
            <w:r w:rsidRPr="009D4E15">
              <w:rPr>
                <w:rFonts w:ascii="Times New Roman" w:hAnsi="Times New Roman"/>
                <w:sz w:val="24"/>
                <w:lang w:val="sk-SK"/>
              </w:rPr>
              <w:t>bez ohľadu na to, či inštitúcia uplatnila kúpnu opciu, zostatková splatnosť nástroja sa určí podľa dátumu kúpnej opcie.</w:t>
            </w:r>
            <w:r w:rsidR="009D4E15">
              <w:rPr>
                <w:rFonts w:ascii="Times New Roman" w:hAnsi="Times New Roman"/>
                <w:sz w:val="24"/>
                <w:lang w:val="sk-SK"/>
              </w:rPr>
              <w:t xml:space="preserve"> V </w:t>
            </w:r>
            <w:r w:rsidRPr="009D4E15">
              <w:rPr>
                <w:rFonts w:ascii="Times New Roman" w:hAnsi="Times New Roman"/>
                <w:sz w:val="24"/>
                <w:lang w:val="sk-SK"/>
              </w:rPr>
              <w:t>tomto prípade inštitúcia zverejňuje tieto položky</w:t>
            </w:r>
            <w:r w:rsidR="009D4E15">
              <w:rPr>
                <w:rFonts w:ascii="Times New Roman" w:hAnsi="Times New Roman"/>
                <w:sz w:val="24"/>
                <w:lang w:val="sk-SK"/>
              </w:rPr>
              <w:t xml:space="preserve"> v </w:t>
            </w:r>
            <w:r w:rsidRPr="009D4E15">
              <w:rPr>
                <w:rFonts w:ascii="Times New Roman" w:hAnsi="Times New Roman"/>
                <w:sz w:val="24"/>
                <w:lang w:val="sk-SK"/>
              </w:rPr>
              <w:t>príslušnej časovej skupine</w:t>
            </w:r>
            <w:r w:rsidR="009D4E15">
              <w:rPr>
                <w:rFonts w:ascii="Times New Roman" w:hAnsi="Times New Roman"/>
                <w:sz w:val="24"/>
                <w:lang w:val="sk-SK"/>
              </w:rPr>
              <w:t xml:space="preserve"> a </w:t>
            </w:r>
            <w:r w:rsidRPr="009D4E15">
              <w:rPr>
                <w:rFonts w:ascii="Times New Roman" w:hAnsi="Times New Roman"/>
                <w:sz w:val="24"/>
                <w:lang w:val="sk-SK"/>
              </w:rPr>
              <w:t>neuplatňuje koeficient ASF vo výške 100</w:t>
            </w:r>
            <w:r w:rsidR="009D4E15">
              <w:rPr>
                <w:rFonts w:ascii="Times New Roman" w:hAnsi="Times New Roman"/>
                <w:sz w:val="24"/>
                <w:lang w:val="sk-SK"/>
              </w:rPr>
              <w:t> %</w:t>
            </w:r>
            <w:r w:rsidRPr="009D4E15">
              <w:rPr>
                <w:rFonts w:ascii="Times New Roman" w:hAnsi="Times New Roman"/>
                <w:sz w:val="24"/>
                <w:lang w:val="sk-SK"/>
              </w:rPr>
              <w:t>, ak sa opcia môže uplatniť do jedného roka.</w:t>
            </w:r>
          </w:p>
        </w:tc>
      </w:tr>
      <w:tr w:rsidR="007E1815" w:rsidRPr="009D4E15" w14:paraId="2550E7B9" w14:textId="77777777" w:rsidTr="00D819DE">
        <w:tc>
          <w:tcPr>
            <w:tcW w:w="1355" w:type="dxa"/>
          </w:tcPr>
          <w:p w14:paraId="0584ABF1"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3</w:t>
            </w:r>
          </w:p>
        </w:tc>
        <w:tc>
          <w:tcPr>
            <w:tcW w:w="7705" w:type="dxa"/>
          </w:tcPr>
          <w:p w14:paraId="4DC4EF55" w14:textId="77777777" w:rsidR="007E1815" w:rsidRPr="009D4E15" w:rsidRDefault="007E1815" w:rsidP="00D819DE">
            <w:pPr>
              <w:spacing w:after="240"/>
              <w:jc w:val="both"/>
              <w:rPr>
                <w:rFonts w:ascii="Times New Roman" w:hAnsi="Times New Roman"/>
                <w:b/>
                <w:sz w:val="24"/>
                <w:lang w:val="sk-SK"/>
              </w:rPr>
            </w:pPr>
            <w:r w:rsidRPr="009D4E15">
              <w:rPr>
                <w:rFonts w:ascii="Times New Roman" w:hAnsi="Times New Roman"/>
                <w:b/>
                <w:sz w:val="24"/>
                <w:lang w:val="sk-SK"/>
              </w:rPr>
              <w:t>Ostatné kapitálové nástroje</w:t>
            </w:r>
          </w:p>
          <w:p w14:paraId="171E776A" w14:textId="05A0544A" w:rsidR="007E1815" w:rsidRPr="009D4E15" w:rsidRDefault="007E1815" w:rsidP="00D819DE">
            <w:pPr>
              <w:pStyle w:val="TableParagraph"/>
              <w:spacing w:after="240"/>
              <w:jc w:val="both"/>
              <w:rPr>
                <w:rFonts w:ascii="Times New Roman" w:hAnsi="Times New Roman"/>
                <w:sz w:val="24"/>
                <w:szCs w:val="24"/>
                <w:lang w:val="sk-SK"/>
              </w:rPr>
            </w:pPr>
            <w:r w:rsidRPr="009D4E15">
              <w:rPr>
                <w:rFonts w:ascii="Times New Roman" w:hAnsi="Times New Roman"/>
                <w:sz w:val="24"/>
                <w:lang w:val="sk-SK"/>
              </w:rPr>
              <w:t>Článok 428o písm. d)</w:t>
            </w:r>
            <w:r w:rsidR="009D4E15">
              <w:rPr>
                <w:rFonts w:ascii="Times New Roman" w:hAnsi="Times New Roman"/>
                <w:sz w:val="24"/>
                <w:lang w:val="sk-SK"/>
              </w:rPr>
              <w:t xml:space="preserve"> a </w:t>
            </w:r>
            <w:r w:rsidRPr="009D4E15">
              <w:rPr>
                <w:rFonts w:ascii="Times New Roman" w:hAnsi="Times New Roman"/>
                <w:sz w:val="24"/>
                <w:lang w:val="sk-SK"/>
              </w:rPr>
              <w:t>článok 428k ods. 3 písm. d) CRR.</w:t>
            </w:r>
          </w:p>
          <w:p w14:paraId="06D7D9E7" w14:textId="0EBD7CCB" w:rsidR="007E1815" w:rsidRPr="009D4E15" w:rsidRDefault="007E1815" w:rsidP="00D819DE">
            <w:pPr>
              <w:pStyle w:val="TableParagraph"/>
              <w:spacing w:after="240"/>
              <w:jc w:val="both"/>
              <w:rPr>
                <w:rFonts w:ascii="Times New Roman" w:hAnsi="Times New Roman"/>
                <w:sz w:val="24"/>
                <w:szCs w:val="24"/>
                <w:lang w:val="sk-SK"/>
              </w:rPr>
            </w:pPr>
            <w:r w:rsidRPr="009D4E15">
              <w:rPr>
                <w:rFonts w:ascii="Times New Roman" w:hAnsi="Times New Roman"/>
                <w:sz w:val="24"/>
                <w:lang w:val="sk-SK"/>
              </w:rPr>
              <w:t>Ostatné kapitálové nástroje so zostatkovou splatnosťou</w:t>
            </w:r>
            <w:r w:rsidR="009D4E15">
              <w:rPr>
                <w:rFonts w:ascii="Times New Roman" w:hAnsi="Times New Roman"/>
                <w:sz w:val="24"/>
                <w:lang w:val="sk-SK"/>
              </w:rPr>
              <w:t xml:space="preserve"> k </w:t>
            </w:r>
            <w:r w:rsidRPr="009D4E15">
              <w:rPr>
                <w:rFonts w:ascii="Times New Roman" w:hAnsi="Times New Roman"/>
                <w:sz w:val="24"/>
                <w:lang w:val="sk-SK"/>
              </w:rPr>
              <w:t xml:space="preserve">referenčnému </w:t>
            </w:r>
            <w:r w:rsidRPr="009D4E15">
              <w:rPr>
                <w:rFonts w:ascii="Times New Roman" w:hAnsi="Times New Roman"/>
                <w:sz w:val="24"/>
                <w:lang w:val="sk-SK"/>
              </w:rPr>
              <w:lastRenderedPageBreak/>
              <w:t>dátumu zverejňovania jeden rok alebo viac.</w:t>
            </w:r>
          </w:p>
          <w:p w14:paraId="21CF35D5" w14:textId="12C0A626" w:rsidR="007E1815" w:rsidRPr="009D4E15" w:rsidRDefault="007E1815" w:rsidP="00D819DE">
            <w:pPr>
              <w:pStyle w:val="TableParagraph"/>
              <w:spacing w:after="240"/>
              <w:jc w:val="both"/>
              <w:rPr>
                <w:rFonts w:ascii="Times New Roman" w:hAnsi="Times New Roman"/>
                <w:sz w:val="24"/>
                <w:szCs w:val="24"/>
                <w:lang w:val="sk-SK"/>
              </w:rPr>
            </w:pPr>
            <w:r w:rsidRPr="009D4E15">
              <w:rPr>
                <w:rFonts w:ascii="Times New Roman" w:hAnsi="Times New Roman"/>
                <w:sz w:val="24"/>
                <w:lang w:val="sk-SK"/>
              </w:rPr>
              <w:t>V prípade, že inštitúcia môže na požiadanie kúpiť ostatné kapitálové nástroje,</w:t>
            </w:r>
            <w:r w:rsidR="009D4E15">
              <w:rPr>
                <w:rFonts w:ascii="Times New Roman" w:hAnsi="Times New Roman"/>
                <w:sz w:val="24"/>
                <w:lang w:val="sk-SK"/>
              </w:rPr>
              <w:t xml:space="preserve"> a </w:t>
            </w:r>
            <w:r w:rsidRPr="009D4E15">
              <w:rPr>
                <w:rFonts w:ascii="Times New Roman" w:hAnsi="Times New Roman"/>
                <w:sz w:val="24"/>
                <w:lang w:val="sk-SK"/>
              </w:rPr>
              <w:t>bez ohľadu na to, či inštitúcia uplatnila kúpnu opciu, zostatková splatnosť nástroja sa určí podľa dátumu kúpnej opcie.</w:t>
            </w:r>
            <w:r w:rsidR="009D4E15">
              <w:rPr>
                <w:rFonts w:ascii="Times New Roman" w:hAnsi="Times New Roman"/>
                <w:sz w:val="24"/>
                <w:lang w:val="sk-SK"/>
              </w:rPr>
              <w:t xml:space="preserve"> V </w:t>
            </w:r>
            <w:r w:rsidRPr="009D4E15">
              <w:rPr>
                <w:rFonts w:ascii="Times New Roman" w:hAnsi="Times New Roman"/>
                <w:sz w:val="24"/>
                <w:lang w:val="sk-SK"/>
              </w:rPr>
              <w:t>tomto prípade inštitúcia zverejňuje tieto položky</w:t>
            </w:r>
            <w:r w:rsidR="009D4E15">
              <w:rPr>
                <w:rFonts w:ascii="Times New Roman" w:hAnsi="Times New Roman"/>
                <w:sz w:val="24"/>
                <w:lang w:val="sk-SK"/>
              </w:rPr>
              <w:t xml:space="preserve"> v </w:t>
            </w:r>
            <w:r w:rsidRPr="009D4E15">
              <w:rPr>
                <w:rFonts w:ascii="Times New Roman" w:hAnsi="Times New Roman"/>
                <w:sz w:val="24"/>
                <w:lang w:val="sk-SK"/>
              </w:rPr>
              <w:t>príslušnej časovej skupine</w:t>
            </w:r>
            <w:r w:rsidR="009D4E15">
              <w:rPr>
                <w:rFonts w:ascii="Times New Roman" w:hAnsi="Times New Roman"/>
                <w:sz w:val="24"/>
                <w:lang w:val="sk-SK"/>
              </w:rPr>
              <w:t xml:space="preserve"> a </w:t>
            </w:r>
            <w:r w:rsidRPr="009D4E15">
              <w:rPr>
                <w:rFonts w:ascii="Times New Roman" w:hAnsi="Times New Roman"/>
                <w:sz w:val="24"/>
                <w:lang w:val="sk-SK"/>
              </w:rPr>
              <w:t>neuplatňuje koeficient ASF vo výške 100</w:t>
            </w:r>
            <w:r w:rsidR="009D4E15">
              <w:rPr>
                <w:rFonts w:ascii="Times New Roman" w:hAnsi="Times New Roman"/>
                <w:sz w:val="24"/>
                <w:lang w:val="sk-SK"/>
              </w:rPr>
              <w:t> %</w:t>
            </w:r>
            <w:r w:rsidRPr="009D4E15">
              <w:rPr>
                <w:rFonts w:ascii="Times New Roman" w:hAnsi="Times New Roman"/>
                <w:sz w:val="24"/>
                <w:lang w:val="sk-SK"/>
              </w:rPr>
              <w:t>, ak sa opcia môže uplatniť do jedného roka.</w:t>
            </w:r>
          </w:p>
        </w:tc>
      </w:tr>
      <w:tr w:rsidR="007E1815" w:rsidRPr="009D4E15" w14:paraId="4A44833C" w14:textId="77777777" w:rsidTr="00D819DE">
        <w:tc>
          <w:tcPr>
            <w:tcW w:w="1355" w:type="dxa"/>
          </w:tcPr>
          <w:p w14:paraId="2BD678A7"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lastRenderedPageBreak/>
              <w:t>4</w:t>
            </w:r>
          </w:p>
        </w:tc>
        <w:tc>
          <w:tcPr>
            <w:tcW w:w="7705" w:type="dxa"/>
          </w:tcPr>
          <w:p w14:paraId="5DDF6D57" w14:textId="77777777" w:rsidR="007E1815" w:rsidRPr="009D4E15" w:rsidRDefault="007E1815" w:rsidP="00D819DE">
            <w:pPr>
              <w:spacing w:after="240"/>
              <w:jc w:val="both"/>
              <w:rPr>
                <w:rFonts w:ascii="Times New Roman" w:hAnsi="Times New Roman"/>
                <w:b/>
                <w:sz w:val="24"/>
                <w:lang w:val="sk-SK"/>
              </w:rPr>
            </w:pPr>
            <w:proofErr w:type="spellStart"/>
            <w:r w:rsidRPr="009D4E15">
              <w:rPr>
                <w:rFonts w:ascii="Times New Roman" w:hAnsi="Times New Roman"/>
                <w:b/>
                <w:sz w:val="24"/>
                <w:lang w:val="sk-SK"/>
              </w:rPr>
              <w:t>Retailové</w:t>
            </w:r>
            <w:proofErr w:type="spellEnd"/>
            <w:r w:rsidRPr="009D4E15">
              <w:rPr>
                <w:rFonts w:ascii="Times New Roman" w:hAnsi="Times New Roman"/>
                <w:b/>
                <w:sz w:val="24"/>
                <w:lang w:val="sk-SK"/>
              </w:rPr>
              <w:t xml:space="preserve"> vklady</w:t>
            </w:r>
          </w:p>
          <w:p w14:paraId="5F72982B" w14:textId="7082C7E3" w:rsidR="007E1815" w:rsidRPr="009D4E15" w:rsidRDefault="007E1815" w:rsidP="00D819DE">
            <w:pPr>
              <w:spacing w:after="240"/>
              <w:jc w:val="both"/>
              <w:rPr>
                <w:lang w:val="sk-SK"/>
              </w:rPr>
            </w:pPr>
            <w:r w:rsidRPr="009D4E15">
              <w:rPr>
                <w:rFonts w:ascii="Times New Roman" w:hAnsi="Times New Roman"/>
                <w:sz w:val="24"/>
                <w:lang w:val="sk-SK"/>
              </w:rPr>
              <w:t>Inštitúcie tu zverejňujú súčet hodnôt</w:t>
            </w:r>
            <w:r w:rsidR="009D4E15">
              <w:rPr>
                <w:rFonts w:ascii="Times New Roman" w:hAnsi="Times New Roman"/>
                <w:sz w:val="24"/>
                <w:lang w:val="sk-SK"/>
              </w:rPr>
              <w:t xml:space="preserve"> v </w:t>
            </w:r>
            <w:r w:rsidRPr="009D4E15">
              <w:rPr>
                <w:rFonts w:ascii="Times New Roman" w:hAnsi="Times New Roman"/>
                <w:sz w:val="24"/>
                <w:lang w:val="sk-SK"/>
              </w:rPr>
              <w:t>riadku 5</w:t>
            </w:r>
            <w:r w:rsidR="009D4E15">
              <w:rPr>
                <w:rFonts w:ascii="Times New Roman" w:hAnsi="Times New Roman"/>
                <w:sz w:val="24"/>
                <w:lang w:val="sk-SK"/>
              </w:rPr>
              <w:t xml:space="preserve"> a </w:t>
            </w:r>
            <w:r w:rsidRPr="009D4E15">
              <w:rPr>
                <w:rFonts w:ascii="Times New Roman" w:hAnsi="Times New Roman"/>
                <w:sz w:val="24"/>
                <w:lang w:val="sk-SK"/>
              </w:rPr>
              <w:t>riadku 6 tohto vzoru.</w:t>
            </w:r>
          </w:p>
        </w:tc>
      </w:tr>
      <w:tr w:rsidR="007E1815" w:rsidRPr="009D4E15" w14:paraId="55F43930" w14:textId="77777777" w:rsidTr="00D819DE">
        <w:tc>
          <w:tcPr>
            <w:tcW w:w="1355" w:type="dxa"/>
          </w:tcPr>
          <w:p w14:paraId="416B77ED"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5</w:t>
            </w:r>
          </w:p>
        </w:tc>
        <w:tc>
          <w:tcPr>
            <w:tcW w:w="7705" w:type="dxa"/>
          </w:tcPr>
          <w:p w14:paraId="52E4A4D9" w14:textId="77777777" w:rsidR="007E1815" w:rsidRPr="009D4E15" w:rsidRDefault="007E1815" w:rsidP="00D819DE">
            <w:pPr>
              <w:spacing w:after="240"/>
              <w:jc w:val="both"/>
              <w:rPr>
                <w:rFonts w:ascii="Times New Roman" w:hAnsi="Times New Roman"/>
                <w:b/>
                <w:sz w:val="24"/>
                <w:lang w:val="sk-SK"/>
              </w:rPr>
            </w:pPr>
            <w:r w:rsidRPr="009D4E15">
              <w:rPr>
                <w:rFonts w:ascii="Times New Roman" w:hAnsi="Times New Roman"/>
                <w:b/>
                <w:sz w:val="24"/>
                <w:lang w:val="sk-SK"/>
              </w:rPr>
              <w:t xml:space="preserve">Stabilné </w:t>
            </w:r>
            <w:proofErr w:type="spellStart"/>
            <w:r w:rsidRPr="009D4E15">
              <w:rPr>
                <w:rFonts w:ascii="Times New Roman" w:hAnsi="Times New Roman"/>
                <w:b/>
                <w:sz w:val="24"/>
                <w:lang w:val="sk-SK"/>
              </w:rPr>
              <w:t>retailové</w:t>
            </w:r>
            <w:proofErr w:type="spellEnd"/>
            <w:r w:rsidRPr="009D4E15">
              <w:rPr>
                <w:rFonts w:ascii="Times New Roman" w:hAnsi="Times New Roman"/>
                <w:b/>
                <w:sz w:val="24"/>
                <w:lang w:val="sk-SK"/>
              </w:rPr>
              <w:t xml:space="preserve"> vklady</w:t>
            </w:r>
          </w:p>
          <w:p w14:paraId="28950C4C" w14:textId="77777777" w:rsidR="007E1815" w:rsidRPr="009D4E15" w:rsidRDefault="007E1815" w:rsidP="00D819DE">
            <w:pPr>
              <w:pStyle w:val="TableParagraph"/>
              <w:spacing w:after="240"/>
              <w:jc w:val="both"/>
              <w:rPr>
                <w:rFonts w:ascii="Times New Roman" w:hAnsi="Times New Roman"/>
                <w:sz w:val="24"/>
                <w:lang w:val="sk-SK"/>
              </w:rPr>
            </w:pPr>
            <w:r w:rsidRPr="009D4E15">
              <w:rPr>
                <w:rFonts w:ascii="Times New Roman" w:hAnsi="Times New Roman"/>
                <w:sz w:val="24"/>
                <w:lang w:val="sk-SK"/>
              </w:rPr>
              <w:t>Článok 428n CRR.</w:t>
            </w:r>
          </w:p>
          <w:p w14:paraId="790595EC" w14:textId="2EA1FC72" w:rsidR="007E1815" w:rsidRPr="009D4E15" w:rsidRDefault="007E1815" w:rsidP="00D819DE">
            <w:pPr>
              <w:pStyle w:val="TableParagraph"/>
              <w:spacing w:after="240"/>
              <w:jc w:val="both"/>
              <w:rPr>
                <w:rFonts w:ascii="Times New Roman" w:hAnsi="Times New Roman"/>
                <w:sz w:val="24"/>
                <w:szCs w:val="24"/>
                <w:lang w:val="sk-SK"/>
              </w:rPr>
            </w:pPr>
            <w:r w:rsidRPr="009D4E15">
              <w:rPr>
                <w:rFonts w:ascii="Times New Roman" w:hAnsi="Times New Roman"/>
                <w:sz w:val="24"/>
                <w:lang w:val="sk-SK"/>
              </w:rPr>
              <w:t xml:space="preserve">Inštitúcie zahŕňajú časť súm </w:t>
            </w:r>
            <w:proofErr w:type="spellStart"/>
            <w:r w:rsidRPr="009D4E15">
              <w:rPr>
                <w:rFonts w:ascii="Times New Roman" w:hAnsi="Times New Roman"/>
                <w:sz w:val="24"/>
                <w:lang w:val="sk-SK"/>
              </w:rPr>
              <w:t>retailových</w:t>
            </w:r>
            <w:proofErr w:type="spellEnd"/>
            <w:r w:rsidRPr="009D4E15">
              <w:rPr>
                <w:rFonts w:ascii="Times New Roman" w:hAnsi="Times New Roman"/>
                <w:sz w:val="24"/>
                <w:lang w:val="sk-SK"/>
              </w:rPr>
              <w:t xml:space="preserve"> vkladov krytú systémom ochrany vkladov</w:t>
            </w:r>
            <w:r w:rsidR="009D4E15">
              <w:rPr>
                <w:rFonts w:ascii="Times New Roman" w:hAnsi="Times New Roman"/>
                <w:sz w:val="24"/>
                <w:lang w:val="sk-SK"/>
              </w:rPr>
              <w:t xml:space="preserve"> v </w:t>
            </w:r>
            <w:r w:rsidRPr="009D4E15">
              <w:rPr>
                <w:rFonts w:ascii="Times New Roman" w:hAnsi="Times New Roman"/>
                <w:sz w:val="24"/>
                <w:lang w:val="sk-SK"/>
              </w:rPr>
              <w:t>súlade so smernicou 94/19/ES alebo smernicou 2014/49/EÚ alebo rovnocenným systémom ochrany vkladov</w:t>
            </w:r>
            <w:r w:rsidR="009D4E15">
              <w:rPr>
                <w:rFonts w:ascii="Times New Roman" w:hAnsi="Times New Roman"/>
                <w:sz w:val="24"/>
                <w:lang w:val="sk-SK"/>
              </w:rPr>
              <w:t xml:space="preserve"> v </w:t>
            </w:r>
            <w:r w:rsidRPr="009D4E15">
              <w:rPr>
                <w:rFonts w:ascii="Times New Roman" w:hAnsi="Times New Roman"/>
                <w:sz w:val="24"/>
                <w:lang w:val="sk-SK"/>
              </w:rPr>
              <w:t>tretej krajine, ktorá je buď súčasťou zriadeného vzťahu,</w:t>
            </w:r>
            <w:r w:rsidR="009D4E15">
              <w:rPr>
                <w:rFonts w:ascii="Times New Roman" w:hAnsi="Times New Roman"/>
                <w:sz w:val="24"/>
                <w:lang w:val="sk-SK"/>
              </w:rPr>
              <w:t xml:space="preserve"> v </w:t>
            </w:r>
            <w:r w:rsidRPr="009D4E15">
              <w:rPr>
                <w:rFonts w:ascii="Times New Roman" w:hAnsi="Times New Roman"/>
                <w:sz w:val="24"/>
                <w:lang w:val="sk-SK"/>
              </w:rPr>
              <w:t>rámci ktorého je výber vysoko nepravdepodobný, alebo je vedená na transakčnom účte</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24 ods. 2, resp. ods. 3 delegovaného nariadenia Komisie (EÚ) 2015/61, ak:</w:t>
            </w:r>
          </w:p>
          <w:p w14:paraId="66558887" w14:textId="4EE2AD88" w:rsidR="007E1815" w:rsidRPr="009D4E15" w:rsidRDefault="007E1815" w:rsidP="007E1815">
            <w:pPr>
              <w:pStyle w:val="TableParagraph"/>
              <w:numPr>
                <w:ilvl w:val="0"/>
                <w:numId w:val="7"/>
              </w:numPr>
              <w:spacing w:after="240"/>
              <w:ind w:left="714" w:hanging="357"/>
              <w:jc w:val="both"/>
              <w:rPr>
                <w:rFonts w:ascii="Times New Roman" w:hAnsi="Times New Roman"/>
                <w:sz w:val="24"/>
                <w:szCs w:val="24"/>
                <w:lang w:val="sk-SK"/>
              </w:rPr>
            </w:pPr>
            <w:r w:rsidRPr="009D4E15">
              <w:rPr>
                <w:rFonts w:ascii="Times New Roman" w:hAnsi="Times New Roman"/>
                <w:sz w:val="24"/>
                <w:lang w:val="sk-SK"/>
              </w:rPr>
              <w:t>tieto vklady nespĺňajú kritériá pre vyššiu mieru záporných peňažných tokov</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25 ods. 2, 3</w:t>
            </w:r>
            <w:r w:rsidR="009D4E15">
              <w:rPr>
                <w:rFonts w:ascii="Times New Roman" w:hAnsi="Times New Roman"/>
                <w:sz w:val="24"/>
                <w:lang w:val="sk-SK"/>
              </w:rPr>
              <w:t xml:space="preserve"> a </w:t>
            </w:r>
            <w:r w:rsidRPr="009D4E15">
              <w:rPr>
                <w:rFonts w:ascii="Times New Roman" w:hAnsi="Times New Roman"/>
                <w:sz w:val="24"/>
                <w:lang w:val="sk-SK"/>
              </w:rPr>
              <w:t>5 delegovaného nariadenia Komisie (EÚ) 2015/61, pričom</w:t>
            </w:r>
            <w:r w:rsidR="009D4E15">
              <w:rPr>
                <w:rFonts w:ascii="Times New Roman" w:hAnsi="Times New Roman"/>
                <w:sz w:val="24"/>
                <w:lang w:val="sk-SK"/>
              </w:rPr>
              <w:t xml:space="preserve"> v </w:t>
            </w:r>
            <w:r w:rsidRPr="009D4E15">
              <w:rPr>
                <w:rFonts w:ascii="Times New Roman" w:hAnsi="Times New Roman"/>
                <w:sz w:val="24"/>
                <w:lang w:val="sk-SK"/>
              </w:rPr>
              <w:t>takom prípade sa zahŕňajú ako „menej stabilné vklady“; alebo</w:t>
            </w:r>
          </w:p>
          <w:p w14:paraId="7A637E61" w14:textId="0E49B401" w:rsidR="007E1815" w:rsidRPr="009D4E15" w:rsidRDefault="007E1815" w:rsidP="007E1815">
            <w:pPr>
              <w:pStyle w:val="TableParagraph"/>
              <w:numPr>
                <w:ilvl w:val="0"/>
                <w:numId w:val="7"/>
              </w:numPr>
              <w:spacing w:after="240"/>
              <w:ind w:left="714" w:hanging="357"/>
              <w:jc w:val="both"/>
              <w:rPr>
                <w:rFonts w:ascii="Times New Roman" w:hAnsi="Times New Roman"/>
                <w:sz w:val="24"/>
                <w:szCs w:val="24"/>
                <w:lang w:val="sk-SK"/>
              </w:rPr>
            </w:pPr>
            <w:r w:rsidRPr="009D4E15">
              <w:rPr>
                <w:rFonts w:ascii="Times New Roman" w:hAnsi="Times New Roman"/>
                <w:sz w:val="24"/>
                <w:lang w:val="sk-SK"/>
              </w:rPr>
              <w:t>tieto vklady neboli prijaté</w:t>
            </w:r>
            <w:r w:rsidR="009D4E15">
              <w:rPr>
                <w:rFonts w:ascii="Times New Roman" w:hAnsi="Times New Roman"/>
                <w:sz w:val="24"/>
                <w:lang w:val="sk-SK"/>
              </w:rPr>
              <w:t xml:space="preserve"> v </w:t>
            </w:r>
            <w:r w:rsidRPr="009D4E15">
              <w:rPr>
                <w:rFonts w:ascii="Times New Roman" w:hAnsi="Times New Roman"/>
                <w:sz w:val="24"/>
                <w:lang w:val="sk-SK"/>
              </w:rPr>
              <w:t>tretích krajinách, pri ktorých sa uplatňuje vyšší záporný peňažný tok</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25 ods. 5 delegovaného nariadenia Komisie (EÚ) 2015/61, pričom</w:t>
            </w:r>
            <w:r w:rsidR="009D4E15">
              <w:rPr>
                <w:rFonts w:ascii="Times New Roman" w:hAnsi="Times New Roman"/>
                <w:sz w:val="24"/>
                <w:lang w:val="sk-SK"/>
              </w:rPr>
              <w:t xml:space="preserve"> v </w:t>
            </w:r>
            <w:r w:rsidRPr="009D4E15">
              <w:rPr>
                <w:rFonts w:ascii="Times New Roman" w:hAnsi="Times New Roman"/>
                <w:sz w:val="24"/>
                <w:lang w:val="sk-SK"/>
              </w:rPr>
              <w:t>takom prípade sa zahŕňajú ako „menej stabilné vklady“.</w:t>
            </w:r>
          </w:p>
        </w:tc>
      </w:tr>
      <w:tr w:rsidR="007E1815" w:rsidRPr="009D4E15" w14:paraId="194C8C25" w14:textId="77777777" w:rsidTr="00D819DE">
        <w:tc>
          <w:tcPr>
            <w:tcW w:w="1355" w:type="dxa"/>
          </w:tcPr>
          <w:p w14:paraId="1542BA49"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6</w:t>
            </w:r>
          </w:p>
        </w:tc>
        <w:tc>
          <w:tcPr>
            <w:tcW w:w="7705" w:type="dxa"/>
          </w:tcPr>
          <w:p w14:paraId="3BF13FD0" w14:textId="77777777" w:rsidR="007E1815" w:rsidRPr="009D4E15" w:rsidRDefault="007E1815" w:rsidP="00D819DE">
            <w:pPr>
              <w:spacing w:after="240"/>
              <w:jc w:val="both"/>
              <w:rPr>
                <w:rFonts w:ascii="Times New Roman" w:hAnsi="Times New Roman"/>
                <w:b/>
                <w:sz w:val="24"/>
                <w:lang w:val="sk-SK"/>
              </w:rPr>
            </w:pPr>
            <w:r w:rsidRPr="009D4E15">
              <w:rPr>
                <w:rFonts w:ascii="Times New Roman" w:hAnsi="Times New Roman"/>
                <w:b/>
                <w:sz w:val="24"/>
                <w:lang w:val="sk-SK"/>
              </w:rPr>
              <w:t xml:space="preserve">Menej stabilné </w:t>
            </w:r>
            <w:proofErr w:type="spellStart"/>
            <w:r w:rsidRPr="009D4E15">
              <w:rPr>
                <w:rFonts w:ascii="Times New Roman" w:hAnsi="Times New Roman"/>
                <w:b/>
                <w:sz w:val="24"/>
                <w:lang w:val="sk-SK"/>
              </w:rPr>
              <w:t>retailové</w:t>
            </w:r>
            <w:proofErr w:type="spellEnd"/>
            <w:r w:rsidRPr="009D4E15">
              <w:rPr>
                <w:rFonts w:ascii="Times New Roman" w:hAnsi="Times New Roman"/>
                <w:b/>
                <w:sz w:val="24"/>
                <w:lang w:val="sk-SK"/>
              </w:rPr>
              <w:t xml:space="preserve"> vklady</w:t>
            </w:r>
          </w:p>
          <w:p w14:paraId="3129D85E" w14:textId="77777777" w:rsidR="007E1815" w:rsidRPr="009D4E15" w:rsidRDefault="007E1815" w:rsidP="00D819DE">
            <w:pPr>
              <w:pStyle w:val="TableParagraph"/>
              <w:spacing w:after="240"/>
              <w:jc w:val="both"/>
              <w:rPr>
                <w:rFonts w:ascii="Times New Roman" w:hAnsi="Times New Roman"/>
                <w:sz w:val="24"/>
                <w:szCs w:val="24"/>
                <w:lang w:val="sk-SK"/>
              </w:rPr>
            </w:pPr>
            <w:r w:rsidRPr="009D4E15">
              <w:rPr>
                <w:rFonts w:ascii="Times New Roman" w:hAnsi="Times New Roman"/>
                <w:sz w:val="24"/>
                <w:lang w:val="sk-SK"/>
              </w:rPr>
              <w:t>Článok 428m CRR.</w:t>
            </w:r>
          </w:p>
          <w:p w14:paraId="2D5E64C4" w14:textId="448B35E2"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 xml:space="preserve">Inštitúcie zverejňujú sumu iných </w:t>
            </w:r>
            <w:proofErr w:type="spellStart"/>
            <w:r w:rsidRPr="009D4E15">
              <w:rPr>
                <w:rFonts w:ascii="Times New Roman" w:hAnsi="Times New Roman"/>
                <w:sz w:val="24"/>
                <w:lang w:val="sk-SK"/>
              </w:rPr>
              <w:t>retailových</w:t>
            </w:r>
            <w:proofErr w:type="spellEnd"/>
            <w:r w:rsidRPr="009D4E15">
              <w:rPr>
                <w:rFonts w:ascii="Times New Roman" w:hAnsi="Times New Roman"/>
                <w:sz w:val="24"/>
                <w:lang w:val="sk-SK"/>
              </w:rPr>
              <w:t xml:space="preserve"> vkladov, než sú vklady, ktoré sú zaznamenané ako „stabilné </w:t>
            </w:r>
            <w:proofErr w:type="spellStart"/>
            <w:r w:rsidRPr="009D4E15">
              <w:rPr>
                <w:rFonts w:ascii="Times New Roman" w:hAnsi="Times New Roman"/>
                <w:sz w:val="24"/>
                <w:lang w:val="sk-SK"/>
              </w:rPr>
              <w:t>retailové</w:t>
            </w:r>
            <w:proofErr w:type="spellEnd"/>
            <w:r w:rsidRPr="009D4E15">
              <w:rPr>
                <w:rFonts w:ascii="Times New Roman" w:hAnsi="Times New Roman"/>
                <w:sz w:val="24"/>
                <w:lang w:val="sk-SK"/>
              </w:rPr>
              <w:t xml:space="preserve"> vklady“</w:t>
            </w:r>
            <w:r w:rsidR="009D4E15">
              <w:rPr>
                <w:rFonts w:ascii="Times New Roman" w:hAnsi="Times New Roman"/>
                <w:sz w:val="24"/>
                <w:lang w:val="sk-SK"/>
              </w:rPr>
              <w:t xml:space="preserve"> v </w:t>
            </w:r>
            <w:r w:rsidRPr="009D4E15">
              <w:rPr>
                <w:rFonts w:ascii="Times New Roman" w:hAnsi="Times New Roman"/>
                <w:sz w:val="24"/>
                <w:lang w:val="sk-SK"/>
              </w:rPr>
              <w:t>riadku 5 tohto vzoru.</w:t>
            </w:r>
          </w:p>
        </w:tc>
      </w:tr>
      <w:tr w:rsidR="007E1815" w:rsidRPr="009D4E15" w14:paraId="73E8C93F" w14:textId="77777777" w:rsidTr="00D819DE">
        <w:tc>
          <w:tcPr>
            <w:tcW w:w="1355" w:type="dxa"/>
          </w:tcPr>
          <w:p w14:paraId="28A93239"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7</w:t>
            </w:r>
          </w:p>
        </w:tc>
        <w:tc>
          <w:tcPr>
            <w:tcW w:w="7705" w:type="dxa"/>
          </w:tcPr>
          <w:p w14:paraId="7DF872D2" w14:textId="77777777" w:rsidR="007E1815" w:rsidRPr="009D4E15" w:rsidRDefault="007E1815" w:rsidP="00D819DE">
            <w:pPr>
              <w:spacing w:after="240"/>
              <w:jc w:val="both"/>
              <w:rPr>
                <w:rFonts w:ascii="Times New Roman" w:hAnsi="Times New Roman"/>
                <w:b/>
                <w:sz w:val="24"/>
                <w:lang w:val="sk-SK"/>
              </w:rPr>
            </w:pPr>
            <w:r w:rsidRPr="009D4E15">
              <w:rPr>
                <w:rFonts w:ascii="Times New Roman" w:hAnsi="Times New Roman"/>
                <w:b/>
                <w:sz w:val="24"/>
                <w:lang w:val="sk-SK"/>
              </w:rPr>
              <w:t>Veľkoobchodné financovanie:</w:t>
            </w:r>
          </w:p>
          <w:p w14:paraId="3F59D262" w14:textId="409DB212"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tu zverejňujú súčet hodnôt</w:t>
            </w:r>
            <w:r w:rsidR="009D4E15">
              <w:rPr>
                <w:rFonts w:ascii="Times New Roman" w:hAnsi="Times New Roman"/>
                <w:sz w:val="24"/>
                <w:lang w:val="sk-SK"/>
              </w:rPr>
              <w:t xml:space="preserve"> v </w:t>
            </w:r>
            <w:r w:rsidRPr="009D4E15">
              <w:rPr>
                <w:rFonts w:ascii="Times New Roman" w:hAnsi="Times New Roman"/>
                <w:sz w:val="24"/>
                <w:lang w:val="sk-SK"/>
              </w:rPr>
              <w:t>riadku 8</w:t>
            </w:r>
            <w:r w:rsidR="009D4E15">
              <w:rPr>
                <w:rFonts w:ascii="Times New Roman" w:hAnsi="Times New Roman"/>
                <w:sz w:val="24"/>
                <w:lang w:val="sk-SK"/>
              </w:rPr>
              <w:t xml:space="preserve"> a </w:t>
            </w:r>
            <w:r w:rsidRPr="009D4E15">
              <w:rPr>
                <w:rFonts w:ascii="Times New Roman" w:hAnsi="Times New Roman"/>
                <w:sz w:val="24"/>
                <w:lang w:val="sk-SK"/>
              </w:rPr>
              <w:t>riadku 9 tohto vzoru.</w:t>
            </w:r>
          </w:p>
        </w:tc>
      </w:tr>
      <w:tr w:rsidR="007E1815" w:rsidRPr="009D4E15" w14:paraId="394C1803" w14:textId="77777777" w:rsidTr="00D819DE">
        <w:tc>
          <w:tcPr>
            <w:tcW w:w="1355" w:type="dxa"/>
          </w:tcPr>
          <w:p w14:paraId="447D7950"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8</w:t>
            </w:r>
          </w:p>
        </w:tc>
        <w:tc>
          <w:tcPr>
            <w:tcW w:w="7705" w:type="dxa"/>
          </w:tcPr>
          <w:p w14:paraId="1CA3BC9E" w14:textId="77777777" w:rsidR="007E1815" w:rsidRPr="009D4E15" w:rsidRDefault="007E1815" w:rsidP="00D819DE">
            <w:pPr>
              <w:spacing w:after="240"/>
              <w:jc w:val="both"/>
              <w:rPr>
                <w:rFonts w:ascii="Times New Roman" w:hAnsi="Times New Roman"/>
                <w:b/>
                <w:sz w:val="24"/>
                <w:u w:val="single"/>
                <w:lang w:val="sk-SK"/>
              </w:rPr>
            </w:pPr>
            <w:r w:rsidRPr="009D4E15">
              <w:rPr>
                <w:rFonts w:ascii="Times New Roman" w:hAnsi="Times New Roman"/>
                <w:b/>
                <w:sz w:val="24"/>
                <w:lang w:val="sk-SK"/>
              </w:rPr>
              <w:t>Prevádzkové vklady</w:t>
            </w:r>
          </w:p>
          <w:p w14:paraId="5087C8F9" w14:textId="77777777" w:rsidR="007E1815" w:rsidRPr="009D4E15" w:rsidRDefault="007E1815" w:rsidP="00D819DE">
            <w:pPr>
              <w:pStyle w:val="TableParagraph"/>
              <w:spacing w:after="240"/>
              <w:jc w:val="both"/>
              <w:rPr>
                <w:rFonts w:ascii="Times New Roman" w:hAnsi="Times New Roman"/>
                <w:sz w:val="24"/>
                <w:szCs w:val="24"/>
                <w:lang w:val="sk-SK"/>
              </w:rPr>
            </w:pPr>
            <w:r w:rsidRPr="009D4E15">
              <w:rPr>
                <w:rFonts w:ascii="Times New Roman" w:hAnsi="Times New Roman"/>
                <w:sz w:val="24"/>
                <w:lang w:val="sk-SK"/>
              </w:rPr>
              <w:t>Článok 428l písm. a) CRR.</w:t>
            </w:r>
          </w:p>
          <w:p w14:paraId="0435CE8E" w14:textId="0139D34C" w:rsidR="007E1815" w:rsidRPr="009D4E15" w:rsidRDefault="007E1815" w:rsidP="00D819DE">
            <w:pPr>
              <w:pStyle w:val="TableParagraph"/>
              <w:spacing w:after="240"/>
              <w:jc w:val="both"/>
              <w:rPr>
                <w:rFonts w:ascii="Times New Roman" w:hAnsi="Times New Roman"/>
                <w:sz w:val="24"/>
                <w:szCs w:val="24"/>
                <w:lang w:val="sk-SK"/>
              </w:rPr>
            </w:pPr>
            <w:r w:rsidRPr="009D4E15">
              <w:rPr>
                <w:rFonts w:ascii="Times New Roman" w:hAnsi="Times New Roman"/>
                <w:sz w:val="24"/>
                <w:lang w:val="sk-SK"/>
              </w:rPr>
              <w:t>Inštitúcie tu zverejňujú tú časť prijatých vkladov (tak od finančných klientov, ako aj od iných nefinančných klientov), ktoré spĺňajú kritériá pre prevádzkové vklady stanovené</w:t>
            </w:r>
            <w:r w:rsidR="009D4E15">
              <w:rPr>
                <w:rFonts w:ascii="Times New Roman" w:hAnsi="Times New Roman"/>
                <w:sz w:val="24"/>
                <w:lang w:val="sk-SK"/>
              </w:rPr>
              <w:t xml:space="preserve"> v </w:t>
            </w:r>
            <w:r w:rsidRPr="009D4E15">
              <w:rPr>
                <w:rFonts w:ascii="Times New Roman" w:hAnsi="Times New Roman"/>
                <w:sz w:val="24"/>
                <w:lang w:val="sk-SK"/>
              </w:rPr>
              <w:t xml:space="preserve">článku 27 delegovaného nariadenia Komisie (EÚ) 2015/61, ktoré sú potrebné na poskytovanie prevádzkových služieb. </w:t>
            </w:r>
            <w:r w:rsidRPr="009D4E15">
              <w:rPr>
                <w:rFonts w:ascii="Times New Roman" w:hAnsi="Times New Roman"/>
                <w:sz w:val="24"/>
                <w:lang w:val="sk-SK"/>
              </w:rPr>
              <w:lastRenderedPageBreak/>
              <w:t>Prevádzkové vklady presahujúce sumu potrebnú na poskytovanie prevádzkových služieb sa nezahŕňajú tu, ale do riadku 9 „Iné veľkoobchodné financovanie“ tohto vzoru.</w:t>
            </w:r>
          </w:p>
          <w:p w14:paraId="1F41C5C0" w14:textId="322BF6C9" w:rsidR="007E1815" w:rsidRPr="009D4E15" w:rsidRDefault="007E1815" w:rsidP="00D819DE">
            <w:pPr>
              <w:pStyle w:val="TableParagraph"/>
              <w:spacing w:after="240"/>
              <w:jc w:val="both"/>
              <w:rPr>
                <w:rFonts w:ascii="Times New Roman" w:hAnsi="Times New Roman"/>
                <w:sz w:val="24"/>
                <w:szCs w:val="24"/>
                <w:lang w:val="sk-SK"/>
              </w:rPr>
            </w:pPr>
            <w:r w:rsidRPr="009D4E15">
              <w:rPr>
                <w:rFonts w:ascii="Times New Roman" w:hAnsi="Times New Roman"/>
                <w:sz w:val="24"/>
                <w:lang w:val="sk-SK"/>
              </w:rPr>
              <w:t>Vklady vyplývajúce zo vzťahu korešpondenčného bankovníctva alebo</w:t>
            </w:r>
            <w:r w:rsidR="009D4E15">
              <w:rPr>
                <w:rFonts w:ascii="Times New Roman" w:hAnsi="Times New Roman"/>
                <w:sz w:val="24"/>
                <w:lang w:val="sk-SK"/>
              </w:rPr>
              <w:t xml:space="preserve"> z </w:t>
            </w:r>
            <w:r w:rsidRPr="009D4E15">
              <w:rPr>
                <w:rFonts w:ascii="Times New Roman" w:hAnsi="Times New Roman"/>
                <w:sz w:val="24"/>
                <w:lang w:val="sk-SK"/>
              </w:rPr>
              <w:t xml:space="preserve">poskytovania služieb prime </w:t>
            </w:r>
            <w:proofErr w:type="spellStart"/>
            <w:r w:rsidRPr="009D4E15">
              <w:rPr>
                <w:rFonts w:ascii="Times New Roman" w:hAnsi="Times New Roman"/>
                <w:sz w:val="24"/>
                <w:lang w:val="sk-SK"/>
              </w:rPr>
              <w:t>brokerage</w:t>
            </w:r>
            <w:proofErr w:type="spellEnd"/>
            <w:r w:rsidRPr="009D4E15">
              <w:rPr>
                <w:rFonts w:ascii="Times New Roman" w:hAnsi="Times New Roman"/>
                <w:sz w:val="24"/>
                <w:lang w:val="sk-SK"/>
              </w:rPr>
              <w:t xml:space="preserve"> sa považujú za neprevádzkové vklady</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27 ods. 5 delegovaného nariadenia Komisie (EÚ) 2015/61</w:t>
            </w:r>
            <w:r w:rsidR="009D4E15">
              <w:rPr>
                <w:rFonts w:ascii="Times New Roman" w:hAnsi="Times New Roman"/>
                <w:sz w:val="24"/>
                <w:lang w:val="sk-SK"/>
              </w:rPr>
              <w:t xml:space="preserve"> a </w:t>
            </w:r>
            <w:r w:rsidRPr="009D4E15">
              <w:rPr>
                <w:rFonts w:ascii="Times New Roman" w:hAnsi="Times New Roman"/>
                <w:sz w:val="24"/>
                <w:lang w:val="sk-SK"/>
              </w:rPr>
              <w:t>zverejňujú sa</w:t>
            </w:r>
            <w:r w:rsidR="009D4E15">
              <w:rPr>
                <w:rFonts w:ascii="Times New Roman" w:hAnsi="Times New Roman"/>
                <w:sz w:val="24"/>
                <w:lang w:val="sk-SK"/>
              </w:rPr>
              <w:t xml:space="preserve"> v </w:t>
            </w:r>
            <w:r w:rsidRPr="009D4E15">
              <w:rPr>
                <w:rFonts w:ascii="Times New Roman" w:hAnsi="Times New Roman"/>
                <w:sz w:val="24"/>
                <w:lang w:val="sk-SK"/>
              </w:rPr>
              <w:t>riadku 9 „Iné veľkoobchodné financovanie“ tohto vzoru.</w:t>
            </w:r>
          </w:p>
        </w:tc>
      </w:tr>
      <w:tr w:rsidR="007E1815" w:rsidRPr="009D4E15" w14:paraId="77301B7B" w14:textId="77777777" w:rsidTr="00D819DE">
        <w:tc>
          <w:tcPr>
            <w:tcW w:w="1355" w:type="dxa"/>
          </w:tcPr>
          <w:p w14:paraId="37420CF2"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lastRenderedPageBreak/>
              <w:t>9</w:t>
            </w:r>
          </w:p>
        </w:tc>
        <w:tc>
          <w:tcPr>
            <w:tcW w:w="7705" w:type="dxa"/>
          </w:tcPr>
          <w:p w14:paraId="7BF7824B" w14:textId="77777777" w:rsidR="007E1815" w:rsidRPr="009D4E15" w:rsidRDefault="007E1815" w:rsidP="00D819DE">
            <w:pPr>
              <w:spacing w:after="240"/>
              <w:jc w:val="both"/>
              <w:rPr>
                <w:rFonts w:ascii="Times New Roman" w:hAnsi="Times New Roman"/>
                <w:b/>
                <w:sz w:val="24"/>
                <w:lang w:val="sk-SK"/>
              </w:rPr>
            </w:pPr>
            <w:r w:rsidRPr="009D4E15">
              <w:rPr>
                <w:rFonts w:ascii="Times New Roman" w:hAnsi="Times New Roman"/>
                <w:b/>
                <w:sz w:val="24"/>
                <w:lang w:val="sk-SK"/>
              </w:rPr>
              <w:t>Iné veľkoobchodné financovanie</w:t>
            </w:r>
          </w:p>
          <w:p w14:paraId="614E640A" w14:textId="79D2799E"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Článok 428l písm. b) až d), článok 428g</w:t>
            </w:r>
            <w:r w:rsidR="009D4E15">
              <w:rPr>
                <w:rFonts w:ascii="Times New Roman" w:hAnsi="Times New Roman"/>
                <w:sz w:val="24"/>
                <w:lang w:val="sk-SK"/>
              </w:rPr>
              <w:t xml:space="preserve"> a </w:t>
            </w:r>
            <w:r w:rsidRPr="009D4E15">
              <w:rPr>
                <w:rFonts w:ascii="Times New Roman" w:hAnsi="Times New Roman"/>
                <w:sz w:val="24"/>
                <w:lang w:val="sk-SK"/>
              </w:rPr>
              <w:t>článok 428k ods. 3 písm. c)</w:t>
            </w:r>
            <w:r w:rsidR="009D4E15">
              <w:rPr>
                <w:rFonts w:ascii="Times New Roman" w:hAnsi="Times New Roman"/>
                <w:sz w:val="24"/>
                <w:lang w:val="sk-SK"/>
              </w:rPr>
              <w:t xml:space="preserve"> a </w:t>
            </w:r>
            <w:r w:rsidRPr="009D4E15">
              <w:rPr>
                <w:rFonts w:ascii="Times New Roman" w:hAnsi="Times New Roman"/>
                <w:sz w:val="24"/>
                <w:lang w:val="sk-SK"/>
              </w:rPr>
              <w:t>d) CRR.</w:t>
            </w:r>
          </w:p>
          <w:p w14:paraId="1760C9F3" w14:textId="38A6CC1C"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tu zverejňujú veľkoobchodné financovanie iné než suma prevádzkových vkladov, ktoré je potrebné na poskytovanie prevádzkových služieb. Patria sem záväzky poskytnuté ústrednými vládami, regionálnymi vládami, miestnymi orgánmi, subjektmi verejného sektora, multilaterálnymi rozvojovými bankami, medzinárodnými organizáciami, centrálnymi bankami</w:t>
            </w:r>
            <w:r w:rsidR="009D4E15">
              <w:rPr>
                <w:rFonts w:ascii="Times New Roman" w:hAnsi="Times New Roman"/>
                <w:sz w:val="24"/>
                <w:lang w:val="sk-SK"/>
              </w:rPr>
              <w:t xml:space="preserve"> a </w:t>
            </w:r>
            <w:r w:rsidRPr="009D4E15">
              <w:rPr>
                <w:rFonts w:ascii="Times New Roman" w:hAnsi="Times New Roman"/>
                <w:sz w:val="24"/>
                <w:lang w:val="sk-SK"/>
              </w:rPr>
              <w:t>akýmikoľvek inými nefinančnými alebo finančnými klientmi, ako aj záväzky, pri ktorých nemožno určiť protistranu, vrátane emitovaných cenných papierov, pri ktorých nemožno identifikovať držiteľa.</w:t>
            </w:r>
          </w:p>
        </w:tc>
      </w:tr>
      <w:tr w:rsidR="007E1815" w:rsidRPr="009D4E15" w14:paraId="432CD3F5" w14:textId="77777777" w:rsidTr="00D819DE">
        <w:tc>
          <w:tcPr>
            <w:tcW w:w="1355" w:type="dxa"/>
          </w:tcPr>
          <w:p w14:paraId="0B9B4455"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10</w:t>
            </w:r>
          </w:p>
        </w:tc>
        <w:tc>
          <w:tcPr>
            <w:tcW w:w="7705" w:type="dxa"/>
          </w:tcPr>
          <w:p w14:paraId="5B18E3FE" w14:textId="77777777" w:rsidR="009D4E15" w:rsidRDefault="007E1815" w:rsidP="00D819DE">
            <w:pPr>
              <w:spacing w:after="240"/>
              <w:jc w:val="both"/>
              <w:rPr>
                <w:rFonts w:ascii="Times New Roman" w:hAnsi="Times New Roman"/>
                <w:sz w:val="24"/>
                <w:lang w:val="sk-SK"/>
              </w:rPr>
            </w:pPr>
            <w:r w:rsidRPr="009D4E15">
              <w:rPr>
                <w:rFonts w:ascii="Times New Roman" w:hAnsi="Times New Roman"/>
                <w:b/>
                <w:sz w:val="24"/>
                <w:lang w:val="sk-SK"/>
              </w:rPr>
              <w:t>Vzájomne závislé záväzky</w:t>
            </w:r>
          </w:p>
          <w:p w14:paraId="36702D93" w14:textId="378742C2" w:rsidR="007E1815" w:rsidRPr="009D4E15" w:rsidRDefault="007E1815" w:rsidP="00D819DE">
            <w:pPr>
              <w:pStyle w:val="TableParagraph"/>
              <w:spacing w:after="240"/>
              <w:jc w:val="both"/>
              <w:rPr>
                <w:rFonts w:ascii="Times New Roman" w:hAnsi="Times New Roman"/>
                <w:sz w:val="24"/>
                <w:szCs w:val="24"/>
                <w:lang w:val="sk-SK"/>
              </w:rPr>
            </w:pPr>
            <w:r w:rsidRPr="009D4E15">
              <w:rPr>
                <w:rFonts w:ascii="Times New Roman" w:hAnsi="Times New Roman"/>
                <w:sz w:val="24"/>
                <w:lang w:val="sk-SK"/>
              </w:rPr>
              <w:t>Článok 428k ods. 3 písm. b) CRR.</w:t>
            </w:r>
          </w:p>
          <w:p w14:paraId="0891245E" w14:textId="104D5027" w:rsidR="007E1815" w:rsidRPr="009D4E15" w:rsidRDefault="007E1815" w:rsidP="00D819DE">
            <w:pPr>
              <w:pStyle w:val="TableParagraph"/>
              <w:spacing w:after="240"/>
              <w:jc w:val="both"/>
              <w:rPr>
                <w:rFonts w:ascii="Times New Roman" w:hAnsi="Times New Roman"/>
                <w:sz w:val="24"/>
                <w:lang w:val="sk-SK"/>
              </w:rPr>
            </w:pPr>
            <w:r w:rsidRPr="009D4E15">
              <w:rPr>
                <w:rFonts w:ascii="Times New Roman" w:hAnsi="Times New Roman"/>
                <w:sz w:val="24"/>
                <w:lang w:val="sk-SK"/>
              </w:rPr>
              <w:t>Inštitúcie zverejňujú záväzky,</w:t>
            </w:r>
            <w:r w:rsidR="009D4E15">
              <w:rPr>
                <w:rFonts w:ascii="Times New Roman" w:hAnsi="Times New Roman"/>
                <w:sz w:val="24"/>
                <w:lang w:val="sk-SK"/>
              </w:rPr>
              <w:t xml:space="preserve"> s </w:t>
            </w:r>
            <w:r w:rsidRPr="009D4E15">
              <w:rPr>
                <w:rFonts w:ascii="Times New Roman" w:hAnsi="Times New Roman"/>
                <w:sz w:val="24"/>
                <w:lang w:val="sk-SK"/>
              </w:rPr>
              <w:t>ktorými sa po schválení dotknutým príslušným orgánom zaobchádza ako so vzájomne závislými aktívami</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428f CRR.</w:t>
            </w:r>
          </w:p>
        </w:tc>
      </w:tr>
      <w:tr w:rsidR="007E1815" w:rsidRPr="009D4E15" w14:paraId="321417B9" w14:textId="77777777" w:rsidTr="00D819DE">
        <w:tc>
          <w:tcPr>
            <w:tcW w:w="1355" w:type="dxa"/>
          </w:tcPr>
          <w:p w14:paraId="29CC457B"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11</w:t>
            </w:r>
          </w:p>
        </w:tc>
        <w:tc>
          <w:tcPr>
            <w:tcW w:w="7705" w:type="dxa"/>
          </w:tcPr>
          <w:p w14:paraId="4F535CDC" w14:textId="77777777" w:rsidR="009D4E15" w:rsidRDefault="007E1815" w:rsidP="00D819DE">
            <w:pPr>
              <w:spacing w:after="240"/>
              <w:jc w:val="both"/>
              <w:rPr>
                <w:rFonts w:ascii="Times New Roman" w:hAnsi="Times New Roman"/>
                <w:b/>
                <w:sz w:val="24"/>
                <w:lang w:val="sk-SK"/>
              </w:rPr>
            </w:pPr>
            <w:r w:rsidRPr="009D4E15">
              <w:rPr>
                <w:rFonts w:ascii="Times New Roman" w:hAnsi="Times New Roman"/>
                <w:b/>
                <w:sz w:val="24"/>
                <w:lang w:val="sk-SK"/>
              </w:rPr>
              <w:t>Ostatné záväzky</w:t>
            </w:r>
          </w:p>
          <w:p w14:paraId="349E2592" w14:textId="64EF671B"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tu zverejňujú súčet hodnôt</w:t>
            </w:r>
            <w:r w:rsidR="009D4E15">
              <w:rPr>
                <w:rFonts w:ascii="Times New Roman" w:hAnsi="Times New Roman"/>
                <w:sz w:val="24"/>
                <w:lang w:val="sk-SK"/>
              </w:rPr>
              <w:t xml:space="preserve"> v </w:t>
            </w:r>
            <w:r w:rsidRPr="009D4E15">
              <w:rPr>
                <w:rFonts w:ascii="Times New Roman" w:hAnsi="Times New Roman"/>
                <w:sz w:val="24"/>
                <w:lang w:val="sk-SK"/>
              </w:rPr>
              <w:t>riadkoch 12</w:t>
            </w:r>
            <w:r w:rsidR="009D4E15">
              <w:rPr>
                <w:rFonts w:ascii="Times New Roman" w:hAnsi="Times New Roman"/>
                <w:sz w:val="24"/>
                <w:lang w:val="sk-SK"/>
              </w:rPr>
              <w:t xml:space="preserve"> a </w:t>
            </w:r>
            <w:r w:rsidRPr="009D4E15">
              <w:rPr>
                <w:rFonts w:ascii="Times New Roman" w:hAnsi="Times New Roman"/>
                <w:sz w:val="24"/>
                <w:lang w:val="sk-SK"/>
              </w:rPr>
              <w:t>13 tohto vzoru.</w:t>
            </w:r>
          </w:p>
        </w:tc>
      </w:tr>
      <w:tr w:rsidR="007E1815" w:rsidRPr="009D4E15" w14:paraId="6ABB8278" w14:textId="77777777" w:rsidTr="00D819DE">
        <w:tc>
          <w:tcPr>
            <w:tcW w:w="1355" w:type="dxa"/>
          </w:tcPr>
          <w:p w14:paraId="47DEEB33"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12</w:t>
            </w:r>
          </w:p>
        </w:tc>
        <w:tc>
          <w:tcPr>
            <w:tcW w:w="7705" w:type="dxa"/>
          </w:tcPr>
          <w:p w14:paraId="4DF1D8F2" w14:textId="77777777" w:rsidR="007E1815" w:rsidRPr="009D4E15" w:rsidRDefault="007E1815" w:rsidP="00D819DE">
            <w:pPr>
              <w:spacing w:after="240"/>
              <w:jc w:val="both"/>
              <w:rPr>
                <w:rFonts w:ascii="Times New Roman" w:hAnsi="Times New Roman"/>
                <w:b/>
                <w:sz w:val="24"/>
                <w:u w:val="single"/>
                <w:lang w:val="sk-SK"/>
              </w:rPr>
            </w:pPr>
            <w:r w:rsidRPr="009D4E15">
              <w:rPr>
                <w:rFonts w:ascii="Times New Roman" w:hAnsi="Times New Roman"/>
                <w:b/>
                <w:sz w:val="24"/>
                <w:lang w:val="sk-SK"/>
              </w:rPr>
              <w:t>Derivátové záväzky NSFR</w:t>
            </w:r>
          </w:p>
          <w:p w14:paraId="521C9873" w14:textId="77777777" w:rsidR="007E1815" w:rsidRPr="009D4E15" w:rsidRDefault="007E1815" w:rsidP="00D819DE">
            <w:pPr>
              <w:pStyle w:val="TableParagraph"/>
              <w:spacing w:after="240"/>
              <w:jc w:val="both"/>
              <w:rPr>
                <w:rFonts w:ascii="Times New Roman" w:hAnsi="Times New Roman"/>
                <w:sz w:val="24"/>
                <w:szCs w:val="24"/>
                <w:lang w:val="sk-SK"/>
              </w:rPr>
            </w:pPr>
            <w:r w:rsidRPr="009D4E15">
              <w:rPr>
                <w:rFonts w:ascii="Times New Roman" w:hAnsi="Times New Roman"/>
                <w:sz w:val="24"/>
                <w:lang w:val="sk-SK"/>
              </w:rPr>
              <w:t>Článok 428k ods. 4 CRR.</w:t>
            </w:r>
          </w:p>
          <w:p w14:paraId="2E115A21" w14:textId="1924C8B8"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zverejňujú absolútnu hodnotu záporného rozdielu medzi súbormi vzájomného započítavania vypočítaného</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428k ods. 4 CRR.</w:t>
            </w:r>
          </w:p>
        </w:tc>
      </w:tr>
      <w:tr w:rsidR="007E1815" w:rsidRPr="009D4E15" w14:paraId="48B82AAB" w14:textId="77777777" w:rsidTr="00D819DE">
        <w:tc>
          <w:tcPr>
            <w:tcW w:w="1355" w:type="dxa"/>
          </w:tcPr>
          <w:p w14:paraId="368937AC"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13</w:t>
            </w:r>
          </w:p>
        </w:tc>
        <w:tc>
          <w:tcPr>
            <w:tcW w:w="7705" w:type="dxa"/>
          </w:tcPr>
          <w:p w14:paraId="4929818C" w14:textId="2BA235CC" w:rsidR="007E1815" w:rsidRPr="009D4E15" w:rsidRDefault="007E1815" w:rsidP="00D819DE">
            <w:pPr>
              <w:spacing w:after="240"/>
              <w:jc w:val="both"/>
              <w:rPr>
                <w:rFonts w:ascii="Times New Roman" w:hAnsi="Times New Roman"/>
                <w:b/>
                <w:sz w:val="24"/>
                <w:lang w:val="sk-SK"/>
              </w:rPr>
            </w:pPr>
            <w:r w:rsidRPr="009D4E15">
              <w:rPr>
                <w:rFonts w:ascii="Times New Roman" w:hAnsi="Times New Roman"/>
                <w:b/>
                <w:sz w:val="24"/>
                <w:lang w:val="sk-SK"/>
              </w:rPr>
              <w:t>Všetky ostatné záväzky</w:t>
            </w:r>
            <w:r w:rsidR="009D4E15">
              <w:rPr>
                <w:rFonts w:ascii="Times New Roman" w:hAnsi="Times New Roman"/>
                <w:b/>
                <w:sz w:val="24"/>
                <w:lang w:val="sk-SK"/>
              </w:rPr>
              <w:t xml:space="preserve"> a </w:t>
            </w:r>
            <w:r w:rsidRPr="009D4E15">
              <w:rPr>
                <w:rFonts w:ascii="Times New Roman" w:hAnsi="Times New Roman"/>
                <w:b/>
                <w:sz w:val="24"/>
                <w:lang w:val="sk-SK"/>
              </w:rPr>
              <w:t>kapitálové nástroje nezahrnuté do vyššie uvedených kategórií</w:t>
            </w:r>
          </w:p>
          <w:p w14:paraId="585BBD50" w14:textId="797B41C6"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Článok 428k ods. 1</w:t>
            </w:r>
            <w:r w:rsidR="009D4E15">
              <w:rPr>
                <w:rFonts w:ascii="Times New Roman" w:hAnsi="Times New Roman"/>
                <w:sz w:val="24"/>
                <w:lang w:val="sk-SK"/>
              </w:rPr>
              <w:t xml:space="preserve"> a </w:t>
            </w:r>
            <w:r w:rsidRPr="009D4E15">
              <w:rPr>
                <w:rFonts w:ascii="Times New Roman" w:hAnsi="Times New Roman"/>
                <w:sz w:val="24"/>
                <w:lang w:val="sk-SK"/>
              </w:rPr>
              <w:t>článok 428k ods. 3 CRR.</w:t>
            </w:r>
          </w:p>
          <w:p w14:paraId="527A7DA7"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tu zverejňujú súčet týchto položiek:</w:t>
            </w:r>
          </w:p>
          <w:p w14:paraId="40335678" w14:textId="2FBDA503" w:rsidR="007E1815" w:rsidRPr="009D4E15" w:rsidRDefault="007E1815" w:rsidP="007E1815">
            <w:pPr>
              <w:pStyle w:val="ListParagraph"/>
              <w:numPr>
                <w:ilvl w:val="0"/>
                <w:numId w:val="9"/>
              </w:numPr>
              <w:spacing w:after="240"/>
              <w:contextualSpacing/>
              <w:jc w:val="both"/>
              <w:rPr>
                <w:rFonts w:ascii="Times New Roman" w:hAnsi="Times New Roman"/>
                <w:sz w:val="24"/>
                <w:lang w:val="sk-SK"/>
              </w:rPr>
            </w:pPr>
            <w:r w:rsidRPr="009D4E15">
              <w:rPr>
                <w:rFonts w:ascii="Times New Roman" w:hAnsi="Times New Roman"/>
                <w:sz w:val="24"/>
                <w:lang w:val="sk-SK"/>
              </w:rPr>
              <w:t>záväzky so zúčtovaním</w:t>
            </w:r>
            <w:r w:rsidR="009D4E15">
              <w:rPr>
                <w:rFonts w:ascii="Times New Roman" w:hAnsi="Times New Roman"/>
                <w:sz w:val="24"/>
                <w:lang w:val="sk-SK"/>
              </w:rPr>
              <w:t xml:space="preserve"> v </w:t>
            </w:r>
            <w:r w:rsidRPr="009D4E15">
              <w:rPr>
                <w:rFonts w:ascii="Times New Roman" w:hAnsi="Times New Roman"/>
                <w:sz w:val="24"/>
                <w:lang w:val="sk-SK"/>
              </w:rPr>
              <w:t>deň uzavretia obchodu vyplývajúce</w:t>
            </w:r>
            <w:r w:rsidR="009D4E15">
              <w:rPr>
                <w:rFonts w:ascii="Times New Roman" w:hAnsi="Times New Roman"/>
                <w:sz w:val="24"/>
                <w:lang w:val="sk-SK"/>
              </w:rPr>
              <w:t xml:space="preserve"> z </w:t>
            </w:r>
            <w:r w:rsidRPr="009D4E15">
              <w:rPr>
                <w:rFonts w:ascii="Times New Roman" w:hAnsi="Times New Roman"/>
                <w:sz w:val="24"/>
                <w:lang w:val="sk-SK"/>
              </w:rPr>
              <w:t>nákupu finančných nástrojov, cudzích mien</w:t>
            </w:r>
            <w:r w:rsidR="009D4E15">
              <w:rPr>
                <w:rFonts w:ascii="Times New Roman" w:hAnsi="Times New Roman"/>
                <w:sz w:val="24"/>
                <w:lang w:val="sk-SK"/>
              </w:rPr>
              <w:t xml:space="preserve"> a </w:t>
            </w:r>
            <w:r w:rsidRPr="009D4E15">
              <w:rPr>
                <w:rFonts w:ascii="Times New Roman" w:hAnsi="Times New Roman"/>
                <w:sz w:val="24"/>
                <w:lang w:val="sk-SK"/>
              </w:rPr>
              <w:t>komodít,</w:t>
            </w:r>
            <w:r w:rsidR="009D4E15">
              <w:rPr>
                <w:rFonts w:ascii="Times New Roman" w:hAnsi="Times New Roman"/>
                <w:sz w:val="24"/>
                <w:lang w:val="sk-SK"/>
              </w:rPr>
              <w:t xml:space="preserve"> u </w:t>
            </w:r>
            <w:r w:rsidRPr="009D4E15">
              <w:rPr>
                <w:rFonts w:ascii="Times New Roman" w:hAnsi="Times New Roman"/>
                <w:sz w:val="24"/>
                <w:lang w:val="sk-SK"/>
              </w:rPr>
              <w:t xml:space="preserve">ktorých sa očakáva, </w:t>
            </w:r>
            <w:r w:rsidRPr="009D4E15">
              <w:rPr>
                <w:rFonts w:ascii="Times New Roman" w:hAnsi="Times New Roman"/>
                <w:sz w:val="24"/>
                <w:lang w:val="sk-SK"/>
              </w:rPr>
              <w:lastRenderedPageBreak/>
              <w:t>že sa vyrovnajú</w:t>
            </w:r>
            <w:r w:rsidR="009D4E15">
              <w:rPr>
                <w:rFonts w:ascii="Times New Roman" w:hAnsi="Times New Roman"/>
                <w:sz w:val="24"/>
                <w:lang w:val="sk-SK"/>
              </w:rPr>
              <w:t xml:space="preserve"> v </w:t>
            </w:r>
            <w:r w:rsidRPr="009D4E15">
              <w:rPr>
                <w:rFonts w:ascii="Times New Roman" w:hAnsi="Times New Roman"/>
                <w:sz w:val="24"/>
                <w:lang w:val="sk-SK"/>
              </w:rPr>
              <w:t>rámci štandardného cyklu vyrovnania alebo</w:t>
            </w:r>
            <w:r w:rsidR="009D4E15">
              <w:rPr>
                <w:rFonts w:ascii="Times New Roman" w:hAnsi="Times New Roman"/>
                <w:sz w:val="24"/>
                <w:lang w:val="sk-SK"/>
              </w:rPr>
              <w:t xml:space="preserve"> v </w:t>
            </w:r>
            <w:r w:rsidRPr="009D4E15">
              <w:rPr>
                <w:rFonts w:ascii="Times New Roman" w:hAnsi="Times New Roman"/>
                <w:sz w:val="24"/>
                <w:lang w:val="sk-SK"/>
              </w:rPr>
              <w:t>období, ktoré je obvyklé pre príslušnú výmenu alebo typ transakcií, alebo ktoré neboli vyrovnané, pričom ich vyrovnanie sa stále očakáva,</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428k ods. 3 písm. a) CRR,</w:t>
            </w:r>
          </w:p>
          <w:p w14:paraId="0C891B87" w14:textId="61F1E2BC" w:rsidR="007E1815" w:rsidRPr="009D4E15" w:rsidRDefault="007E1815" w:rsidP="007E1815">
            <w:pPr>
              <w:pStyle w:val="ListParagraph"/>
              <w:numPr>
                <w:ilvl w:val="0"/>
                <w:numId w:val="9"/>
              </w:numPr>
              <w:spacing w:after="240"/>
              <w:contextualSpacing/>
              <w:jc w:val="both"/>
              <w:rPr>
                <w:rFonts w:ascii="Times New Roman" w:hAnsi="Times New Roman"/>
                <w:sz w:val="24"/>
                <w:lang w:val="sk-SK"/>
              </w:rPr>
            </w:pPr>
            <w:r w:rsidRPr="009D4E15">
              <w:rPr>
                <w:rFonts w:ascii="Times New Roman" w:hAnsi="Times New Roman"/>
                <w:sz w:val="24"/>
                <w:lang w:val="sk-SK"/>
              </w:rPr>
              <w:t>odložené daňové záväzky so zohľadnením najbližšieho možného dátumu, ku ktorému sa ich suma môže realizovať ako zostatková splatnosť,</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428k ods. 2 písm. a) CRR,</w:t>
            </w:r>
          </w:p>
          <w:p w14:paraId="02F1CD08" w14:textId="2B92CE81" w:rsidR="007E1815" w:rsidRPr="009D4E15" w:rsidRDefault="007E1815" w:rsidP="007E1815">
            <w:pPr>
              <w:pStyle w:val="ListParagraph"/>
              <w:numPr>
                <w:ilvl w:val="0"/>
                <w:numId w:val="9"/>
              </w:numPr>
              <w:spacing w:after="240"/>
              <w:contextualSpacing/>
              <w:jc w:val="both"/>
              <w:rPr>
                <w:rFonts w:ascii="Times New Roman" w:hAnsi="Times New Roman"/>
                <w:sz w:val="24"/>
                <w:lang w:val="sk-SK"/>
              </w:rPr>
            </w:pPr>
            <w:r w:rsidRPr="009D4E15">
              <w:rPr>
                <w:rFonts w:ascii="Times New Roman" w:hAnsi="Times New Roman"/>
                <w:sz w:val="24"/>
                <w:lang w:val="sk-SK"/>
              </w:rPr>
              <w:t>menšinové účasti, pričom trvanie nástroja sa považuje za zostatkovú splatnosť,</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428k ods. 1 písm. b) CRR, a</w:t>
            </w:r>
          </w:p>
          <w:p w14:paraId="11536E39" w14:textId="5804DB8D" w:rsidR="007E1815" w:rsidRPr="009D4E15" w:rsidRDefault="007E1815" w:rsidP="007E1815">
            <w:pPr>
              <w:pStyle w:val="ListParagraph"/>
              <w:numPr>
                <w:ilvl w:val="0"/>
                <w:numId w:val="9"/>
              </w:numPr>
              <w:spacing w:after="240"/>
              <w:contextualSpacing/>
              <w:jc w:val="both"/>
              <w:rPr>
                <w:rFonts w:ascii="Times New Roman" w:hAnsi="Times New Roman"/>
                <w:sz w:val="24"/>
                <w:lang w:val="sk-SK"/>
              </w:rPr>
            </w:pPr>
            <w:r w:rsidRPr="009D4E15">
              <w:rPr>
                <w:rFonts w:ascii="Times New Roman" w:hAnsi="Times New Roman"/>
                <w:sz w:val="24"/>
                <w:lang w:val="sk-SK"/>
              </w:rPr>
              <w:t>ostatné záväzky, napríklad krátke pozície</w:t>
            </w:r>
            <w:r w:rsidR="009D4E15">
              <w:rPr>
                <w:rFonts w:ascii="Times New Roman" w:hAnsi="Times New Roman"/>
                <w:sz w:val="24"/>
                <w:lang w:val="sk-SK"/>
              </w:rPr>
              <w:t xml:space="preserve"> a </w:t>
            </w:r>
            <w:r w:rsidRPr="009D4E15">
              <w:rPr>
                <w:rFonts w:ascii="Times New Roman" w:hAnsi="Times New Roman"/>
                <w:sz w:val="24"/>
                <w:lang w:val="sk-SK"/>
              </w:rPr>
              <w:t>pozície</w:t>
            </w:r>
            <w:r w:rsidR="009D4E15">
              <w:rPr>
                <w:rFonts w:ascii="Times New Roman" w:hAnsi="Times New Roman"/>
                <w:sz w:val="24"/>
                <w:lang w:val="sk-SK"/>
              </w:rPr>
              <w:t xml:space="preserve"> s </w:t>
            </w:r>
            <w:r w:rsidRPr="009D4E15">
              <w:rPr>
                <w:rFonts w:ascii="Times New Roman" w:hAnsi="Times New Roman"/>
                <w:sz w:val="24"/>
                <w:lang w:val="sk-SK"/>
              </w:rPr>
              <w:t>otvorenou splatnosťou,</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428k ods. 1</w:t>
            </w:r>
            <w:r w:rsidR="009D4E15">
              <w:rPr>
                <w:rFonts w:ascii="Times New Roman" w:hAnsi="Times New Roman"/>
                <w:sz w:val="24"/>
                <w:lang w:val="sk-SK"/>
              </w:rPr>
              <w:t xml:space="preserve"> a </w:t>
            </w:r>
            <w:r w:rsidRPr="009D4E15">
              <w:rPr>
                <w:rFonts w:ascii="Times New Roman" w:hAnsi="Times New Roman"/>
                <w:sz w:val="24"/>
                <w:lang w:val="sk-SK"/>
              </w:rPr>
              <w:t>3 CRR.</w:t>
            </w:r>
          </w:p>
        </w:tc>
      </w:tr>
      <w:tr w:rsidR="007E1815" w:rsidRPr="009D4E15" w14:paraId="654FDDC1" w14:textId="77777777" w:rsidTr="00D819DE">
        <w:tc>
          <w:tcPr>
            <w:tcW w:w="1355" w:type="dxa"/>
          </w:tcPr>
          <w:p w14:paraId="5C49C82C"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lastRenderedPageBreak/>
              <w:t>14</w:t>
            </w:r>
          </w:p>
        </w:tc>
        <w:tc>
          <w:tcPr>
            <w:tcW w:w="7705" w:type="dxa"/>
          </w:tcPr>
          <w:p w14:paraId="159128F6"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b/>
                <w:sz w:val="24"/>
                <w:lang w:val="sk-SK"/>
              </w:rPr>
              <w:t>Celkové dostupné stabilné financovanie (ASF</w:t>
            </w:r>
            <w:r w:rsidRPr="009D4E15">
              <w:rPr>
                <w:rFonts w:ascii="Times New Roman" w:hAnsi="Times New Roman"/>
                <w:sz w:val="24"/>
                <w:lang w:val="sk-SK"/>
              </w:rPr>
              <w:t>)</w:t>
            </w:r>
          </w:p>
          <w:p w14:paraId="7CDD2B32" w14:textId="77777777" w:rsidR="007E1815" w:rsidRPr="009D4E15" w:rsidRDefault="007E1815" w:rsidP="00D819DE">
            <w:pPr>
              <w:pStyle w:val="TableParagraph"/>
              <w:spacing w:after="240"/>
              <w:jc w:val="both"/>
              <w:rPr>
                <w:rFonts w:ascii="Times New Roman" w:eastAsia="Times New Roman" w:hAnsi="Times New Roman"/>
                <w:sz w:val="24"/>
                <w:szCs w:val="24"/>
                <w:lang w:val="sk-SK"/>
              </w:rPr>
            </w:pPr>
            <w:r w:rsidRPr="009D4E15">
              <w:rPr>
                <w:rFonts w:ascii="Times New Roman" w:hAnsi="Times New Roman"/>
                <w:sz w:val="24"/>
                <w:lang w:val="sk-SK"/>
              </w:rPr>
              <w:t>Šiesta časť hlava IV kapitola 3 CRR.</w:t>
            </w:r>
          </w:p>
          <w:p w14:paraId="4BCF2875" w14:textId="1C83A74F" w:rsidR="007E1815" w:rsidRPr="009D4E15" w:rsidRDefault="007E1815" w:rsidP="00D819DE">
            <w:pPr>
              <w:pStyle w:val="TableParagraph"/>
              <w:spacing w:after="240"/>
              <w:jc w:val="both"/>
              <w:rPr>
                <w:rFonts w:ascii="Times New Roman" w:hAnsi="Times New Roman"/>
                <w:sz w:val="24"/>
                <w:lang w:val="sk-SK"/>
              </w:rPr>
            </w:pPr>
            <w:r w:rsidRPr="009D4E15">
              <w:rPr>
                <w:rFonts w:ascii="Times New Roman" w:hAnsi="Times New Roman"/>
                <w:sz w:val="24"/>
                <w:lang w:val="sk-SK"/>
              </w:rPr>
              <w:t>Inštitúcie tu zverejňujú súčet položiek poskytujúcich dostupné stabilné financovanie</w:t>
            </w:r>
            <w:r w:rsidR="009D4E15">
              <w:rPr>
                <w:rFonts w:ascii="Times New Roman" w:hAnsi="Times New Roman"/>
                <w:sz w:val="24"/>
                <w:lang w:val="sk-SK"/>
              </w:rPr>
              <w:t xml:space="preserve"> v </w:t>
            </w:r>
            <w:r w:rsidRPr="009D4E15">
              <w:rPr>
                <w:rFonts w:ascii="Times New Roman" w:hAnsi="Times New Roman"/>
                <w:sz w:val="24"/>
                <w:lang w:val="sk-SK"/>
              </w:rPr>
              <w:t>súlade so šiestou časťou hlavou IV kapitolou 3 CRR (súčet hodnôt</w:t>
            </w:r>
            <w:r w:rsidR="009D4E15">
              <w:rPr>
                <w:rFonts w:ascii="Times New Roman" w:hAnsi="Times New Roman"/>
                <w:sz w:val="24"/>
                <w:lang w:val="sk-SK"/>
              </w:rPr>
              <w:t xml:space="preserve"> v </w:t>
            </w:r>
            <w:r w:rsidRPr="009D4E15">
              <w:rPr>
                <w:rFonts w:ascii="Times New Roman" w:hAnsi="Times New Roman"/>
                <w:sz w:val="24"/>
                <w:lang w:val="sk-SK"/>
              </w:rPr>
              <w:t>riadkoch 1, 4, 7, 10</w:t>
            </w:r>
            <w:r w:rsidR="009D4E15">
              <w:rPr>
                <w:rFonts w:ascii="Times New Roman" w:hAnsi="Times New Roman"/>
                <w:sz w:val="24"/>
                <w:lang w:val="sk-SK"/>
              </w:rPr>
              <w:t xml:space="preserve"> a </w:t>
            </w:r>
            <w:r w:rsidRPr="009D4E15">
              <w:rPr>
                <w:rFonts w:ascii="Times New Roman" w:hAnsi="Times New Roman"/>
                <w:sz w:val="24"/>
                <w:lang w:val="sk-SK"/>
              </w:rPr>
              <w:t>11 tohto vzoru).</w:t>
            </w:r>
          </w:p>
        </w:tc>
      </w:tr>
      <w:tr w:rsidR="007E1815" w:rsidRPr="009D4E15" w14:paraId="5C44ED41" w14:textId="77777777" w:rsidTr="00D819DE">
        <w:trPr>
          <w:trHeight w:val="567"/>
        </w:trPr>
        <w:tc>
          <w:tcPr>
            <w:tcW w:w="1355" w:type="dxa"/>
            <w:shd w:val="clear" w:color="auto" w:fill="D0CECE"/>
          </w:tcPr>
          <w:p w14:paraId="43FB195E" w14:textId="77777777" w:rsidR="007E1815" w:rsidRPr="009D4E15" w:rsidRDefault="007E1815" w:rsidP="00D819DE">
            <w:pPr>
              <w:spacing w:after="240"/>
              <w:rPr>
                <w:rFonts w:ascii="Times New Roman" w:hAnsi="Times New Roman"/>
                <w:color w:val="000000" w:themeColor="text1"/>
                <w:sz w:val="24"/>
                <w:lang w:val="sk-SK"/>
              </w:rPr>
            </w:pPr>
          </w:p>
        </w:tc>
        <w:tc>
          <w:tcPr>
            <w:tcW w:w="7705" w:type="dxa"/>
            <w:shd w:val="clear" w:color="auto" w:fill="D0CECE"/>
          </w:tcPr>
          <w:p w14:paraId="13090657" w14:textId="77777777" w:rsidR="007E1815" w:rsidRPr="009D4E15" w:rsidRDefault="007E1815" w:rsidP="00D819DE">
            <w:pPr>
              <w:spacing w:after="240"/>
              <w:rPr>
                <w:rFonts w:ascii="Times New Roman" w:hAnsi="Times New Roman"/>
                <w:b/>
                <w:color w:val="000000" w:themeColor="text1"/>
                <w:sz w:val="24"/>
                <w:lang w:val="sk-SK"/>
              </w:rPr>
            </w:pPr>
            <w:r w:rsidRPr="009D4E15">
              <w:rPr>
                <w:rFonts w:ascii="Times New Roman" w:hAnsi="Times New Roman"/>
                <w:b/>
                <w:color w:val="000000" w:themeColor="text1"/>
                <w:sz w:val="24"/>
                <w:lang w:val="sk-SK"/>
              </w:rPr>
              <w:t>Položky požadovaného stabilného financovania (RSF)</w:t>
            </w:r>
          </w:p>
        </w:tc>
      </w:tr>
      <w:tr w:rsidR="007E1815" w:rsidRPr="009D4E15" w14:paraId="5486139E" w14:textId="77777777" w:rsidTr="00D819DE">
        <w:tc>
          <w:tcPr>
            <w:tcW w:w="1355" w:type="dxa"/>
          </w:tcPr>
          <w:p w14:paraId="5B4EB28D"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15</w:t>
            </w:r>
          </w:p>
        </w:tc>
        <w:tc>
          <w:tcPr>
            <w:tcW w:w="7705" w:type="dxa"/>
          </w:tcPr>
          <w:p w14:paraId="7524A030" w14:textId="77777777" w:rsidR="007E1815" w:rsidRPr="009D4E15" w:rsidRDefault="007E1815" w:rsidP="00D819DE">
            <w:pPr>
              <w:spacing w:after="240"/>
              <w:jc w:val="both"/>
              <w:rPr>
                <w:rFonts w:ascii="Times New Roman" w:hAnsi="Times New Roman"/>
                <w:b/>
                <w:sz w:val="24"/>
                <w:lang w:val="sk-SK"/>
              </w:rPr>
            </w:pPr>
            <w:r w:rsidRPr="009D4E15">
              <w:rPr>
                <w:rFonts w:ascii="Times New Roman" w:hAnsi="Times New Roman"/>
                <w:b/>
                <w:sz w:val="24"/>
                <w:lang w:val="sk-SK"/>
              </w:rPr>
              <w:t>Vysokokvalitné likvidné aktíva (HQLA) spolu</w:t>
            </w:r>
          </w:p>
          <w:p w14:paraId="192250E5" w14:textId="31780485"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tu zverejňujú aj zaťažené</w:t>
            </w:r>
            <w:r w:rsidR="009D4E15">
              <w:rPr>
                <w:rFonts w:ascii="Times New Roman" w:hAnsi="Times New Roman"/>
                <w:sz w:val="24"/>
                <w:lang w:val="sk-SK"/>
              </w:rPr>
              <w:t xml:space="preserve"> a </w:t>
            </w:r>
            <w:r w:rsidRPr="009D4E15">
              <w:rPr>
                <w:rFonts w:ascii="Times New Roman" w:hAnsi="Times New Roman"/>
                <w:sz w:val="24"/>
                <w:lang w:val="sk-SK"/>
              </w:rPr>
              <w:t>nezaťažené vysokokvalitné likvidné aktíva podľa delegovaného nariadenia Komisie (EÚ) 2015/61,</w:t>
            </w:r>
            <w:r w:rsidR="009D4E15">
              <w:rPr>
                <w:rFonts w:ascii="Times New Roman" w:hAnsi="Times New Roman"/>
                <w:sz w:val="24"/>
                <w:lang w:val="sk-SK"/>
              </w:rPr>
              <w:t xml:space="preserve"> a </w:t>
            </w:r>
            <w:r w:rsidRPr="009D4E15">
              <w:rPr>
                <w:rFonts w:ascii="Times New Roman" w:hAnsi="Times New Roman"/>
                <w:sz w:val="24"/>
                <w:lang w:val="sk-SK"/>
              </w:rPr>
              <w:t>to bez ohľadu na to, či spĺňajú prevádzkové požiadavky uvedené</w:t>
            </w:r>
            <w:r w:rsidR="009D4E15">
              <w:rPr>
                <w:rFonts w:ascii="Times New Roman" w:hAnsi="Times New Roman"/>
                <w:sz w:val="24"/>
                <w:lang w:val="sk-SK"/>
              </w:rPr>
              <w:t xml:space="preserve"> v </w:t>
            </w:r>
            <w:r w:rsidRPr="009D4E15">
              <w:rPr>
                <w:rFonts w:ascii="Times New Roman" w:hAnsi="Times New Roman"/>
                <w:sz w:val="24"/>
                <w:lang w:val="sk-SK"/>
              </w:rPr>
              <w:t>článku 8 uvedeného delegovaného nariadenia,</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článkami 428r až 428ae CRR.</w:t>
            </w:r>
          </w:p>
        </w:tc>
      </w:tr>
      <w:tr w:rsidR="007E1815" w:rsidRPr="009D4E15" w14:paraId="1652C25E" w14:textId="77777777" w:rsidTr="00D819DE">
        <w:tc>
          <w:tcPr>
            <w:tcW w:w="1355" w:type="dxa"/>
          </w:tcPr>
          <w:p w14:paraId="36AB779B"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EU-15a</w:t>
            </w:r>
          </w:p>
        </w:tc>
        <w:tc>
          <w:tcPr>
            <w:tcW w:w="7705" w:type="dxa"/>
          </w:tcPr>
          <w:p w14:paraId="6B183BAA" w14:textId="7C620B5A" w:rsidR="007E1815" w:rsidRPr="009D4E15" w:rsidRDefault="007E1815" w:rsidP="00D819DE">
            <w:pPr>
              <w:spacing w:after="240"/>
              <w:jc w:val="both"/>
              <w:rPr>
                <w:rFonts w:ascii="Times New Roman" w:hAnsi="Times New Roman"/>
                <w:sz w:val="24"/>
                <w:lang w:val="sk-SK"/>
              </w:rPr>
            </w:pPr>
            <w:r w:rsidRPr="009D4E15">
              <w:rPr>
                <w:rFonts w:ascii="Times New Roman" w:hAnsi="Times New Roman"/>
                <w:b/>
                <w:sz w:val="24"/>
                <w:lang w:val="sk-SK"/>
              </w:rPr>
              <w:t>Aktíva zaťažené počas zostatkovej splatnosti jeden rok alebo viac</w:t>
            </w:r>
            <w:r w:rsidR="009D4E15">
              <w:rPr>
                <w:rFonts w:ascii="Times New Roman" w:hAnsi="Times New Roman"/>
                <w:b/>
                <w:sz w:val="24"/>
                <w:lang w:val="sk-SK"/>
              </w:rPr>
              <w:t xml:space="preserve"> v </w:t>
            </w:r>
            <w:r w:rsidRPr="009D4E15">
              <w:rPr>
                <w:rFonts w:ascii="Times New Roman" w:hAnsi="Times New Roman"/>
                <w:b/>
                <w:sz w:val="24"/>
                <w:lang w:val="sk-SK"/>
              </w:rPr>
              <w:t>krycom súbore</w:t>
            </w:r>
          </w:p>
          <w:p w14:paraId="1BB5D81B" w14:textId="77777777" w:rsidR="007E1815" w:rsidRPr="009D4E15" w:rsidRDefault="007E1815" w:rsidP="00D819DE">
            <w:pPr>
              <w:pStyle w:val="TableParagraph"/>
              <w:spacing w:after="240"/>
              <w:jc w:val="both"/>
              <w:rPr>
                <w:rFonts w:ascii="Times New Roman" w:hAnsi="Times New Roman"/>
                <w:sz w:val="24"/>
                <w:szCs w:val="24"/>
                <w:lang w:val="sk-SK"/>
              </w:rPr>
            </w:pPr>
            <w:r w:rsidRPr="009D4E15">
              <w:rPr>
                <w:rFonts w:ascii="Times New Roman" w:hAnsi="Times New Roman"/>
                <w:sz w:val="24"/>
                <w:lang w:val="sk-SK"/>
              </w:rPr>
              <w:t>Článok 428ag písm. h) CRR.</w:t>
            </w:r>
          </w:p>
          <w:p w14:paraId="2A30344A" w14:textId="413C8351" w:rsidR="007E1815" w:rsidRPr="009D4E15" w:rsidRDefault="007E1815" w:rsidP="00D819DE">
            <w:pPr>
              <w:pStyle w:val="TableParagraph"/>
              <w:spacing w:after="240"/>
              <w:jc w:val="both"/>
              <w:rPr>
                <w:rFonts w:ascii="Times New Roman" w:hAnsi="Times New Roman"/>
                <w:sz w:val="24"/>
                <w:lang w:val="sk-SK"/>
              </w:rPr>
            </w:pPr>
            <w:r w:rsidRPr="009D4E15">
              <w:rPr>
                <w:rFonts w:ascii="Times New Roman" w:hAnsi="Times New Roman"/>
                <w:sz w:val="24"/>
                <w:lang w:val="sk-SK"/>
              </w:rPr>
              <w:t>Inštitúcie tu zverejňujú sumu peňazí splatných</w:t>
            </w:r>
            <w:r w:rsidR="009D4E15">
              <w:rPr>
                <w:rFonts w:ascii="Times New Roman" w:hAnsi="Times New Roman"/>
                <w:sz w:val="24"/>
                <w:lang w:val="sk-SK"/>
              </w:rPr>
              <w:t xml:space="preserve"> z </w:t>
            </w:r>
            <w:r w:rsidRPr="009D4E15">
              <w:rPr>
                <w:rFonts w:ascii="Times New Roman" w:hAnsi="Times New Roman"/>
                <w:sz w:val="24"/>
                <w:lang w:val="sk-SK"/>
              </w:rPr>
              <w:t>úverov, ktoré nie sú</w:t>
            </w:r>
            <w:r w:rsidR="009D4E15">
              <w:rPr>
                <w:rFonts w:ascii="Times New Roman" w:hAnsi="Times New Roman"/>
                <w:sz w:val="24"/>
                <w:lang w:val="sk-SK"/>
              </w:rPr>
              <w:t xml:space="preserve"> v </w:t>
            </w:r>
            <w:r w:rsidRPr="009D4E15">
              <w:rPr>
                <w:rFonts w:ascii="Times New Roman" w:hAnsi="Times New Roman"/>
                <w:sz w:val="24"/>
                <w:lang w:val="sk-SK"/>
              </w:rPr>
              <w:t>stave zlyhania</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178 CRR,</w:t>
            </w:r>
            <w:r w:rsidR="009D4E15">
              <w:rPr>
                <w:rFonts w:ascii="Times New Roman" w:hAnsi="Times New Roman"/>
                <w:sz w:val="24"/>
                <w:lang w:val="sk-SK"/>
              </w:rPr>
              <w:t xml:space="preserve"> a </w:t>
            </w:r>
            <w:r w:rsidRPr="009D4E15">
              <w:rPr>
                <w:rFonts w:ascii="Times New Roman" w:hAnsi="Times New Roman"/>
                <w:sz w:val="24"/>
                <w:lang w:val="sk-SK"/>
              </w:rPr>
              <w:t>likvidné aktíva, ktoré sú zaťažené počas zostatkovej splatnosti jeden rok alebo viac</w:t>
            </w:r>
            <w:r w:rsidR="009D4E15">
              <w:rPr>
                <w:rFonts w:ascii="Times New Roman" w:hAnsi="Times New Roman"/>
                <w:sz w:val="24"/>
                <w:lang w:val="sk-SK"/>
              </w:rPr>
              <w:t xml:space="preserve"> v </w:t>
            </w:r>
            <w:r w:rsidRPr="009D4E15">
              <w:rPr>
                <w:rFonts w:ascii="Times New Roman" w:hAnsi="Times New Roman"/>
                <w:sz w:val="24"/>
                <w:lang w:val="sk-SK"/>
              </w:rPr>
              <w:t>krycom súbore financovanom krytými dlhopismi uvedenými</w:t>
            </w:r>
            <w:r w:rsidR="009D4E15">
              <w:rPr>
                <w:rFonts w:ascii="Times New Roman" w:hAnsi="Times New Roman"/>
                <w:sz w:val="24"/>
                <w:lang w:val="sk-SK"/>
              </w:rPr>
              <w:t xml:space="preserve"> v </w:t>
            </w:r>
            <w:r w:rsidRPr="009D4E15">
              <w:rPr>
                <w:rFonts w:ascii="Times New Roman" w:hAnsi="Times New Roman"/>
                <w:sz w:val="24"/>
                <w:lang w:val="sk-SK"/>
              </w:rPr>
              <w:t>článku 52 ods. 4 smernice 2009/65/ES</w:t>
            </w:r>
            <w:r w:rsidRPr="009D4E15">
              <w:rPr>
                <w:rStyle w:val="FootnoteReference"/>
                <w:rFonts w:ascii="Times New Roman" w:eastAsia="Times New Roman" w:hAnsi="Times New Roman"/>
                <w:sz w:val="24"/>
                <w:szCs w:val="24"/>
                <w:lang w:val="sk-SK" w:eastAsia="sv-SE"/>
              </w:rPr>
              <w:footnoteReference w:id="7"/>
            </w:r>
            <w:r w:rsidRPr="009D4E15">
              <w:rPr>
                <w:rFonts w:ascii="Times New Roman" w:hAnsi="Times New Roman"/>
                <w:sz w:val="24"/>
                <w:lang w:val="sk-SK"/>
              </w:rPr>
              <w:t xml:space="preserve"> alebo krytými dlhopismi, ktoré spĺňajú požiadavky na prípustnosť pre zaobchádzanie stanovené</w:t>
            </w:r>
            <w:r w:rsidR="009D4E15">
              <w:rPr>
                <w:rFonts w:ascii="Times New Roman" w:hAnsi="Times New Roman"/>
                <w:sz w:val="24"/>
                <w:lang w:val="sk-SK"/>
              </w:rPr>
              <w:t xml:space="preserve"> v </w:t>
            </w:r>
            <w:r w:rsidRPr="009D4E15">
              <w:rPr>
                <w:rFonts w:ascii="Times New Roman" w:hAnsi="Times New Roman"/>
                <w:sz w:val="24"/>
                <w:lang w:val="sk-SK"/>
              </w:rPr>
              <w:t>článku 129 ods. 4 alebo 5 CRR.</w:t>
            </w:r>
          </w:p>
        </w:tc>
      </w:tr>
      <w:tr w:rsidR="007E1815" w:rsidRPr="009D4E15" w14:paraId="2122B833" w14:textId="77777777" w:rsidTr="00D819DE">
        <w:tc>
          <w:tcPr>
            <w:tcW w:w="1355" w:type="dxa"/>
          </w:tcPr>
          <w:p w14:paraId="7FF74E8F"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16</w:t>
            </w:r>
          </w:p>
        </w:tc>
        <w:tc>
          <w:tcPr>
            <w:tcW w:w="7705" w:type="dxa"/>
          </w:tcPr>
          <w:p w14:paraId="4D8DCFEA" w14:textId="23EA4CB5" w:rsidR="007E1815" w:rsidRPr="009D4E15" w:rsidRDefault="007E1815" w:rsidP="00D819DE">
            <w:pPr>
              <w:spacing w:after="240"/>
              <w:jc w:val="both"/>
              <w:rPr>
                <w:rFonts w:ascii="Times New Roman" w:hAnsi="Times New Roman"/>
                <w:b/>
                <w:sz w:val="24"/>
                <w:lang w:val="sk-SK"/>
              </w:rPr>
            </w:pPr>
            <w:r w:rsidRPr="009D4E15">
              <w:rPr>
                <w:rFonts w:ascii="Times New Roman" w:hAnsi="Times New Roman"/>
                <w:b/>
                <w:sz w:val="24"/>
                <w:lang w:val="sk-SK"/>
              </w:rPr>
              <w:t>Vklady držané</w:t>
            </w:r>
            <w:r w:rsidR="009D4E15">
              <w:rPr>
                <w:rFonts w:ascii="Times New Roman" w:hAnsi="Times New Roman"/>
                <w:b/>
                <w:sz w:val="24"/>
                <w:lang w:val="sk-SK"/>
              </w:rPr>
              <w:t xml:space="preserve"> v </w:t>
            </w:r>
            <w:r w:rsidRPr="009D4E15">
              <w:rPr>
                <w:rFonts w:ascii="Times New Roman" w:hAnsi="Times New Roman"/>
                <w:b/>
                <w:sz w:val="24"/>
                <w:lang w:val="sk-SK"/>
              </w:rPr>
              <w:t>iných finančných inštitúciách na prevádzkové účely</w:t>
            </w:r>
          </w:p>
          <w:p w14:paraId="546E2989"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Článok 428ad písm. b) CRR.</w:t>
            </w:r>
          </w:p>
          <w:p w14:paraId="213C4B55" w14:textId="4A5A6D3B"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tu zverejňujú sumy peňazí splatných</w:t>
            </w:r>
            <w:r w:rsidR="009D4E15">
              <w:rPr>
                <w:rFonts w:ascii="Times New Roman" w:hAnsi="Times New Roman"/>
                <w:sz w:val="24"/>
                <w:lang w:val="sk-SK"/>
              </w:rPr>
              <w:t xml:space="preserve"> z </w:t>
            </w:r>
            <w:r w:rsidRPr="009D4E15">
              <w:rPr>
                <w:rFonts w:ascii="Times New Roman" w:hAnsi="Times New Roman"/>
                <w:sz w:val="24"/>
                <w:lang w:val="sk-SK"/>
              </w:rPr>
              <w:t>úverov, ktoré nie sú</w:t>
            </w:r>
            <w:r w:rsidR="009D4E15">
              <w:rPr>
                <w:rFonts w:ascii="Times New Roman" w:hAnsi="Times New Roman"/>
                <w:sz w:val="24"/>
                <w:lang w:val="sk-SK"/>
              </w:rPr>
              <w:t xml:space="preserve"> v </w:t>
            </w:r>
            <w:r w:rsidRPr="009D4E15">
              <w:rPr>
                <w:rFonts w:ascii="Times New Roman" w:hAnsi="Times New Roman"/>
                <w:sz w:val="24"/>
                <w:lang w:val="sk-SK"/>
              </w:rPr>
              <w:t>stave zlyhania</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 xml:space="preserve">článkom 178 CRR, ktoré sú prevádzkovými vkladmi podľa </w:t>
            </w:r>
            <w:r w:rsidRPr="009D4E15">
              <w:rPr>
                <w:rFonts w:ascii="Times New Roman" w:hAnsi="Times New Roman"/>
                <w:sz w:val="24"/>
                <w:lang w:val="sk-SK"/>
              </w:rPr>
              <w:lastRenderedPageBreak/>
              <w:t>delegovaného nariadenia Komisie (EÚ) 2015/61</w:t>
            </w:r>
            <w:r w:rsidR="009D4E15">
              <w:rPr>
                <w:rFonts w:ascii="Times New Roman" w:hAnsi="Times New Roman"/>
                <w:sz w:val="24"/>
                <w:lang w:val="sk-SK"/>
              </w:rPr>
              <w:t xml:space="preserve"> a </w:t>
            </w:r>
            <w:r w:rsidRPr="009D4E15">
              <w:rPr>
                <w:rFonts w:ascii="Times New Roman" w:hAnsi="Times New Roman"/>
                <w:sz w:val="24"/>
                <w:lang w:val="sk-SK"/>
              </w:rPr>
              <w:t>ktoré sú potrebné na poskytovanie prevádzkových služieb.</w:t>
            </w:r>
          </w:p>
        </w:tc>
      </w:tr>
      <w:tr w:rsidR="007E1815" w:rsidRPr="009D4E15" w14:paraId="51365A88" w14:textId="77777777" w:rsidTr="00D819DE">
        <w:tc>
          <w:tcPr>
            <w:tcW w:w="1355" w:type="dxa"/>
          </w:tcPr>
          <w:p w14:paraId="4C013878"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lastRenderedPageBreak/>
              <w:t>17</w:t>
            </w:r>
          </w:p>
        </w:tc>
        <w:tc>
          <w:tcPr>
            <w:tcW w:w="7705" w:type="dxa"/>
          </w:tcPr>
          <w:p w14:paraId="65E0396B" w14:textId="1EE2A62F" w:rsidR="007E1815" w:rsidRPr="009D4E15" w:rsidRDefault="007E1815" w:rsidP="00D819DE">
            <w:pPr>
              <w:spacing w:after="240"/>
              <w:jc w:val="both"/>
              <w:rPr>
                <w:rFonts w:ascii="Times New Roman" w:hAnsi="Times New Roman"/>
                <w:b/>
                <w:sz w:val="24"/>
                <w:lang w:val="sk-SK"/>
              </w:rPr>
            </w:pPr>
            <w:r w:rsidRPr="009D4E15">
              <w:rPr>
                <w:rFonts w:ascii="Times New Roman" w:hAnsi="Times New Roman"/>
                <w:b/>
                <w:sz w:val="24"/>
                <w:lang w:val="sk-SK"/>
              </w:rPr>
              <w:t>Bezproblémové úvery</w:t>
            </w:r>
            <w:r w:rsidR="009D4E15">
              <w:rPr>
                <w:rFonts w:ascii="Times New Roman" w:hAnsi="Times New Roman"/>
                <w:b/>
                <w:sz w:val="24"/>
                <w:lang w:val="sk-SK"/>
              </w:rPr>
              <w:t xml:space="preserve"> a </w:t>
            </w:r>
            <w:r w:rsidRPr="009D4E15">
              <w:rPr>
                <w:rFonts w:ascii="Times New Roman" w:hAnsi="Times New Roman"/>
                <w:b/>
                <w:sz w:val="24"/>
                <w:lang w:val="sk-SK"/>
              </w:rPr>
              <w:t>cenné papiere:</w:t>
            </w:r>
          </w:p>
          <w:p w14:paraId="6607B84D" w14:textId="50E14DEA"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tu zverejňujú súčet hodnôt</w:t>
            </w:r>
            <w:r w:rsidR="009D4E15">
              <w:rPr>
                <w:rFonts w:ascii="Times New Roman" w:hAnsi="Times New Roman"/>
                <w:sz w:val="24"/>
                <w:lang w:val="sk-SK"/>
              </w:rPr>
              <w:t xml:space="preserve"> v </w:t>
            </w:r>
            <w:r w:rsidRPr="009D4E15">
              <w:rPr>
                <w:rFonts w:ascii="Times New Roman" w:hAnsi="Times New Roman"/>
                <w:sz w:val="24"/>
                <w:lang w:val="sk-SK"/>
              </w:rPr>
              <w:t>riadkoch 18, 19, 20, 22</w:t>
            </w:r>
            <w:r w:rsidR="009D4E15">
              <w:rPr>
                <w:rFonts w:ascii="Times New Roman" w:hAnsi="Times New Roman"/>
                <w:sz w:val="24"/>
                <w:lang w:val="sk-SK"/>
              </w:rPr>
              <w:t xml:space="preserve"> a </w:t>
            </w:r>
            <w:r w:rsidRPr="009D4E15">
              <w:rPr>
                <w:rFonts w:ascii="Times New Roman" w:hAnsi="Times New Roman"/>
                <w:sz w:val="24"/>
                <w:lang w:val="sk-SK"/>
              </w:rPr>
              <w:t>24 tohto vzoru.</w:t>
            </w:r>
          </w:p>
        </w:tc>
      </w:tr>
      <w:tr w:rsidR="007E1815" w:rsidRPr="009D4E15" w14:paraId="4BAAFBF3" w14:textId="77777777" w:rsidTr="00D819DE">
        <w:tc>
          <w:tcPr>
            <w:tcW w:w="1355" w:type="dxa"/>
          </w:tcPr>
          <w:p w14:paraId="2D3BF736"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18</w:t>
            </w:r>
          </w:p>
        </w:tc>
        <w:tc>
          <w:tcPr>
            <w:tcW w:w="7705" w:type="dxa"/>
          </w:tcPr>
          <w:p w14:paraId="7087AA5B" w14:textId="78724FE3" w:rsidR="007E1815" w:rsidRPr="009D4E15" w:rsidRDefault="007E1815" w:rsidP="00D819DE">
            <w:pPr>
              <w:spacing w:after="240"/>
              <w:jc w:val="both"/>
              <w:rPr>
                <w:rFonts w:ascii="Times New Roman" w:hAnsi="Times New Roman"/>
                <w:sz w:val="24"/>
                <w:lang w:val="sk-SK"/>
              </w:rPr>
            </w:pPr>
            <w:r w:rsidRPr="009D4E15">
              <w:rPr>
                <w:rFonts w:ascii="Times New Roman" w:hAnsi="Times New Roman"/>
                <w:b/>
                <w:sz w:val="24"/>
                <w:lang w:val="sk-SK"/>
              </w:rPr>
              <w:t>Bezproblémové transakcie financovania prostredníctvom cenných papierov</w:t>
            </w:r>
            <w:r w:rsidR="009D4E15">
              <w:rPr>
                <w:rFonts w:ascii="Times New Roman" w:hAnsi="Times New Roman"/>
                <w:b/>
                <w:sz w:val="24"/>
                <w:lang w:val="sk-SK"/>
              </w:rPr>
              <w:t xml:space="preserve"> s </w:t>
            </w:r>
            <w:r w:rsidRPr="009D4E15">
              <w:rPr>
                <w:rFonts w:ascii="Times New Roman" w:hAnsi="Times New Roman"/>
                <w:b/>
                <w:sz w:val="24"/>
                <w:lang w:val="sk-SK"/>
              </w:rPr>
              <w:t>finančnými klientmi zabezpečené kolaterálom vo forme HQLA úrovne 1, na ktoré sa uplatňuje 0</w:t>
            </w:r>
            <w:r w:rsidR="009D4E15">
              <w:rPr>
                <w:rFonts w:ascii="Times New Roman" w:hAnsi="Times New Roman"/>
                <w:b/>
                <w:sz w:val="24"/>
                <w:lang w:val="sk-SK"/>
              </w:rPr>
              <w:t> %</w:t>
            </w:r>
            <w:r w:rsidRPr="009D4E15">
              <w:rPr>
                <w:rFonts w:ascii="Times New Roman" w:hAnsi="Times New Roman"/>
                <w:b/>
                <w:sz w:val="24"/>
                <w:lang w:val="sk-SK"/>
              </w:rPr>
              <w:t xml:space="preserve"> </w:t>
            </w:r>
            <w:proofErr w:type="spellStart"/>
            <w:r w:rsidRPr="009D4E15">
              <w:rPr>
                <w:rFonts w:ascii="Times New Roman" w:hAnsi="Times New Roman"/>
                <w:b/>
                <w:sz w:val="24"/>
                <w:lang w:val="sk-SK"/>
              </w:rPr>
              <w:t>haircut</w:t>
            </w:r>
            <w:proofErr w:type="spellEnd"/>
          </w:p>
          <w:p w14:paraId="1F9F59CD" w14:textId="657F65EE" w:rsidR="007E1815" w:rsidRPr="009D4E15" w:rsidRDefault="007E1815" w:rsidP="00D819DE">
            <w:pPr>
              <w:spacing w:after="240"/>
              <w:jc w:val="both"/>
              <w:rPr>
                <w:lang w:val="sk-SK"/>
              </w:rPr>
            </w:pPr>
            <w:r w:rsidRPr="009D4E15">
              <w:rPr>
                <w:rFonts w:ascii="Times New Roman" w:hAnsi="Times New Roman"/>
                <w:sz w:val="24"/>
                <w:lang w:val="sk-SK"/>
              </w:rPr>
              <w:t>Článok 428e, článok 428r ods. 1 písm. g)</w:t>
            </w:r>
            <w:r w:rsidR="009D4E15">
              <w:rPr>
                <w:rFonts w:ascii="Times New Roman" w:hAnsi="Times New Roman"/>
                <w:sz w:val="24"/>
                <w:lang w:val="sk-SK"/>
              </w:rPr>
              <w:t xml:space="preserve"> a </w:t>
            </w:r>
            <w:r w:rsidRPr="009D4E15">
              <w:rPr>
                <w:rFonts w:ascii="Times New Roman" w:hAnsi="Times New Roman"/>
                <w:sz w:val="24"/>
                <w:lang w:val="sk-SK"/>
              </w:rPr>
              <w:t>článok 428s písm. b) CRR.</w:t>
            </w:r>
          </w:p>
          <w:p w14:paraId="3F44C0F3" w14:textId="5BF7578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tu zverejňujú sumu peňazí splatných</w:t>
            </w:r>
            <w:r w:rsidR="009D4E15">
              <w:rPr>
                <w:rFonts w:ascii="Times New Roman" w:hAnsi="Times New Roman"/>
                <w:sz w:val="24"/>
                <w:lang w:val="sk-SK"/>
              </w:rPr>
              <w:t xml:space="preserve"> z </w:t>
            </w:r>
            <w:r w:rsidRPr="009D4E15">
              <w:rPr>
                <w:rFonts w:ascii="Times New Roman" w:hAnsi="Times New Roman"/>
                <w:sz w:val="24"/>
                <w:lang w:val="sk-SK"/>
              </w:rPr>
              <w:t>transakcií financovania prostredníctvom cenných papierov, ktoré nie sú</w:t>
            </w:r>
            <w:r w:rsidR="009D4E15">
              <w:rPr>
                <w:rFonts w:ascii="Times New Roman" w:hAnsi="Times New Roman"/>
                <w:sz w:val="24"/>
                <w:lang w:val="sk-SK"/>
              </w:rPr>
              <w:t xml:space="preserve"> v </w:t>
            </w:r>
            <w:r w:rsidRPr="009D4E15">
              <w:rPr>
                <w:rFonts w:ascii="Times New Roman" w:hAnsi="Times New Roman"/>
                <w:sz w:val="24"/>
                <w:lang w:val="sk-SK"/>
              </w:rPr>
              <w:t>stave zlyhania</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178 CRR,</w:t>
            </w:r>
            <w:r w:rsidR="009D4E15">
              <w:rPr>
                <w:rFonts w:ascii="Times New Roman" w:hAnsi="Times New Roman"/>
                <w:sz w:val="24"/>
                <w:lang w:val="sk-SK"/>
              </w:rPr>
              <w:t xml:space="preserve"> s </w:t>
            </w:r>
            <w:r w:rsidRPr="009D4E15">
              <w:rPr>
                <w:rFonts w:ascii="Times New Roman" w:hAnsi="Times New Roman"/>
                <w:sz w:val="24"/>
                <w:lang w:val="sk-SK"/>
              </w:rPr>
              <w:t>finančnými klientmi</w:t>
            </w:r>
            <w:r w:rsidR="009D4E15">
              <w:rPr>
                <w:rFonts w:ascii="Times New Roman" w:hAnsi="Times New Roman"/>
                <w:sz w:val="24"/>
                <w:lang w:val="sk-SK"/>
              </w:rPr>
              <w:t xml:space="preserve"> a </w:t>
            </w:r>
            <w:r w:rsidRPr="009D4E15">
              <w:rPr>
                <w:rFonts w:ascii="Times New Roman" w:hAnsi="Times New Roman"/>
                <w:sz w:val="24"/>
                <w:lang w:val="sk-SK"/>
              </w:rPr>
              <w:t>ktoré sú zabezpečené kolaterálom vo forme aktív úrovne 1 prípustných pre 0</w:t>
            </w:r>
            <w:r w:rsidR="009D4E15">
              <w:rPr>
                <w:rFonts w:ascii="Times New Roman" w:hAnsi="Times New Roman"/>
                <w:sz w:val="24"/>
                <w:lang w:val="sk-SK"/>
              </w:rPr>
              <w:t> %</w:t>
            </w:r>
            <w:r w:rsidRPr="009D4E15">
              <w:rPr>
                <w:rFonts w:ascii="Times New Roman" w:hAnsi="Times New Roman"/>
                <w:sz w:val="24"/>
                <w:lang w:val="sk-SK"/>
              </w:rPr>
              <w:t xml:space="preserve"> </w:t>
            </w:r>
            <w:proofErr w:type="spellStart"/>
            <w:r w:rsidRPr="009D4E15">
              <w:rPr>
                <w:rFonts w:ascii="Times New Roman" w:hAnsi="Times New Roman"/>
                <w:sz w:val="24"/>
                <w:lang w:val="sk-SK"/>
              </w:rPr>
              <w:t>haircut</w:t>
            </w:r>
            <w:proofErr w:type="spellEnd"/>
            <w:r w:rsidRPr="009D4E15">
              <w:rPr>
                <w:rFonts w:ascii="Times New Roman" w:hAnsi="Times New Roman"/>
                <w:sz w:val="24"/>
                <w:lang w:val="sk-SK"/>
              </w:rPr>
              <w:t xml:space="preserve"> podľa delegovaného nariadenia Komisie (EÚ) 2015/61.</w:t>
            </w:r>
          </w:p>
        </w:tc>
      </w:tr>
      <w:tr w:rsidR="007E1815" w:rsidRPr="009D4E15" w14:paraId="3C902540" w14:textId="77777777" w:rsidTr="00D819DE">
        <w:tc>
          <w:tcPr>
            <w:tcW w:w="1355" w:type="dxa"/>
          </w:tcPr>
          <w:p w14:paraId="799072AA"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19</w:t>
            </w:r>
          </w:p>
        </w:tc>
        <w:tc>
          <w:tcPr>
            <w:tcW w:w="7705" w:type="dxa"/>
          </w:tcPr>
          <w:p w14:paraId="358BD859" w14:textId="003D87C1" w:rsidR="007E1815" w:rsidRPr="009D4E15" w:rsidRDefault="007E1815" w:rsidP="00D819DE">
            <w:pPr>
              <w:pStyle w:val="TableParagraph"/>
              <w:spacing w:after="240"/>
              <w:ind w:right="96"/>
              <w:jc w:val="both"/>
              <w:rPr>
                <w:rFonts w:ascii="Times New Roman" w:hAnsi="Times New Roman"/>
                <w:sz w:val="24"/>
                <w:szCs w:val="24"/>
                <w:lang w:val="sk-SK"/>
              </w:rPr>
            </w:pPr>
            <w:r w:rsidRPr="009D4E15">
              <w:rPr>
                <w:rFonts w:ascii="Times New Roman" w:hAnsi="Times New Roman"/>
                <w:b/>
                <w:sz w:val="24"/>
                <w:lang w:val="sk-SK"/>
              </w:rPr>
              <w:t>Bezproblémové transakcie financovania prostredníctvom cenných papierov</w:t>
            </w:r>
            <w:r w:rsidR="009D4E15">
              <w:rPr>
                <w:rFonts w:ascii="Times New Roman" w:hAnsi="Times New Roman"/>
                <w:b/>
                <w:sz w:val="24"/>
                <w:lang w:val="sk-SK"/>
              </w:rPr>
              <w:t xml:space="preserve"> s </w:t>
            </w:r>
            <w:r w:rsidRPr="009D4E15">
              <w:rPr>
                <w:rFonts w:ascii="Times New Roman" w:hAnsi="Times New Roman"/>
                <w:b/>
                <w:sz w:val="24"/>
                <w:lang w:val="sk-SK"/>
              </w:rPr>
              <w:t>finančnými klientmi zabezpečené kolaterálom vo forme iných aktív</w:t>
            </w:r>
            <w:r w:rsidR="009D4E15">
              <w:rPr>
                <w:rFonts w:ascii="Times New Roman" w:hAnsi="Times New Roman"/>
                <w:b/>
                <w:sz w:val="24"/>
                <w:lang w:val="sk-SK"/>
              </w:rPr>
              <w:t xml:space="preserve"> a </w:t>
            </w:r>
            <w:r w:rsidRPr="009D4E15">
              <w:rPr>
                <w:rFonts w:ascii="Times New Roman" w:hAnsi="Times New Roman"/>
                <w:b/>
                <w:sz w:val="24"/>
                <w:lang w:val="sk-SK"/>
              </w:rPr>
              <w:t>iných úverov</w:t>
            </w:r>
            <w:r w:rsidR="009D4E15">
              <w:rPr>
                <w:rFonts w:ascii="Times New Roman" w:hAnsi="Times New Roman"/>
                <w:b/>
                <w:sz w:val="24"/>
                <w:lang w:val="sk-SK"/>
              </w:rPr>
              <w:t xml:space="preserve"> a </w:t>
            </w:r>
            <w:r w:rsidRPr="009D4E15">
              <w:rPr>
                <w:rFonts w:ascii="Times New Roman" w:hAnsi="Times New Roman"/>
                <w:b/>
                <w:sz w:val="24"/>
                <w:lang w:val="sk-SK"/>
              </w:rPr>
              <w:t>preddavkov poskytnutých finančným inštitúciám</w:t>
            </w:r>
          </w:p>
          <w:p w14:paraId="50F79A15" w14:textId="7E8B20DE" w:rsidR="007E1815" w:rsidRPr="009D4E15" w:rsidRDefault="007E1815" w:rsidP="00D819DE">
            <w:pPr>
              <w:pStyle w:val="TableParagraph"/>
              <w:spacing w:after="240"/>
              <w:ind w:right="96"/>
              <w:jc w:val="both"/>
              <w:rPr>
                <w:rFonts w:ascii="Times New Roman" w:hAnsi="Times New Roman"/>
                <w:sz w:val="24"/>
                <w:lang w:val="sk-SK"/>
              </w:rPr>
            </w:pPr>
            <w:r w:rsidRPr="009D4E15">
              <w:rPr>
                <w:rFonts w:ascii="Times New Roman" w:hAnsi="Times New Roman"/>
                <w:sz w:val="24"/>
                <w:lang w:val="sk-SK"/>
              </w:rPr>
              <w:t>Článok 428s písm. b), článok 428ad písm. d), článok 428ah ods. 1 písm. b)</w:t>
            </w:r>
            <w:r w:rsidR="009D4E15">
              <w:rPr>
                <w:rFonts w:ascii="Times New Roman" w:hAnsi="Times New Roman"/>
                <w:sz w:val="24"/>
                <w:lang w:val="sk-SK"/>
              </w:rPr>
              <w:t xml:space="preserve"> a </w:t>
            </w:r>
            <w:r w:rsidRPr="009D4E15">
              <w:rPr>
                <w:rFonts w:ascii="Times New Roman" w:hAnsi="Times New Roman"/>
                <w:sz w:val="24"/>
                <w:lang w:val="sk-SK"/>
              </w:rPr>
              <w:t>článok 428v písm. a) CRR.</w:t>
            </w:r>
          </w:p>
          <w:p w14:paraId="45DF09F8"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tu zverejňujú súčet týchto položiek:</w:t>
            </w:r>
          </w:p>
          <w:p w14:paraId="188E4FFB" w14:textId="180C691D" w:rsidR="007E1815" w:rsidRPr="009D4E15" w:rsidRDefault="007E1815" w:rsidP="007E1815">
            <w:pPr>
              <w:pStyle w:val="ListParagraph"/>
              <w:numPr>
                <w:ilvl w:val="0"/>
                <w:numId w:val="8"/>
              </w:numPr>
              <w:spacing w:after="240"/>
              <w:contextualSpacing/>
              <w:jc w:val="both"/>
              <w:rPr>
                <w:rFonts w:ascii="Times New Roman" w:hAnsi="Times New Roman"/>
                <w:sz w:val="24"/>
                <w:lang w:val="sk-SK"/>
              </w:rPr>
            </w:pPr>
            <w:r w:rsidRPr="009D4E15">
              <w:rPr>
                <w:rFonts w:ascii="Times New Roman" w:hAnsi="Times New Roman"/>
                <w:sz w:val="24"/>
                <w:lang w:val="sk-SK"/>
              </w:rPr>
              <w:t>suma peňazí splatných</w:t>
            </w:r>
            <w:r w:rsidR="009D4E15">
              <w:rPr>
                <w:rFonts w:ascii="Times New Roman" w:hAnsi="Times New Roman"/>
                <w:sz w:val="24"/>
                <w:lang w:val="sk-SK"/>
              </w:rPr>
              <w:t xml:space="preserve"> z </w:t>
            </w:r>
            <w:r w:rsidRPr="009D4E15">
              <w:rPr>
                <w:rFonts w:ascii="Times New Roman" w:hAnsi="Times New Roman"/>
                <w:sz w:val="24"/>
                <w:lang w:val="sk-SK"/>
              </w:rPr>
              <w:t>transakcií financovania prostredníctvom cenných papierov, ktoré nie sú</w:t>
            </w:r>
            <w:r w:rsidR="009D4E15">
              <w:rPr>
                <w:rFonts w:ascii="Times New Roman" w:hAnsi="Times New Roman"/>
                <w:sz w:val="24"/>
                <w:lang w:val="sk-SK"/>
              </w:rPr>
              <w:t xml:space="preserve"> v </w:t>
            </w:r>
            <w:r w:rsidRPr="009D4E15">
              <w:rPr>
                <w:rFonts w:ascii="Times New Roman" w:hAnsi="Times New Roman"/>
                <w:sz w:val="24"/>
                <w:lang w:val="sk-SK"/>
              </w:rPr>
              <w:t>stave zlyhania</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178 CRR,</w:t>
            </w:r>
            <w:r w:rsidR="009D4E15">
              <w:rPr>
                <w:rFonts w:ascii="Times New Roman" w:hAnsi="Times New Roman"/>
                <w:sz w:val="24"/>
                <w:lang w:val="sk-SK"/>
              </w:rPr>
              <w:t xml:space="preserve"> s </w:t>
            </w:r>
            <w:r w:rsidRPr="009D4E15">
              <w:rPr>
                <w:rFonts w:ascii="Times New Roman" w:hAnsi="Times New Roman"/>
                <w:sz w:val="24"/>
                <w:lang w:val="sk-SK"/>
              </w:rPr>
              <w:t>finančnými klientmi</w:t>
            </w:r>
            <w:r w:rsidR="009D4E15">
              <w:rPr>
                <w:rFonts w:ascii="Times New Roman" w:hAnsi="Times New Roman"/>
                <w:sz w:val="24"/>
                <w:lang w:val="sk-SK"/>
              </w:rPr>
              <w:t xml:space="preserve"> a </w:t>
            </w:r>
            <w:r w:rsidRPr="009D4E15">
              <w:rPr>
                <w:rFonts w:ascii="Times New Roman" w:hAnsi="Times New Roman"/>
                <w:sz w:val="24"/>
                <w:lang w:val="sk-SK"/>
              </w:rPr>
              <w:t>ktoré sú zabezpečené kolaterálom vo forme aktív iných než aktíva úrovne 1 prípustné pre 0</w:t>
            </w:r>
            <w:r w:rsidR="009D4E15">
              <w:rPr>
                <w:rFonts w:ascii="Times New Roman" w:hAnsi="Times New Roman"/>
                <w:sz w:val="24"/>
                <w:lang w:val="sk-SK"/>
              </w:rPr>
              <w:t> %</w:t>
            </w:r>
            <w:r w:rsidRPr="009D4E15">
              <w:rPr>
                <w:rFonts w:ascii="Times New Roman" w:hAnsi="Times New Roman"/>
                <w:sz w:val="24"/>
                <w:lang w:val="sk-SK"/>
              </w:rPr>
              <w:t xml:space="preserve"> </w:t>
            </w:r>
            <w:proofErr w:type="spellStart"/>
            <w:r w:rsidRPr="009D4E15">
              <w:rPr>
                <w:rFonts w:ascii="Times New Roman" w:hAnsi="Times New Roman"/>
                <w:sz w:val="24"/>
                <w:lang w:val="sk-SK"/>
              </w:rPr>
              <w:t>haircut</w:t>
            </w:r>
            <w:proofErr w:type="spellEnd"/>
            <w:r w:rsidRPr="009D4E15">
              <w:rPr>
                <w:rFonts w:ascii="Times New Roman" w:hAnsi="Times New Roman"/>
                <w:sz w:val="24"/>
                <w:lang w:val="sk-SK"/>
              </w:rPr>
              <w:t xml:space="preserve"> podľa delegovaného nariadenia Komisie (EÚ) 2015/61; a</w:t>
            </w:r>
          </w:p>
          <w:p w14:paraId="269EFE57" w14:textId="4B5576A9" w:rsidR="007E1815" w:rsidRPr="009D4E15" w:rsidRDefault="007E1815" w:rsidP="007E1815">
            <w:pPr>
              <w:pStyle w:val="ListParagraph"/>
              <w:numPr>
                <w:ilvl w:val="0"/>
                <w:numId w:val="8"/>
              </w:numPr>
              <w:spacing w:after="240"/>
              <w:contextualSpacing/>
              <w:jc w:val="both"/>
              <w:rPr>
                <w:rFonts w:ascii="Times New Roman" w:hAnsi="Times New Roman"/>
                <w:sz w:val="24"/>
                <w:lang w:val="sk-SK"/>
              </w:rPr>
            </w:pPr>
            <w:r w:rsidRPr="009D4E15">
              <w:rPr>
                <w:rFonts w:ascii="Times New Roman" w:hAnsi="Times New Roman"/>
                <w:sz w:val="24"/>
                <w:lang w:val="sk-SK"/>
              </w:rPr>
              <w:t>suma peňazí splatných</w:t>
            </w:r>
            <w:r w:rsidR="009D4E15">
              <w:rPr>
                <w:rFonts w:ascii="Times New Roman" w:hAnsi="Times New Roman"/>
                <w:sz w:val="24"/>
                <w:lang w:val="sk-SK"/>
              </w:rPr>
              <w:t xml:space="preserve"> z </w:t>
            </w:r>
            <w:r w:rsidRPr="009D4E15">
              <w:rPr>
                <w:rFonts w:ascii="Times New Roman" w:hAnsi="Times New Roman"/>
                <w:sz w:val="24"/>
                <w:lang w:val="sk-SK"/>
              </w:rPr>
              <w:t>iných úverov</w:t>
            </w:r>
            <w:r w:rsidR="009D4E15">
              <w:rPr>
                <w:rFonts w:ascii="Times New Roman" w:hAnsi="Times New Roman"/>
                <w:sz w:val="24"/>
                <w:lang w:val="sk-SK"/>
              </w:rPr>
              <w:t xml:space="preserve"> a </w:t>
            </w:r>
            <w:r w:rsidRPr="009D4E15">
              <w:rPr>
                <w:rFonts w:ascii="Times New Roman" w:hAnsi="Times New Roman"/>
                <w:sz w:val="24"/>
                <w:lang w:val="sk-SK"/>
              </w:rPr>
              <w:t>preddavkov, ktoré nie sú</w:t>
            </w:r>
            <w:r w:rsidR="009D4E15">
              <w:rPr>
                <w:rFonts w:ascii="Times New Roman" w:hAnsi="Times New Roman"/>
                <w:sz w:val="24"/>
                <w:lang w:val="sk-SK"/>
              </w:rPr>
              <w:t xml:space="preserve"> v </w:t>
            </w:r>
            <w:r w:rsidRPr="009D4E15">
              <w:rPr>
                <w:rFonts w:ascii="Times New Roman" w:hAnsi="Times New Roman"/>
                <w:sz w:val="24"/>
                <w:lang w:val="sk-SK"/>
              </w:rPr>
              <w:t>stave zlyhania</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178 CRR, finančným klientom</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428v písm. a)</w:t>
            </w:r>
            <w:r w:rsidR="009D4E15">
              <w:rPr>
                <w:rFonts w:ascii="Times New Roman" w:hAnsi="Times New Roman"/>
                <w:sz w:val="24"/>
                <w:lang w:val="sk-SK"/>
              </w:rPr>
              <w:t xml:space="preserve"> a </w:t>
            </w:r>
            <w:r w:rsidRPr="009D4E15">
              <w:rPr>
                <w:rFonts w:ascii="Times New Roman" w:hAnsi="Times New Roman"/>
                <w:sz w:val="24"/>
                <w:lang w:val="sk-SK"/>
              </w:rPr>
              <w:t>článkom 428ad písm. d) bodom iii) CRR.</w:t>
            </w:r>
          </w:p>
        </w:tc>
      </w:tr>
      <w:tr w:rsidR="007E1815" w:rsidRPr="009D4E15" w14:paraId="16173500" w14:textId="77777777" w:rsidTr="00D819DE">
        <w:tc>
          <w:tcPr>
            <w:tcW w:w="1355" w:type="dxa"/>
          </w:tcPr>
          <w:p w14:paraId="00F1D355"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20</w:t>
            </w:r>
          </w:p>
        </w:tc>
        <w:tc>
          <w:tcPr>
            <w:tcW w:w="7705" w:type="dxa"/>
          </w:tcPr>
          <w:p w14:paraId="58451781" w14:textId="468DC8CA" w:rsidR="007E1815" w:rsidRPr="009D4E15" w:rsidRDefault="007E1815" w:rsidP="00D819DE">
            <w:pPr>
              <w:spacing w:after="240"/>
              <w:jc w:val="both"/>
              <w:rPr>
                <w:rFonts w:ascii="Times New Roman" w:hAnsi="Times New Roman"/>
                <w:b/>
                <w:sz w:val="24"/>
                <w:lang w:val="sk-SK"/>
              </w:rPr>
            </w:pPr>
            <w:r w:rsidRPr="009D4E15">
              <w:rPr>
                <w:rFonts w:ascii="Times New Roman" w:hAnsi="Times New Roman"/>
                <w:b/>
                <w:sz w:val="24"/>
                <w:lang w:val="sk-SK"/>
              </w:rPr>
              <w:t xml:space="preserve">Bezproblémové úvery nefinančným podnikovým klientom, úvery </w:t>
            </w:r>
            <w:proofErr w:type="spellStart"/>
            <w:r w:rsidRPr="009D4E15">
              <w:rPr>
                <w:rFonts w:ascii="Times New Roman" w:hAnsi="Times New Roman"/>
                <w:b/>
                <w:sz w:val="24"/>
                <w:lang w:val="sk-SK"/>
              </w:rPr>
              <w:t>retailovým</w:t>
            </w:r>
            <w:proofErr w:type="spellEnd"/>
            <w:r w:rsidRPr="009D4E15">
              <w:rPr>
                <w:rFonts w:ascii="Times New Roman" w:hAnsi="Times New Roman"/>
                <w:b/>
                <w:sz w:val="24"/>
                <w:lang w:val="sk-SK"/>
              </w:rPr>
              <w:t xml:space="preserve"> klientom</w:t>
            </w:r>
            <w:r w:rsidR="009D4E15">
              <w:rPr>
                <w:rFonts w:ascii="Times New Roman" w:hAnsi="Times New Roman"/>
                <w:b/>
                <w:sz w:val="24"/>
                <w:lang w:val="sk-SK"/>
              </w:rPr>
              <w:t xml:space="preserve"> a </w:t>
            </w:r>
            <w:r w:rsidRPr="009D4E15">
              <w:rPr>
                <w:rFonts w:ascii="Times New Roman" w:hAnsi="Times New Roman"/>
                <w:b/>
                <w:sz w:val="24"/>
                <w:lang w:val="sk-SK"/>
              </w:rPr>
              <w:t>malým podnikateľom</w:t>
            </w:r>
            <w:r w:rsidR="009D4E15">
              <w:rPr>
                <w:rFonts w:ascii="Times New Roman" w:hAnsi="Times New Roman"/>
                <w:b/>
                <w:sz w:val="24"/>
                <w:lang w:val="sk-SK"/>
              </w:rPr>
              <w:t xml:space="preserve"> a </w:t>
            </w:r>
            <w:r w:rsidRPr="009D4E15">
              <w:rPr>
                <w:rFonts w:ascii="Times New Roman" w:hAnsi="Times New Roman"/>
                <w:b/>
                <w:sz w:val="24"/>
                <w:lang w:val="sk-SK"/>
              </w:rPr>
              <w:t>úvery štátom</w:t>
            </w:r>
            <w:r w:rsidR="009D4E15">
              <w:rPr>
                <w:rFonts w:ascii="Times New Roman" w:hAnsi="Times New Roman"/>
                <w:b/>
                <w:sz w:val="24"/>
                <w:lang w:val="sk-SK"/>
              </w:rPr>
              <w:t xml:space="preserve"> a </w:t>
            </w:r>
            <w:r w:rsidRPr="009D4E15">
              <w:rPr>
                <w:rFonts w:ascii="Times New Roman" w:hAnsi="Times New Roman"/>
                <w:b/>
                <w:sz w:val="24"/>
                <w:lang w:val="sk-SK"/>
              </w:rPr>
              <w:t>subjektom verejného sektora,</w:t>
            </w:r>
            <w:r w:rsidR="009D4E15">
              <w:rPr>
                <w:rFonts w:ascii="Times New Roman" w:hAnsi="Times New Roman"/>
                <w:b/>
                <w:sz w:val="24"/>
                <w:lang w:val="sk-SK"/>
              </w:rPr>
              <w:t xml:space="preserve"> z </w:t>
            </w:r>
            <w:r w:rsidRPr="009D4E15">
              <w:rPr>
                <w:rFonts w:ascii="Times New Roman" w:hAnsi="Times New Roman"/>
                <w:b/>
                <w:sz w:val="24"/>
                <w:lang w:val="sk-SK"/>
              </w:rPr>
              <w:t>čoho:</w:t>
            </w:r>
          </w:p>
          <w:p w14:paraId="6DA38F78" w14:textId="2CE8C9A3"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Článok 428ad písm. c), článok 428af</w:t>
            </w:r>
            <w:r w:rsidR="009D4E15">
              <w:rPr>
                <w:rFonts w:ascii="Times New Roman" w:hAnsi="Times New Roman"/>
                <w:sz w:val="24"/>
                <w:lang w:val="sk-SK"/>
              </w:rPr>
              <w:t xml:space="preserve"> a </w:t>
            </w:r>
            <w:r w:rsidRPr="009D4E15">
              <w:rPr>
                <w:rFonts w:ascii="Times New Roman" w:hAnsi="Times New Roman"/>
                <w:sz w:val="24"/>
                <w:lang w:val="sk-SK"/>
              </w:rPr>
              <w:t>článok 428ag písm. c) CRR.</w:t>
            </w:r>
          </w:p>
          <w:p w14:paraId="36C3F192" w14:textId="122CB65A"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tu zverejňujú sumy peňazí splatných</w:t>
            </w:r>
            <w:r w:rsidR="009D4E15">
              <w:rPr>
                <w:rFonts w:ascii="Times New Roman" w:hAnsi="Times New Roman"/>
                <w:sz w:val="24"/>
                <w:lang w:val="sk-SK"/>
              </w:rPr>
              <w:t xml:space="preserve"> z </w:t>
            </w:r>
            <w:r w:rsidRPr="009D4E15">
              <w:rPr>
                <w:rFonts w:ascii="Times New Roman" w:hAnsi="Times New Roman"/>
                <w:sz w:val="24"/>
                <w:lang w:val="sk-SK"/>
              </w:rPr>
              <w:t>úverov, ktoré nie sú</w:t>
            </w:r>
            <w:r w:rsidR="009D4E15">
              <w:rPr>
                <w:rFonts w:ascii="Times New Roman" w:hAnsi="Times New Roman"/>
                <w:sz w:val="24"/>
                <w:lang w:val="sk-SK"/>
              </w:rPr>
              <w:t xml:space="preserve"> v </w:t>
            </w:r>
            <w:r w:rsidRPr="009D4E15">
              <w:rPr>
                <w:rFonts w:ascii="Times New Roman" w:hAnsi="Times New Roman"/>
                <w:sz w:val="24"/>
                <w:lang w:val="sk-SK"/>
              </w:rPr>
              <w:t>stave zlyhania</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178 CRR, ktoré sú úvermi na nehnuteľný majetok určený na bývanie plne zaručenými oprávneným poskytovateľom zabezpečenia, ako sa uvádza</w:t>
            </w:r>
            <w:r w:rsidR="009D4E15">
              <w:rPr>
                <w:rFonts w:ascii="Times New Roman" w:hAnsi="Times New Roman"/>
                <w:sz w:val="24"/>
                <w:lang w:val="sk-SK"/>
              </w:rPr>
              <w:t xml:space="preserve"> v </w:t>
            </w:r>
            <w:r w:rsidRPr="009D4E15">
              <w:rPr>
                <w:rFonts w:ascii="Times New Roman" w:hAnsi="Times New Roman"/>
                <w:sz w:val="24"/>
                <w:lang w:val="sk-SK"/>
              </w:rPr>
              <w:t>článku 129 ods. 1 písm. e) CRR, alebo úvermi</w:t>
            </w:r>
            <w:r w:rsidR="009D4E15">
              <w:rPr>
                <w:rFonts w:ascii="Times New Roman" w:hAnsi="Times New Roman"/>
                <w:sz w:val="24"/>
                <w:lang w:val="sk-SK"/>
              </w:rPr>
              <w:t xml:space="preserve"> s </w:t>
            </w:r>
            <w:r w:rsidRPr="009D4E15">
              <w:rPr>
                <w:rFonts w:ascii="Times New Roman" w:hAnsi="Times New Roman"/>
                <w:sz w:val="24"/>
                <w:lang w:val="sk-SK"/>
              </w:rPr>
              <w:t>výnimkou úverov poskytnutých finančným klientom</w:t>
            </w:r>
            <w:r w:rsidR="009D4E15">
              <w:rPr>
                <w:rFonts w:ascii="Times New Roman" w:hAnsi="Times New Roman"/>
                <w:sz w:val="24"/>
                <w:lang w:val="sk-SK"/>
              </w:rPr>
              <w:t xml:space="preserve"> a </w:t>
            </w:r>
            <w:r w:rsidRPr="009D4E15">
              <w:rPr>
                <w:rFonts w:ascii="Times New Roman" w:hAnsi="Times New Roman"/>
                <w:sz w:val="24"/>
                <w:lang w:val="sk-SK"/>
              </w:rPr>
              <w:t>úverov uvedených</w:t>
            </w:r>
            <w:r w:rsidR="009D4E15">
              <w:rPr>
                <w:rFonts w:ascii="Times New Roman" w:hAnsi="Times New Roman"/>
                <w:sz w:val="24"/>
                <w:lang w:val="sk-SK"/>
              </w:rPr>
              <w:t xml:space="preserve"> v </w:t>
            </w:r>
            <w:r w:rsidRPr="009D4E15">
              <w:rPr>
                <w:rFonts w:ascii="Times New Roman" w:hAnsi="Times New Roman"/>
                <w:sz w:val="24"/>
                <w:lang w:val="sk-SK"/>
              </w:rPr>
              <w:t>článkoch 428r až 428ad</w:t>
            </w:r>
            <w:r w:rsidR="009D4E15">
              <w:rPr>
                <w:rFonts w:ascii="Times New Roman" w:hAnsi="Times New Roman"/>
                <w:sz w:val="24"/>
                <w:lang w:val="sk-SK"/>
              </w:rPr>
              <w:t xml:space="preserve"> s </w:t>
            </w:r>
            <w:r w:rsidRPr="009D4E15">
              <w:rPr>
                <w:rFonts w:ascii="Times New Roman" w:hAnsi="Times New Roman"/>
                <w:sz w:val="24"/>
                <w:lang w:val="sk-SK"/>
              </w:rPr>
              <w:t xml:space="preserve">výnimkou článku 428ad písm. c) CRR, bez ohľadu </w:t>
            </w:r>
            <w:r w:rsidRPr="009D4E15">
              <w:rPr>
                <w:rFonts w:ascii="Times New Roman" w:hAnsi="Times New Roman"/>
                <w:sz w:val="24"/>
                <w:lang w:val="sk-SK"/>
              </w:rPr>
              <w:lastRenderedPageBreak/>
              <w:t>na rizikové váhy priradené týmto úverom. Táto hodnota nezahŕňa expozície zabezpečené hypotékami na nehnuteľný majetok určený na bývanie.</w:t>
            </w:r>
          </w:p>
        </w:tc>
      </w:tr>
      <w:tr w:rsidR="007E1815" w:rsidRPr="009D4E15" w14:paraId="20F6DFE3" w14:textId="77777777" w:rsidTr="00D819DE">
        <w:tc>
          <w:tcPr>
            <w:tcW w:w="1355" w:type="dxa"/>
          </w:tcPr>
          <w:p w14:paraId="1358F501"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lastRenderedPageBreak/>
              <w:t>21</w:t>
            </w:r>
          </w:p>
        </w:tc>
        <w:tc>
          <w:tcPr>
            <w:tcW w:w="7705" w:type="dxa"/>
          </w:tcPr>
          <w:p w14:paraId="56BBDD16" w14:textId="5BBCE114" w:rsidR="007E1815" w:rsidRPr="009D4E15" w:rsidRDefault="007E1815" w:rsidP="00D819DE">
            <w:pPr>
              <w:spacing w:after="240"/>
              <w:jc w:val="both"/>
              <w:rPr>
                <w:rFonts w:ascii="Times New Roman" w:hAnsi="Times New Roman"/>
                <w:sz w:val="24"/>
                <w:lang w:val="sk-SK"/>
              </w:rPr>
            </w:pPr>
            <w:r w:rsidRPr="009D4E15">
              <w:rPr>
                <w:rFonts w:ascii="Times New Roman" w:hAnsi="Times New Roman"/>
                <w:b/>
                <w:sz w:val="24"/>
                <w:lang w:val="sk-SK"/>
              </w:rPr>
              <w:t>S rizikovou váhou nižšou alebo rovnajúcou sa 35</w:t>
            </w:r>
            <w:r w:rsidR="009D4E15">
              <w:rPr>
                <w:rFonts w:ascii="Times New Roman" w:hAnsi="Times New Roman"/>
                <w:b/>
                <w:sz w:val="24"/>
                <w:lang w:val="sk-SK"/>
              </w:rPr>
              <w:t> %</w:t>
            </w:r>
            <w:r w:rsidRPr="009D4E15">
              <w:rPr>
                <w:rFonts w:ascii="Times New Roman" w:hAnsi="Times New Roman"/>
                <w:b/>
                <w:sz w:val="24"/>
                <w:lang w:val="sk-SK"/>
              </w:rPr>
              <w:t xml:space="preserve"> podľa štandardizovaného prístupu Bazilej II pre kreditné riziko</w:t>
            </w:r>
          </w:p>
          <w:p w14:paraId="001D77E7" w14:textId="6B321CFF" w:rsidR="007E1815" w:rsidRPr="009D4E15" w:rsidRDefault="007E1815" w:rsidP="00D819DE">
            <w:pPr>
              <w:pStyle w:val="TableParagraph"/>
              <w:spacing w:after="240"/>
              <w:ind w:right="99"/>
              <w:jc w:val="both"/>
              <w:rPr>
                <w:rFonts w:ascii="Times New Roman" w:hAnsi="Times New Roman"/>
                <w:sz w:val="24"/>
                <w:szCs w:val="24"/>
                <w:lang w:val="sk-SK"/>
              </w:rPr>
            </w:pPr>
            <w:r w:rsidRPr="009D4E15">
              <w:rPr>
                <w:rFonts w:ascii="Times New Roman" w:hAnsi="Times New Roman"/>
                <w:sz w:val="24"/>
                <w:lang w:val="sk-SK"/>
              </w:rPr>
              <w:t>Článok 428ad písm. c)</w:t>
            </w:r>
            <w:r w:rsidR="009D4E15">
              <w:rPr>
                <w:rFonts w:ascii="Times New Roman" w:hAnsi="Times New Roman"/>
                <w:sz w:val="24"/>
                <w:lang w:val="sk-SK"/>
              </w:rPr>
              <w:t xml:space="preserve"> a </w:t>
            </w:r>
            <w:r w:rsidRPr="009D4E15">
              <w:rPr>
                <w:rFonts w:ascii="Times New Roman" w:hAnsi="Times New Roman"/>
                <w:sz w:val="24"/>
                <w:lang w:val="sk-SK"/>
              </w:rPr>
              <w:t>článok 428af CRR.</w:t>
            </w:r>
          </w:p>
          <w:p w14:paraId="058D8368" w14:textId="2332F2D1"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tu zverejňujú tie hodnoty úverov</w:t>
            </w:r>
            <w:r w:rsidR="009D4E15">
              <w:rPr>
                <w:rFonts w:ascii="Times New Roman" w:hAnsi="Times New Roman"/>
                <w:sz w:val="24"/>
                <w:lang w:val="sk-SK"/>
              </w:rPr>
              <w:t xml:space="preserve"> z </w:t>
            </w:r>
            <w:r w:rsidRPr="009D4E15">
              <w:rPr>
                <w:rFonts w:ascii="Times New Roman" w:hAnsi="Times New Roman"/>
                <w:sz w:val="24"/>
                <w:lang w:val="sk-SK"/>
              </w:rPr>
              <w:t>riadku 21 tohto vzoru, ktorým je</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treťou časťou hlavou II kapitolou 2 CRR priradená riziková váha nižšia alebo rovnajúca sa 35</w:t>
            </w:r>
            <w:r w:rsidR="009D4E15">
              <w:rPr>
                <w:rFonts w:ascii="Times New Roman" w:hAnsi="Times New Roman"/>
                <w:sz w:val="24"/>
                <w:lang w:val="sk-SK"/>
              </w:rPr>
              <w:t> %</w:t>
            </w:r>
            <w:r w:rsidRPr="009D4E15">
              <w:rPr>
                <w:rFonts w:ascii="Times New Roman" w:hAnsi="Times New Roman"/>
                <w:sz w:val="24"/>
                <w:lang w:val="sk-SK"/>
              </w:rPr>
              <w:t>.</w:t>
            </w:r>
          </w:p>
        </w:tc>
      </w:tr>
      <w:tr w:rsidR="007E1815" w:rsidRPr="009D4E15" w14:paraId="29C889F9" w14:textId="77777777" w:rsidTr="00D819DE">
        <w:tc>
          <w:tcPr>
            <w:tcW w:w="1355" w:type="dxa"/>
          </w:tcPr>
          <w:p w14:paraId="39F7C4AB"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22</w:t>
            </w:r>
          </w:p>
        </w:tc>
        <w:tc>
          <w:tcPr>
            <w:tcW w:w="7705" w:type="dxa"/>
          </w:tcPr>
          <w:p w14:paraId="7140A66D" w14:textId="3D4BF2D4" w:rsidR="007E1815" w:rsidRPr="009D4E15" w:rsidRDefault="007E1815" w:rsidP="00D819DE">
            <w:pPr>
              <w:spacing w:after="240"/>
              <w:jc w:val="both"/>
              <w:rPr>
                <w:rFonts w:ascii="Times New Roman" w:hAnsi="Times New Roman" w:cs="Times New Roman"/>
                <w:b/>
                <w:sz w:val="24"/>
                <w:lang w:val="sk-SK"/>
              </w:rPr>
            </w:pPr>
            <w:r w:rsidRPr="009D4E15">
              <w:rPr>
                <w:rFonts w:ascii="Times New Roman" w:hAnsi="Times New Roman"/>
                <w:b/>
                <w:sz w:val="24"/>
                <w:lang w:val="sk-SK"/>
              </w:rPr>
              <w:t>Poskytovanie hypotekárnych úverov na bývanie,</w:t>
            </w:r>
            <w:r w:rsidR="009D4E15">
              <w:rPr>
                <w:rFonts w:ascii="Times New Roman" w:hAnsi="Times New Roman"/>
                <w:b/>
                <w:sz w:val="24"/>
                <w:lang w:val="sk-SK"/>
              </w:rPr>
              <w:t xml:space="preserve"> z </w:t>
            </w:r>
            <w:r w:rsidRPr="009D4E15">
              <w:rPr>
                <w:rFonts w:ascii="Times New Roman" w:hAnsi="Times New Roman"/>
                <w:b/>
                <w:sz w:val="24"/>
                <w:lang w:val="sk-SK"/>
              </w:rPr>
              <w:t>čoho:</w:t>
            </w:r>
          </w:p>
          <w:p w14:paraId="583DA513" w14:textId="1F3518E1" w:rsidR="007E1815" w:rsidRPr="009D4E15" w:rsidRDefault="007E1815" w:rsidP="00D819DE">
            <w:pPr>
              <w:spacing w:after="240"/>
              <w:jc w:val="both"/>
              <w:rPr>
                <w:rFonts w:ascii="Times New Roman" w:hAnsi="Times New Roman"/>
                <w:b/>
                <w:sz w:val="24"/>
                <w:lang w:val="sk-SK"/>
              </w:rPr>
            </w:pPr>
            <w:r w:rsidRPr="009D4E15">
              <w:rPr>
                <w:rFonts w:ascii="Times New Roman" w:hAnsi="Times New Roman"/>
                <w:sz w:val="24"/>
                <w:lang w:val="sk-SK"/>
              </w:rPr>
              <w:t>Článok 428ad písm. c), článok 428af písm. a)</w:t>
            </w:r>
            <w:r w:rsidR="009D4E15">
              <w:rPr>
                <w:rFonts w:ascii="Times New Roman" w:hAnsi="Times New Roman"/>
                <w:sz w:val="24"/>
                <w:lang w:val="sk-SK"/>
              </w:rPr>
              <w:t xml:space="preserve"> a </w:t>
            </w:r>
            <w:r w:rsidRPr="009D4E15">
              <w:rPr>
                <w:rFonts w:ascii="Times New Roman" w:hAnsi="Times New Roman"/>
                <w:sz w:val="24"/>
                <w:lang w:val="sk-SK"/>
              </w:rPr>
              <w:t>článok 428ag písm. c) CRR.</w:t>
            </w:r>
          </w:p>
          <w:p w14:paraId="4FF29EF2" w14:textId="7B77F86C" w:rsidR="007E1815" w:rsidRPr="009D4E15" w:rsidRDefault="007E1815" w:rsidP="00D819DE">
            <w:pPr>
              <w:pStyle w:val="TableParagraph"/>
              <w:spacing w:after="240"/>
              <w:ind w:right="99"/>
              <w:jc w:val="both"/>
              <w:rPr>
                <w:rFonts w:ascii="Times New Roman" w:hAnsi="Times New Roman"/>
                <w:sz w:val="24"/>
                <w:szCs w:val="24"/>
                <w:lang w:val="sk-SK"/>
              </w:rPr>
            </w:pPr>
            <w:r w:rsidRPr="009D4E15">
              <w:rPr>
                <w:rFonts w:ascii="Times New Roman" w:hAnsi="Times New Roman"/>
                <w:sz w:val="24"/>
                <w:lang w:val="sk-SK"/>
              </w:rPr>
              <w:t>Inštitúcie tu zverejňujú sumy peňazí splatných</w:t>
            </w:r>
            <w:r w:rsidR="009D4E15">
              <w:rPr>
                <w:rFonts w:ascii="Times New Roman" w:hAnsi="Times New Roman"/>
                <w:sz w:val="24"/>
                <w:lang w:val="sk-SK"/>
              </w:rPr>
              <w:t xml:space="preserve"> z </w:t>
            </w:r>
            <w:r w:rsidRPr="009D4E15">
              <w:rPr>
                <w:rFonts w:ascii="Times New Roman" w:hAnsi="Times New Roman"/>
                <w:sz w:val="24"/>
                <w:lang w:val="sk-SK"/>
              </w:rPr>
              <w:t>úverov, ktoré nie sú</w:t>
            </w:r>
            <w:r w:rsidR="009D4E15">
              <w:rPr>
                <w:rFonts w:ascii="Times New Roman" w:hAnsi="Times New Roman"/>
                <w:sz w:val="24"/>
                <w:lang w:val="sk-SK"/>
              </w:rPr>
              <w:t xml:space="preserve"> v </w:t>
            </w:r>
            <w:r w:rsidRPr="009D4E15">
              <w:rPr>
                <w:rFonts w:ascii="Times New Roman" w:hAnsi="Times New Roman"/>
                <w:sz w:val="24"/>
                <w:lang w:val="sk-SK"/>
              </w:rPr>
              <w:t>stave zlyhania</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178 CRR, ktoré sú úvermi zaručenými hypotékami na nehnuteľný majetok určený na bývanie</w:t>
            </w:r>
            <w:r w:rsidR="009D4E15">
              <w:rPr>
                <w:rFonts w:ascii="Times New Roman" w:hAnsi="Times New Roman"/>
                <w:sz w:val="24"/>
                <w:lang w:val="sk-SK"/>
              </w:rPr>
              <w:t xml:space="preserve"> s </w:t>
            </w:r>
            <w:r w:rsidRPr="009D4E15">
              <w:rPr>
                <w:rFonts w:ascii="Times New Roman" w:hAnsi="Times New Roman"/>
                <w:sz w:val="24"/>
                <w:lang w:val="sk-SK"/>
              </w:rPr>
              <w:t>výnimkou úverov poskytnutých finančným klientom</w:t>
            </w:r>
            <w:r w:rsidR="009D4E15">
              <w:rPr>
                <w:rFonts w:ascii="Times New Roman" w:hAnsi="Times New Roman"/>
                <w:sz w:val="24"/>
                <w:lang w:val="sk-SK"/>
              </w:rPr>
              <w:t xml:space="preserve"> a </w:t>
            </w:r>
            <w:r w:rsidRPr="009D4E15">
              <w:rPr>
                <w:rFonts w:ascii="Times New Roman" w:hAnsi="Times New Roman"/>
                <w:sz w:val="24"/>
                <w:lang w:val="sk-SK"/>
              </w:rPr>
              <w:t>úverov uvedených</w:t>
            </w:r>
            <w:r w:rsidR="009D4E15">
              <w:rPr>
                <w:rFonts w:ascii="Times New Roman" w:hAnsi="Times New Roman"/>
                <w:sz w:val="24"/>
                <w:lang w:val="sk-SK"/>
              </w:rPr>
              <w:t xml:space="preserve"> v </w:t>
            </w:r>
            <w:r w:rsidRPr="009D4E15">
              <w:rPr>
                <w:rFonts w:ascii="Times New Roman" w:hAnsi="Times New Roman"/>
                <w:sz w:val="24"/>
                <w:lang w:val="sk-SK"/>
              </w:rPr>
              <w:t>článkoch 428r až 428ad</w:t>
            </w:r>
            <w:r w:rsidR="009D4E15">
              <w:rPr>
                <w:rFonts w:ascii="Times New Roman" w:hAnsi="Times New Roman"/>
                <w:sz w:val="24"/>
                <w:lang w:val="sk-SK"/>
              </w:rPr>
              <w:t xml:space="preserve"> s </w:t>
            </w:r>
            <w:r w:rsidRPr="009D4E15">
              <w:rPr>
                <w:rFonts w:ascii="Times New Roman" w:hAnsi="Times New Roman"/>
                <w:sz w:val="24"/>
                <w:lang w:val="sk-SK"/>
              </w:rPr>
              <w:t>výnimkou článku 428ad písm. c) CRR, bez ohľadu na rizikové váhy priradené týmto úverom.</w:t>
            </w:r>
          </w:p>
        </w:tc>
      </w:tr>
      <w:tr w:rsidR="007E1815" w:rsidRPr="009D4E15" w14:paraId="54156A49" w14:textId="77777777" w:rsidTr="00D819DE">
        <w:tc>
          <w:tcPr>
            <w:tcW w:w="1355" w:type="dxa"/>
          </w:tcPr>
          <w:p w14:paraId="0D61EA0E"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23</w:t>
            </w:r>
          </w:p>
        </w:tc>
        <w:tc>
          <w:tcPr>
            <w:tcW w:w="7705" w:type="dxa"/>
          </w:tcPr>
          <w:p w14:paraId="005CD157" w14:textId="55111F95" w:rsidR="007E1815" w:rsidRPr="009D4E15" w:rsidRDefault="007E1815" w:rsidP="00D819DE">
            <w:pPr>
              <w:spacing w:after="240"/>
              <w:jc w:val="both"/>
              <w:rPr>
                <w:rFonts w:ascii="Times New Roman" w:hAnsi="Times New Roman"/>
                <w:sz w:val="24"/>
                <w:lang w:val="sk-SK"/>
              </w:rPr>
            </w:pPr>
            <w:r w:rsidRPr="009D4E15">
              <w:rPr>
                <w:rFonts w:ascii="Times New Roman" w:hAnsi="Times New Roman"/>
                <w:b/>
                <w:sz w:val="24"/>
                <w:lang w:val="sk-SK"/>
              </w:rPr>
              <w:t>S rizikovou váhou nižšou alebo rovnajúcou sa 35</w:t>
            </w:r>
            <w:r w:rsidR="009D4E15">
              <w:rPr>
                <w:rFonts w:ascii="Times New Roman" w:hAnsi="Times New Roman"/>
                <w:b/>
                <w:sz w:val="24"/>
                <w:lang w:val="sk-SK"/>
              </w:rPr>
              <w:t> %</w:t>
            </w:r>
            <w:r w:rsidRPr="009D4E15">
              <w:rPr>
                <w:rFonts w:ascii="Times New Roman" w:hAnsi="Times New Roman"/>
                <w:b/>
                <w:sz w:val="24"/>
                <w:lang w:val="sk-SK"/>
              </w:rPr>
              <w:t xml:space="preserve"> podľa štandardizovaného prístupu Bazilej II pre kreditné riziko</w:t>
            </w:r>
          </w:p>
          <w:p w14:paraId="03D79734" w14:textId="55F85A0D"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Článok 428ad písm. c)</w:t>
            </w:r>
            <w:r w:rsidR="009D4E15">
              <w:rPr>
                <w:rFonts w:ascii="Times New Roman" w:hAnsi="Times New Roman"/>
                <w:sz w:val="24"/>
                <w:lang w:val="sk-SK"/>
              </w:rPr>
              <w:t xml:space="preserve"> a </w:t>
            </w:r>
            <w:r w:rsidRPr="009D4E15">
              <w:rPr>
                <w:rFonts w:ascii="Times New Roman" w:hAnsi="Times New Roman"/>
                <w:sz w:val="24"/>
                <w:lang w:val="sk-SK"/>
              </w:rPr>
              <w:t>článok 428af písm. a) CRR.</w:t>
            </w:r>
          </w:p>
          <w:p w14:paraId="00D059E6" w14:textId="412392EF"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sem zahrnú tie hodnoty úverov</w:t>
            </w:r>
            <w:r w:rsidR="009D4E15">
              <w:rPr>
                <w:rFonts w:ascii="Times New Roman" w:hAnsi="Times New Roman"/>
                <w:sz w:val="24"/>
                <w:lang w:val="sk-SK"/>
              </w:rPr>
              <w:t xml:space="preserve"> z </w:t>
            </w:r>
            <w:r w:rsidRPr="009D4E15">
              <w:rPr>
                <w:rFonts w:ascii="Times New Roman" w:hAnsi="Times New Roman"/>
                <w:sz w:val="24"/>
                <w:lang w:val="sk-SK"/>
              </w:rPr>
              <w:t>riadku 22 tohto vzoru, ktorým je</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treťou časťou hlavou II kapitolou 2 CRR priradená riziková váha nižšia alebo rovnajúca sa 35</w:t>
            </w:r>
            <w:r w:rsidR="009D4E15">
              <w:rPr>
                <w:rFonts w:ascii="Times New Roman" w:hAnsi="Times New Roman"/>
                <w:sz w:val="24"/>
                <w:lang w:val="sk-SK"/>
              </w:rPr>
              <w:t> %</w:t>
            </w:r>
            <w:r w:rsidRPr="009D4E15">
              <w:rPr>
                <w:rFonts w:ascii="Times New Roman" w:hAnsi="Times New Roman"/>
                <w:sz w:val="24"/>
                <w:lang w:val="sk-SK"/>
              </w:rPr>
              <w:t>.</w:t>
            </w:r>
          </w:p>
        </w:tc>
      </w:tr>
      <w:tr w:rsidR="007E1815" w:rsidRPr="009D4E15" w14:paraId="6434C3BA" w14:textId="77777777" w:rsidTr="00D819DE">
        <w:tc>
          <w:tcPr>
            <w:tcW w:w="1355" w:type="dxa"/>
          </w:tcPr>
          <w:p w14:paraId="549B601B"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24</w:t>
            </w:r>
          </w:p>
        </w:tc>
        <w:tc>
          <w:tcPr>
            <w:tcW w:w="7705" w:type="dxa"/>
          </w:tcPr>
          <w:p w14:paraId="67C2DE86" w14:textId="1D23CAFC" w:rsidR="007E1815" w:rsidRPr="009D4E15" w:rsidRDefault="007E1815" w:rsidP="00D819DE">
            <w:pPr>
              <w:spacing w:after="240"/>
              <w:jc w:val="both"/>
              <w:rPr>
                <w:rFonts w:ascii="Times New Roman" w:hAnsi="Times New Roman"/>
                <w:b/>
                <w:sz w:val="24"/>
                <w:lang w:val="sk-SK"/>
              </w:rPr>
            </w:pPr>
            <w:r w:rsidRPr="009D4E15">
              <w:rPr>
                <w:rFonts w:ascii="Times New Roman" w:hAnsi="Times New Roman"/>
                <w:b/>
                <w:sz w:val="24"/>
                <w:lang w:val="sk-SK"/>
              </w:rPr>
              <w:t>Ostatné úvery</w:t>
            </w:r>
            <w:r w:rsidR="009D4E15">
              <w:rPr>
                <w:rFonts w:ascii="Times New Roman" w:hAnsi="Times New Roman"/>
                <w:b/>
                <w:sz w:val="24"/>
                <w:lang w:val="sk-SK"/>
              </w:rPr>
              <w:t xml:space="preserve"> a </w:t>
            </w:r>
            <w:r w:rsidRPr="009D4E15">
              <w:rPr>
                <w:rFonts w:ascii="Times New Roman" w:hAnsi="Times New Roman"/>
                <w:b/>
                <w:sz w:val="24"/>
                <w:lang w:val="sk-SK"/>
              </w:rPr>
              <w:t>cenné papiere, ktoré nie sú</w:t>
            </w:r>
            <w:r w:rsidR="009D4E15">
              <w:rPr>
                <w:rFonts w:ascii="Times New Roman" w:hAnsi="Times New Roman"/>
                <w:b/>
                <w:sz w:val="24"/>
                <w:lang w:val="sk-SK"/>
              </w:rPr>
              <w:t xml:space="preserve"> v </w:t>
            </w:r>
            <w:r w:rsidRPr="009D4E15">
              <w:rPr>
                <w:rFonts w:ascii="Times New Roman" w:hAnsi="Times New Roman"/>
                <w:b/>
                <w:sz w:val="24"/>
                <w:lang w:val="sk-SK"/>
              </w:rPr>
              <w:t>stave zlyhania</w:t>
            </w:r>
            <w:r w:rsidR="009D4E15">
              <w:rPr>
                <w:rFonts w:ascii="Times New Roman" w:hAnsi="Times New Roman"/>
                <w:b/>
                <w:sz w:val="24"/>
                <w:lang w:val="sk-SK"/>
              </w:rPr>
              <w:t xml:space="preserve"> a </w:t>
            </w:r>
            <w:r w:rsidRPr="009D4E15">
              <w:rPr>
                <w:rFonts w:ascii="Times New Roman" w:hAnsi="Times New Roman"/>
                <w:b/>
                <w:sz w:val="24"/>
                <w:lang w:val="sk-SK"/>
              </w:rPr>
              <w:t>nespĺňajú kritériá HQLA, vrátane akcií obchodovaných na burze</w:t>
            </w:r>
            <w:r w:rsidR="009D4E15">
              <w:rPr>
                <w:rFonts w:ascii="Times New Roman" w:hAnsi="Times New Roman"/>
                <w:b/>
                <w:sz w:val="24"/>
                <w:lang w:val="sk-SK"/>
              </w:rPr>
              <w:t xml:space="preserve"> a </w:t>
            </w:r>
            <w:r w:rsidRPr="009D4E15">
              <w:rPr>
                <w:rFonts w:ascii="Times New Roman" w:hAnsi="Times New Roman"/>
                <w:b/>
                <w:sz w:val="24"/>
                <w:lang w:val="sk-SK"/>
              </w:rPr>
              <w:t>produktov súvahového obchodného financovania</w:t>
            </w:r>
          </w:p>
          <w:p w14:paraId="39DF980B"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tu zverejňujú súčet:</w:t>
            </w:r>
          </w:p>
          <w:p w14:paraId="51D89DE9" w14:textId="38B6D4C3" w:rsidR="007E1815" w:rsidRPr="009D4E15" w:rsidRDefault="007E1815" w:rsidP="007E1815">
            <w:pPr>
              <w:pStyle w:val="ListParagraph"/>
              <w:numPr>
                <w:ilvl w:val="0"/>
                <w:numId w:val="8"/>
              </w:numPr>
              <w:spacing w:after="240"/>
              <w:contextualSpacing/>
              <w:jc w:val="both"/>
              <w:rPr>
                <w:rFonts w:ascii="Times New Roman" w:hAnsi="Times New Roman"/>
                <w:sz w:val="24"/>
                <w:lang w:val="sk-SK"/>
              </w:rPr>
            </w:pPr>
            <w:r w:rsidRPr="009D4E15">
              <w:rPr>
                <w:rFonts w:ascii="Times New Roman" w:hAnsi="Times New Roman"/>
                <w:sz w:val="24"/>
                <w:lang w:val="sk-SK"/>
              </w:rPr>
              <w:t>podľa článku 428ag písm. e)</w:t>
            </w:r>
            <w:r w:rsidR="009D4E15">
              <w:rPr>
                <w:rFonts w:ascii="Times New Roman" w:hAnsi="Times New Roman"/>
                <w:sz w:val="24"/>
                <w:lang w:val="sk-SK"/>
              </w:rPr>
              <w:t xml:space="preserve"> a </w:t>
            </w:r>
            <w:r w:rsidRPr="009D4E15">
              <w:rPr>
                <w:rFonts w:ascii="Times New Roman" w:hAnsi="Times New Roman"/>
                <w:sz w:val="24"/>
                <w:lang w:val="sk-SK"/>
              </w:rPr>
              <w:t>f) CRR, cenných papierov, ktoré nie sú</w:t>
            </w:r>
            <w:r w:rsidR="009D4E15">
              <w:rPr>
                <w:rFonts w:ascii="Times New Roman" w:hAnsi="Times New Roman"/>
                <w:sz w:val="24"/>
                <w:lang w:val="sk-SK"/>
              </w:rPr>
              <w:t xml:space="preserve"> v </w:t>
            </w:r>
            <w:r w:rsidRPr="009D4E15">
              <w:rPr>
                <w:rFonts w:ascii="Times New Roman" w:hAnsi="Times New Roman"/>
                <w:sz w:val="24"/>
                <w:lang w:val="sk-SK"/>
              </w:rPr>
              <w:t>stave zlyhania</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178 CRR</w:t>
            </w:r>
            <w:r w:rsidR="009D4E15">
              <w:rPr>
                <w:rFonts w:ascii="Times New Roman" w:hAnsi="Times New Roman"/>
                <w:sz w:val="24"/>
                <w:lang w:val="sk-SK"/>
              </w:rPr>
              <w:t xml:space="preserve"> a </w:t>
            </w:r>
            <w:r w:rsidRPr="009D4E15">
              <w:rPr>
                <w:rFonts w:ascii="Times New Roman" w:hAnsi="Times New Roman"/>
                <w:sz w:val="24"/>
                <w:lang w:val="sk-SK"/>
              </w:rPr>
              <w:t>ktoré nie sú likvidnými aktívami podľa delegovaného nariadenia Komisie (EÚ) 2015/61,</w:t>
            </w:r>
            <w:r w:rsidR="009D4E15">
              <w:rPr>
                <w:rFonts w:ascii="Times New Roman" w:hAnsi="Times New Roman"/>
                <w:sz w:val="24"/>
                <w:lang w:val="sk-SK"/>
              </w:rPr>
              <w:t xml:space="preserve"> a </w:t>
            </w:r>
            <w:r w:rsidRPr="009D4E15">
              <w:rPr>
                <w:rFonts w:ascii="Times New Roman" w:hAnsi="Times New Roman"/>
                <w:sz w:val="24"/>
                <w:lang w:val="sk-SK"/>
              </w:rPr>
              <w:t>to bez ohľadu na to, či spĺňajú tam stanovené prevádzkové požiadavky, a</w:t>
            </w:r>
          </w:p>
          <w:p w14:paraId="7E2ECB28" w14:textId="67C130A5" w:rsidR="007E1815" w:rsidRPr="009D4E15" w:rsidRDefault="007E1815" w:rsidP="007E1815">
            <w:pPr>
              <w:pStyle w:val="ListParagraph"/>
              <w:numPr>
                <w:ilvl w:val="0"/>
                <w:numId w:val="8"/>
              </w:numPr>
              <w:spacing w:after="240"/>
              <w:contextualSpacing/>
              <w:jc w:val="both"/>
              <w:rPr>
                <w:rFonts w:ascii="Times New Roman" w:hAnsi="Times New Roman"/>
                <w:sz w:val="24"/>
                <w:lang w:val="sk-SK"/>
              </w:rPr>
            </w:pPr>
            <w:r w:rsidRPr="009D4E15">
              <w:rPr>
                <w:rFonts w:ascii="Times New Roman" w:hAnsi="Times New Roman"/>
                <w:sz w:val="24"/>
                <w:lang w:val="sk-SK"/>
              </w:rPr>
              <w:t>produktov súvahového obchodného financovania</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428v písm. b), článkom 428ad písm. e)</w:t>
            </w:r>
            <w:r w:rsidR="009D4E15">
              <w:rPr>
                <w:rFonts w:ascii="Times New Roman" w:hAnsi="Times New Roman"/>
                <w:sz w:val="24"/>
                <w:lang w:val="sk-SK"/>
              </w:rPr>
              <w:t xml:space="preserve"> a </w:t>
            </w:r>
            <w:r w:rsidRPr="009D4E15">
              <w:rPr>
                <w:rFonts w:ascii="Times New Roman" w:hAnsi="Times New Roman"/>
                <w:sz w:val="24"/>
                <w:lang w:val="sk-SK"/>
              </w:rPr>
              <w:t>článkom 428ag písm. d) CRR.</w:t>
            </w:r>
          </w:p>
        </w:tc>
      </w:tr>
      <w:tr w:rsidR="007E1815" w:rsidRPr="009D4E15" w14:paraId="35E36BF0" w14:textId="77777777" w:rsidTr="00D819DE">
        <w:tc>
          <w:tcPr>
            <w:tcW w:w="1355" w:type="dxa"/>
          </w:tcPr>
          <w:p w14:paraId="57459CB2"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25</w:t>
            </w:r>
          </w:p>
        </w:tc>
        <w:tc>
          <w:tcPr>
            <w:tcW w:w="7705" w:type="dxa"/>
          </w:tcPr>
          <w:p w14:paraId="2499489C" w14:textId="77777777" w:rsidR="007E1815" w:rsidRPr="009D4E15" w:rsidRDefault="007E1815" w:rsidP="00D819DE">
            <w:pPr>
              <w:spacing w:after="240"/>
              <w:jc w:val="both"/>
              <w:rPr>
                <w:rFonts w:ascii="Times New Roman" w:hAnsi="Times New Roman"/>
                <w:b/>
                <w:sz w:val="24"/>
                <w:lang w:val="sk-SK"/>
              </w:rPr>
            </w:pPr>
            <w:r w:rsidRPr="009D4E15">
              <w:rPr>
                <w:rFonts w:ascii="Times New Roman" w:hAnsi="Times New Roman"/>
                <w:b/>
                <w:sz w:val="24"/>
                <w:lang w:val="sk-SK"/>
              </w:rPr>
              <w:t>Vzájomne závislé aktíva</w:t>
            </w:r>
          </w:p>
          <w:p w14:paraId="27834A63" w14:textId="7798C996" w:rsidR="007E1815" w:rsidRPr="009D4E15" w:rsidRDefault="007E1815" w:rsidP="00D819DE">
            <w:pPr>
              <w:pStyle w:val="TableParagraph"/>
              <w:spacing w:after="240"/>
              <w:ind w:right="99"/>
              <w:jc w:val="both"/>
              <w:rPr>
                <w:rFonts w:ascii="Times New Roman" w:hAnsi="Times New Roman"/>
                <w:sz w:val="24"/>
                <w:szCs w:val="24"/>
                <w:lang w:val="sk-SK"/>
              </w:rPr>
            </w:pPr>
            <w:r w:rsidRPr="009D4E15">
              <w:rPr>
                <w:rFonts w:ascii="Times New Roman" w:hAnsi="Times New Roman"/>
                <w:sz w:val="24"/>
                <w:lang w:val="sk-SK"/>
              </w:rPr>
              <w:t>Článok 428f</w:t>
            </w:r>
            <w:r w:rsidR="009D4E15">
              <w:rPr>
                <w:rFonts w:ascii="Times New Roman" w:hAnsi="Times New Roman"/>
                <w:sz w:val="24"/>
                <w:lang w:val="sk-SK"/>
              </w:rPr>
              <w:t xml:space="preserve"> a </w:t>
            </w:r>
            <w:r w:rsidRPr="009D4E15">
              <w:rPr>
                <w:rFonts w:ascii="Times New Roman" w:hAnsi="Times New Roman"/>
                <w:sz w:val="24"/>
                <w:lang w:val="sk-SK"/>
              </w:rPr>
              <w:t>článok 428r ods. 1 písm. f) CRR.</w:t>
            </w:r>
          </w:p>
          <w:p w14:paraId="72C976E7" w14:textId="558E00F2"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lastRenderedPageBreak/>
              <w:t>Inštitúcie tu zverejňujú aktíva, ktoré sú po schválení príslušnými orgánmi vzájomne závislé so záväzkami</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428f CRR.</w:t>
            </w:r>
          </w:p>
        </w:tc>
      </w:tr>
      <w:tr w:rsidR="007E1815" w:rsidRPr="009D4E15" w14:paraId="0CF97540" w14:textId="77777777" w:rsidTr="00D819DE">
        <w:tc>
          <w:tcPr>
            <w:tcW w:w="1355" w:type="dxa"/>
          </w:tcPr>
          <w:p w14:paraId="70B09EF1"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lastRenderedPageBreak/>
              <w:t>26</w:t>
            </w:r>
          </w:p>
        </w:tc>
        <w:tc>
          <w:tcPr>
            <w:tcW w:w="7705" w:type="dxa"/>
          </w:tcPr>
          <w:p w14:paraId="42CE6BB4"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b/>
                <w:sz w:val="24"/>
                <w:lang w:val="sk-SK"/>
              </w:rPr>
              <w:t>Iné aktíva:</w:t>
            </w:r>
          </w:p>
          <w:p w14:paraId="04069E74" w14:textId="63BB75D8"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tu zverejňujú súčet hodnôt</w:t>
            </w:r>
            <w:r w:rsidR="009D4E15">
              <w:rPr>
                <w:rFonts w:ascii="Times New Roman" w:hAnsi="Times New Roman"/>
                <w:sz w:val="24"/>
                <w:lang w:val="sk-SK"/>
              </w:rPr>
              <w:t xml:space="preserve"> v </w:t>
            </w:r>
            <w:r w:rsidRPr="009D4E15">
              <w:rPr>
                <w:rFonts w:ascii="Times New Roman" w:hAnsi="Times New Roman"/>
                <w:sz w:val="24"/>
                <w:lang w:val="sk-SK"/>
              </w:rPr>
              <w:t>riadkoch 27, 28, 29, 30</w:t>
            </w:r>
            <w:r w:rsidR="009D4E15">
              <w:rPr>
                <w:rFonts w:ascii="Times New Roman" w:hAnsi="Times New Roman"/>
                <w:sz w:val="24"/>
                <w:lang w:val="sk-SK"/>
              </w:rPr>
              <w:t xml:space="preserve"> a </w:t>
            </w:r>
            <w:r w:rsidRPr="009D4E15">
              <w:rPr>
                <w:rFonts w:ascii="Times New Roman" w:hAnsi="Times New Roman"/>
                <w:sz w:val="24"/>
                <w:lang w:val="sk-SK"/>
              </w:rPr>
              <w:t>31 tohto vzoru.</w:t>
            </w:r>
          </w:p>
        </w:tc>
      </w:tr>
      <w:tr w:rsidR="007E1815" w:rsidRPr="009D4E15" w14:paraId="308B373B" w14:textId="77777777" w:rsidTr="00D819DE">
        <w:tc>
          <w:tcPr>
            <w:tcW w:w="1355" w:type="dxa"/>
          </w:tcPr>
          <w:p w14:paraId="5913D910"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27</w:t>
            </w:r>
          </w:p>
        </w:tc>
        <w:tc>
          <w:tcPr>
            <w:tcW w:w="7705" w:type="dxa"/>
          </w:tcPr>
          <w:p w14:paraId="697B1938"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b/>
                <w:sz w:val="24"/>
                <w:lang w:val="sk-SK"/>
              </w:rPr>
              <w:t>Fyzicky obchodované komodity</w:t>
            </w:r>
          </w:p>
          <w:p w14:paraId="32837474" w14:textId="77777777" w:rsidR="007E1815" w:rsidRPr="009D4E15" w:rsidRDefault="007E1815" w:rsidP="00D819DE">
            <w:pPr>
              <w:pStyle w:val="TableParagraph"/>
              <w:spacing w:after="240"/>
              <w:ind w:right="99"/>
              <w:jc w:val="both"/>
              <w:rPr>
                <w:rFonts w:ascii="Times New Roman" w:hAnsi="Times New Roman"/>
                <w:sz w:val="24"/>
                <w:lang w:val="sk-SK"/>
              </w:rPr>
            </w:pPr>
            <w:r w:rsidRPr="009D4E15">
              <w:rPr>
                <w:rFonts w:ascii="Times New Roman" w:hAnsi="Times New Roman"/>
                <w:sz w:val="24"/>
                <w:lang w:val="sk-SK"/>
              </w:rPr>
              <w:t>Článok 428ag písm. g) CRR.</w:t>
            </w:r>
          </w:p>
          <w:p w14:paraId="78174A53"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tu zverejňujú hodnotu fyzicky obchodovaných komodít. Táto suma nezahŕňa komoditné deriváty.</w:t>
            </w:r>
          </w:p>
        </w:tc>
      </w:tr>
      <w:tr w:rsidR="007E1815" w:rsidRPr="009D4E15" w14:paraId="26AD8E34" w14:textId="77777777" w:rsidTr="00D819DE">
        <w:tc>
          <w:tcPr>
            <w:tcW w:w="1355" w:type="dxa"/>
          </w:tcPr>
          <w:p w14:paraId="67D2AD9F"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28</w:t>
            </w:r>
          </w:p>
        </w:tc>
        <w:tc>
          <w:tcPr>
            <w:tcW w:w="7705" w:type="dxa"/>
          </w:tcPr>
          <w:p w14:paraId="185B88C7" w14:textId="3037B3EE" w:rsidR="007E1815" w:rsidRPr="009D4E15" w:rsidRDefault="007E1815" w:rsidP="00D819DE">
            <w:pPr>
              <w:spacing w:after="240"/>
              <w:jc w:val="both"/>
              <w:rPr>
                <w:rFonts w:ascii="Times New Roman" w:hAnsi="Times New Roman"/>
                <w:sz w:val="24"/>
                <w:lang w:val="sk-SK"/>
              </w:rPr>
            </w:pPr>
            <w:r w:rsidRPr="009D4E15">
              <w:rPr>
                <w:rFonts w:ascii="Times New Roman" w:hAnsi="Times New Roman"/>
                <w:b/>
                <w:sz w:val="24"/>
                <w:lang w:val="sk-SK"/>
              </w:rPr>
              <w:t>Aktíva zložené ako počiatočná marža pre zmluvy</w:t>
            </w:r>
            <w:r w:rsidR="009D4E15">
              <w:rPr>
                <w:rFonts w:ascii="Times New Roman" w:hAnsi="Times New Roman"/>
                <w:b/>
                <w:sz w:val="24"/>
                <w:lang w:val="sk-SK"/>
              </w:rPr>
              <w:t xml:space="preserve"> o </w:t>
            </w:r>
            <w:r w:rsidRPr="009D4E15">
              <w:rPr>
                <w:rFonts w:ascii="Times New Roman" w:hAnsi="Times New Roman"/>
                <w:b/>
                <w:sz w:val="24"/>
                <w:lang w:val="sk-SK"/>
              </w:rPr>
              <w:t>derivátoch</w:t>
            </w:r>
            <w:r w:rsidR="009D4E15">
              <w:rPr>
                <w:rFonts w:ascii="Times New Roman" w:hAnsi="Times New Roman"/>
                <w:b/>
                <w:sz w:val="24"/>
                <w:lang w:val="sk-SK"/>
              </w:rPr>
              <w:t xml:space="preserve"> a </w:t>
            </w:r>
            <w:r w:rsidRPr="009D4E15">
              <w:rPr>
                <w:rFonts w:ascii="Times New Roman" w:hAnsi="Times New Roman"/>
                <w:b/>
                <w:sz w:val="24"/>
                <w:lang w:val="sk-SK"/>
              </w:rPr>
              <w:t>príspevky do fondov centrálnych protistrán pre prípad zlyhania</w:t>
            </w:r>
          </w:p>
          <w:p w14:paraId="0A9AEFDF" w14:textId="77777777" w:rsidR="007E1815" w:rsidRPr="009D4E15" w:rsidRDefault="007E1815" w:rsidP="00D819DE">
            <w:pPr>
              <w:pStyle w:val="TableParagraph"/>
              <w:spacing w:after="240"/>
              <w:ind w:right="99"/>
              <w:jc w:val="both"/>
              <w:rPr>
                <w:rFonts w:ascii="Times New Roman" w:hAnsi="Times New Roman"/>
                <w:sz w:val="24"/>
                <w:szCs w:val="24"/>
                <w:lang w:val="sk-SK"/>
              </w:rPr>
            </w:pPr>
            <w:r w:rsidRPr="009D4E15">
              <w:rPr>
                <w:rFonts w:ascii="Times New Roman" w:hAnsi="Times New Roman"/>
                <w:sz w:val="24"/>
                <w:lang w:val="sk-SK"/>
              </w:rPr>
              <w:t>Inštitúcie tu zverejňujú súčet týchto hodnôt:</w:t>
            </w:r>
          </w:p>
          <w:p w14:paraId="74F0EC9D" w14:textId="380A70F2" w:rsidR="007E1815" w:rsidRPr="009D4E15" w:rsidRDefault="007E1815" w:rsidP="007E1815">
            <w:pPr>
              <w:pStyle w:val="ListParagraph"/>
              <w:numPr>
                <w:ilvl w:val="0"/>
                <w:numId w:val="8"/>
              </w:numPr>
              <w:jc w:val="both"/>
              <w:rPr>
                <w:rFonts w:ascii="Times New Roman" w:hAnsi="Times New Roman"/>
                <w:sz w:val="24"/>
                <w:lang w:val="sk-SK"/>
              </w:rPr>
            </w:pPr>
            <w:r w:rsidRPr="009D4E15">
              <w:rPr>
                <w:rFonts w:ascii="Times New Roman" w:hAnsi="Times New Roman"/>
                <w:sz w:val="24"/>
                <w:lang w:val="sk-SK"/>
              </w:rPr>
              <w:t>hodnota požadovaného stabilného financovania vyplývajúceho</w:t>
            </w:r>
            <w:r w:rsidR="009D4E15">
              <w:rPr>
                <w:rFonts w:ascii="Times New Roman" w:hAnsi="Times New Roman"/>
                <w:sz w:val="24"/>
                <w:lang w:val="sk-SK"/>
              </w:rPr>
              <w:t xml:space="preserve"> z </w:t>
            </w:r>
            <w:r w:rsidRPr="009D4E15">
              <w:rPr>
                <w:rFonts w:ascii="Times New Roman" w:hAnsi="Times New Roman"/>
                <w:sz w:val="24"/>
                <w:lang w:val="sk-SK"/>
              </w:rPr>
              <w:t>derivátov</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428d, článkom 428s ods. 2, článkom 428ag písm. a)</w:t>
            </w:r>
            <w:r w:rsidR="009D4E15">
              <w:rPr>
                <w:rFonts w:ascii="Times New Roman" w:hAnsi="Times New Roman"/>
                <w:sz w:val="24"/>
                <w:lang w:val="sk-SK"/>
              </w:rPr>
              <w:t xml:space="preserve"> a </w:t>
            </w:r>
            <w:r w:rsidRPr="009D4E15">
              <w:rPr>
                <w:rFonts w:ascii="Times New Roman" w:hAnsi="Times New Roman"/>
                <w:sz w:val="24"/>
                <w:lang w:val="sk-SK"/>
              </w:rPr>
              <w:t>článkom 428ah ods. 2 CRR, ktoré sa týka počiatočných marží pre zmluvy</w:t>
            </w:r>
            <w:r w:rsidR="009D4E15">
              <w:rPr>
                <w:rFonts w:ascii="Times New Roman" w:hAnsi="Times New Roman"/>
                <w:sz w:val="24"/>
                <w:lang w:val="sk-SK"/>
              </w:rPr>
              <w:t xml:space="preserve"> o </w:t>
            </w:r>
            <w:r w:rsidRPr="009D4E15">
              <w:rPr>
                <w:rFonts w:ascii="Times New Roman" w:hAnsi="Times New Roman"/>
                <w:sz w:val="24"/>
                <w:lang w:val="sk-SK"/>
              </w:rPr>
              <w:t>derivátoch; a</w:t>
            </w:r>
          </w:p>
          <w:p w14:paraId="59B2427D" w14:textId="2242A515" w:rsidR="007E1815" w:rsidRPr="009D4E15" w:rsidRDefault="007E1815" w:rsidP="007E1815">
            <w:pPr>
              <w:pStyle w:val="ListParagraph"/>
              <w:numPr>
                <w:ilvl w:val="0"/>
                <w:numId w:val="8"/>
              </w:numPr>
              <w:spacing w:after="240"/>
              <w:jc w:val="both"/>
              <w:rPr>
                <w:rFonts w:ascii="Times New Roman" w:hAnsi="Times New Roman"/>
                <w:sz w:val="24"/>
                <w:lang w:val="sk-SK"/>
              </w:rPr>
            </w:pPr>
            <w:r w:rsidRPr="009D4E15">
              <w:rPr>
                <w:rFonts w:ascii="Times New Roman" w:hAnsi="Times New Roman"/>
                <w:sz w:val="24"/>
                <w:lang w:val="sk-SK"/>
              </w:rPr>
              <w:t>suma súvisiaca</w:t>
            </w:r>
            <w:r w:rsidR="009D4E15">
              <w:rPr>
                <w:rFonts w:ascii="Times New Roman" w:hAnsi="Times New Roman"/>
                <w:sz w:val="24"/>
                <w:lang w:val="sk-SK"/>
              </w:rPr>
              <w:t xml:space="preserve"> s </w:t>
            </w:r>
            <w:r w:rsidRPr="009D4E15">
              <w:rPr>
                <w:rFonts w:ascii="Times New Roman" w:hAnsi="Times New Roman"/>
                <w:sz w:val="24"/>
                <w:lang w:val="sk-SK"/>
              </w:rPr>
              <w:t>položkami poskytnutými ako príspevok do fondu centrálnej protistrany pre prípad zlyhania</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428ag písm. b) CRR.</w:t>
            </w:r>
          </w:p>
        </w:tc>
      </w:tr>
      <w:tr w:rsidR="007E1815" w:rsidRPr="009D4E15" w14:paraId="376E3454" w14:textId="77777777" w:rsidTr="00D819DE">
        <w:tc>
          <w:tcPr>
            <w:tcW w:w="1355" w:type="dxa"/>
          </w:tcPr>
          <w:p w14:paraId="6B351DBB"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29</w:t>
            </w:r>
          </w:p>
        </w:tc>
        <w:tc>
          <w:tcPr>
            <w:tcW w:w="7705" w:type="dxa"/>
          </w:tcPr>
          <w:p w14:paraId="6FC27BA7" w14:textId="77777777" w:rsidR="007E1815" w:rsidRPr="009D4E15" w:rsidRDefault="007E1815" w:rsidP="00D819DE">
            <w:pPr>
              <w:spacing w:after="240"/>
              <w:jc w:val="both"/>
              <w:rPr>
                <w:rFonts w:ascii="Times New Roman" w:hAnsi="Times New Roman"/>
                <w:b/>
                <w:sz w:val="24"/>
                <w:lang w:val="sk-SK"/>
              </w:rPr>
            </w:pPr>
            <w:r w:rsidRPr="009D4E15">
              <w:rPr>
                <w:rFonts w:ascii="Times New Roman" w:hAnsi="Times New Roman"/>
                <w:b/>
                <w:sz w:val="24"/>
                <w:lang w:val="sk-SK"/>
              </w:rPr>
              <w:t>Derivátové aktíva ovplyvňujúce NSFR</w:t>
            </w:r>
          </w:p>
          <w:p w14:paraId="130EA517" w14:textId="0ACC9B51" w:rsidR="007E1815" w:rsidRPr="009D4E15" w:rsidRDefault="007E1815" w:rsidP="00D819DE">
            <w:pPr>
              <w:pStyle w:val="TableParagraph"/>
              <w:spacing w:after="240"/>
              <w:ind w:right="99"/>
              <w:jc w:val="both"/>
              <w:rPr>
                <w:rFonts w:ascii="Times New Roman" w:hAnsi="Times New Roman"/>
                <w:sz w:val="24"/>
                <w:szCs w:val="24"/>
                <w:lang w:val="sk-SK"/>
              </w:rPr>
            </w:pPr>
            <w:r w:rsidRPr="009D4E15">
              <w:rPr>
                <w:rFonts w:ascii="Times New Roman" w:hAnsi="Times New Roman"/>
                <w:sz w:val="24"/>
                <w:lang w:val="sk-SK"/>
              </w:rPr>
              <w:t>Článok 428d</w:t>
            </w:r>
            <w:r w:rsidR="009D4E15">
              <w:rPr>
                <w:rFonts w:ascii="Times New Roman" w:hAnsi="Times New Roman"/>
                <w:sz w:val="24"/>
                <w:lang w:val="sk-SK"/>
              </w:rPr>
              <w:t xml:space="preserve"> a </w:t>
            </w:r>
            <w:r w:rsidRPr="009D4E15">
              <w:rPr>
                <w:rFonts w:ascii="Times New Roman" w:hAnsi="Times New Roman"/>
                <w:sz w:val="24"/>
                <w:lang w:val="sk-SK"/>
              </w:rPr>
              <w:t>článok 428ah ods. 2 CRR.</w:t>
            </w:r>
          </w:p>
          <w:p w14:paraId="33E01ABB" w14:textId="4F9B1146" w:rsidR="007E1815" w:rsidRPr="009D4E15" w:rsidRDefault="007E1815" w:rsidP="00D819DE">
            <w:pPr>
              <w:pStyle w:val="TableParagraph"/>
              <w:spacing w:after="240"/>
              <w:ind w:right="99"/>
              <w:jc w:val="both"/>
              <w:rPr>
                <w:rFonts w:ascii="Times New Roman" w:hAnsi="Times New Roman"/>
                <w:sz w:val="24"/>
                <w:lang w:val="sk-SK"/>
              </w:rPr>
            </w:pPr>
            <w:r w:rsidRPr="009D4E15">
              <w:rPr>
                <w:rFonts w:ascii="Times New Roman" w:hAnsi="Times New Roman"/>
                <w:sz w:val="24"/>
                <w:lang w:val="sk-SK"/>
              </w:rPr>
              <w:t>Inštitúcie sem zahrnú hodnotu požadovaného stabilného financovania vyplývajúceho</w:t>
            </w:r>
            <w:r w:rsidR="009D4E15">
              <w:rPr>
                <w:rFonts w:ascii="Times New Roman" w:hAnsi="Times New Roman"/>
                <w:sz w:val="24"/>
                <w:lang w:val="sk-SK"/>
              </w:rPr>
              <w:t xml:space="preserve"> z </w:t>
            </w:r>
            <w:r w:rsidRPr="009D4E15">
              <w:rPr>
                <w:rFonts w:ascii="Times New Roman" w:hAnsi="Times New Roman"/>
                <w:sz w:val="24"/>
                <w:lang w:val="sk-SK"/>
              </w:rPr>
              <w:t>derivátov</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428d, článkom 428s ods. 2, článkom 428ag písm. a)</w:t>
            </w:r>
            <w:r w:rsidR="009D4E15">
              <w:rPr>
                <w:rFonts w:ascii="Times New Roman" w:hAnsi="Times New Roman"/>
                <w:sz w:val="24"/>
                <w:lang w:val="sk-SK"/>
              </w:rPr>
              <w:t xml:space="preserve"> a </w:t>
            </w:r>
            <w:r w:rsidRPr="009D4E15">
              <w:rPr>
                <w:rFonts w:ascii="Times New Roman" w:hAnsi="Times New Roman"/>
                <w:sz w:val="24"/>
                <w:lang w:val="sk-SK"/>
              </w:rPr>
              <w:t>článkom 428ah ods. 2 CRR, ktoré sa vypočítava ako absolútna hodnota kladného rozdielu medzi súbormi vzájomného započítavania vypočítanými</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428ah ods. 2 CRR.</w:t>
            </w:r>
          </w:p>
        </w:tc>
      </w:tr>
      <w:tr w:rsidR="007E1815" w:rsidRPr="009D4E15" w14:paraId="68225B13" w14:textId="77777777" w:rsidTr="00D819DE">
        <w:tc>
          <w:tcPr>
            <w:tcW w:w="1355" w:type="dxa"/>
          </w:tcPr>
          <w:p w14:paraId="19DA3D6E"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30</w:t>
            </w:r>
          </w:p>
        </w:tc>
        <w:tc>
          <w:tcPr>
            <w:tcW w:w="7705" w:type="dxa"/>
          </w:tcPr>
          <w:p w14:paraId="6473604D" w14:textId="77777777" w:rsidR="007E1815" w:rsidRPr="009D4E15" w:rsidRDefault="007E1815" w:rsidP="00D819DE">
            <w:pPr>
              <w:spacing w:after="240"/>
              <w:jc w:val="both"/>
              <w:rPr>
                <w:rFonts w:ascii="Times New Roman" w:hAnsi="Times New Roman"/>
                <w:b/>
                <w:sz w:val="24"/>
                <w:lang w:val="sk-SK"/>
              </w:rPr>
            </w:pPr>
            <w:r w:rsidRPr="009D4E15">
              <w:rPr>
                <w:rFonts w:ascii="Times New Roman" w:hAnsi="Times New Roman"/>
                <w:b/>
                <w:sz w:val="24"/>
                <w:lang w:val="sk-SK"/>
              </w:rPr>
              <w:t>NSFR derivátových záväzkov pred odpočítaním poskytnutej variačnej marže</w:t>
            </w:r>
          </w:p>
          <w:p w14:paraId="394264C8" w14:textId="77777777" w:rsidR="007E1815" w:rsidRPr="009D4E15" w:rsidRDefault="007E1815" w:rsidP="00D819DE">
            <w:pPr>
              <w:pStyle w:val="TableParagraph"/>
              <w:spacing w:after="240"/>
              <w:ind w:right="99"/>
              <w:jc w:val="both"/>
              <w:rPr>
                <w:rFonts w:ascii="Times New Roman" w:hAnsi="Times New Roman"/>
                <w:sz w:val="24"/>
                <w:szCs w:val="24"/>
                <w:lang w:val="sk-SK"/>
              </w:rPr>
            </w:pPr>
            <w:r w:rsidRPr="009D4E15">
              <w:rPr>
                <w:rFonts w:ascii="Times New Roman" w:hAnsi="Times New Roman"/>
                <w:sz w:val="24"/>
                <w:lang w:val="sk-SK"/>
              </w:rPr>
              <w:t>Článok 428s ods. 2 CRR.</w:t>
            </w:r>
          </w:p>
          <w:p w14:paraId="43211B55" w14:textId="13E606F5"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tu zverejňujú hodnotu požadovaného stabilného financovania súvisiaceho</w:t>
            </w:r>
            <w:r w:rsidR="009D4E15">
              <w:rPr>
                <w:rFonts w:ascii="Times New Roman" w:hAnsi="Times New Roman"/>
                <w:sz w:val="24"/>
                <w:lang w:val="sk-SK"/>
              </w:rPr>
              <w:t xml:space="preserve"> s </w:t>
            </w:r>
            <w:r w:rsidRPr="009D4E15">
              <w:rPr>
                <w:rFonts w:ascii="Times New Roman" w:hAnsi="Times New Roman"/>
                <w:sz w:val="24"/>
                <w:lang w:val="sk-SK"/>
              </w:rPr>
              <w:t>derivátovými záväzkami</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428d, článkom 428s ods. 2, článkom 428ag písm. a)</w:t>
            </w:r>
            <w:r w:rsidR="009D4E15">
              <w:rPr>
                <w:rFonts w:ascii="Times New Roman" w:hAnsi="Times New Roman"/>
                <w:sz w:val="24"/>
                <w:lang w:val="sk-SK"/>
              </w:rPr>
              <w:t xml:space="preserve"> a </w:t>
            </w:r>
            <w:r w:rsidRPr="009D4E15">
              <w:rPr>
                <w:rFonts w:ascii="Times New Roman" w:hAnsi="Times New Roman"/>
                <w:sz w:val="24"/>
                <w:lang w:val="sk-SK"/>
              </w:rPr>
              <w:t>článkom 428ah ods. 2 CRR, čo je absolútna reálna hodnota súborov vzájomného započítavania so zápornou reálnou hodnotou vypočítanou</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428s ods. 2 CRR.</w:t>
            </w:r>
          </w:p>
        </w:tc>
      </w:tr>
      <w:tr w:rsidR="007E1815" w:rsidRPr="009D4E15" w14:paraId="12F08601" w14:textId="77777777" w:rsidTr="00D819DE">
        <w:tc>
          <w:tcPr>
            <w:tcW w:w="1355" w:type="dxa"/>
          </w:tcPr>
          <w:p w14:paraId="090CE7E2"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31</w:t>
            </w:r>
          </w:p>
        </w:tc>
        <w:tc>
          <w:tcPr>
            <w:tcW w:w="7705" w:type="dxa"/>
          </w:tcPr>
          <w:p w14:paraId="4F2885DE" w14:textId="77777777" w:rsidR="007E1815" w:rsidRPr="009D4E15" w:rsidRDefault="007E1815" w:rsidP="00D819DE">
            <w:pPr>
              <w:spacing w:after="240"/>
              <w:jc w:val="both"/>
              <w:rPr>
                <w:rFonts w:ascii="Times New Roman" w:hAnsi="Times New Roman"/>
                <w:b/>
                <w:sz w:val="24"/>
                <w:lang w:val="sk-SK"/>
              </w:rPr>
            </w:pPr>
            <w:r w:rsidRPr="009D4E15">
              <w:rPr>
                <w:rFonts w:ascii="Times New Roman" w:hAnsi="Times New Roman"/>
                <w:b/>
                <w:sz w:val="24"/>
                <w:lang w:val="sk-SK"/>
              </w:rPr>
              <w:t>Všetky ostatné aktíva nezahrnuté do vyššie uvedených kategórií</w:t>
            </w:r>
          </w:p>
          <w:p w14:paraId="60A47B66" w14:textId="77777777" w:rsidR="007E1815" w:rsidRPr="009D4E15" w:rsidRDefault="007E1815" w:rsidP="00D819DE">
            <w:pPr>
              <w:jc w:val="both"/>
              <w:rPr>
                <w:rFonts w:ascii="Times New Roman" w:hAnsi="Times New Roman"/>
                <w:sz w:val="24"/>
                <w:lang w:val="sk-SK"/>
              </w:rPr>
            </w:pPr>
            <w:r w:rsidRPr="009D4E15">
              <w:rPr>
                <w:rFonts w:ascii="Times New Roman" w:hAnsi="Times New Roman"/>
                <w:sz w:val="24"/>
                <w:lang w:val="sk-SK"/>
              </w:rPr>
              <w:t>Inštitúcie tu uvedú súčet týchto položiek:</w:t>
            </w:r>
          </w:p>
          <w:p w14:paraId="211EEB85" w14:textId="6A7AFCBA" w:rsidR="007E1815" w:rsidRPr="009D4E15" w:rsidRDefault="007E1815" w:rsidP="007E1815">
            <w:pPr>
              <w:pStyle w:val="ListParagraph"/>
              <w:numPr>
                <w:ilvl w:val="0"/>
                <w:numId w:val="11"/>
              </w:numPr>
              <w:jc w:val="both"/>
              <w:rPr>
                <w:rFonts w:ascii="Times New Roman" w:hAnsi="Times New Roman"/>
                <w:sz w:val="24"/>
                <w:lang w:val="sk-SK"/>
              </w:rPr>
            </w:pPr>
            <w:r w:rsidRPr="009D4E15">
              <w:rPr>
                <w:rFonts w:ascii="Times New Roman" w:hAnsi="Times New Roman"/>
                <w:sz w:val="24"/>
                <w:lang w:val="sk-SK"/>
              </w:rPr>
              <w:lastRenderedPageBreak/>
              <w:t>pohľadávky so zúčtovaním</w:t>
            </w:r>
            <w:r w:rsidR="009D4E15">
              <w:rPr>
                <w:rFonts w:ascii="Times New Roman" w:hAnsi="Times New Roman"/>
                <w:sz w:val="24"/>
                <w:lang w:val="sk-SK"/>
              </w:rPr>
              <w:t xml:space="preserve"> v </w:t>
            </w:r>
            <w:r w:rsidRPr="009D4E15">
              <w:rPr>
                <w:rFonts w:ascii="Times New Roman" w:hAnsi="Times New Roman"/>
                <w:sz w:val="24"/>
                <w:lang w:val="sk-SK"/>
              </w:rPr>
              <w:t>deň uzavretia obchodu</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428r ods. 1 písm. e) CRR,</w:t>
            </w:r>
          </w:p>
          <w:p w14:paraId="3A3E23A2" w14:textId="715543A8" w:rsidR="007E1815" w:rsidRPr="009D4E15" w:rsidRDefault="007E1815" w:rsidP="007E1815">
            <w:pPr>
              <w:pStyle w:val="ListParagraph"/>
              <w:numPr>
                <w:ilvl w:val="0"/>
                <w:numId w:val="11"/>
              </w:numPr>
              <w:jc w:val="both"/>
              <w:rPr>
                <w:rFonts w:ascii="Times New Roman" w:hAnsi="Times New Roman"/>
                <w:sz w:val="24"/>
                <w:lang w:val="sk-SK"/>
              </w:rPr>
            </w:pPr>
            <w:r w:rsidRPr="009D4E15">
              <w:rPr>
                <w:rFonts w:ascii="Times New Roman" w:hAnsi="Times New Roman"/>
                <w:sz w:val="24"/>
                <w:lang w:val="sk-SK"/>
              </w:rPr>
              <w:t>problémové aktíva</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428ah ods. 1 písm. b) CRR,</w:t>
            </w:r>
          </w:p>
          <w:p w14:paraId="7CE9E147" w14:textId="0AC3694F" w:rsidR="007E1815" w:rsidRPr="009D4E15" w:rsidRDefault="007E1815" w:rsidP="007E1815">
            <w:pPr>
              <w:pStyle w:val="ListParagraph"/>
              <w:numPr>
                <w:ilvl w:val="0"/>
                <w:numId w:val="11"/>
              </w:numPr>
              <w:jc w:val="both"/>
              <w:rPr>
                <w:rFonts w:ascii="Times New Roman" w:hAnsi="Times New Roman"/>
                <w:sz w:val="24"/>
                <w:lang w:val="sk-SK"/>
              </w:rPr>
            </w:pPr>
            <w:r w:rsidRPr="009D4E15">
              <w:rPr>
                <w:rFonts w:ascii="Times New Roman" w:hAnsi="Times New Roman"/>
                <w:sz w:val="24"/>
                <w:lang w:val="sk-SK"/>
              </w:rPr>
              <w:t>rezervy</w:t>
            </w:r>
            <w:r w:rsidR="009D4E15">
              <w:rPr>
                <w:rFonts w:ascii="Times New Roman" w:hAnsi="Times New Roman"/>
                <w:sz w:val="24"/>
                <w:lang w:val="sk-SK"/>
              </w:rPr>
              <w:t xml:space="preserve"> v </w:t>
            </w:r>
            <w:r w:rsidRPr="009D4E15">
              <w:rPr>
                <w:rFonts w:ascii="Times New Roman" w:hAnsi="Times New Roman"/>
                <w:sz w:val="24"/>
                <w:lang w:val="sk-SK"/>
              </w:rPr>
              <w:t>centrálnych bankách, ktoré sa nepovažujú za HQLA, a</w:t>
            </w:r>
          </w:p>
          <w:p w14:paraId="3374626C" w14:textId="29857F54" w:rsidR="007E1815" w:rsidRPr="009D4E15" w:rsidRDefault="007E1815" w:rsidP="007E1815">
            <w:pPr>
              <w:pStyle w:val="ListParagraph"/>
              <w:numPr>
                <w:ilvl w:val="0"/>
                <w:numId w:val="11"/>
              </w:numPr>
              <w:spacing w:after="240"/>
              <w:jc w:val="both"/>
              <w:rPr>
                <w:rFonts w:ascii="Times New Roman" w:hAnsi="Times New Roman"/>
                <w:sz w:val="24"/>
                <w:lang w:val="sk-SK"/>
              </w:rPr>
            </w:pPr>
            <w:r w:rsidRPr="009D4E15">
              <w:rPr>
                <w:rFonts w:ascii="Times New Roman" w:hAnsi="Times New Roman"/>
                <w:sz w:val="24"/>
                <w:lang w:val="sk-SK"/>
              </w:rPr>
              <w:t>ostatné aktíva, ktoré nie sú uvedené</w:t>
            </w:r>
            <w:r w:rsidR="009D4E15">
              <w:rPr>
                <w:rFonts w:ascii="Times New Roman" w:hAnsi="Times New Roman"/>
                <w:sz w:val="24"/>
                <w:lang w:val="sk-SK"/>
              </w:rPr>
              <w:t xml:space="preserve"> v </w:t>
            </w:r>
            <w:r w:rsidRPr="009D4E15">
              <w:rPr>
                <w:rFonts w:ascii="Times New Roman" w:hAnsi="Times New Roman"/>
                <w:sz w:val="24"/>
                <w:lang w:val="sk-SK"/>
              </w:rPr>
              <w:t>predchádzajúcich položkách uvedených vyššie.</w:t>
            </w:r>
          </w:p>
        </w:tc>
      </w:tr>
      <w:tr w:rsidR="007E1815" w:rsidRPr="009D4E15" w14:paraId="107FAB0B" w14:textId="77777777" w:rsidTr="00D819DE">
        <w:tc>
          <w:tcPr>
            <w:tcW w:w="1355" w:type="dxa"/>
          </w:tcPr>
          <w:p w14:paraId="305193C1"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lastRenderedPageBreak/>
              <w:t>32</w:t>
            </w:r>
          </w:p>
        </w:tc>
        <w:tc>
          <w:tcPr>
            <w:tcW w:w="7705" w:type="dxa"/>
          </w:tcPr>
          <w:p w14:paraId="449E2037" w14:textId="77777777" w:rsidR="007E1815" w:rsidRPr="009D4E15" w:rsidRDefault="007E1815" w:rsidP="00D819DE">
            <w:pPr>
              <w:spacing w:after="240"/>
              <w:jc w:val="both"/>
              <w:rPr>
                <w:rFonts w:ascii="Times New Roman" w:hAnsi="Times New Roman"/>
                <w:b/>
                <w:sz w:val="24"/>
                <w:lang w:val="sk-SK"/>
              </w:rPr>
            </w:pPr>
            <w:r w:rsidRPr="009D4E15">
              <w:rPr>
                <w:rFonts w:ascii="Times New Roman" w:hAnsi="Times New Roman"/>
                <w:b/>
                <w:sz w:val="24"/>
                <w:lang w:val="sk-SK"/>
              </w:rPr>
              <w:t>Podsúvahové položky</w:t>
            </w:r>
          </w:p>
          <w:p w14:paraId="0146B44D"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Inštitúcie tu zverejňujú sumu podsúvahových položiek, na ktoré sa vzťahujú požiadavky na požadované stabilné financovanie.</w:t>
            </w:r>
          </w:p>
        </w:tc>
      </w:tr>
      <w:tr w:rsidR="007E1815" w:rsidRPr="009D4E15" w14:paraId="3AA0FBAF" w14:textId="77777777" w:rsidTr="00D819DE">
        <w:tc>
          <w:tcPr>
            <w:tcW w:w="1355" w:type="dxa"/>
          </w:tcPr>
          <w:p w14:paraId="0CD179E6"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33</w:t>
            </w:r>
          </w:p>
        </w:tc>
        <w:tc>
          <w:tcPr>
            <w:tcW w:w="7705" w:type="dxa"/>
          </w:tcPr>
          <w:p w14:paraId="5B3E34AC"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b/>
                <w:sz w:val="24"/>
                <w:lang w:val="sk-SK"/>
              </w:rPr>
              <w:t>Celkové požadované stabilné financovanie (RSF)</w:t>
            </w:r>
          </w:p>
          <w:p w14:paraId="7C7790F2" w14:textId="77777777" w:rsidR="007E1815" w:rsidRPr="009D4E15" w:rsidRDefault="007E1815" w:rsidP="00D819DE">
            <w:pPr>
              <w:pStyle w:val="TableParagraph"/>
              <w:spacing w:after="240"/>
              <w:jc w:val="both"/>
              <w:rPr>
                <w:rFonts w:ascii="Times New Roman" w:eastAsia="Times New Roman" w:hAnsi="Times New Roman"/>
                <w:sz w:val="24"/>
                <w:szCs w:val="24"/>
                <w:lang w:val="sk-SK"/>
              </w:rPr>
            </w:pPr>
            <w:r w:rsidRPr="009D4E15">
              <w:rPr>
                <w:rFonts w:ascii="Times New Roman" w:hAnsi="Times New Roman"/>
                <w:sz w:val="24"/>
                <w:lang w:val="sk-SK"/>
              </w:rPr>
              <w:t>Šiesta časť hlava IV kapitola 4 CRR.</w:t>
            </w:r>
          </w:p>
          <w:p w14:paraId="12009000" w14:textId="4091F8EE" w:rsidR="007E1815" w:rsidRPr="009D4E15" w:rsidRDefault="007E1815" w:rsidP="00D819DE">
            <w:pPr>
              <w:pStyle w:val="TableParagraph"/>
              <w:spacing w:after="240"/>
              <w:jc w:val="both"/>
              <w:rPr>
                <w:rFonts w:ascii="Times New Roman" w:hAnsi="Times New Roman"/>
                <w:sz w:val="24"/>
                <w:szCs w:val="24"/>
                <w:lang w:val="sk-SK"/>
              </w:rPr>
            </w:pPr>
            <w:r w:rsidRPr="009D4E15">
              <w:rPr>
                <w:rFonts w:ascii="Times New Roman" w:hAnsi="Times New Roman"/>
                <w:sz w:val="24"/>
                <w:lang w:val="sk-SK"/>
              </w:rPr>
              <w:t>Inštitúcie sem zahrnú</w:t>
            </w:r>
            <w:r w:rsidRPr="009D4E15">
              <w:rPr>
                <w:lang w:val="sk-SK"/>
              </w:rPr>
              <w:t xml:space="preserve"> </w:t>
            </w:r>
            <w:r w:rsidRPr="009D4E15">
              <w:rPr>
                <w:rFonts w:ascii="Times New Roman" w:hAnsi="Times New Roman"/>
                <w:sz w:val="24"/>
                <w:lang w:val="sk-SK"/>
              </w:rPr>
              <w:t>súčet položiek, na ktoré sa vzťahuje požadované stabilné financovanie</w:t>
            </w:r>
            <w:r w:rsidR="009D4E15">
              <w:rPr>
                <w:rFonts w:ascii="Times New Roman" w:hAnsi="Times New Roman"/>
                <w:sz w:val="24"/>
                <w:lang w:val="sk-SK"/>
              </w:rPr>
              <w:t xml:space="preserve"> v </w:t>
            </w:r>
            <w:r w:rsidRPr="009D4E15">
              <w:rPr>
                <w:rFonts w:ascii="Times New Roman" w:hAnsi="Times New Roman"/>
                <w:sz w:val="24"/>
                <w:lang w:val="sk-SK"/>
              </w:rPr>
              <w:t>súlade so šiestou časťou hlavou IV kapitolou 4 CRR (súčet hodnôt</w:t>
            </w:r>
            <w:r w:rsidR="009D4E15">
              <w:rPr>
                <w:rFonts w:ascii="Times New Roman" w:hAnsi="Times New Roman"/>
                <w:sz w:val="24"/>
                <w:lang w:val="sk-SK"/>
              </w:rPr>
              <w:t xml:space="preserve"> v </w:t>
            </w:r>
            <w:r w:rsidRPr="009D4E15">
              <w:rPr>
                <w:rFonts w:ascii="Times New Roman" w:hAnsi="Times New Roman"/>
                <w:sz w:val="24"/>
                <w:lang w:val="sk-SK"/>
              </w:rPr>
              <w:t>riadkoch 15, EU-15a, 16, 17, 25, 26</w:t>
            </w:r>
            <w:r w:rsidR="009D4E15">
              <w:rPr>
                <w:rFonts w:ascii="Times New Roman" w:hAnsi="Times New Roman"/>
                <w:sz w:val="24"/>
                <w:lang w:val="sk-SK"/>
              </w:rPr>
              <w:t xml:space="preserve"> a </w:t>
            </w:r>
            <w:r w:rsidRPr="009D4E15">
              <w:rPr>
                <w:rFonts w:ascii="Times New Roman" w:hAnsi="Times New Roman"/>
                <w:sz w:val="24"/>
                <w:lang w:val="sk-SK"/>
              </w:rPr>
              <w:t>32 tohto vzoru).</w:t>
            </w:r>
          </w:p>
        </w:tc>
      </w:tr>
      <w:tr w:rsidR="007E1815" w:rsidRPr="009D4E15" w14:paraId="3116BCED" w14:textId="77777777" w:rsidTr="00D819DE">
        <w:trPr>
          <w:trHeight w:val="274"/>
        </w:trPr>
        <w:tc>
          <w:tcPr>
            <w:tcW w:w="1355" w:type="dxa"/>
          </w:tcPr>
          <w:p w14:paraId="4CE43E71"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sz w:val="24"/>
                <w:lang w:val="sk-SK"/>
              </w:rPr>
              <w:t>34</w:t>
            </w:r>
          </w:p>
        </w:tc>
        <w:tc>
          <w:tcPr>
            <w:tcW w:w="7705" w:type="dxa"/>
          </w:tcPr>
          <w:p w14:paraId="6B3C5508" w14:textId="77777777" w:rsidR="007E1815" w:rsidRPr="009D4E15" w:rsidRDefault="007E1815" w:rsidP="00D819DE">
            <w:pPr>
              <w:spacing w:after="240"/>
              <w:jc w:val="both"/>
              <w:rPr>
                <w:rFonts w:ascii="Times New Roman" w:hAnsi="Times New Roman"/>
                <w:sz w:val="24"/>
                <w:lang w:val="sk-SK"/>
              </w:rPr>
            </w:pPr>
            <w:r w:rsidRPr="009D4E15">
              <w:rPr>
                <w:rFonts w:ascii="Times New Roman" w:hAnsi="Times New Roman"/>
                <w:b/>
                <w:sz w:val="24"/>
                <w:lang w:val="sk-SK"/>
              </w:rPr>
              <w:t>Ukazovateľ čistého stabilného financovania (%)</w:t>
            </w:r>
          </w:p>
          <w:p w14:paraId="049707E6" w14:textId="23B35C21" w:rsidR="007E1815" w:rsidRPr="009D4E15" w:rsidRDefault="007E1815" w:rsidP="00D819DE">
            <w:pPr>
              <w:pStyle w:val="TableParagraph"/>
              <w:spacing w:after="240"/>
              <w:jc w:val="both"/>
              <w:rPr>
                <w:rFonts w:ascii="Times New Roman" w:hAnsi="Times New Roman"/>
                <w:sz w:val="24"/>
                <w:szCs w:val="24"/>
                <w:lang w:val="sk-SK"/>
              </w:rPr>
            </w:pPr>
            <w:r w:rsidRPr="009D4E15">
              <w:rPr>
                <w:rFonts w:ascii="Times New Roman" w:hAnsi="Times New Roman"/>
                <w:sz w:val="24"/>
                <w:lang w:val="sk-SK"/>
              </w:rPr>
              <w:t>NSFR vypočítaný</w:t>
            </w:r>
            <w:r w:rsidR="009D4E15">
              <w:rPr>
                <w:rFonts w:ascii="Times New Roman" w:hAnsi="Times New Roman"/>
                <w:sz w:val="24"/>
                <w:lang w:val="sk-SK"/>
              </w:rPr>
              <w:t xml:space="preserve"> v </w:t>
            </w:r>
            <w:r w:rsidRPr="009D4E15">
              <w:rPr>
                <w:rFonts w:ascii="Times New Roman" w:hAnsi="Times New Roman"/>
                <w:sz w:val="24"/>
                <w:lang w:val="sk-SK"/>
              </w:rPr>
              <w:t>súlade</w:t>
            </w:r>
            <w:r w:rsidR="009D4E15">
              <w:rPr>
                <w:rFonts w:ascii="Times New Roman" w:hAnsi="Times New Roman"/>
                <w:sz w:val="24"/>
                <w:lang w:val="sk-SK"/>
              </w:rPr>
              <w:t xml:space="preserve"> s </w:t>
            </w:r>
            <w:r w:rsidRPr="009D4E15">
              <w:rPr>
                <w:rFonts w:ascii="Times New Roman" w:hAnsi="Times New Roman"/>
                <w:sz w:val="24"/>
                <w:lang w:val="sk-SK"/>
              </w:rPr>
              <w:t>článkom 428b ods. 1 CRR.</w:t>
            </w:r>
          </w:p>
        </w:tc>
      </w:tr>
    </w:tbl>
    <w:p w14:paraId="505A96AE" w14:textId="77777777" w:rsidR="004E3F4D" w:rsidRPr="009D4E15" w:rsidRDefault="004E3F4D"/>
    <w:sectPr w:rsidR="004E3F4D" w:rsidRPr="009D4E15">
      <w:headerReference w:type="even" r:id="rId9"/>
      <w:headerReference w:type="default"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1E207" w14:textId="77777777" w:rsidR="00987C6D" w:rsidRDefault="00987C6D" w:rsidP="007E1815">
      <w:r>
        <w:separator/>
      </w:r>
    </w:p>
  </w:endnote>
  <w:endnote w:type="continuationSeparator" w:id="0">
    <w:p w14:paraId="2AFE9635" w14:textId="77777777" w:rsidR="00987C6D" w:rsidRDefault="00987C6D"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t>20</w:t>
        </w:r>
        <w:r>
          <w:fldChar w:fldCharType="end"/>
        </w:r>
      </w:p>
    </w:sdtContent>
  </w:sdt>
  <w:p w14:paraId="56B16CFF"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89474" w14:textId="77777777" w:rsidR="00987C6D" w:rsidRDefault="00987C6D" w:rsidP="007E1815">
      <w:r>
        <w:separator/>
      </w:r>
    </w:p>
  </w:footnote>
  <w:footnote w:type="continuationSeparator" w:id="0">
    <w:p w14:paraId="5C92B169" w14:textId="77777777" w:rsidR="00987C6D" w:rsidRDefault="00987C6D" w:rsidP="007E1815">
      <w:r>
        <w:continuationSeparator/>
      </w:r>
    </w:p>
  </w:footnote>
  <w:footnote w:id="1">
    <w:p w14:paraId="1457CDC2" w14:textId="5DD1D337" w:rsidR="007E1815" w:rsidRPr="009D4E15" w:rsidRDefault="007E1815" w:rsidP="007E1815">
      <w:pPr>
        <w:pStyle w:val="FootnoteText"/>
        <w:rPr>
          <w:rFonts w:cstheme="minorHAnsi"/>
        </w:rPr>
      </w:pPr>
      <w:r w:rsidRPr="009D4E15">
        <w:rPr>
          <w:rStyle w:val="FootnoteReference"/>
          <w:rFonts w:cstheme="minorHAnsi"/>
        </w:rPr>
        <w:footnoteRef/>
      </w:r>
      <w:r w:rsidRPr="009D4E15">
        <w:tab/>
        <w:t>Nariadenie Európskeho parlamentu</w:t>
      </w:r>
      <w:r w:rsidR="009D4E15">
        <w:t xml:space="preserve"> a </w:t>
      </w:r>
      <w:r w:rsidRPr="009D4E15">
        <w:t xml:space="preserve">Rady (EÚ) </w:t>
      </w:r>
      <w:r w:rsidR="009D4E15">
        <w:t>č. </w:t>
      </w:r>
      <w:r w:rsidRPr="009D4E15">
        <w:t>575/2013</w:t>
      </w:r>
      <w:r w:rsidR="009D4E15">
        <w:t xml:space="preserve"> z </w:t>
      </w:r>
      <w:r w:rsidRPr="009D4E15">
        <w:t>26</w:t>
      </w:r>
      <w:r w:rsidR="009D4E15">
        <w:t>. júna</w:t>
      </w:r>
      <w:r w:rsidRPr="009D4E15">
        <w:t xml:space="preserve"> 2013</w:t>
      </w:r>
      <w:r w:rsidR="009D4E15">
        <w:t xml:space="preserve"> o </w:t>
      </w:r>
      <w:proofErr w:type="spellStart"/>
      <w:r w:rsidRPr="009D4E15">
        <w:t>prudenciálnych</w:t>
      </w:r>
      <w:proofErr w:type="spellEnd"/>
      <w:r w:rsidRPr="009D4E15">
        <w:t xml:space="preserve"> požiadavkách na úverové inštitúcie</w:t>
      </w:r>
      <w:r w:rsidR="009D4E15">
        <w:t xml:space="preserve"> a o </w:t>
      </w:r>
      <w:r w:rsidRPr="009D4E15">
        <w:t xml:space="preserve">zmene nariadenia (EÚ) </w:t>
      </w:r>
      <w:r w:rsidR="009D4E15">
        <w:t>č. </w:t>
      </w:r>
      <w:r w:rsidRPr="009D4E15">
        <w:t xml:space="preserve">648/2012, zmenené nariadením (EÚ) 2024/1623 </w:t>
      </w:r>
      <w:r w:rsidRPr="009D4E15">
        <w:rPr>
          <w:color w:val="444444"/>
        </w:rPr>
        <w:t>[</w:t>
      </w:r>
      <w:hyperlink r:id="rId1" w:history="1">
        <w:r w:rsidRPr="009D4E15">
          <w:rPr>
            <w:rStyle w:val="Hyperlink"/>
            <w:color w:val="800080"/>
          </w:rPr>
          <w:t>Ú. v. EÚ L 176, 27.6.2013, s. 1</w:t>
        </w:r>
      </w:hyperlink>
      <w:r w:rsidRPr="009D4E15">
        <w:rPr>
          <w:color w:val="800080"/>
          <w:u w:val="single"/>
        </w:rPr>
        <w:t xml:space="preserve">; </w:t>
      </w:r>
      <w:hyperlink r:id="rId2" w:history="1">
        <w:r w:rsidRPr="009D4E15">
          <w:rPr>
            <w:rStyle w:val="Hyperlink"/>
          </w:rPr>
          <w:t>Nariadenie (EÚ) 2024/1623 – SK – EUR-Lex (europa.eu)</w:t>
        </w:r>
      </w:hyperlink>
      <w:r w:rsidRPr="009D4E15">
        <w:rPr>
          <w:color w:val="444444"/>
        </w:rPr>
        <w:t>]</w:t>
      </w:r>
      <w:r w:rsidRPr="009D4E15">
        <w:t>.</w:t>
      </w:r>
    </w:p>
  </w:footnote>
  <w:footnote w:id="2">
    <w:p w14:paraId="077D46E6" w14:textId="7C9879D3" w:rsidR="007E1815" w:rsidRPr="009D4E15" w:rsidRDefault="007E1815" w:rsidP="007E1815">
      <w:pPr>
        <w:pStyle w:val="FootnoteText"/>
        <w:rPr>
          <w:rFonts w:cstheme="minorHAnsi"/>
        </w:rPr>
      </w:pPr>
      <w:r w:rsidRPr="009D4E15">
        <w:rPr>
          <w:rStyle w:val="FootnoteReference"/>
          <w:rFonts w:cstheme="minorHAnsi"/>
        </w:rPr>
        <w:footnoteRef/>
      </w:r>
      <w:r w:rsidRPr="009D4E15">
        <w:tab/>
      </w:r>
      <w:r w:rsidRPr="009D4E15">
        <w:t>DELEGOVANÉ NARIADENIE KOMISIE (EÚ) 2015/61</w:t>
      </w:r>
      <w:r w:rsidR="009D4E15">
        <w:t xml:space="preserve"> z </w:t>
      </w:r>
      <w:r w:rsidRPr="009D4E15">
        <w:t>10</w:t>
      </w:r>
      <w:r w:rsidR="009D4E15">
        <w:t>. októbra</w:t>
      </w:r>
      <w:r w:rsidRPr="009D4E15">
        <w:t xml:space="preserve"> 2014, ktorým sa dopĺňa nariadenie Európskeho parlamentu</w:t>
      </w:r>
      <w:r w:rsidR="009D4E15">
        <w:t xml:space="preserve"> a </w:t>
      </w:r>
      <w:r w:rsidRPr="009D4E15">
        <w:t xml:space="preserve">Rady (EÚ) </w:t>
      </w:r>
      <w:r w:rsidR="009D4E15">
        <w:t>č. </w:t>
      </w:r>
      <w:r w:rsidRPr="009D4E15">
        <w:t>575/2013, pokiaľ ide</w:t>
      </w:r>
      <w:r w:rsidR="009D4E15">
        <w:t xml:space="preserve"> o </w:t>
      </w:r>
      <w:r w:rsidRPr="009D4E15">
        <w:t>požiadavku na krytie likvidity pre úverové inštitúcie (Ú. v. EÚ L 11, 17.1.2015, s. 1)</w:t>
      </w:r>
      <w:r w:rsidR="009D4E15">
        <w:t>.</w:t>
      </w:r>
      <w:r w:rsidRPr="009D4E15">
        <w:t xml:space="preserve"> </w:t>
      </w:r>
    </w:p>
  </w:footnote>
  <w:footnote w:id="3">
    <w:p w14:paraId="6C159A9A" w14:textId="4E07317B" w:rsidR="007E1815" w:rsidRPr="009D4E15" w:rsidRDefault="007E1815" w:rsidP="007E1815">
      <w:pPr>
        <w:pStyle w:val="FootnoteText"/>
        <w:rPr>
          <w:rFonts w:cstheme="minorHAnsi"/>
        </w:rPr>
      </w:pPr>
      <w:r w:rsidRPr="009D4E15">
        <w:rPr>
          <w:rStyle w:val="FootnoteReference"/>
          <w:rFonts w:cstheme="minorHAnsi"/>
        </w:rPr>
        <w:footnoteRef/>
      </w:r>
      <w:r w:rsidRPr="009D4E15">
        <w:tab/>
      </w:r>
      <w:r w:rsidRPr="009D4E15">
        <w:t>SMERNICA EURÓPSKEHO PARLAMENTU A RADY 94/19/ES</w:t>
      </w:r>
      <w:r w:rsidR="009D4E15">
        <w:t xml:space="preserve"> z </w:t>
      </w:r>
      <w:r w:rsidRPr="009D4E15">
        <w:t>30</w:t>
      </w:r>
      <w:r w:rsidR="009D4E15">
        <w:t>. mája</w:t>
      </w:r>
      <w:r w:rsidRPr="009D4E15">
        <w:t xml:space="preserve"> 1994</w:t>
      </w:r>
      <w:r w:rsidR="009D4E15">
        <w:t xml:space="preserve"> o </w:t>
      </w:r>
      <w:r w:rsidRPr="009D4E15">
        <w:t>systémoch ochrany vkladov (Ú. v. ES L 135, 31.5.1994, s. 5).</w:t>
      </w:r>
    </w:p>
  </w:footnote>
  <w:footnote w:id="4">
    <w:p w14:paraId="13D8F6DE" w14:textId="33D244F9" w:rsidR="007E1815" w:rsidRPr="009D4E15" w:rsidRDefault="007E1815" w:rsidP="007E1815">
      <w:pPr>
        <w:pStyle w:val="FootnoteText"/>
        <w:rPr>
          <w:rFonts w:cstheme="minorHAnsi"/>
        </w:rPr>
      </w:pPr>
      <w:r w:rsidRPr="009D4E15">
        <w:rPr>
          <w:rStyle w:val="FootnoteReference"/>
          <w:rFonts w:cstheme="minorHAnsi"/>
        </w:rPr>
        <w:footnoteRef/>
      </w:r>
      <w:r w:rsidRPr="009D4E15">
        <w:tab/>
      </w:r>
      <w:r w:rsidRPr="009D4E15">
        <w:t>SMERNICA EURÓPSKEHO PARLAMENTU A RADY 2014/49/EÚ zo 16</w:t>
      </w:r>
      <w:r w:rsidR="009D4E15">
        <w:t>. apríla</w:t>
      </w:r>
      <w:r w:rsidRPr="009D4E15">
        <w:t xml:space="preserve"> 2014</w:t>
      </w:r>
      <w:r w:rsidR="009D4E15">
        <w:t xml:space="preserve"> o </w:t>
      </w:r>
      <w:r w:rsidRPr="009D4E15">
        <w:t>systémoch ochrany vkladov (Ú. v. EÚ L 173, 12.6.2014, s. 149).</w:t>
      </w:r>
    </w:p>
  </w:footnote>
  <w:footnote w:id="5">
    <w:p w14:paraId="05834BF0" w14:textId="1915FA76" w:rsidR="007E1815" w:rsidRPr="009D4E15" w:rsidRDefault="007E1815" w:rsidP="007E1815">
      <w:pPr>
        <w:pStyle w:val="FootnoteText"/>
        <w:rPr>
          <w:rFonts w:cstheme="minorHAnsi"/>
        </w:rPr>
      </w:pPr>
      <w:r w:rsidRPr="009D4E15">
        <w:rPr>
          <w:rStyle w:val="FootnoteReference"/>
          <w:rFonts w:cstheme="minorHAnsi"/>
        </w:rPr>
        <w:footnoteRef/>
      </w:r>
      <w:r w:rsidRPr="009D4E15">
        <w:tab/>
      </w:r>
      <w:r w:rsidRPr="009D4E15">
        <w:t>DELEGOVANÉ NARIADENIE KOMISIE (EÚ) 2017/208</w:t>
      </w:r>
      <w:r w:rsidR="009D4E15">
        <w:t xml:space="preserve"> z </w:t>
      </w:r>
      <w:r w:rsidRPr="009D4E15">
        <w:t>31</w:t>
      </w:r>
      <w:r w:rsidR="009D4E15">
        <w:t>. októbra</w:t>
      </w:r>
      <w:r w:rsidRPr="009D4E15">
        <w:t xml:space="preserve"> 2016, ktorým sa dopĺňa nariadenie Európskeho parlamentu</w:t>
      </w:r>
      <w:r w:rsidR="009D4E15">
        <w:t xml:space="preserve"> a </w:t>
      </w:r>
      <w:r w:rsidRPr="009D4E15">
        <w:t xml:space="preserve">Rady (EÚ) </w:t>
      </w:r>
      <w:r w:rsidR="009D4E15">
        <w:t>č. </w:t>
      </w:r>
      <w:r w:rsidRPr="009D4E15">
        <w:t>575/2013, pokiaľ ide</w:t>
      </w:r>
      <w:r w:rsidR="009D4E15">
        <w:t xml:space="preserve"> o </w:t>
      </w:r>
      <w:r w:rsidRPr="009D4E15">
        <w:t>regulačné technické predpisy týkajúce sa dodatočných záporných peňažných tokov likvidity zodpovedajúcich potrebám kolaterálu, ktoré vyplývajú</w:t>
      </w:r>
      <w:r w:rsidR="009D4E15">
        <w:t xml:space="preserve"> z </w:t>
      </w:r>
      <w:r w:rsidRPr="009D4E15">
        <w:t>vplyvu negatívneho trhového scenára na transakcie inštitúcie</w:t>
      </w:r>
      <w:r w:rsidR="009D4E15">
        <w:t xml:space="preserve"> s </w:t>
      </w:r>
      <w:r w:rsidRPr="009D4E15">
        <w:t>derivátmi (Ú. v. EÚ L 33, 8.2.2017, s. 14).</w:t>
      </w:r>
    </w:p>
  </w:footnote>
  <w:footnote w:id="6">
    <w:p w14:paraId="1904ECE3" w14:textId="159AFC91" w:rsidR="007E1815" w:rsidRPr="009D4E15" w:rsidRDefault="007E1815" w:rsidP="007E1815">
      <w:pPr>
        <w:pStyle w:val="FootnoteText"/>
        <w:rPr>
          <w:rFonts w:cstheme="minorHAnsi"/>
        </w:rPr>
      </w:pPr>
      <w:r w:rsidRPr="009D4E15">
        <w:rPr>
          <w:rStyle w:val="FootnoteReference"/>
          <w:rFonts w:cstheme="minorHAnsi"/>
        </w:rPr>
        <w:footnoteRef/>
      </w:r>
      <w:r w:rsidRPr="009D4E15">
        <w:tab/>
      </w:r>
      <w:r w:rsidRPr="009D4E15">
        <w:t xml:space="preserve">VYKONÁVACIE NARIADENIE KOMISIE (EÚ) </w:t>
      </w:r>
      <w:r w:rsidR="009D4E15">
        <w:t>č. </w:t>
      </w:r>
      <w:r w:rsidRPr="009D4E15">
        <w:t>680/2014 zo 16</w:t>
      </w:r>
      <w:r w:rsidR="009D4E15">
        <w:t>. apríla</w:t>
      </w:r>
      <w:r w:rsidRPr="009D4E15">
        <w:t xml:space="preserve"> 2014, ktorým sa stanovujú vykonávacie technické predpisy, pokiaľ ide</w:t>
      </w:r>
      <w:r w:rsidR="009D4E15">
        <w:t xml:space="preserve"> o </w:t>
      </w:r>
      <w:r w:rsidRPr="009D4E15">
        <w:t>vykazovanie inštitúciami na účely dohľadu podľa nariadenia Európskeho parlamentu</w:t>
      </w:r>
      <w:r w:rsidR="009D4E15">
        <w:t xml:space="preserve"> a </w:t>
      </w:r>
      <w:r w:rsidRPr="009D4E15">
        <w:t xml:space="preserve">Rady (EÚ) </w:t>
      </w:r>
      <w:r w:rsidR="009D4E15">
        <w:t>č. </w:t>
      </w:r>
      <w:r w:rsidRPr="009D4E15">
        <w:t>575/2013 (Ú. v. EÚ L 191, 28.6.2014, s. 1).</w:t>
      </w:r>
    </w:p>
  </w:footnote>
  <w:footnote w:id="7">
    <w:p w14:paraId="6D008ADE" w14:textId="5810D32E" w:rsidR="007E1815" w:rsidRPr="009D4E15" w:rsidRDefault="007E1815" w:rsidP="007E1815">
      <w:pPr>
        <w:pStyle w:val="FootnoteText"/>
        <w:rPr>
          <w:rFonts w:cstheme="minorHAnsi"/>
        </w:rPr>
      </w:pPr>
      <w:r w:rsidRPr="009D4E15">
        <w:rPr>
          <w:rStyle w:val="FootnoteReference"/>
          <w:rFonts w:cstheme="minorHAnsi"/>
        </w:rPr>
        <w:footnoteRef/>
      </w:r>
      <w:r w:rsidRPr="009D4E15">
        <w:tab/>
      </w:r>
      <w:r w:rsidRPr="009D4E15">
        <w:t>SMERNICA EURÓPSKEHO PARLAMENTU A RADY 2009/65/ES</w:t>
      </w:r>
      <w:r w:rsidR="009D4E15">
        <w:t xml:space="preserve"> z </w:t>
      </w:r>
      <w:r w:rsidRPr="009D4E15">
        <w:t>13</w:t>
      </w:r>
      <w:r w:rsidR="009D4E15">
        <w:t>. júla</w:t>
      </w:r>
      <w:r w:rsidRPr="009D4E15">
        <w:t xml:space="preserve"> 2009</w:t>
      </w:r>
      <w:r w:rsidR="009D4E15">
        <w:t xml:space="preserve"> o </w:t>
      </w:r>
      <w:r w:rsidRPr="009D4E15">
        <w:t>koordinácii zákonov, iných právnych predpisov</w:t>
      </w:r>
      <w:r w:rsidR="009D4E15">
        <w:t xml:space="preserve"> a </w:t>
      </w:r>
      <w:r w:rsidRPr="009D4E15">
        <w:t>správnych opatrení týkajúcich sa podnikov kolektívneho investovania do prevoditeľných cenných papierov (PKIPCP) (Ú. v. EÚ L 302, 17.11.2009, s.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EBA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E088A6" id="_x0000_t202" coordsize="21600,21600" o:spt="202" path="m,l,21600r21600,l21600,xe">
              <v:stroke joinstyle="miter"/>
              <v:path gradientshapeok="t" o:connecttype="rect"/>
            </v:shapetype>
            <v:shape id="Text Box 2" o:spid="_x0000_s1026" type="#_x0000_t202" alt="EBA Bežné použiti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EBA Bežné použitie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EBA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50BF424" id="_x0000_t202" coordsize="21600,21600" o:spt="202" path="m,l,21600r21600,l21600,xe">
              <v:stroke joinstyle="miter"/>
              <v:path gradientshapeok="t" o:connecttype="rect"/>
            </v:shapetype>
            <v:shape id="Text Box 3" o:spid="_x0000_s1027" type="#_x0000_t202" alt="EBA Bežné použiti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EBA Bežné použitie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EBA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14A0BC8" id="_x0000_t202" coordsize="21600,21600" o:spt="202" path="m,l,21600r21600,l21600,xe">
              <v:stroke joinstyle="miter"/>
              <v:path gradientshapeok="t" o:connecttype="rect"/>
            </v:shapetype>
            <v:shape id="Text Box 1" o:spid="_x0000_s1028" type="#_x0000_t202" alt="EBA Bežné použiti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EBA Bežné použitie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F31890B0"/>
    <w:lvl w:ilvl="0">
      <w:start w:val="1"/>
      <w:numFmt w:val="lowerLetter"/>
      <w:lvlText w:val="%1)"/>
      <w:lvlJc w:val="left"/>
      <w:rPr>
        <w:rFonts w:hint="default"/>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EEC23576"/>
    <w:lvl w:ilvl="0">
      <w:start w:val="1"/>
      <w:numFmt w:val="lowerLetter"/>
      <w:lvlText w:val="%1)"/>
      <w:lvlJc w:val="left"/>
      <w:pPr>
        <w:ind w:left="0" w:firstLine="0"/>
      </w:pPr>
      <w:rPr>
        <w:rFonts w:hint="default"/>
        <w:b w:val="0"/>
        <w:bCs w:val="0"/>
        <w:i w:val="0"/>
        <w:iCs w:val="0"/>
        <w:smallCaps w:val="0"/>
        <w:strike w:val="0"/>
        <w:color w:val="000000"/>
        <w:spacing w:val="0"/>
        <w:w w:val="100"/>
        <w:position w:val="0"/>
        <w:sz w:val="19"/>
        <w:szCs w:val="19"/>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014E43"/>
    <w:rsid w:val="001B236F"/>
    <w:rsid w:val="004B5B4C"/>
    <w:rsid w:val="004C7B23"/>
    <w:rsid w:val="004E3F4D"/>
    <w:rsid w:val="007A2766"/>
    <w:rsid w:val="007E1815"/>
    <w:rsid w:val="009674B5"/>
    <w:rsid w:val="00987C6D"/>
    <w:rsid w:val="009D4E15"/>
    <w:rsid w:val="00BA0A8F"/>
    <w:rsid w:val="00C02D72"/>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sk-S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K/TXT/?uri=OJ:L_202401623" TargetMode="External"/><Relationship Id="rId1" Type="http://schemas.openxmlformats.org/officeDocument/2006/relationships/hyperlink" Target="https://eur-lex.europa.eu/legal-content/SK/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88BA96-5906-4A1E-A588-36DEEA3511D1}">
  <ds:schemaRefs>
    <ds:schemaRef ds:uri="http://schemas.openxmlformats.org/officeDocument/2006/bibliography"/>
  </ds:schemaRefs>
</ds:datastoreItem>
</file>

<file path=customXml/itemProps2.xml><?xml version="1.0" encoding="utf-8"?>
<ds:datastoreItem xmlns:ds="http://schemas.openxmlformats.org/officeDocument/2006/customXml" ds:itemID="{73EB042B-20F2-4C61-86B4-F92726E412BC}"/>
</file>

<file path=customXml/itemProps3.xml><?xml version="1.0" encoding="utf-8"?>
<ds:datastoreItem xmlns:ds="http://schemas.openxmlformats.org/officeDocument/2006/customXml" ds:itemID="{2D407354-F59A-43AF-A04F-6D1B7F260A47}"/>
</file>

<file path=customXml/itemProps4.xml><?xml version="1.0" encoding="utf-8"?>
<ds:datastoreItem xmlns:ds="http://schemas.openxmlformats.org/officeDocument/2006/customXml" ds:itemID="{E13CA355-4162-4BC0-A41C-1515D569AA62}"/>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16</TotalTime>
  <Pages>20</Pages>
  <Words>6681</Words>
  <Characters>39288</Characters>
  <Application>Microsoft Office Word</Application>
  <DocSecurity>0</DocSecurity>
  <Lines>854</Lines>
  <Paragraphs>406</Paragraphs>
  <ScaleCrop>false</ScaleCrop>
  <Company>European Banking Authority</Company>
  <LinksUpToDate>false</LinksUpToDate>
  <CharactersWithSpaces>45563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SKYPALA Vlastimil (DGT)</cp:lastModifiedBy>
  <cp:revision>8</cp:revision>
  <dcterms:created xsi:type="dcterms:W3CDTF">2021-03-11T12:04:00Z</dcterms:created>
  <dcterms:modified xsi:type="dcterms:W3CDTF">2024-10-14T06:11:00Z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