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C9EF4D" w14:textId="2FB4D780" w:rsidR="00E114F3" w:rsidRPr="0006335B" w:rsidRDefault="00E114F3" w:rsidP="00370155">
      <w:pPr>
        <w:pStyle w:val="Annexetitre"/>
        <w:spacing w:before="0"/>
        <w:ind w:firstLine="720"/>
        <w:jc w:val="left"/>
      </w:pPr>
      <w:r w:rsidRPr="0006335B">
        <w:t>ZAŁĄCZNIK XXXII – Instrukcje dotyczące wzorów do celów ujawniania informacji na temat ryzyka operacyjnego</w:t>
      </w:r>
    </w:p>
    <w:p w14:paraId="672A6659" w14:textId="77777777" w:rsidR="00E114F3" w:rsidRPr="0006335B" w:rsidRDefault="00E114F3" w:rsidP="00E114F3">
      <w:pPr>
        <w:spacing w:after="120"/>
        <w:jc w:val="both"/>
        <w:rPr>
          <w:rFonts w:ascii="Times New Roman" w:hAnsi="Times New Roman"/>
          <w:b/>
          <w:bCs/>
          <w:sz w:val="24"/>
        </w:rPr>
      </w:pPr>
    </w:p>
    <w:p w14:paraId="384DD143" w14:textId="77777777" w:rsidR="00E114F3" w:rsidRPr="0006335B" w:rsidRDefault="00E114F3" w:rsidP="00E114F3">
      <w:pPr>
        <w:spacing w:after="120"/>
        <w:rPr>
          <w:rFonts w:ascii="Times New Roman" w:hAnsi="Times New Roman"/>
          <w:bCs/>
          <w:sz w:val="24"/>
        </w:rPr>
      </w:pPr>
      <w:r w:rsidRPr="0006335B">
        <w:rPr>
          <w:rFonts w:ascii="Times New Roman" w:hAnsi="Times New Roman"/>
          <w:b/>
          <w:sz w:val="24"/>
        </w:rPr>
        <w:t xml:space="preserve">Tabela EU ORA – Informacje jakościowe na temat ryzyka operacyjnego. </w:t>
      </w:r>
      <w:r w:rsidRPr="0006335B">
        <w:rPr>
          <w:rFonts w:ascii="Times New Roman" w:hAnsi="Times New Roman"/>
          <w:sz w:val="24"/>
        </w:rPr>
        <w:t>Tabela o formacie elastycznym</w:t>
      </w:r>
    </w:p>
    <w:p w14:paraId="2E1E5572" w14:textId="6D56D6EF" w:rsidR="00E114F3" w:rsidRPr="0006335B" w:rsidRDefault="2A1FD4BE" w:rsidP="44B77564">
      <w:pPr>
        <w:numPr>
          <w:ilvl w:val="0"/>
          <w:numId w:val="1"/>
        </w:numPr>
        <w:spacing w:after="120"/>
        <w:jc w:val="both"/>
        <w:rPr>
          <w:rFonts w:ascii="Calibri" w:eastAsia="Times New Roman" w:hAnsi="Calibri" w:cs="Times New Roman"/>
          <w:color w:val="000000"/>
        </w:rPr>
      </w:pPr>
      <w:r w:rsidRPr="0006335B">
        <w:rPr>
          <w:rFonts w:ascii="Times New Roman" w:hAnsi="Times New Roman"/>
          <w:sz w:val="24"/>
        </w:rPr>
        <w:t>Instytucje ujawniają informacje zawarte w niniejszej tabeli w zastosowaniu art. 435 ust. 1 i art. 446 ust. 1 lit a) rozporządzenia (UE) nr 575/2013</w:t>
      </w:r>
      <w:r w:rsidRPr="0006335B">
        <w:rPr>
          <w:rStyle w:val="FootnoteReference"/>
          <w:rFonts w:ascii="Times New Roman" w:hAnsi="Times New Roman"/>
          <w:sz w:val="24"/>
          <w:szCs w:val="24"/>
        </w:rPr>
        <w:footnoteReference w:id="2"/>
      </w:r>
      <w:r w:rsidRPr="0006335B">
        <w:rPr>
          <w:rFonts w:ascii="Times New Roman" w:hAnsi="Times New Roman"/>
          <w:sz w:val="24"/>
        </w:rPr>
        <w:t>.</w:t>
      </w:r>
    </w:p>
    <w:p w14:paraId="728254AD" w14:textId="52B3E768" w:rsidR="00E114F3" w:rsidRPr="0006335B" w:rsidRDefault="00E114F3" w:rsidP="00E114F3">
      <w:pPr>
        <w:numPr>
          <w:ilvl w:val="0"/>
          <w:numId w:val="1"/>
        </w:numPr>
        <w:spacing w:after="120"/>
        <w:jc w:val="both"/>
        <w:rPr>
          <w:rFonts w:ascii="Times New Roman" w:hAnsi="Times New Roman"/>
          <w:bCs/>
          <w:sz w:val="24"/>
        </w:rPr>
      </w:pPr>
      <w:r w:rsidRPr="0006335B">
        <w:rPr>
          <w:rFonts w:ascii="Times New Roman" w:hAnsi="Times New Roman"/>
          <w:sz w:val="24"/>
        </w:rPr>
        <w:t>W celu wypełnienia tabeli EU ORA do celów ujawniania informacji na temat ryzyka operacyjnego zamieszczonej w załączniku XXXI do rozwiązań informatycznych EUNB instytucje stosują instrukcje zawarte poniżej w niniejszym załączniku.</w:t>
      </w:r>
    </w:p>
    <w:tbl>
      <w:tblPr>
        <w:tblW w:w="8926" w:type="dxa"/>
        <w:tblLook w:val="04A0" w:firstRow="1" w:lastRow="0" w:firstColumn="1" w:lastColumn="0" w:noHBand="0" w:noVBand="1"/>
      </w:tblPr>
      <w:tblGrid>
        <w:gridCol w:w="1555"/>
        <w:gridCol w:w="7371"/>
      </w:tblGrid>
      <w:tr w:rsidR="00E114F3" w:rsidRPr="0006335B" w14:paraId="4FA5DD43" w14:textId="77777777" w:rsidTr="44B77564">
        <w:trPr>
          <w:trHeight w:val="330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A879875" w14:textId="77777777" w:rsidR="00E114F3" w:rsidRPr="0006335B" w:rsidRDefault="00E114F3">
            <w:pPr>
              <w:spacing w:after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 w:rsidRPr="0006335B">
              <w:rPr>
                <w:rFonts w:ascii="Times New Roman" w:hAnsi="Times New Roman"/>
                <w:b/>
                <w:color w:val="000000"/>
                <w:sz w:val="24"/>
              </w:rPr>
              <w:t>Odniesienia prawne i instrukcje</w:t>
            </w:r>
          </w:p>
        </w:tc>
      </w:tr>
      <w:tr w:rsidR="00E114F3" w:rsidRPr="0006335B" w14:paraId="0BB6A5B1" w14:textId="77777777" w:rsidTr="44B77564">
        <w:trPr>
          <w:trHeight w:val="31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A522B50" w14:textId="77777777" w:rsidR="00E114F3" w:rsidRPr="0006335B" w:rsidRDefault="00E114F3">
            <w:pPr>
              <w:spacing w:after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 w:rsidRPr="0006335B">
              <w:rPr>
                <w:rFonts w:ascii="Times New Roman" w:hAnsi="Times New Roman"/>
                <w:b/>
                <w:color w:val="000000"/>
                <w:sz w:val="24"/>
              </w:rPr>
              <w:t>Oznaczenie wiersza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BF504D8" w14:textId="77777777" w:rsidR="00E114F3" w:rsidRPr="0006335B" w:rsidRDefault="00E114F3">
            <w:pPr>
              <w:spacing w:after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 w:rsidRPr="0006335B">
              <w:rPr>
                <w:rFonts w:ascii="Times New Roman" w:hAnsi="Times New Roman"/>
                <w:b/>
                <w:color w:val="000000"/>
                <w:sz w:val="24"/>
              </w:rPr>
              <w:t>Wyjaśnienie</w:t>
            </w:r>
          </w:p>
        </w:tc>
      </w:tr>
      <w:tr w:rsidR="00E114F3" w:rsidRPr="0006335B" w14:paraId="70735BA0" w14:textId="77777777" w:rsidTr="00A31C3A">
        <w:trPr>
          <w:trHeight w:val="176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25523" w14:textId="77777777" w:rsidR="00E114F3" w:rsidRPr="0006335B" w:rsidRDefault="00E114F3">
            <w:pPr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6335B">
              <w:rPr>
                <w:rFonts w:ascii="Times New Roman" w:hAnsi="Times New Roman"/>
                <w:color w:val="000000"/>
                <w:sz w:val="24"/>
              </w:rPr>
              <w:t>a) 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0E5B9" w14:textId="77777777" w:rsidR="00E114F3" w:rsidRPr="0006335B" w:rsidRDefault="00E114F3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06335B">
              <w:rPr>
                <w:rFonts w:ascii="Times New Roman" w:hAnsi="Times New Roman"/>
                <w:b/>
                <w:color w:val="000000"/>
                <w:sz w:val="24"/>
              </w:rPr>
              <w:t>Ujawnianie informacji dotyczących celów i polityk w zakresie zarządzania ryzykiem</w:t>
            </w:r>
          </w:p>
          <w:p w14:paraId="65684A44" w14:textId="7101D8E2" w:rsidR="00E114F3" w:rsidRPr="0006335B" w:rsidRDefault="2A1FD4BE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6335B">
              <w:rPr>
                <w:rFonts w:ascii="Times New Roman" w:hAnsi="Times New Roman"/>
                <w:sz w:val="24"/>
              </w:rPr>
              <w:t>Zgodnie z art. 435 ust. 1 lit. a) rozporządzenia (UE) nr 575/2013 instytucje ujawniają swoje cele, polityki, ramy i wytyczne dotyczące zarządzania ryzykiem operacyjnym, w tym strategie i procesy zarządzania tym ryzykiem.</w:t>
            </w:r>
            <w:r w:rsidRPr="0006335B">
              <w:t xml:space="preserve"> </w:t>
            </w:r>
            <w:r w:rsidRPr="0006335B">
              <w:br/>
            </w:r>
          </w:p>
        </w:tc>
      </w:tr>
      <w:tr w:rsidR="00E114F3" w:rsidRPr="0006335B" w14:paraId="37A6A0B3" w14:textId="77777777" w:rsidTr="00A31C3A">
        <w:trPr>
          <w:trHeight w:val="189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478CA" w14:textId="2DA3AF49" w:rsidR="00E114F3" w:rsidRPr="0006335B" w:rsidRDefault="00E114F3">
            <w:pPr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6335B">
              <w:rPr>
                <w:rFonts w:ascii="Times New Roman" w:hAnsi="Times New Roman"/>
                <w:color w:val="000000"/>
                <w:sz w:val="24"/>
              </w:rPr>
              <w:t>b) 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C32F9" w14:textId="77777777" w:rsidR="00885AC5" w:rsidRPr="0006335B" w:rsidRDefault="00885AC5" w:rsidP="00885AC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06335B">
              <w:rPr>
                <w:rFonts w:ascii="Times New Roman" w:hAnsi="Times New Roman"/>
                <w:b/>
                <w:color w:val="000000"/>
                <w:sz w:val="24"/>
              </w:rPr>
              <w:t>Ujawnianie struktury i organizacji funkcji zarządzania ryzykiem operacyjnym</w:t>
            </w:r>
          </w:p>
          <w:p w14:paraId="739779F0" w14:textId="092C61F0" w:rsidR="00E114F3" w:rsidRPr="0006335B" w:rsidRDefault="00885AC5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6335B">
              <w:rPr>
                <w:rFonts w:ascii="Times New Roman" w:hAnsi="Times New Roman"/>
                <w:sz w:val="24"/>
              </w:rPr>
              <w:t>Zgodnie z art. 435 ust. 1 lit. b) rozporządzenia (UE) nr 575/2013 instytucje ujawniają strukturę i organizację funkcji zarządzania ryzykiem operacyjnym, w tym informacje na temat podstawy jej uprawnień, na temat jej kompetencji i rozliczalności zgodnie z aktem założycielskim instytucji i dokumentami regulującymi jej działalność, oraz na temat funkcji kontrolnej.</w:t>
            </w:r>
          </w:p>
        </w:tc>
      </w:tr>
      <w:tr w:rsidR="00E114F3" w:rsidRPr="0006335B" w14:paraId="30DA08C8" w14:textId="77777777" w:rsidTr="00A31C3A">
        <w:trPr>
          <w:trHeight w:val="1403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5AF50" w14:textId="6B123167" w:rsidR="00E114F3" w:rsidRPr="0006335B" w:rsidRDefault="00E114F3">
            <w:pPr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6335B">
              <w:rPr>
                <w:rFonts w:ascii="Times New Roman" w:hAnsi="Times New Roman"/>
                <w:color w:val="000000"/>
                <w:sz w:val="24"/>
              </w:rPr>
              <w:t>c)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6D347" w14:textId="77777777" w:rsidR="005129A3" w:rsidRPr="0006335B" w:rsidRDefault="005129A3" w:rsidP="005129A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06335B">
              <w:rPr>
                <w:rFonts w:ascii="Times New Roman" w:hAnsi="Times New Roman"/>
                <w:b/>
                <w:color w:val="000000"/>
                <w:sz w:val="24"/>
              </w:rPr>
              <w:t>Opis zakresu i charakteru systemu pomiaru</w:t>
            </w:r>
          </w:p>
          <w:p w14:paraId="2426746E" w14:textId="37F86BBD" w:rsidR="00E114F3" w:rsidRPr="0006335B" w:rsidRDefault="005129A3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6335B">
              <w:rPr>
                <w:rFonts w:ascii="Times New Roman" w:hAnsi="Times New Roman"/>
                <w:sz w:val="24"/>
              </w:rPr>
              <w:t>Zgodnie z art. 435 ust. 1 lit. c) rozporządzenia (UE) nr 575/2013 instytucje ujawniają zakres i charakter systemu pomiaru ryzyka operacyjnego (tj. systemy i dane wykorzystywane do pomiaru ryzyka operacyjnego w celu oszacowania narzutu kapitałowego z tytułu ryzyka operacyjnego).</w:t>
            </w:r>
          </w:p>
        </w:tc>
      </w:tr>
      <w:tr w:rsidR="00E114F3" w:rsidRPr="0006335B" w14:paraId="530FAA18" w14:textId="77777777" w:rsidTr="00A31C3A">
        <w:trPr>
          <w:trHeight w:val="156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3C3DB" w14:textId="0C63D270" w:rsidR="00E114F3" w:rsidRPr="0006335B" w:rsidRDefault="00E114F3">
            <w:pPr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6335B">
              <w:rPr>
                <w:rFonts w:ascii="Times New Roman" w:hAnsi="Times New Roman"/>
                <w:color w:val="000000"/>
                <w:sz w:val="24"/>
              </w:rPr>
              <w:lastRenderedPageBreak/>
              <w:t>d)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2CC0D" w14:textId="77777777" w:rsidR="005D02AE" w:rsidRPr="0006335B" w:rsidRDefault="005D02AE" w:rsidP="005D02A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06335B">
              <w:rPr>
                <w:rFonts w:ascii="Times New Roman" w:hAnsi="Times New Roman"/>
                <w:b/>
                <w:color w:val="000000" w:themeColor="text1"/>
                <w:sz w:val="24"/>
              </w:rPr>
              <w:t>Opis zakresu i charakteru ram raportowania ryzyka operacyjnego</w:t>
            </w:r>
          </w:p>
          <w:p w14:paraId="1EE9A69D" w14:textId="3E92FDF7" w:rsidR="00E114F3" w:rsidRPr="0006335B" w:rsidRDefault="005D02AE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6335B">
              <w:rPr>
                <w:rFonts w:ascii="Times New Roman" w:hAnsi="Times New Roman"/>
                <w:sz w:val="24"/>
              </w:rPr>
              <w:t>Zgodnie z art. 435 ust. 1 lit. c) rozporządzenia (UE) nr 575/2013 instytucje ujawniają zakres i charakter ram raportowania ryzyka operacyjnego wobec kierownictwa wykonawczego i Rady Dyrektorów.</w:t>
            </w:r>
          </w:p>
        </w:tc>
      </w:tr>
      <w:tr w:rsidR="00E5460F" w:rsidRPr="0006335B" w14:paraId="1120D006" w14:textId="77777777" w:rsidTr="00A31C3A">
        <w:trPr>
          <w:trHeight w:val="156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199FF" w14:textId="263ED99A" w:rsidR="00E5460F" w:rsidRPr="0006335B" w:rsidRDefault="00E5460F">
            <w:pPr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6335B">
              <w:rPr>
                <w:rFonts w:ascii="Times New Roman" w:hAnsi="Times New Roman"/>
                <w:color w:val="000000"/>
                <w:sz w:val="24"/>
              </w:rPr>
              <w:t>e)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249C5" w14:textId="77777777" w:rsidR="00E25C0C" w:rsidRPr="0006335B" w:rsidRDefault="00E25C0C" w:rsidP="00E25C0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6335B">
              <w:rPr>
                <w:rFonts w:ascii="Times New Roman" w:hAnsi="Times New Roman"/>
                <w:b/>
                <w:color w:val="000000" w:themeColor="text1"/>
                <w:sz w:val="24"/>
              </w:rPr>
              <w:t>Opis polityk i strategii ograniczania ryzyka i zabezpieczenia ryzyka</w:t>
            </w:r>
          </w:p>
          <w:p w14:paraId="443DC7A5" w14:textId="704D717D" w:rsidR="00E5460F" w:rsidRPr="0006335B" w:rsidDel="009A4E43" w:rsidRDefault="00E25C0C" w:rsidP="00E25C0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06335B">
              <w:t xml:space="preserve"> </w:t>
            </w:r>
            <w:r w:rsidRPr="0006335B">
              <w:rPr>
                <w:rFonts w:ascii="Times New Roman" w:hAnsi="Times New Roman"/>
                <w:sz w:val="24"/>
              </w:rPr>
              <w:t>Zgodnie z art. 435 ust. 1 lit. d) rozporządzenia (UE) nr 575/2013 instytucje ujawniają swoje polityki i strategie dotyczące ograniczania ryzyka i zabezpieczenia ryzyka stosowane w zarządzaniu ryzykiem operacyjnym, w tym w przypadku gdy ograniczenie ryzyka operacyjnego jest osiągane za pomocą polityk (w którym to przypadku ujawniają one polityki dotyczące podejścia do podejmowania ryzyka, gotowości do podejmowania ryzyka oraz outsourcingu) lub w przypadku gdy jest to osiągane poprzez zbycie przedsiębiorstw wysokiego ryzyka lub ustanowienie mechanizmów kontroli.</w:t>
            </w:r>
            <w:r w:rsidRPr="0006335B">
              <w:rPr>
                <w:rFonts w:ascii="Times New Roman" w:hAnsi="Times New Roman"/>
                <w:color w:val="000000" w:themeColor="text1"/>
                <w:sz w:val="24"/>
              </w:rPr>
              <w:t xml:space="preserve"> Instytucje ujawniają również pozostałe ekspozycje, które są absorbowane przez same instytucje lub, w stosownych przypadkach, pozostałe ekspozycje, które są transferowane na różne sposoby, w tym za pośrednictwem ubezpieczeń.</w:t>
            </w:r>
          </w:p>
        </w:tc>
      </w:tr>
    </w:tbl>
    <w:p w14:paraId="0A37501D" w14:textId="77777777" w:rsidR="00E114F3" w:rsidRPr="0006335B" w:rsidRDefault="00E114F3" w:rsidP="00E114F3">
      <w:pPr>
        <w:spacing w:after="120"/>
        <w:jc w:val="both"/>
        <w:rPr>
          <w:rFonts w:ascii="Times New Roman" w:hAnsi="Times New Roman" w:cs="Times New Roman"/>
          <w:b/>
          <w:bCs/>
          <w:sz w:val="24"/>
        </w:rPr>
      </w:pPr>
    </w:p>
    <w:p w14:paraId="73228265" w14:textId="2825D40F" w:rsidR="00E114F3" w:rsidRPr="0006335B" w:rsidRDefault="00E114F3" w:rsidP="00E114F3">
      <w:pPr>
        <w:spacing w:after="120"/>
        <w:jc w:val="both"/>
        <w:rPr>
          <w:rFonts w:ascii="Times New Roman" w:hAnsi="Times New Roman" w:cs="Times New Roman"/>
          <w:bCs/>
          <w:sz w:val="24"/>
        </w:rPr>
      </w:pPr>
      <w:r w:rsidRPr="0006335B">
        <w:rPr>
          <w:rFonts w:ascii="Times New Roman" w:hAnsi="Times New Roman"/>
          <w:b/>
          <w:sz w:val="24"/>
        </w:rPr>
        <w:t xml:space="preserve">Wzór EU OR1 – Straty z tytułu ryzyka operacyjnego. </w:t>
      </w:r>
      <w:r w:rsidRPr="0006335B">
        <w:rPr>
          <w:rFonts w:ascii="Times New Roman" w:hAnsi="Times New Roman"/>
          <w:sz w:val="24"/>
        </w:rPr>
        <w:t>Wzór o formacie stałym</w:t>
      </w:r>
    </w:p>
    <w:p w14:paraId="70B287DB" w14:textId="2FD19765" w:rsidR="00D740B8" w:rsidRPr="0006335B" w:rsidRDefault="00D740B8" w:rsidP="00D740B8">
      <w:pPr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</w:rPr>
      </w:pPr>
      <w:r w:rsidRPr="0006335B">
        <w:rPr>
          <w:rFonts w:ascii="Times New Roman" w:hAnsi="Times New Roman"/>
          <w:sz w:val="24"/>
        </w:rPr>
        <w:t>Instytucje ujawniają informacje zawarte we wzorze</w:t>
      </w:r>
      <w:r w:rsidR="00744472" w:rsidRPr="0006335B">
        <w:rPr>
          <w:rFonts w:ascii="Times New Roman" w:hAnsi="Times New Roman"/>
          <w:sz w:val="24"/>
        </w:rPr>
        <w:t xml:space="preserve"> </w:t>
      </w:r>
      <w:r w:rsidRPr="0006335B">
        <w:rPr>
          <w:rFonts w:ascii="Times New Roman" w:hAnsi="Times New Roman"/>
          <w:sz w:val="24"/>
        </w:rPr>
        <w:t xml:space="preserve">EU OR1 w zastosowaniu art. 446 ust. 2 lit a) i b) rozporządzenia (UE) nr 575/2013. Niniejszy wzór zawiera informacje na temat rocznych strat z tytułu ryzyka operacyjnego poniesionych w ciągu ostatnich 10 lat, w oparciu o dzień ujęcia poniesionych strat w księgach rachunkowych. Te roczne straty z tytułu ryzyka operacyjnego będą obliczane zgodnie z art. 316 ust. 1 rozporządzenia (UE) nr 575/2013 i będą obejmować, zgodnie z art. 317 ust. 2 rozporządzenia (UE) nr 575/2013, wszystkie straty wszystkich podmiotów objętych zakresem konsolidacji, w tym straty z działalności połączonej/przejętej (zgodnie z art. 321 ust. 1 rozporządzenia (UE) nr 575/2013). Informacje te przekazuje się w zakresie, w jakim są one dostępne i na zasadzie dołożenia wszelkich starań, do czasu rozpoczęcia stosowania art. 316 ust. 3, art. 317 ust. 9, art. 320 ust. 3 i art. 321 ust. 2 rozporządzenia (UE) nr 575/2013. </w:t>
      </w:r>
    </w:p>
    <w:p w14:paraId="0C12CA7B" w14:textId="77777777" w:rsidR="00D740B8" w:rsidRPr="0006335B" w:rsidRDefault="00D740B8" w:rsidP="00D740B8">
      <w:pPr>
        <w:ind w:left="360"/>
        <w:jc w:val="both"/>
        <w:rPr>
          <w:rFonts w:ascii="Times New Roman" w:hAnsi="Times New Roman" w:cs="Times New Roman"/>
          <w:bCs/>
          <w:sz w:val="24"/>
        </w:rPr>
      </w:pPr>
    </w:p>
    <w:p w14:paraId="47EE9624" w14:textId="6B6996E8" w:rsidR="00D740B8" w:rsidRPr="0006335B" w:rsidRDefault="00D740B8" w:rsidP="00D740B8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06335B">
        <w:rPr>
          <w:rFonts w:ascii="Times New Roman" w:hAnsi="Times New Roman"/>
          <w:sz w:val="24"/>
        </w:rPr>
        <w:t>Instytucje ujawniają, dla każdego z ostatnich 10 lat, dane dotyczące liczby strat z tytułu ryzyka operacyjnego i liczby wyłączonych strat z tytułu ryzyka operacyjnego, łącznej kwoty strat z tytułu ryzyka operacyjnego po odliczeniu kwot odzyskanych oraz łącznej kwoty strat z tytułu ryzyka operacyjnego po odliczeniu kwot odzyskanych i wyłączonych strat. Łączna roczna kwota strat z tytułu ryzyka operacyjnego będzie obliczana jako suma wszystkich strat netto w danym roku obrachunkowym, obliczonych zgodnie z art. 318 ust. 1 rozporządzenia (UE) nr 575/2013, które są równe progom danych dotyczących strat określonym odpowiednio w art. 319 ust. 1 lub 2 tego rozporządzenia (tj. 20 000 EUR i 100 000 EUR) lub przewyższają te progi. Straty spowodowane zwykłym zdarzeniem ryzyka operacyjnego lub wieloma zdarzeniami związanymi z tym samym zdarzeniem ryzyka operacyjnego („zdarzenie generujące”), które są ujmowane w różnych latach obrachunkowych, sumuje się jednak za ostatnie 10 lat w celu ustalenia, czy próg ujawniania informacji został przekroczony, czy też nie. Straty i korekty należy ujawniać zgodnie z przepisami art. 317 ust. 3 lit. c) i art. 318 rozporządzenia (UE) nr 575/2013. Kwoty te ujawnia się w roku, w którym zostały one ujęte w sprawozdaniu finansowym.</w:t>
      </w:r>
    </w:p>
    <w:p w14:paraId="2702CB88" w14:textId="77777777" w:rsidR="00D740B8" w:rsidRPr="0006335B" w:rsidRDefault="00D740B8" w:rsidP="00D740B8">
      <w:pPr>
        <w:pStyle w:val="ListParagraph"/>
        <w:rPr>
          <w:rFonts w:ascii="Times New Roman" w:hAnsi="Times New Roman"/>
          <w:bCs/>
          <w:sz w:val="24"/>
        </w:rPr>
      </w:pPr>
    </w:p>
    <w:p w14:paraId="3146DBD3" w14:textId="6BB979B1" w:rsidR="00D740B8" w:rsidRPr="0006335B" w:rsidRDefault="00D740B8" w:rsidP="00D740B8">
      <w:pPr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</w:rPr>
      </w:pPr>
      <w:r w:rsidRPr="0006335B">
        <w:rPr>
          <w:rFonts w:ascii="Times New Roman" w:hAnsi="Times New Roman"/>
          <w:sz w:val="24"/>
        </w:rPr>
        <w:t xml:space="preserve"> W opisie dołączonym do wzoru instytucje ujawniają zbiorczo uzasadnienia wyjątkowych zdarzeń ryzyka operacyjnego, które zostały wyłączone z obliczenia rocznych strat z tytułu ryzyka operacyjnego, zgodnie z art. 446 ust. 2 lit. b) rozporządzenia (UE) nr 575/2013. </w:t>
      </w:r>
    </w:p>
    <w:p w14:paraId="066C0912" w14:textId="77777777" w:rsidR="00D740B8" w:rsidRPr="0006335B" w:rsidRDefault="00D740B8" w:rsidP="00D740B8">
      <w:pPr>
        <w:pStyle w:val="ListParagraph"/>
        <w:rPr>
          <w:rFonts w:ascii="Times New Roman" w:hAnsi="Times New Roman"/>
          <w:bCs/>
          <w:sz w:val="24"/>
        </w:rPr>
      </w:pPr>
    </w:p>
    <w:p w14:paraId="79A49BBA" w14:textId="5D2F1C9E" w:rsidR="00D740B8" w:rsidRPr="0006335B" w:rsidRDefault="00D740B8" w:rsidP="00D740B8">
      <w:pPr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</w:rPr>
      </w:pPr>
      <w:r w:rsidRPr="0006335B">
        <w:rPr>
          <w:rFonts w:ascii="Times New Roman" w:hAnsi="Times New Roman"/>
          <w:sz w:val="24"/>
        </w:rPr>
        <w:t xml:space="preserve"> Instytucje ujawniają również w sposób zbiorczy wszelkie istotne informacje, które mogłyby pomóc użytkownikom w zrozumieniu historycznych strat, kwot odzyskanych i ustawowego kapitału rezerwowego instytucji, z wyjątkiem informacji poufnych i informacji zastrzeżonych.</w:t>
      </w:r>
    </w:p>
    <w:p w14:paraId="3AF72482" w14:textId="77777777" w:rsidR="00D740B8" w:rsidRPr="0006335B" w:rsidRDefault="00D740B8" w:rsidP="00D740B8">
      <w:pPr>
        <w:pStyle w:val="ListParagraph"/>
        <w:rPr>
          <w:rFonts w:ascii="Times New Roman" w:hAnsi="Times New Roman"/>
          <w:bCs/>
          <w:sz w:val="24"/>
        </w:rPr>
      </w:pPr>
    </w:p>
    <w:p w14:paraId="36406578" w14:textId="77777777" w:rsidR="00D740B8" w:rsidRPr="0006335B" w:rsidRDefault="00D740B8" w:rsidP="00D740B8">
      <w:pPr>
        <w:pStyle w:val="ListParagraph"/>
        <w:rPr>
          <w:rFonts w:ascii="Times New Roman" w:hAnsi="Times New Roman"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1"/>
        <w:gridCol w:w="7745"/>
      </w:tblGrid>
      <w:tr w:rsidR="00D740B8" w:rsidRPr="0006335B" w14:paraId="7E388732" w14:textId="77777777">
        <w:tc>
          <w:tcPr>
            <w:tcW w:w="1271" w:type="dxa"/>
            <w:shd w:val="clear" w:color="auto" w:fill="BFBFBF" w:themeFill="background1" w:themeFillShade="BF"/>
          </w:tcPr>
          <w:p w14:paraId="5F81890E" w14:textId="77777777" w:rsidR="00D740B8" w:rsidRPr="0006335B" w:rsidRDefault="00D740B8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06335B">
              <w:rPr>
                <w:rFonts w:ascii="Times New Roman" w:hAnsi="Times New Roman"/>
                <w:b/>
                <w:sz w:val="24"/>
              </w:rPr>
              <w:t>Kolumna</w:t>
            </w:r>
          </w:p>
        </w:tc>
        <w:tc>
          <w:tcPr>
            <w:tcW w:w="7745" w:type="dxa"/>
            <w:shd w:val="clear" w:color="auto" w:fill="BFBFBF" w:themeFill="background1" w:themeFillShade="BF"/>
          </w:tcPr>
          <w:p w14:paraId="0773BD79" w14:textId="77777777" w:rsidR="00D740B8" w:rsidRPr="0006335B" w:rsidRDefault="00D740B8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6335B">
              <w:rPr>
                <w:rFonts w:ascii="Times New Roman" w:hAnsi="Times New Roman"/>
                <w:b/>
                <w:sz w:val="24"/>
              </w:rPr>
              <w:t>Odniesienia prawne i instrukcje</w:t>
            </w:r>
          </w:p>
        </w:tc>
      </w:tr>
      <w:tr w:rsidR="00D740B8" w:rsidRPr="0006335B" w14:paraId="4A7B0862" w14:textId="77777777">
        <w:tc>
          <w:tcPr>
            <w:tcW w:w="1271" w:type="dxa"/>
          </w:tcPr>
          <w:p w14:paraId="59A78ADD" w14:textId="77777777" w:rsidR="00D740B8" w:rsidRPr="0006335B" w:rsidRDefault="00D740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06335B">
              <w:rPr>
                <w:rFonts w:ascii="Times New Roman" w:hAnsi="Times New Roman"/>
                <w:sz w:val="24"/>
              </w:rPr>
              <w:t>a–j</w:t>
            </w:r>
          </w:p>
        </w:tc>
        <w:tc>
          <w:tcPr>
            <w:tcW w:w="7745" w:type="dxa"/>
          </w:tcPr>
          <w:p w14:paraId="0B872A50" w14:textId="77777777" w:rsidR="00D740B8" w:rsidRPr="0006335B" w:rsidRDefault="00D740B8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6335B">
              <w:rPr>
                <w:rFonts w:ascii="Times New Roman" w:hAnsi="Times New Roman"/>
                <w:b/>
                <w:sz w:val="24"/>
              </w:rPr>
              <w:t>Rok (T, T-1, T-2, T-3, T-4, T-5, T-6, T-7, T-8, T-9)</w:t>
            </w:r>
          </w:p>
          <w:p w14:paraId="5B6EF35C" w14:textId="3033D1CC" w:rsidR="00D740B8" w:rsidRPr="0006335B" w:rsidRDefault="00D740B8">
            <w:pPr>
              <w:spacing w:before="120" w:after="120"/>
              <w:rPr>
                <w:rFonts w:ascii="Times New Roman" w:hAnsi="Times New Roman"/>
                <w:sz w:val="24"/>
              </w:rPr>
            </w:pPr>
            <w:r w:rsidRPr="0006335B">
              <w:rPr>
                <w:rFonts w:ascii="Times New Roman" w:hAnsi="Times New Roman"/>
                <w:sz w:val="24"/>
              </w:rPr>
              <w:t xml:space="preserve">Wartość wskazana w odpowiednim wierszu, dla ostatnich 10 lat obrachunkowych. </w:t>
            </w:r>
          </w:p>
        </w:tc>
      </w:tr>
      <w:tr w:rsidR="00D740B8" w:rsidRPr="0006335B" w14:paraId="7D63969A" w14:textId="77777777">
        <w:tc>
          <w:tcPr>
            <w:tcW w:w="1271" w:type="dxa"/>
          </w:tcPr>
          <w:p w14:paraId="6CFD6A05" w14:textId="77777777" w:rsidR="00D740B8" w:rsidRPr="0006335B" w:rsidRDefault="00D740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06335B">
              <w:rPr>
                <w:rFonts w:ascii="Times New Roman" w:hAnsi="Times New Roman"/>
                <w:sz w:val="24"/>
              </w:rPr>
              <w:t>k</w:t>
            </w:r>
          </w:p>
        </w:tc>
        <w:tc>
          <w:tcPr>
            <w:tcW w:w="7745" w:type="dxa"/>
          </w:tcPr>
          <w:p w14:paraId="50D93A86" w14:textId="77777777" w:rsidR="00D740B8" w:rsidRPr="0006335B" w:rsidRDefault="00D740B8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6335B">
              <w:rPr>
                <w:rFonts w:ascii="Times New Roman" w:hAnsi="Times New Roman"/>
                <w:b/>
                <w:sz w:val="24"/>
              </w:rPr>
              <w:t>Średnia z 10 lat</w:t>
            </w:r>
          </w:p>
          <w:p w14:paraId="38A7187F" w14:textId="0CB464F2" w:rsidR="00D740B8" w:rsidRPr="0006335B" w:rsidRDefault="00D740B8">
            <w:pPr>
              <w:spacing w:before="120" w:after="120"/>
              <w:rPr>
                <w:rFonts w:ascii="Times New Roman" w:hAnsi="Times New Roman"/>
                <w:bCs/>
                <w:sz w:val="24"/>
              </w:rPr>
            </w:pPr>
            <w:r w:rsidRPr="0006335B">
              <w:rPr>
                <w:rFonts w:ascii="Times New Roman" w:hAnsi="Times New Roman"/>
                <w:sz w:val="24"/>
              </w:rPr>
              <w:t>Średnia wartości wskazanych w odpowiednim wierszu, dla ostatnich 10 lat obrotowych.</w:t>
            </w:r>
          </w:p>
        </w:tc>
      </w:tr>
    </w:tbl>
    <w:p w14:paraId="7095834F" w14:textId="77777777" w:rsidR="00D740B8" w:rsidRPr="0006335B" w:rsidRDefault="00D740B8" w:rsidP="00D740B8">
      <w:pPr>
        <w:pStyle w:val="ListParagraph"/>
        <w:rPr>
          <w:rFonts w:ascii="Times New Roman" w:hAnsi="Times New Roman"/>
          <w:bCs/>
          <w:sz w:val="24"/>
        </w:rPr>
      </w:pPr>
    </w:p>
    <w:p w14:paraId="32DB6729" w14:textId="77777777" w:rsidR="00D740B8" w:rsidRPr="0006335B" w:rsidRDefault="00D740B8" w:rsidP="00D740B8">
      <w:pPr>
        <w:pStyle w:val="ListParagraph"/>
        <w:rPr>
          <w:rFonts w:ascii="Times New Roman" w:hAnsi="Times New Roman"/>
          <w:bCs/>
          <w:sz w:val="24"/>
        </w:rPr>
      </w:pPr>
    </w:p>
    <w:p w14:paraId="2611544E" w14:textId="77777777" w:rsidR="00D740B8" w:rsidRPr="0006335B" w:rsidRDefault="00D740B8" w:rsidP="00D740B8">
      <w:pPr>
        <w:pStyle w:val="ListParagraph"/>
        <w:rPr>
          <w:rFonts w:ascii="Times New Roman" w:hAnsi="Times New Roman"/>
          <w:bCs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1"/>
        <w:gridCol w:w="7768"/>
      </w:tblGrid>
      <w:tr w:rsidR="00D740B8" w:rsidRPr="0006335B" w14:paraId="75D19248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DC07F6" w14:textId="77777777" w:rsidR="00D740B8" w:rsidRPr="0006335B" w:rsidRDefault="00D740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 w:rsidRPr="0006335B">
              <w:rPr>
                <w:rFonts w:ascii="Times New Roman" w:hAnsi="Times New Roman"/>
                <w:b/>
                <w:sz w:val="24"/>
              </w:rPr>
              <w:t xml:space="preserve">Wiersz 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12A10C0" w14:textId="77777777" w:rsidR="00D740B8" w:rsidRPr="0006335B" w:rsidRDefault="00D740B8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6335B">
              <w:rPr>
                <w:rFonts w:ascii="Times New Roman" w:hAnsi="Times New Roman"/>
                <w:b/>
                <w:sz w:val="24"/>
              </w:rPr>
              <w:t>Odniesienia prawne i instrukcje</w:t>
            </w:r>
          </w:p>
        </w:tc>
      </w:tr>
      <w:tr w:rsidR="00D740B8" w:rsidRPr="0006335B" w14:paraId="5B979768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E5C0BB" w14:textId="77777777" w:rsidR="00D740B8" w:rsidRPr="0006335B" w:rsidRDefault="00D740B8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6335B"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1F810E" w14:textId="221857B7" w:rsidR="00D740B8" w:rsidRPr="0006335B" w:rsidRDefault="00D740B8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6335B">
              <w:rPr>
                <w:rFonts w:ascii="Times New Roman" w:hAnsi="Times New Roman"/>
                <w:b/>
                <w:sz w:val="24"/>
              </w:rPr>
              <w:t>Łączna kwota strat z tytułu ryzyka operacyjnego po odliczeniu kwot odzyskanych (bez wyłączeń)</w:t>
            </w:r>
          </w:p>
          <w:p w14:paraId="73A6B59F" w14:textId="42A729DD" w:rsidR="00D740B8" w:rsidRPr="0006335B" w:rsidRDefault="00D740B8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6335B">
              <w:rPr>
                <w:rFonts w:ascii="Times New Roman" w:hAnsi="Times New Roman"/>
                <w:sz w:val="24"/>
              </w:rPr>
              <w:t>Art. 446 ust. 2 lit. a) i art. 316 ust. 1 rozporządzenia (UE) nr 575/2013</w:t>
            </w:r>
          </w:p>
          <w:p w14:paraId="5D929629" w14:textId="149BDB35" w:rsidR="00D740B8" w:rsidRPr="0006335B" w:rsidRDefault="002B078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6335B">
              <w:rPr>
                <w:rFonts w:ascii="Times New Roman" w:hAnsi="Times New Roman"/>
                <w:sz w:val="24"/>
              </w:rPr>
              <w:t>W wierszu tym ujawnia się łączną kwotę strat po odliczeniu kwot odzyskanych wynikających ze zdarzeń straty (w tym straty z tytułu połączeń i przejęć) powyżej progu dla zdarzeń straty wynoszącego 20 000 EUR dla każdego z ostatnich 10 okresów sprawozdawczych. Straty spowodowane zwykłym zdarzeniem ryzyka operacyjnego lub wieloma zdarzeniami związanymi z tym samym zdarzeniem ryzyka operacyjnego, które są ujmowane w różnych latach obrachunkowych, sumuje się za ostatnie 10 lat w celu ustalenia, czy przekroczony został próg ujawniania informacji. Przy obliczaniu pozycji dla tego wiersza nadal uwzględnia się wyjątkowe zdarzenia ryzyka operacyjnego w danym roku, które nie są już istotne dla profilu ryzyka instytucji, w odniesieniu do których instytucja uzyskała zezwolenie właściwego organu na wyłączenie ich z rocznych strat z tytułu ryzyka operacyjnego instytucji, zgodnie z art. 320 ust. 1 rozporządzenia (UE) nr 575/2013.</w:t>
            </w:r>
          </w:p>
        </w:tc>
      </w:tr>
      <w:tr w:rsidR="00D740B8" w:rsidRPr="0006335B" w14:paraId="1A3189BF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985BED" w14:textId="77777777" w:rsidR="00D740B8" w:rsidRPr="0006335B" w:rsidRDefault="00D740B8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6335B"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0B8990" w14:textId="77777777" w:rsidR="00D740B8" w:rsidRPr="0006335B" w:rsidRDefault="00D740B8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6335B">
              <w:rPr>
                <w:rFonts w:ascii="Times New Roman" w:hAnsi="Times New Roman"/>
                <w:b/>
                <w:sz w:val="24"/>
              </w:rPr>
              <w:t>Łączna liczba strat z tytułu ryzyka operacyjnego</w:t>
            </w:r>
          </w:p>
          <w:p w14:paraId="2EA91375" w14:textId="28AF0058" w:rsidR="00D740B8" w:rsidRPr="0006335B" w:rsidRDefault="00D740B8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6335B">
              <w:rPr>
                <w:rFonts w:ascii="Times New Roman" w:hAnsi="Times New Roman"/>
                <w:sz w:val="24"/>
              </w:rPr>
              <w:t>Art. 446 ust. 2 lit. a) i art. 316 ust. 1 rozporządzenia (UE) nr 575/2013</w:t>
            </w:r>
          </w:p>
          <w:p w14:paraId="275C478C" w14:textId="69738AFF" w:rsidR="00D740B8" w:rsidRPr="0006335B" w:rsidRDefault="00471410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</w:rPr>
            </w:pPr>
            <w:r w:rsidRPr="0006335B">
              <w:rPr>
                <w:rFonts w:ascii="Times New Roman" w:hAnsi="Times New Roman"/>
                <w:sz w:val="24"/>
              </w:rPr>
              <w:t>Łączna liczba strat z tytułu ryzyka operacyjnego powyżej progu dla zdarzeń straty wynoszącego 20 000 EUR.</w:t>
            </w:r>
          </w:p>
        </w:tc>
      </w:tr>
      <w:tr w:rsidR="00D740B8" w:rsidRPr="0006335B" w14:paraId="30368E01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7E2D97" w14:textId="77777777" w:rsidR="00D740B8" w:rsidRPr="0006335B" w:rsidRDefault="00D740B8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6335B">
              <w:rPr>
                <w:rFonts w:ascii="Times New Roman" w:hAnsi="Times New Roman"/>
                <w:b/>
                <w:sz w:val="24"/>
              </w:rPr>
              <w:lastRenderedPageBreak/>
              <w:t>3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A7E573" w14:textId="77777777" w:rsidR="00D740B8" w:rsidRPr="0006335B" w:rsidRDefault="00D740B8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6335B">
              <w:rPr>
                <w:rFonts w:ascii="Times New Roman" w:hAnsi="Times New Roman"/>
                <w:b/>
                <w:sz w:val="24"/>
              </w:rPr>
              <w:t>Łączna kwota wyłączonych strat z tytułu ryzyka operacyjnego</w:t>
            </w:r>
          </w:p>
          <w:p w14:paraId="5C1A66AF" w14:textId="5CAD041D" w:rsidR="00D740B8" w:rsidRPr="0006335B" w:rsidRDefault="00D740B8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</w:rPr>
            </w:pPr>
            <w:r w:rsidRPr="0006335B">
              <w:rPr>
                <w:rFonts w:ascii="Times New Roman" w:hAnsi="Times New Roman"/>
                <w:sz w:val="24"/>
              </w:rPr>
              <w:t>Art. 446 ust. 2 lit. b) i art. 320 ust. 1 rozporządzenia (UE) nr 575/2013</w:t>
            </w:r>
          </w:p>
          <w:p w14:paraId="7BE235CA" w14:textId="7483A5B2" w:rsidR="00D740B8" w:rsidRPr="0006335B" w:rsidRDefault="002B0785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</w:rPr>
            </w:pPr>
            <w:r w:rsidRPr="0006335B">
              <w:rPr>
                <w:rFonts w:ascii="Times New Roman" w:hAnsi="Times New Roman"/>
                <w:sz w:val="24"/>
              </w:rPr>
              <w:t>Łączne kwoty strat netto powyżej progu strat wynoszącego 20 000 EUR, które zostały wyłączone zgodnie z art. 320 ust. 1 rozporządzenia (UE) nr 575/2013, dla każdego z ostatnich 10 okresów sprawozdawczych.</w:t>
            </w:r>
          </w:p>
        </w:tc>
      </w:tr>
      <w:tr w:rsidR="00D740B8" w:rsidRPr="0006335B" w14:paraId="2771244B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F28D83" w14:textId="77777777" w:rsidR="00D740B8" w:rsidRPr="0006335B" w:rsidRDefault="00D740B8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6335B"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2BA990" w14:textId="77777777" w:rsidR="00D740B8" w:rsidRPr="0006335B" w:rsidRDefault="00D740B8">
            <w:pPr>
              <w:spacing w:before="120" w:after="120"/>
              <w:jc w:val="both"/>
              <w:rPr>
                <w:rStyle w:val="InstructionsTabelleberschrift"/>
                <w:rFonts w:ascii="Times New Roman" w:eastAsia="Times New Roman" w:hAnsi="Times New Roman"/>
                <w:bCs w:val="0"/>
                <w:sz w:val="24"/>
                <w:u w:val="none"/>
              </w:rPr>
            </w:pPr>
            <w:r w:rsidRPr="0006335B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Łączna liczba wyłączonych zdarzeń ryzyka operacyjnego</w:t>
            </w:r>
          </w:p>
          <w:p w14:paraId="7914E462" w14:textId="7978A3B5" w:rsidR="00D740B8" w:rsidRPr="0006335B" w:rsidRDefault="00D740B8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</w:rPr>
            </w:pPr>
            <w:r w:rsidRPr="0006335B">
              <w:rPr>
                <w:rFonts w:ascii="Times New Roman" w:hAnsi="Times New Roman"/>
                <w:sz w:val="24"/>
              </w:rPr>
              <w:t>Art. 446 ust. 2 lit. b) i art. 320 ust. 1 rozporządzenia (UE) nr 575/2013</w:t>
            </w:r>
          </w:p>
          <w:p w14:paraId="318A732C" w14:textId="242D554F" w:rsidR="00D740B8" w:rsidRPr="0006335B" w:rsidRDefault="009D4A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6335B">
              <w:rPr>
                <w:rFonts w:ascii="Times New Roman" w:hAnsi="Times New Roman"/>
                <w:sz w:val="24"/>
              </w:rPr>
              <w:t xml:space="preserve">Łączna liczba wyjątkowych zdarzeń ryzyka operacyjnego powyżej progu dla zdarzeń straty wynoszącego 20 000 EUR, które zostały wyłączone zgodnie z art. 320 ust. 1 rozporządzenia (UE) nr 575/2013, dla każdego z ostatnich 10 okresów sprawozdawczych. </w:t>
            </w:r>
          </w:p>
        </w:tc>
      </w:tr>
      <w:tr w:rsidR="00D740B8" w:rsidRPr="0006335B" w14:paraId="155A14DC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8A2BC3" w14:textId="77777777" w:rsidR="00D740B8" w:rsidRPr="0006335B" w:rsidRDefault="00D740B8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6335B">
              <w:rPr>
                <w:rFonts w:ascii="Times New Roman" w:hAnsi="Times New Roman"/>
                <w:b/>
                <w:sz w:val="24"/>
              </w:rPr>
              <w:t>5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BD9B80" w14:textId="218BBE7C" w:rsidR="00D740B8" w:rsidRPr="0006335B" w:rsidRDefault="00D740B8">
            <w:pPr>
              <w:spacing w:before="120" w:after="120"/>
              <w:jc w:val="both"/>
              <w:rPr>
                <w:rStyle w:val="InstructionsTabelleberschrift"/>
                <w:rFonts w:ascii="Times New Roman" w:eastAsia="Times New Roman" w:hAnsi="Times New Roman"/>
                <w:bCs w:val="0"/>
                <w:sz w:val="24"/>
                <w:u w:val="none"/>
              </w:rPr>
            </w:pPr>
            <w:r w:rsidRPr="0006335B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Łączna kwota strat z tytułu ryzyka operacyjnego po odliczeniu kwot odzyskanych i wyłączonych strat</w:t>
            </w:r>
          </w:p>
          <w:p w14:paraId="4203582A" w14:textId="6CAD1497" w:rsidR="00D740B8" w:rsidRPr="0006335B" w:rsidRDefault="002B078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6335B">
              <w:rPr>
                <w:rFonts w:ascii="Times New Roman" w:hAnsi="Times New Roman"/>
                <w:sz w:val="24"/>
              </w:rPr>
              <w:t>Łączna kwota strat z tytułu ryzyka operacyjnego, pomniejszona o kwotę odzyskanych należności ujawnioną w wierszu 1 i pomniejszona o wyłączone straty ujawnione w wierszu 3.</w:t>
            </w:r>
          </w:p>
        </w:tc>
      </w:tr>
      <w:tr w:rsidR="00D740B8" w:rsidRPr="0006335B" w14:paraId="533A412E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DEE7FB" w14:textId="77777777" w:rsidR="00D740B8" w:rsidRPr="0006335B" w:rsidRDefault="00D740B8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6335B"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765A87" w14:textId="409B91B6" w:rsidR="00D740B8" w:rsidRPr="0006335B" w:rsidRDefault="00D740B8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6335B">
              <w:rPr>
                <w:rFonts w:ascii="Times New Roman" w:hAnsi="Times New Roman"/>
                <w:b/>
                <w:sz w:val="24"/>
              </w:rPr>
              <w:t>Łączna kwota strat z tytułu ryzyka operacyjnego po odliczeniu kwot odzyskanych (bez wyłączeń)</w:t>
            </w:r>
          </w:p>
          <w:p w14:paraId="647BDEC8" w14:textId="66617A83" w:rsidR="00D740B8" w:rsidRPr="0006335B" w:rsidRDefault="00D740B8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6335B">
              <w:rPr>
                <w:rFonts w:ascii="Times New Roman" w:hAnsi="Times New Roman"/>
                <w:sz w:val="24"/>
              </w:rPr>
              <w:t>Art. 446 ust. 2 lit. a) i art. 316 ust. 1 rozporządzenia (UE) nr 575/2013</w:t>
            </w:r>
          </w:p>
          <w:p w14:paraId="7F1E94AA" w14:textId="1F78A3B4" w:rsidR="00D740B8" w:rsidRPr="0006335B" w:rsidRDefault="003D54AC">
            <w:pPr>
              <w:spacing w:before="120" w:after="120"/>
              <w:jc w:val="both"/>
              <w:rPr>
                <w:rStyle w:val="InstructionsTabelleberschrift"/>
                <w:rFonts w:ascii="Times New Roman" w:eastAsia="Times New Roman" w:hAnsi="Times New Roman"/>
                <w:bCs w:val="0"/>
                <w:sz w:val="24"/>
              </w:rPr>
            </w:pPr>
            <w:r w:rsidRPr="0006335B">
              <w:rPr>
                <w:rFonts w:ascii="Times New Roman" w:hAnsi="Times New Roman"/>
                <w:sz w:val="24"/>
              </w:rPr>
              <w:t xml:space="preserve">Łączna kwota strat z tytułu ryzyka operacyjnego, pomniejszona o kwotę odzyskanych należności, wynikających ze zdarzeń straty (w tym straty z tytułu połączeń i przejęć) powyżej progu dla zdarzeń straty wynoszącego 100 000 EUR dla każdego z ostatnich 10 okresów sprawozdawczych. Straty spowodowane zwykłym zdarzeniem ryzyka operacyjnego lub wieloma zdarzeniami związanymi z tym samym zdarzeniem ryzyka operacyjnego, które są ujmowane w różnych latach obrachunkowych, sumuje się za ostatnie 10 lat w celu ustalenia, czy przekroczony został próg ujawniania informacji. Przy obliczaniu pozycji dla tego wiersza nadal uwzględnia się wyjątkowe zdarzenia ryzyka operacyjnego w danym roku, które nie są już istotne dla profilu ryzyka instytucji, w odniesieniu do których instytucja uzyskała zezwolenie właściwego organu na wyłączenie ich z rocznych strat z tytułu ryzyka operacyjnego instytucji, zgodnie z art. 320 ust. 1 rozporządzenia (UE) nr 575/2013. </w:t>
            </w:r>
          </w:p>
        </w:tc>
      </w:tr>
      <w:tr w:rsidR="00D740B8" w:rsidRPr="0006335B" w14:paraId="55F7B964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E372A0" w14:textId="77777777" w:rsidR="00D740B8" w:rsidRPr="0006335B" w:rsidRDefault="00D740B8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6335B">
              <w:rPr>
                <w:rFonts w:ascii="Times New Roman" w:hAnsi="Times New Roman"/>
                <w:b/>
                <w:sz w:val="24"/>
              </w:rPr>
              <w:t>7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B15A10" w14:textId="77777777" w:rsidR="00D740B8" w:rsidRPr="0006335B" w:rsidRDefault="00D740B8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6335B">
              <w:rPr>
                <w:rFonts w:ascii="Times New Roman" w:hAnsi="Times New Roman"/>
                <w:b/>
                <w:sz w:val="24"/>
              </w:rPr>
              <w:t>Łączna liczba strat z tytułu ryzyka operacyjnego</w:t>
            </w:r>
          </w:p>
          <w:p w14:paraId="7AD8EE0D" w14:textId="092E19E2" w:rsidR="00D740B8" w:rsidRPr="0006335B" w:rsidRDefault="00D740B8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6335B">
              <w:rPr>
                <w:rFonts w:ascii="Times New Roman" w:hAnsi="Times New Roman"/>
                <w:sz w:val="24"/>
              </w:rPr>
              <w:t>Art. 446 ust. 2 lit. a) i art. 316 ust. 1 rozporządzenia (UE) nr 575/2013</w:t>
            </w:r>
          </w:p>
          <w:p w14:paraId="6F316B8B" w14:textId="6ABB567B" w:rsidR="00D740B8" w:rsidRPr="0006335B" w:rsidRDefault="00471410">
            <w:pPr>
              <w:spacing w:before="120" w:after="120"/>
              <w:jc w:val="both"/>
              <w:rPr>
                <w:rStyle w:val="InstructionsTabelleberschrift"/>
                <w:rFonts w:ascii="Times New Roman" w:eastAsia="Times New Roman" w:hAnsi="Times New Roman"/>
                <w:bCs w:val="0"/>
                <w:sz w:val="24"/>
              </w:rPr>
            </w:pPr>
            <w:r w:rsidRPr="0006335B">
              <w:rPr>
                <w:rFonts w:ascii="Times New Roman" w:hAnsi="Times New Roman"/>
                <w:sz w:val="24"/>
              </w:rPr>
              <w:t>Łączna liczba strat z tytułu ryzyka operacyjnego powyżej progu dla zdarzeń straty wynoszącego 100 000 EUR.</w:t>
            </w:r>
          </w:p>
        </w:tc>
      </w:tr>
      <w:tr w:rsidR="00D740B8" w:rsidRPr="0006335B" w14:paraId="774B79FA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9021F3" w14:textId="77777777" w:rsidR="00D740B8" w:rsidRPr="0006335B" w:rsidRDefault="00D740B8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6335B">
              <w:rPr>
                <w:rFonts w:ascii="Times New Roman" w:hAnsi="Times New Roman"/>
                <w:b/>
                <w:sz w:val="24"/>
              </w:rPr>
              <w:t>8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731AFB" w14:textId="77777777" w:rsidR="00D740B8" w:rsidRPr="0006335B" w:rsidRDefault="00D740B8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6335B">
              <w:rPr>
                <w:rFonts w:ascii="Times New Roman" w:hAnsi="Times New Roman"/>
                <w:b/>
                <w:sz w:val="24"/>
              </w:rPr>
              <w:t>Łączna kwota wyłączonych strat z tytułu ryzyka operacyjnego</w:t>
            </w:r>
          </w:p>
          <w:p w14:paraId="71DECF65" w14:textId="48A395A5" w:rsidR="00D740B8" w:rsidRPr="0006335B" w:rsidRDefault="00D740B8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</w:rPr>
            </w:pPr>
            <w:r w:rsidRPr="0006335B">
              <w:rPr>
                <w:rFonts w:ascii="Times New Roman" w:hAnsi="Times New Roman"/>
                <w:sz w:val="24"/>
              </w:rPr>
              <w:t>Art. 446 ust. 2 lit. b) i art. 320 ust. 1 rozporządzenia (UE) nr 575/2013</w:t>
            </w:r>
          </w:p>
          <w:p w14:paraId="0BC74916" w14:textId="396B699A" w:rsidR="00D740B8" w:rsidRPr="0006335B" w:rsidRDefault="003D54AC">
            <w:pPr>
              <w:spacing w:before="120" w:after="120"/>
              <w:jc w:val="both"/>
              <w:rPr>
                <w:rStyle w:val="InstructionsTabelleberschrift"/>
                <w:rFonts w:ascii="Times New Roman" w:eastAsia="Times New Roman" w:hAnsi="Times New Roman"/>
                <w:bCs w:val="0"/>
                <w:sz w:val="24"/>
              </w:rPr>
            </w:pPr>
            <w:r w:rsidRPr="0006335B">
              <w:rPr>
                <w:rFonts w:ascii="Times New Roman" w:hAnsi="Times New Roman"/>
                <w:sz w:val="24"/>
              </w:rPr>
              <w:lastRenderedPageBreak/>
              <w:t>Łączne kwoty strat netto powyżej progu dla zdarzeń straty wynoszącego 100 000 EUR, które zostały wyłączone zgodnie z art. 320 ust. 1 rozporządzenia (UE) nr 575/2013, dla każdego z ostatnich 10 okresów sprawozdawczych.</w:t>
            </w:r>
          </w:p>
        </w:tc>
      </w:tr>
      <w:tr w:rsidR="00D740B8" w:rsidRPr="0006335B" w14:paraId="33C9C19A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935360" w14:textId="77777777" w:rsidR="00D740B8" w:rsidRPr="0006335B" w:rsidRDefault="00D740B8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6335B">
              <w:rPr>
                <w:rFonts w:ascii="Times New Roman" w:hAnsi="Times New Roman"/>
                <w:b/>
                <w:sz w:val="24"/>
              </w:rPr>
              <w:lastRenderedPageBreak/>
              <w:t>9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F23E8D" w14:textId="77777777" w:rsidR="00D740B8" w:rsidRPr="0006335B" w:rsidRDefault="00D740B8">
            <w:pPr>
              <w:spacing w:before="120" w:after="120"/>
              <w:jc w:val="both"/>
              <w:rPr>
                <w:rStyle w:val="InstructionsTabelleberschrift"/>
                <w:rFonts w:ascii="Times New Roman" w:eastAsia="Times New Roman" w:hAnsi="Times New Roman"/>
                <w:bCs w:val="0"/>
                <w:sz w:val="24"/>
                <w:u w:val="none"/>
              </w:rPr>
            </w:pPr>
            <w:r w:rsidRPr="0006335B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Łączna liczba wyłączonych zdarzeń ryzyka operacyjnego</w:t>
            </w:r>
          </w:p>
          <w:p w14:paraId="2B56754D" w14:textId="46B0AAAA" w:rsidR="00D740B8" w:rsidRPr="0006335B" w:rsidRDefault="00D740B8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</w:rPr>
            </w:pPr>
            <w:r w:rsidRPr="0006335B">
              <w:rPr>
                <w:rFonts w:ascii="Times New Roman" w:hAnsi="Times New Roman"/>
                <w:sz w:val="24"/>
              </w:rPr>
              <w:t>Art. 446 ust. 2 lit. b) i art. 320 ust. 1 rozporządzenia (UE) nr 575/2013</w:t>
            </w:r>
          </w:p>
          <w:p w14:paraId="2EDEC8CA" w14:textId="02901FCB" w:rsidR="00D740B8" w:rsidRPr="0006335B" w:rsidRDefault="00471410">
            <w:pPr>
              <w:spacing w:before="120" w:after="120"/>
              <w:jc w:val="both"/>
              <w:rPr>
                <w:rStyle w:val="InstructionsTabelleberschrift"/>
                <w:rFonts w:ascii="Times New Roman" w:eastAsia="Times New Roman" w:hAnsi="Times New Roman"/>
                <w:bCs w:val="0"/>
                <w:sz w:val="24"/>
              </w:rPr>
            </w:pPr>
            <w:r w:rsidRPr="0006335B">
              <w:rPr>
                <w:rFonts w:ascii="Times New Roman" w:hAnsi="Times New Roman"/>
                <w:sz w:val="24"/>
              </w:rPr>
              <w:t>Łączna liczba wyjątkowych zdarzeń ryzyka operacyjnego powyżej progu dla zdarzeń straty wynoszącego 100 000 EUR, które zostały wyłączone zgodnie z art. 320 ust. 1 rozporządzenia (UE) nr 575/2013, dla każdego z ostatnich 10 okresów sprawozdawczych.</w:t>
            </w:r>
          </w:p>
        </w:tc>
      </w:tr>
      <w:tr w:rsidR="00D740B8" w:rsidRPr="0006335B" w14:paraId="01B8CA90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151114" w14:textId="77777777" w:rsidR="00D740B8" w:rsidRPr="0006335B" w:rsidRDefault="00D740B8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6335B">
              <w:rPr>
                <w:rFonts w:ascii="Times New Roman" w:hAnsi="Times New Roman"/>
                <w:b/>
                <w:sz w:val="24"/>
              </w:rPr>
              <w:t>10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3D07D3" w14:textId="0C81ABEB" w:rsidR="00D740B8" w:rsidRPr="0006335B" w:rsidRDefault="00D740B8">
            <w:pPr>
              <w:spacing w:before="120" w:after="120"/>
              <w:jc w:val="both"/>
              <w:rPr>
                <w:rStyle w:val="InstructionsTabelleberschrift"/>
                <w:rFonts w:ascii="Times New Roman" w:eastAsia="Times New Roman" w:hAnsi="Times New Roman"/>
                <w:bCs w:val="0"/>
                <w:sz w:val="24"/>
                <w:u w:val="none"/>
              </w:rPr>
            </w:pPr>
            <w:r w:rsidRPr="0006335B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Łączna kwota strat z tytułu ryzyka operacyjnego po odliczeniu kwot odzyskanych i wyłączonych strat</w:t>
            </w:r>
          </w:p>
          <w:p w14:paraId="65622881" w14:textId="32C07686" w:rsidR="00D740B8" w:rsidRPr="0006335B" w:rsidRDefault="006943D3">
            <w:pPr>
              <w:spacing w:before="120" w:after="120"/>
              <w:jc w:val="both"/>
              <w:rPr>
                <w:rStyle w:val="InstructionsTabelleberschrift"/>
                <w:rFonts w:ascii="Times New Roman" w:eastAsia="Times New Roman" w:hAnsi="Times New Roman"/>
                <w:bCs w:val="0"/>
                <w:sz w:val="24"/>
              </w:rPr>
            </w:pPr>
            <w:r w:rsidRPr="0006335B">
              <w:rPr>
                <w:rFonts w:ascii="Times New Roman" w:hAnsi="Times New Roman"/>
                <w:sz w:val="24"/>
              </w:rPr>
              <w:t>W wierszu tym ujawnia się łączną kwotę strat z tytułu ryzyka operacyjnego, pomniejszoną o kwotę odzyskanych należności ujawnioną w wierszu 6 i pomniejszoną o wyłączone straty ujawnione w wierszu 8.</w:t>
            </w:r>
          </w:p>
        </w:tc>
      </w:tr>
      <w:tr w:rsidR="00D740B8" w:rsidRPr="0006335B" w14:paraId="1DE089DB" w14:textId="77777777" w:rsidTr="00F828EB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93FA6CB" w14:textId="77777777" w:rsidR="00D740B8" w:rsidRPr="0006335B" w:rsidRDefault="00D740B8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6335B">
              <w:rPr>
                <w:rFonts w:ascii="Times New Roman" w:hAnsi="Times New Roman"/>
                <w:b/>
                <w:sz w:val="24"/>
              </w:rPr>
              <w:t>11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EE813C" w14:textId="77777777" w:rsidR="00D740B8" w:rsidRPr="0006335B" w:rsidRDefault="00D740B8">
            <w:pPr>
              <w:autoSpaceDE w:val="0"/>
              <w:autoSpaceDN w:val="0"/>
              <w:adjustRightInd w:val="0"/>
              <w:spacing w:before="120" w:after="120"/>
              <w:rPr>
                <w:rStyle w:val="InstructionsTabelleberschrift"/>
                <w:rFonts w:ascii="Times New Roman" w:eastAsia="Times New Roman" w:hAnsi="Times New Roman"/>
                <w:bCs w:val="0"/>
                <w:sz w:val="24"/>
              </w:rPr>
            </w:pPr>
            <w:r w:rsidRPr="0006335B">
              <w:rPr>
                <w:rFonts w:ascii="Times New Roman" w:hAnsi="Times New Roman"/>
                <w:sz w:val="24"/>
              </w:rPr>
              <w:t>Nie dotyczy.</w:t>
            </w:r>
          </w:p>
        </w:tc>
      </w:tr>
      <w:tr w:rsidR="00D740B8" w:rsidRPr="0006335B" w14:paraId="23D23702" w14:textId="77777777" w:rsidTr="00F828EB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154CBB" w14:textId="77777777" w:rsidR="00D740B8" w:rsidRPr="0006335B" w:rsidRDefault="00D740B8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6335B">
              <w:rPr>
                <w:rFonts w:ascii="Times New Roman" w:hAnsi="Times New Roman"/>
                <w:b/>
                <w:sz w:val="24"/>
              </w:rPr>
              <w:t>12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2D8849" w14:textId="77777777" w:rsidR="00D740B8" w:rsidRPr="0006335B" w:rsidRDefault="00D740B8">
            <w:pPr>
              <w:spacing w:before="120" w:after="120"/>
              <w:jc w:val="both"/>
              <w:rPr>
                <w:rStyle w:val="InstructionsTabelleberschrift"/>
                <w:rFonts w:ascii="Times New Roman" w:eastAsia="Times New Roman" w:hAnsi="Times New Roman"/>
                <w:b w:val="0"/>
                <w:bCs w:val="0"/>
                <w:sz w:val="24"/>
                <w:u w:val="none"/>
              </w:rPr>
            </w:pPr>
            <w:r w:rsidRPr="0006335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Nie dotyczy.</w:t>
            </w:r>
          </w:p>
        </w:tc>
      </w:tr>
      <w:tr w:rsidR="00D740B8" w:rsidRPr="0006335B" w14:paraId="5EEF83F8" w14:textId="77777777" w:rsidTr="00F828EB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294FD13" w14:textId="77777777" w:rsidR="00D740B8" w:rsidRPr="0006335B" w:rsidRDefault="00D740B8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6335B">
              <w:rPr>
                <w:rFonts w:ascii="Times New Roman" w:hAnsi="Times New Roman"/>
                <w:b/>
                <w:sz w:val="24"/>
              </w:rPr>
              <w:t>13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BDA855" w14:textId="77777777" w:rsidR="00D740B8" w:rsidRPr="0006335B" w:rsidRDefault="00D740B8">
            <w:pPr>
              <w:spacing w:before="120" w:after="120"/>
              <w:jc w:val="both"/>
              <w:rPr>
                <w:rStyle w:val="InstructionsTabelleberschrift"/>
                <w:rFonts w:ascii="Times New Roman" w:eastAsia="Times New Roman" w:hAnsi="Times New Roman"/>
                <w:b w:val="0"/>
                <w:bCs w:val="0"/>
                <w:sz w:val="24"/>
                <w:u w:val="none"/>
              </w:rPr>
            </w:pPr>
            <w:r w:rsidRPr="0006335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Nie dotyczy.</w:t>
            </w:r>
          </w:p>
        </w:tc>
      </w:tr>
    </w:tbl>
    <w:p w14:paraId="25A698B0" w14:textId="77777777" w:rsidR="00D740B8" w:rsidRPr="0006335B" w:rsidRDefault="00D740B8" w:rsidP="00D740B8">
      <w:pPr>
        <w:pStyle w:val="InstructionsText2"/>
        <w:numPr>
          <w:ilvl w:val="0"/>
          <w:numId w:val="0"/>
        </w:numPr>
        <w:ind w:left="360"/>
      </w:pPr>
    </w:p>
    <w:p w14:paraId="033C5861" w14:textId="77777777" w:rsidR="00D740B8" w:rsidRPr="0006335B" w:rsidRDefault="00D740B8" w:rsidP="00D740B8">
      <w:pPr>
        <w:jc w:val="both"/>
        <w:rPr>
          <w:rFonts w:ascii="Times New Roman" w:hAnsi="Times New Roman" w:cs="Times New Roman"/>
          <w:bCs/>
          <w:sz w:val="24"/>
        </w:rPr>
      </w:pPr>
      <w:r w:rsidRPr="0006335B">
        <w:rPr>
          <w:rFonts w:ascii="Times New Roman" w:hAnsi="Times New Roman"/>
          <w:b/>
          <w:sz w:val="24"/>
        </w:rPr>
        <w:t xml:space="preserve">Wzór EU OR2 – Wskaźnik biznesowy, składniki i elementy składowe. </w:t>
      </w:r>
      <w:r w:rsidRPr="0006335B">
        <w:rPr>
          <w:rFonts w:ascii="Times New Roman" w:hAnsi="Times New Roman"/>
          <w:sz w:val="24"/>
        </w:rPr>
        <w:t>Wzór o formacie stałym</w:t>
      </w:r>
    </w:p>
    <w:p w14:paraId="3D173CCF" w14:textId="77777777" w:rsidR="00D740B8" w:rsidRPr="0006335B" w:rsidRDefault="00D740B8" w:rsidP="00D740B8">
      <w:pPr>
        <w:ind w:left="360"/>
        <w:jc w:val="both"/>
        <w:rPr>
          <w:rFonts w:ascii="Times New Roman" w:hAnsi="Times New Roman" w:cs="Times New Roman"/>
          <w:bCs/>
          <w:sz w:val="24"/>
        </w:rPr>
      </w:pPr>
    </w:p>
    <w:p w14:paraId="3F849430" w14:textId="722CFB17" w:rsidR="00D740B8" w:rsidRPr="0006335B" w:rsidRDefault="00D740B8" w:rsidP="00D740B8">
      <w:pPr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</w:rPr>
      </w:pPr>
      <w:r w:rsidRPr="0006335B">
        <w:rPr>
          <w:rFonts w:ascii="Times New Roman" w:hAnsi="Times New Roman"/>
          <w:sz w:val="24"/>
        </w:rPr>
        <w:t xml:space="preserve">Instytucje ujawniają informacje zawarte we wzorze EU OR2 w zastosowaniu art. 446 ust. 1 lit c) i d) rozporządzenia (UE) nr 575/2013 Niniejszy wzór zawiera informacje na temat obliczania wskaźnika biznesowego skorygowanego o współczynniki krańcowe (BIC) zgodnie z art. 313 rozporządzenia (UE) nr 575/2013 oraz na temat obliczania wskaźnika biznesowego (BI), składników i elementów składowych zgodnie z art. 314 rozporządzenia (UE) nr 575/2013. Ponadto niniejszy wzór zawiera również informacje na temat kwot wyłączonych ze wskaźnika biznesowego związanych ze zbywanymi podmiotami lub rodzajami działalności, zgodnie z art. 315 ust. 2. </w:t>
      </w:r>
    </w:p>
    <w:p w14:paraId="5C35CEC0" w14:textId="77777777" w:rsidR="00D740B8" w:rsidRPr="0006335B" w:rsidRDefault="00D740B8" w:rsidP="00D740B8">
      <w:pPr>
        <w:ind w:left="360"/>
        <w:jc w:val="both"/>
        <w:rPr>
          <w:rFonts w:ascii="Times New Roman" w:hAnsi="Times New Roman" w:cs="Times New Roman"/>
          <w:bCs/>
          <w:sz w:val="24"/>
        </w:rPr>
      </w:pPr>
    </w:p>
    <w:p w14:paraId="1749895F" w14:textId="07869965" w:rsidR="00D740B8" w:rsidRPr="0006335B" w:rsidRDefault="00D740B8" w:rsidP="00D740B8">
      <w:pPr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</w:rPr>
      </w:pPr>
      <w:r w:rsidRPr="0006335B">
        <w:rPr>
          <w:rFonts w:ascii="Times New Roman" w:hAnsi="Times New Roman"/>
          <w:sz w:val="24"/>
        </w:rPr>
        <w:t>Instytucje ujawniają informacje za ostatnie trzy lata obrachunkowe na temat kwot pozycji z odpowiedniego wykazu, które są wymagane do obliczenia elementów składowych wskaźnika biznesowego, które są uwzględniane przy obliczaniu wymogów w zakresie funduszy własnych z tytułu ryzyka operacyjnego.</w:t>
      </w:r>
    </w:p>
    <w:p w14:paraId="7B27D162" w14:textId="77777777" w:rsidR="00D740B8" w:rsidRPr="0006335B" w:rsidRDefault="00D740B8" w:rsidP="00D740B8">
      <w:pPr>
        <w:pStyle w:val="ListParagraph"/>
        <w:rPr>
          <w:rFonts w:ascii="Times New Roman" w:hAnsi="Times New Roman"/>
          <w:bCs/>
          <w:sz w:val="24"/>
        </w:rPr>
      </w:pPr>
    </w:p>
    <w:p w14:paraId="41988E91" w14:textId="2D82E22B" w:rsidR="00D740B8" w:rsidRPr="0006335B" w:rsidRDefault="00D740B8" w:rsidP="00D740B8">
      <w:pPr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</w:rPr>
      </w:pPr>
      <w:r w:rsidRPr="0006335B">
        <w:rPr>
          <w:rFonts w:ascii="Times New Roman" w:hAnsi="Times New Roman"/>
          <w:sz w:val="24"/>
        </w:rPr>
        <w:t xml:space="preserve">Zgodnie z art. 314 ust. 8 rozporządzenia (UE) nr 575/2013, jeżeli dane historyczne nie są dostępne, instytucje zgłaszają prognozowane dane szacunkowe. </w:t>
      </w:r>
    </w:p>
    <w:p w14:paraId="14A23528" w14:textId="485ED75C" w:rsidR="00D740B8" w:rsidRPr="0006335B" w:rsidRDefault="00D740B8" w:rsidP="00D740B8">
      <w:pPr>
        <w:pStyle w:val="numbered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06335B">
        <w:rPr>
          <w:rFonts w:ascii="Times New Roman" w:hAnsi="Times New Roman"/>
          <w:sz w:val="24"/>
        </w:rPr>
        <w:t xml:space="preserve">W przypadku gdy instytucje dysponują danymi za okres krótszy niż 3 lata w odniesieniu do szczegółowych pozycji, które służą do obliczenia składników wskaźnika biznesowego, dostępne dane historyczne przypisywane są według pierwszeństwa do odpowiednich kolumn we wzorze. W przypadku gdy instytucje dysponują danymi historycznymi </w:t>
      </w:r>
      <w:r w:rsidRPr="0006335B">
        <w:rPr>
          <w:rFonts w:ascii="Times New Roman" w:hAnsi="Times New Roman"/>
          <w:sz w:val="24"/>
        </w:rPr>
        <w:lastRenderedPageBreak/>
        <w:t>związanymi ze składnikami wskaźnika biznesowego dostępnymi tylko w odniesieniu do informacji dotyczących jednego roku, dane te zgłasza się w kolumnie odpowiadającej ostatniemu rokowi (np. „ostatni rok”). W przypadkach, w których wydaje się to uzasadnione, prognozowane dane szacunkowe uwzględnia się odpowiednio w roku -1 i roku -2, dopóki dane te nie staną się dostępne.</w:t>
      </w:r>
    </w:p>
    <w:p w14:paraId="2DDE0943" w14:textId="7978B770" w:rsidR="00D740B8" w:rsidRPr="0006335B" w:rsidRDefault="00D740B8" w:rsidP="00D740B8">
      <w:pPr>
        <w:pStyle w:val="numbered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06335B">
        <w:rPr>
          <w:rFonts w:ascii="Times New Roman" w:hAnsi="Times New Roman"/>
          <w:sz w:val="24"/>
        </w:rPr>
        <w:t xml:space="preserve">Instytucje nie uwzględniają w podpozycjach, które stanowią część obliczeń składnika dotyczącego odsetek, leasingu i dywidendy (ILDC), żadnych wartości związanych z tymi konkretnymi instytucjami zależnymi, których ILDC oblicza się oddzielnie zgodnie z art. 314 ust. 3 rozporządzenia (UE) nr 575/2013. </w:t>
      </w:r>
    </w:p>
    <w:p w14:paraId="3512454B" w14:textId="27224DC8" w:rsidR="00841A0D" w:rsidRPr="0006335B" w:rsidRDefault="00D740B8" w:rsidP="00D740B8">
      <w:pPr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</w:rPr>
      </w:pPr>
      <w:r w:rsidRPr="0006335B">
        <w:rPr>
          <w:rFonts w:ascii="Times New Roman" w:hAnsi="Times New Roman"/>
          <w:sz w:val="24"/>
        </w:rPr>
        <w:t>Instytucje nie uwzględniają w podpozycjach, które stanowią część obliczeń składnika dotyczącego odsetek, leasingu i dywidendy (ILDC), żadnych danych liczbowych z linii biznesowych bankowości detalicznej lub bankowości komercyjnej w przypadkach, w których instytucja otrzymała zezwolenie na stosowanie art. 314 ust. 4 rozporządzenia (UE) nr 575/2013.</w:t>
      </w:r>
    </w:p>
    <w:p w14:paraId="22AE3E22" w14:textId="77777777" w:rsidR="00841A0D" w:rsidRPr="0006335B" w:rsidRDefault="00841A0D" w:rsidP="00841A0D">
      <w:pPr>
        <w:ind w:left="360"/>
        <w:jc w:val="both"/>
        <w:rPr>
          <w:rFonts w:ascii="Times New Roman" w:hAnsi="Times New Roman" w:cs="Times New Roman"/>
          <w:bCs/>
          <w:sz w:val="24"/>
        </w:rPr>
      </w:pPr>
    </w:p>
    <w:p w14:paraId="3A161EFD" w14:textId="51A72F8E" w:rsidR="00D740B8" w:rsidRPr="0006335B" w:rsidRDefault="003826D3" w:rsidP="00D740B8">
      <w:pPr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</w:rPr>
      </w:pPr>
      <w:r w:rsidRPr="0006335B">
        <w:rPr>
          <w:rFonts w:ascii="Times New Roman" w:hAnsi="Times New Roman"/>
          <w:sz w:val="24"/>
        </w:rPr>
        <w:t xml:space="preserve">Niemniej jednak w wierszu 1 instytucje zgłaszają łączną kwotę ILDC, w tym kwoty obliczone zgodnie z art. 314 ust. 3 rozporządzenia (UE) nr 575/2013. W wierszu EU 1 również zgłasza się ILDC z wyłączeniem podmiotów uwzględnionych w art. 314 ust. 3. </w:t>
      </w:r>
    </w:p>
    <w:p w14:paraId="7DAFACF8" w14:textId="77777777" w:rsidR="00D740B8" w:rsidRPr="0006335B" w:rsidRDefault="00D740B8" w:rsidP="00D740B8">
      <w:pPr>
        <w:ind w:left="360"/>
        <w:jc w:val="both"/>
        <w:rPr>
          <w:rFonts w:ascii="Times New Roman" w:hAnsi="Times New Roman" w:cs="Times New Roman"/>
          <w:bCs/>
          <w:sz w:val="24"/>
        </w:rPr>
      </w:pPr>
    </w:p>
    <w:p w14:paraId="578B96DC" w14:textId="15D840A4" w:rsidR="00D740B8" w:rsidRPr="0006335B" w:rsidRDefault="00D740B8" w:rsidP="00D740B8">
      <w:pPr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</w:rPr>
      </w:pPr>
      <w:r w:rsidRPr="0006335B">
        <w:rPr>
          <w:rFonts w:ascii="Times New Roman" w:hAnsi="Times New Roman"/>
          <w:sz w:val="24"/>
        </w:rPr>
        <w:t xml:space="preserve">W opisie dołączonym do wzoru, zgodnie z art. 446 ust. 1 rozporządzenia (UE) nr 575/2013, instytucje ujawniają uzasadnienia każdego wyłączenia ze wskaźnika biznesowego, z wyjątkiem wyłączenia detalicznych i komercyjnych linii biznesowych uwzględnionych zgodnie z art. 314 ust. 4. </w:t>
      </w:r>
    </w:p>
    <w:p w14:paraId="22C673C4" w14:textId="77777777" w:rsidR="00393FEF" w:rsidRPr="0006335B" w:rsidRDefault="00393FEF" w:rsidP="00532CFA">
      <w:pPr>
        <w:pStyle w:val="ListParagraph"/>
        <w:rPr>
          <w:rFonts w:ascii="Times New Roman" w:hAnsi="Times New Roman"/>
          <w:bCs/>
          <w:sz w:val="24"/>
        </w:rPr>
      </w:pPr>
    </w:p>
    <w:p w14:paraId="7DD11602" w14:textId="59AE982B" w:rsidR="00393FEF" w:rsidRPr="0006335B" w:rsidRDefault="006020C0" w:rsidP="00D740B8">
      <w:pPr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</w:rPr>
      </w:pPr>
      <w:r w:rsidRPr="0006335B">
        <w:rPr>
          <w:rFonts w:ascii="Times New Roman" w:hAnsi="Times New Roman"/>
          <w:sz w:val="24"/>
        </w:rPr>
        <w:t>Biorąc pod uwagę ścisły związek między wymogami dotyczącymi ujawniania informacji na temat ryzyka operacyjnego a sprawozdaniami finansowymi instytucji, odniesienia do wymogów sprawozdawczych odzwierciedlonych w załączniku V do rozporządzenia wykonawczego (UE) 2021/451 (FINREP) zostały uwzględnione w instrukcjach.</w:t>
      </w:r>
    </w:p>
    <w:p w14:paraId="21275E00" w14:textId="77777777" w:rsidR="00D740B8" w:rsidRPr="0006335B" w:rsidRDefault="00D740B8" w:rsidP="00D740B8">
      <w:pPr>
        <w:pStyle w:val="ListParagraph"/>
        <w:rPr>
          <w:rFonts w:ascii="Times New Roman" w:hAnsi="Times New Roman"/>
          <w:bCs/>
          <w:sz w:val="24"/>
        </w:rPr>
      </w:pPr>
    </w:p>
    <w:tbl>
      <w:tblPr>
        <w:tblW w:w="9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7756"/>
      </w:tblGrid>
      <w:tr w:rsidR="00D740B8" w:rsidRPr="0006335B" w14:paraId="069EA903" w14:textId="77777777">
        <w:trPr>
          <w:trHeight w:val="300"/>
        </w:trPr>
        <w:tc>
          <w:tcPr>
            <w:tcW w:w="1260" w:type="dxa"/>
            <w:shd w:val="clear" w:color="auto" w:fill="BFBFBF" w:themeFill="background1" w:themeFillShade="BF"/>
          </w:tcPr>
          <w:p w14:paraId="7E4DE4F0" w14:textId="77777777" w:rsidR="00D740B8" w:rsidRPr="0006335B" w:rsidRDefault="00D740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 w:rsidRPr="0006335B">
              <w:rPr>
                <w:rFonts w:ascii="Times New Roman" w:hAnsi="Times New Roman"/>
                <w:b/>
                <w:sz w:val="24"/>
              </w:rPr>
              <w:t>Kolumna</w:t>
            </w:r>
          </w:p>
        </w:tc>
        <w:tc>
          <w:tcPr>
            <w:tcW w:w="7756" w:type="dxa"/>
            <w:shd w:val="clear" w:color="auto" w:fill="BFBFBF" w:themeFill="background1" w:themeFillShade="BF"/>
          </w:tcPr>
          <w:p w14:paraId="0D54BB35" w14:textId="77777777" w:rsidR="00D740B8" w:rsidRPr="0006335B" w:rsidDel="00B46ADB" w:rsidRDefault="00D740B8">
            <w:pPr>
              <w:autoSpaceDE w:val="0"/>
              <w:autoSpaceDN w:val="0"/>
              <w:adjustRightInd w:val="0"/>
              <w:rPr>
                <w:bCs/>
              </w:rPr>
            </w:pPr>
            <w:r w:rsidRPr="0006335B">
              <w:rPr>
                <w:rFonts w:ascii="Times New Roman" w:hAnsi="Times New Roman"/>
                <w:b/>
                <w:sz w:val="24"/>
              </w:rPr>
              <w:t>Odniesienia prawne i instrukcje</w:t>
            </w:r>
          </w:p>
        </w:tc>
      </w:tr>
      <w:tr w:rsidR="00D740B8" w:rsidRPr="0006335B" w14:paraId="7AE7216D" w14:textId="77777777">
        <w:trPr>
          <w:trHeight w:val="300"/>
        </w:trPr>
        <w:tc>
          <w:tcPr>
            <w:tcW w:w="1260" w:type="dxa"/>
          </w:tcPr>
          <w:p w14:paraId="0FC699E1" w14:textId="0D76C831" w:rsidR="00D740B8" w:rsidRPr="0006335B" w:rsidRDefault="00D740B8" w:rsidP="00165B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06335B">
              <w:rPr>
                <w:rFonts w:ascii="Times New Roman" w:hAnsi="Times New Roman"/>
                <w:sz w:val="24"/>
              </w:rPr>
              <w:t>a, b, c</w:t>
            </w:r>
          </w:p>
        </w:tc>
        <w:tc>
          <w:tcPr>
            <w:tcW w:w="7756" w:type="dxa"/>
          </w:tcPr>
          <w:p w14:paraId="510A12A5" w14:textId="77777777" w:rsidR="00D740B8" w:rsidRPr="0006335B" w:rsidRDefault="00D740B8">
            <w:pPr>
              <w:autoSpaceDE w:val="0"/>
              <w:autoSpaceDN w:val="0"/>
              <w:adjustRightInd w:val="0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 w:rsidRPr="0006335B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 xml:space="preserve">Wartość </w:t>
            </w:r>
          </w:p>
          <w:p w14:paraId="0A7A2FD7" w14:textId="77777777" w:rsidR="00D740B8" w:rsidRPr="0006335B" w:rsidRDefault="00D740B8">
            <w:pPr>
              <w:rPr>
                <w:rFonts w:ascii="Times New Roman" w:hAnsi="Times New Roman"/>
                <w:sz w:val="24"/>
                <w:lang w:eastAsia="de-DE"/>
              </w:rPr>
            </w:pPr>
          </w:p>
          <w:p w14:paraId="0C8A142A" w14:textId="4CAB13C5" w:rsidR="00D740B8" w:rsidRPr="0006335B" w:rsidRDefault="00D740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</w:rPr>
            </w:pPr>
            <w:r w:rsidRPr="0006335B">
              <w:rPr>
                <w:rFonts w:ascii="Times New Roman" w:hAnsi="Times New Roman"/>
                <w:sz w:val="24"/>
              </w:rPr>
              <w:t>Art. 446 ust. 1 lit. d) i art. 314 ust. 1 rozporządzenia (UE) nr 575/2013</w:t>
            </w:r>
          </w:p>
          <w:p w14:paraId="7883915F" w14:textId="77777777" w:rsidR="00D740B8" w:rsidRPr="0006335B" w:rsidRDefault="00D740B8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lang w:eastAsia="nl-BE"/>
              </w:rPr>
            </w:pPr>
          </w:p>
          <w:p w14:paraId="558CD9DA" w14:textId="53976B55" w:rsidR="00EA10B1" w:rsidRPr="0006335B" w:rsidRDefault="002F3CFA">
            <w:pPr>
              <w:pStyle w:val="paragraph"/>
              <w:spacing w:before="0" w:beforeAutospacing="0" w:after="0" w:afterAutospacing="0"/>
              <w:textAlignment w:val="baseline"/>
            </w:pPr>
            <w:r w:rsidRPr="0006335B">
              <w:t xml:space="preserve">Wartość dla pozycji z wykazu, które stanowią część obliczeń wskaźnika biznesowego i jego składników (ILDC, składnika dotyczącego usług (SC) i składnika finansowego (FC)) zgodnie ze standardami rachunkowości mającymi zastosowanie w każdym z ostatnich trzech lat obrachunkowych. </w:t>
            </w:r>
          </w:p>
          <w:p w14:paraId="3414DDFE" w14:textId="77777777" w:rsidR="007B3E62" w:rsidRPr="0006335B" w:rsidRDefault="007B3E62">
            <w:pPr>
              <w:pStyle w:val="paragraph"/>
              <w:spacing w:before="0" w:beforeAutospacing="0" w:after="0" w:afterAutospacing="0"/>
              <w:textAlignment w:val="baseline"/>
              <w:rPr>
                <w:lang w:eastAsia="de-DE"/>
              </w:rPr>
            </w:pPr>
          </w:p>
          <w:p w14:paraId="374E1BCA" w14:textId="3DACCC5D" w:rsidR="007B3E62" w:rsidRPr="0006335B" w:rsidRDefault="00B76B25">
            <w:pPr>
              <w:pStyle w:val="paragraph"/>
              <w:spacing w:before="0" w:beforeAutospacing="0" w:after="0" w:afterAutospacing="0"/>
              <w:textAlignment w:val="baseline"/>
            </w:pPr>
            <w:r w:rsidRPr="0006335B">
              <w:t xml:space="preserve">Kwoty zgłasza się po zastosowaniu korekt związanych z połączeniem/przejęciem i zbytą działalnością. </w:t>
            </w:r>
          </w:p>
          <w:p w14:paraId="00BACA37" w14:textId="77777777" w:rsidR="00EA10B1" w:rsidRPr="0006335B" w:rsidRDefault="00EA10B1">
            <w:pPr>
              <w:pStyle w:val="paragraph"/>
              <w:spacing w:before="0" w:beforeAutospacing="0" w:after="0" w:afterAutospacing="0"/>
              <w:textAlignment w:val="baseline"/>
              <w:rPr>
                <w:lang w:eastAsia="de-DE"/>
              </w:rPr>
            </w:pPr>
          </w:p>
          <w:p w14:paraId="21635601" w14:textId="10729BA3" w:rsidR="00D740B8" w:rsidRPr="0006335B" w:rsidRDefault="00D740B8" w:rsidP="000F6C61">
            <w:pPr>
              <w:pStyle w:val="paragraph"/>
              <w:spacing w:before="0" w:beforeAutospacing="0" w:after="0" w:afterAutospacing="0"/>
              <w:textAlignment w:val="baseline"/>
            </w:pPr>
            <w:r w:rsidRPr="0006335B">
              <w:t xml:space="preserve">W przypadku FC ujawniane wartości będą odzwierciedlać wartości księgowe ustalone przy użyciu granicy w ujęciu rachunkowym lub ostrożnościowym (PBA) w celu określenia pozycji portfela handlowego i portfela bankowego dla każdego </w:t>
            </w:r>
            <w:r w:rsidRPr="0006335B">
              <w:rPr>
                <w:rStyle w:val="normaltextrun"/>
              </w:rPr>
              <w:t>z ostatnich trzech lat obrachunkowych zgodnie z art. 314 ust. 6 rozporządzenia (UE) nr 575/2013.</w:t>
            </w:r>
          </w:p>
        </w:tc>
      </w:tr>
      <w:tr w:rsidR="00D740B8" w:rsidRPr="0006335B" w14:paraId="3103AD05" w14:textId="77777777">
        <w:trPr>
          <w:trHeight w:val="300"/>
        </w:trPr>
        <w:tc>
          <w:tcPr>
            <w:tcW w:w="1260" w:type="dxa"/>
          </w:tcPr>
          <w:p w14:paraId="0FFA543A" w14:textId="77777777" w:rsidR="00D740B8" w:rsidRPr="0006335B" w:rsidRDefault="00D740B8" w:rsidP="00165B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06335B">
              <w:rPr>
                <w:rFonts w:ascii="Times New Roman" w:hAnsi="Times New Roman"/>
                <w:sz w:val="24"/>
              </w:rPr>
              <w:lastRenderedPageBreak/>
              <w:t>d</w:t>
            </w:r>
          </w:p>
        </w:tc>
        <w:tc>
          <w:tcPr>
            <w:tcW w:w="7756" w:type="dxa"/>
          </w:tcPr>
          <w:p w14:paraId="117DF1D7" w14:textId="77777777" w:rsidR="00D740B8" w:rsidRPr="0006335B" w:rsidRDefault="00D740B8">
            <w:pPr>
              <w:autoSpaceDE w:val="0"/>
              <w:autoSpaceDN w:val="0"/>
              <w:adjustRightInd w:val="0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 w:rsidRPr="0006335B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Wartości średnie</w:t>
            </w:r>
          </w:p>
          <w:p w14:paraId="27B3847F" w14:textId="77777777" w:rsidR="00D740B8" w:rsidRPr="0006335B" w:rsidRDefault="00D740B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lang w:eastAsia="de-DE"/>
              </w:rPr>
            </w:pPr>
          </w:p>
          <w:p w14:paraId="2CEEC93D" w14:textId="277817D6" w:rsidR="00D740B8" w:rsidRPr="0006335B" w:rsidRDefault="00D740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</w:rPr>
            </w:pPr>
            <w:r w:rsidRPr="0006335B">
              <w:rPr>
                <w:rFonts w:ascii="Times New Roman" w:hAnsi="Times New Roman"/>
                <w:sz w:val="24"/>
              </w:rPr>
              <w:t>Art. 314 ust. 2, 5 i 6 rozporządzenia (UE) nr 575/2013</w:t>
            </w:r>
          </w:p>
          <w:p w14:paraId="5FAAFF7A" w14:textId="77777777" w:rsidR="00D740B8" w:rsidRPr="0006335B" w:rsidRDefault="00D740B8">
            <w:pPr>
              <w:autoSpaceDE w:val="0"/>
              <w:autoSpaceDN w:val="0"/>
              <w:adjustRightInd w:val="0"/>
              <w:rPr>
                <w:rStyle w:val="InstructionsTabelleberschrift"/>
                <w:rFonts w:ascii="Times New Roman" w:hAnsi="Times New Roman"/>
                <w:sz w:val="24"/>
              </w:rPr>
            </w:pPr>
          </w:p>
          <w:p w14:paraId="3E17CEC0" w14:textId="0641F513" w:rsidR="00D740B8" w:rsidRPr="0006335B" w:rsidRDefault="00D740B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</w:rPr>
            </w:pPr>
            <w:r w:rsidRPr="0006335B">
              <w:rPr>
                <w:rStyle w:val="normaltextrun"/>
              </w:rPr>
              <w:t xml:space="preserve">Obliczone wartości składników ILDC, SC i FC oraz średnia wartość powiązanych z nimi elementów składowych obliczona w ciągu ostatnich trzech lat obrachunkowych i odnosząca się do roku T. </w:t>
            </w:r>
          </w:p>
          <w:p w14:paraId="32637704" w14:textId="35682543" w:rsidR="00D740B8" w:rsidRPr="0006335B" w:rsidRDefault="00D740B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</w:rPr>
            </w:pPr>
          </w:p>
          <w:p w14:paraId="6C270BFC" w14:textId="453723AA" w:rsidR="00D740B8" w:rsidRPr="0006335B" w:rsidRDefault="00D740B8" w:rsidP="008006BD">
            <w:pPr>
              <w:pStyle w:val="paragraph"/>
              <w:spacing w:before="0" w:beforeAutospacing="0" w:after="0" w:afterAutospacing="0"/>
              <w:textAlignment w:val="baseline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06335B">
              <w:rPr>
                <w:rStyle w:val="normaltextrun"/>
              </w:rPr>
              <w:t xml:space="preserve">Średnią oblicza się, uwzględniając wartości księgowe dla każdego z ostatnich trzech lat. </w:t>
            </w:r>
          </w:p>
        </w:tc>
      </w:tr>
    </w:tbl>
    <w:p w14:paraId="75117700" w14:textId="77777777" w:rsidR="00D740B8" w:rsidRPr="0006335B" w:rsidRDefault="00D740B8" w:rsidP="00D740B8">
      <w:pPr>
        <w:pStyle w:val="numberedparagraph"/>
        <w:numPr>
          <w:ilvl w:val="0"/>
          <w:numId w:val="0"/>
        </w:numPr>
        <w:ind w:left="284" w:hanging="284"/>
        <w:rPr>
          <w:rStyle w:val="InstructionsTabelleberschrift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1"/>
        <w:gridCol w:w="7768"/>
      </w:tblGrid>
      <w:tr w:rsidR="00D740B8" w:rsidRPr="0006335B" w14:paraId="60D9E4A4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A0F2134" w14:textId="77777777" w:rsidR="00D740B8" w:rsidRPr="0006335B" w:rsidRDefault="00D740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 w:rsidRPr="0006335B">
              <w:rPr>
                <w:rFonts w:ascii="Times New Roman" w:hAnsi="Times New Roman"/>
                <w:b/>
                <w:sz w:val="24"/>
              </w:rPr>
              <w:t>Wiersz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1799870" w14:textId="77777777" w:rsidR="00D740B8" w:rsidRPr="0006335B" w:rsidRDefault="00D740B8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6335B">
              <w:rPr>
                <w:rFonts w:ascii="Times New Roman" w:hAnsi="Times New Roman"/>
                <w:b/>
                <w:sz w:val="24"/>
              </w:rPr>
              <w:t>Odniesienia prawne i instrukcje</w:t>
            </w:r>
          </w:p>
        </w:tc>
      </w:tr>
      <w:tr w:rsidR="00D740B8" w:rsidRPr="0006335B" w14:paraId="1AE63B23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254D68" w14:textId="77777777" w:rsidR="00D740B8" w:rsidRPr="0006335B" w:rsidRDefault="00D740B8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6335B"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1762DB" w14:textId="77777777" w:rsidR="00D740B8" w:rsidRPr="0006335B" w:rsidRDefault="00D740B8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6335B">
              <w:rPr>
                <w:rFonts w:ascii="Times New Roman" w:hAnsi="Times New Roman"/>
                <w:b/>
                <w:sz w:val="24"/>
              </w:rPr>
              <w:t xml:space="preserve">Składnik dotyczący odsetek, leasingu i dywidendy (ILDC) </w:t>
            </w:r>
          </w:p>
          <w:p w14:paraId="78381763" w14:textId="2625CE0B" w:rsidR="00D740B8" w:rsidRPr="0006335B" w:rsidRDefault="00D740B8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6335B">
              <w:rPr>
                <w:rFonts w:ascii="Times New Roman" w:hAnsi="Times New Roman"/>
                <w:sz w:val="24"/>
              </w:rPr>
              <w:t>Składnik dotyczący odsetek, leasingu i dywidendy (ILDC) oblicza się zgodnie z art. 314 ust. 2 rozporządzenia (UE) nr 575/2013, z uwzględnieniem, w stosownych przypadkach, kwot obliczonych zgodnie z art. 314 ust. 3 rozporządzenia (UE) nr 575/2013. W przypadku gdy instytucja podlega odstępstwu, o którym mowa w art. 314 ust. 4 rozporządzenia (UE) nr 575/2013, instytucja ta nie uwzględnia żadnych danych liczbowych z linii biznesowych bankowości detalicznej i bankowości komercyjnej.</w:t>
            </w:r>
          </w:p>
        </w:tc>
      </w:tr>
      <w:tr w:rsidR="00456F97" w:rsidRPr="0006335B" w14:paraId="2142E785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50228B" w14:textId="2F42AD3B" w:rsidR="00456F97" w:rsidRPr="0006335B" w:rsidRDefault="00E03FA1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6335B">
              <w:rPr>
                <w:rFonts w:ascii="Times New Roman" w:hAnsi="Times New Roman"/>
                <w:b/>
                <w:sz w:val="24"/>
              </w:rPr>
              <w:t>EU 1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ED9357" w14:textId="2BE8631A" w:rsidR="00456F97" w:rsidRPr="0006335B" w:rsidRDefault="00E2624F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6335B">
              <w:rPr>
                <w:rFonts w:ascii="Times New Roman" w:hAnsi="Times New Roman"/>
                <w:b/>
                <w:sz w:val="24"/>
              </w:rPr>
              <w:t>ILDC związany z pojedynczą instytucją/grupą skonsolidowaną (z wyłączeniem podmiotów uwzględnionych w art. 314 ust. 3)</w:t>
            </w:r>
          </w:p>
          <w:p w14:paraId="3B4A0231" w14:textId="6A33703B" w:rsidR="00E2624F" w:rsidRPr="0006335B" w:rsidRDefault="00E2624F" w:rsidP="00413B9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06335B">
              <w:rPr>
                <w:rFonts w:ascii="Times New Roman" w:hAnsi="Times New Roman"/>
                <w:sz w:val="24"/>
              </w:rPr>
              <w:t>Składnik dotyczący odsetek, leasingu i dywidendy (ILDC) obliczony zgodnie z art. 314 ust. 2 rozporządzenia (UE) nr 575/2013, bez uwzględniania danych liczbowych, które stanowią część obliczeń ILDC w przypadkach, w których instytucja stosuje odstępstwo zgodnie z art. 314 ust. 3 rozporządzenia (UE) nr 575/2013.</w:t>
            </w:r>
          </w:p>
        </w:tc>
      </w:tr>
      <w:tr w:rsidR="00D740B8" w:rsidRPr="0006335B" w14:paraId="687AA3E1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775F19" w14:textId="77777777" w:rsidR="00D740B8" w:rsidRPr="0006335B" w:rsidRDefault="00D740B8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6335B">
              <w:rPr>
                <w:rFonts w:ascii="Times New Roman" w:hAnsi="Times New Roman"/>
                <w:b/>
                <w:sz w:val="24"/>
              </w:rPr>
              <w:t>1a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87EA18" w14:textId="77777777" w:rsidR="00D740B8" w:rsidRPr="0006335B" w:rsidRDefault="00D740B8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6335B">
              <w:rPr>
                <w:rFonts w:ascii="Times New Roman" w:hAnsi="Times New Roman"/>
                <w:b/>
                <w:sz w:val="24"/>
              </w:rPr>
              <w:t>Przychody z tytułu odsetek i leasingu</w:t>
            </w:r>
          </w:p>
          <w:p w14:paraId="742C7468" w14:textId="52553B06" w:rsidR="00D740B8" w:rsidRPr="0006335B" w:rsidRDefault="00D740B8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6335B">
              <w:rPr>
                <w:rFonts w:ascii="Times New Roman" w:hAnsi="Times New Roman"/>
                <w:sz w:val="24"/>
              </w:rPr>
              <w:t xml:space="preserve">Suma przychodów z tytułu odsetek od wszystkich aktywów finansowych, innych przychodów z aktywów podlegających leasingowi oraz zysków z aktywów podlegających leasingowi, zgodnie z załącznikiem V do rozporządzenia wykonawczego (UE) 2021/451, z uwzględnieniem, w stosownych przypadkach, kwot obliczonych zgodnie z art. 314 ust. 3 rozporządzenia (UE) nr 575/2013. </w:t>
            </w:r>
          </w:p>
        </w:tc>
      </w:tr>
      <w:tr w:rsidR="00D740B8" w:rsidRPr="0006335B" w14:paraId="07825B95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EDD05F" w14:textId="77777777" w:rsidR="00D740B8" w:rsidRPr="0006335B" w:rsidRDefault="00D740B8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6335B">
              <w:rPr>
                <w:rFonts w:ascii="Times New Roman" w:hAnsi="Times New Roman"/>
                <w:b/>
                <w:sz w:val="24"/>
              </w:rPr>
              <w:t>1b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5F99FE" w14:textId="77777777" w:rsidR="00D740B8" w:rsidRPr="0006335B" w:rsidRDefault="00D740B8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6335B">
              <w:rPr>
                <w:rFonts w:ascii="Times New Roman" w:hAnsi="Times New Roman"/>
                <w:b/>
                <w:sz w:val="24"/>
              </w:rPr>
              <w:t>Koszty z tytułu odsetek i leasingu</w:t>
            </w:r>
          </w:p>
          <w:p w14:paraId="0FA351B6" w14:textId="42A9A53B" w:rsidR="00D740B8" w:rsidRPr="0006335B" w:rsidRDefault="00D740B8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6335B">
              <w:rPr>
                <w:rFonts w:ascii="Times New Roman" w:hAnsi="Times New Roman"/>
                <w:sz w:val="24"/>
              </w:rPr>
              <w:t xml:space="preserve">Suma kosztów z tytułu odsetek od wszystkich zobowiązań finansowych, innych kosztów, kosztów z tytułu aktywów podlegających leasingowi, strat, amortyzacji i utraty wartości aktywów podlegających leasingowi, zgodnie z załącznikiem V do rozporządzenia wykonawczego Komisji (UE) 2021/451, z uwzględnieniem, w stosownych przypadkach, kwot obliczonych zgodnie z art. 314 ust. 3 rozporządzenia (UE) nr 575/2013. </w:t>
            </w:r>
          </w:p>
        </w:tc>
      </w:tr>
      <w:tr w:rsidR="00D740B8" w:rsidRPr="0006335B" w14:paraId="49B58D8D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0019E7" w14:textId="77777777" w:rsidR="00D740B8" w:rsidRPr="0006335B" w:rsidRDefault="00D740B8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6335B">
              <w:rPr>
                <w:rFonts w:ascii="Times New Roman" w:hAnsi="Times New Roman"/>
                <w:b/>
                <w:sz w:val="24"/>
              </w:rPr>
              <w:t>1c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EE844B" w14:textId="4DD74F59" w:rsidR="00D740B8" w:rsidRPr="0006335B" w:rsidRDefault="00B76736">
            <w:pPr>
              <w:spacing w:before="60" w:after="120"/>
              <w:jc w:val="both"/>
              <w:rPr>
                <w:rStyle w:val="InstructionsTabelleberschrift"/>
                <w:rFonts w:ascii="Times New Roman" w:eastAsia="Times New Roman" w:hAnsi="Times New Roman"/>
                <w:sz w:val="24"/>
                <w:u w:val="none"/>
              </w:rPr>
            </w:pPr>
            <w:r w:rsidRPr="0006335B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 xml:space="preserve">Aktywa ogółem/składnik dotyczący aktywów </w:t>
            </w:r>
          </w:p>
          <w:p w14:paraId="15501679" w14:textId="5BCDFDC6" w:rsidR="00D740B8" w:rsidRPr="0006335B" w:rsidRDefault="00B76736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6335B">
              <w:rPr>
                <w:rFonts w:ascii="Times New Roman" w:hAnsi="Times New Roman"/>
                <w:sz w:val="24"/>
              </w:rPr>
              <w:t xml:space="preserve">W kolumnie </w:t>
            </w:r>
            <w:r w:rsidRPr="0006335B">
              <w:rPr>
                <w:rFonts w:ascii="Times New Roman" w:hAnsi="Times New Roman"/>
                <w:i/>
                <w:iCs/>
                <w:sz w:val="24"/>
              </w:rPr>
              <w:t>d</w:t>
            </w:r>
            <w:r w:rsidRPr="0006335B">
              <w:rPr>
                <w:rFonts w:ascii="Times New Roman" w:hAnsi="Times New Roman"/>
                <w:sz w:val="24"/>
              </w:rPr>
              <w:t xml:space="preserve"> – składnik dotyczący aktywów obliczony zgodnie z art. 314 ust. 2 rozporządzenia (UE) nr 575/2013. </w:t>
            </w:r>
          </w:p>
          <w:p w14:paraId="65FF56C9" w14:textId="0134964A" w:rsidR="004E3E86" w:rsidRPr="0006335B" w:rsidRDefault="003E3201" w:rsidP="00373F9D">
            <w:pPr>
              <w:rPr>
                <w:rFonts w:ascii="Times New Roman" w:hAnsi="Times New Roman"/>
                <w:sz w:val="24"/>
              </w:rPr>
            </w:pPr>
            <w:r w:rsidRPr="0006335B">
              <w:rPr>
                <w:rFonts w:ascii="Times New Roman" w:hAnsi="Times New Roman"/>
                <w:sz w:val="24"/>
              </w:rPr>
              <w:lastRenderedPageBreak/>
              <w:t xml:space="preserve">W pozostałych kolumnach aktywa ogółem odpowiadają sumie wartości bilansowej brutto sald pieniężnych w bankach centralnych i innych depozytów płatnych na żądanie, dłużnych papierów wartościowych, kredytów i zaliczek, jak również wartości bilansowej instrumentów pochodnych (zabezpieczenia handlowe i ekonomiczne oraz rachunkowość zabezpieczeń) oraz aktywów podlegających leasingowi (wartości niematerialne i prawne). Pozycje te odnoszą się do załącznika V do rozporządzenia wykonawczego Komisji (UE) 2021/451, z uwzględnieniem, w stosownych przypadkach, kwot obliczonych zgodnie z art. 314 ust. 3 rozporządzenia (UE) nr 575/2013. </w:t>
            </w:r>
          </w:p>
          <w:p w14:paraId="2655EEC4" w14:textId="6116BB66" w:rsidR="00BC1F18" w:rsidRPr="0006335B" w:rsidRDefault="00BC1F18" w:rsidP="00BC1F18">
            <w:pPr>
              <w:rPr>
                <w:rFonts w:ascii="Times New Roman" w:hAnsi="Times New Roman"/>
                <w:sz w:val="24"/>
              </w:rPr>
            </w:pPr>
          </w:p>
        </w:tc>
      </w:tr>
      <w:tr w:rsidR="00D740B8" w:rsidRPr="0006335B" w14:paraId="431D95BD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04247A" w14:textId="77777777" w:rsidR="00D740B8" w:rsidRPr="0006335B" w:rsidRDefault="00D740B8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6335B">
              <w:rPr>
                <w:rFonts w:ascii="Times New Roman" w:hAnsi="Times New Roman"/>
                <w:b/>
                <w:sz w:val="24"/>
              </w:rPr>
              <w:lastRenderedPageBreak/>
              <w:t>1d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F83663" w14:textId="03959A67" w:rsidR="00D740B8" w:rsidRPr="0006335B" w:rsidRDefault="00B76736">
            <w:pPr>
              <w:spacing w:before="60" w:after="120"/>
              <w:jc w:val="both"/>
              <w:rPr>
                <w:rStyle w:val="InstructionsTabelleberschrift"/>
                <w:rFonts w:ascii="Times New Roman" w:eastAsia="Times New Roman" w:hAnsi="Times New Roman"/>
                <w:bCs w:val="0"/>
                <w:sz w:val="24"/>
                <w:u w:val="none"/>
              </w:rPr>
            </w:pPr>
            <w:r w:rsidRPr="0006335B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Przychody z tytułu dywidendy/składnik dotyczący dywidendy</w:t>
            </w:r>
          </w:p>
          <w:p w14:paraId="1A066B7B" w14:textId="7F67417D" w:rsidR="00D740B8" w:rsidRPr="0006335B" w:rsidRDefault="00B76736" w:rsidP="004E3E86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6335B">
              <w:rPr>
                <w:rFonts w:ascii="Times New Roman" w:hAnsi="Times New Roman"/>
                <w:sz w:val="24"/>
              </w:rPr>
              <w:t xml:space="preserve">W kolumnie </w:t>
            </w:r>
            <w:r w:rsidRPr="0006335B">
              <w:rPr>
                <w:rFonts w:ascii="Times New Roman" w:hAnsi="Times New Roman"/>
                <w:i/>
                <w:iCs/>
                <w:sz w:val="24"/>
              </w:rPr>
              <w:t>d</w:t>
            </w:r>
            <w:r w:rsidRPr="0006335B">
              <w:rPr>
                <w:rFonts w:ascii="Times New Roman" w:hAnsi="Times New Roman"/>
                <w:sz w:val="24"/>
              </w:rPr>
              <w:t xml:space="preserve"> – składnik dotyczący dywidendy obliczony zgodnie z art. 314 ust. 2 rozporządzenia (UE) nr 575/2013. </w:t>
            </w:r>
          </w:p>
          <w:p w14:paraId="3F4B342E" w14:textId="59763DCB" w:rsidR="004E3E86" w:rsidRPr="0006335B" w:rsidRDefault="004E3E86" w:rsidP="004E3E86">
            <w:pPr>
              <w:rPr>
                <w:rFonts w:ascii="Times New Roman" w:hAnsi="Times New Roman"/>
                <w:sz w:val="24"/>
              </w:rPr>
            </w:pPr>
            <w:r w:rsidRPr="0006335B">
              <w:rPr>
                <w:rFonts w:ascii="Times New Roman" w:hAnsi="Times New Roman"/>
                <w:sz w:val="24"/>
              </w:rPr>
              <w:t xml:space="preserve">Instytucje zgłaszają przychody z tytułu dywidendy zgodnie z załącznikiem V do rozporządzenia wykonawczego Komisji (UE) 2021/451, z uwzględnieniem, w stosownych przypadkach, kwot obliczonych zgodnie z art. 314 ust. 3 rozporządzenia (UE) nr 575/2013. </w:t>
            </w:r>
          </w:p>
        </w:tc>
      </w:tr>
      <w:tr w:rsidR="003826D3" w:rsidRPr="0006335B" w14:paraId="3A9CE2B7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064302" w14:textId="77777777" w:rsidR="003826D3" w:rsidRPr="0006335B" w:rsidRDefault="003826D3" w:rsidP="003826D3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6335B"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458B47" w14:textId="77777777" w:rsidR="003826D3" w:rsidRPr="0006335B" w:rsidRDefault="003826D3" w:rsidP="003826D3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6335B">
              <w:rPr>
                <w:rFonts w:ascii="Times New Roman" w:hAnsi="Times New Roman"/>
                <w:b/>
                <w:sz w:val="24"/>
              </w:rPr>
              <w:t xml:space="preserve">Składnik dotyczący usług (SC) </w:t>
            </w:r>
          </w:p>
          <w:p w14:paraId="2EFCFDAF" w14:textId="1BEFB0FF" w:rsidR="003826D3" w:rsidRPr="0006335B" w:rsidRDefault="005E7C4C" w:rsidP="003826D3">
            <w:pPr>
              <w:spacing w:before="60" w:after="120"/>
              <w:jc w:val="both"/>
              <w:rPr>
                <w:rStyle w:val="InstructionsTabelleberschrift"/>
                <w:rFonts w:ascii="Times New Roman" w:eastAsia="Times New Roman" w:hAnsi="Times New Roman"/>
                <w:bCs w:val="0"/>
                <w:sz w:val="24"/>
              </w:rPr>
            </w:pPr>
            <w:r w:rsidRPr="0006335B">
              <w:rPr>
                <w:rFonts w:ascii="Times New Roman" w:hAnsi="Times New Roman"/>
                <w:sz w:val="24"/>
              </w:rPr>
              <w:t xml:space="preserve">Składnik dotyczący usług (SC) oblicza się zgodnie z art. 314 ust. 5 rozporządzenia (UE) nr 575/2013. W przypadku gdy instytucja podlega odstępstwu, o którym mowa w art. 314 ust. 4 rozporządzenia (UE) nr 575/2013, instytucja ta nie uwzględnia żadnych danych liczbowych z linii biznesowych bankowości detalicznej i bankowości komercyjnej. </w:t>
            </w:r>
          </w:p>
        </w:tc>
      </w:tr>
      <w:tr w:rsidR="003826D3" w:rsidRPr="0006335B" w14:paraId="74CC77AB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B24C8A" w14:textId="77777777" w:rsidR="003826D3" w:rsidRPr="0006335B" w:rsidRDefault="003826D3" w:rsidP="003826D3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6335B">
              <w:rPr>
                <w:rFonts w:ascii="Times New Roman" w:hAnsi="Times New Roman"/>
                <w:b/>
                <w:sz w:val="24"/>
              </w:rPr>
              <w:t>2a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2F1D9A" w14:textId="77777777" w:rsidR="003826D3" w:rsidRPr="0006335B" w:rsidRDefault="003826D3" w:rsidP="003826D3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6335B">
              <w:rPr>
                <w:rFonts w:ascii="Times New Roman" w:hAnsi="Times New Roman"/>
                <w:b/>
                <w:sz w:val="24"/>
              </w:rPr>
              <w:t>Przychody z tytułu opłat i prowizji</w:t>
            </w:r>
          </w:p>
          <w:p w14:paraId="388F841F" w14:textId="399AB0C3" w:rsidR="003826D3" w:rsidRPr="0006335B" w:rsidRDefault="009816D6" w:rsidP="003826D3">
            <w:pPr>
              <w:spacing w:before="60" w:after="120"/>
              <w:jc w:val="both"/>
              <w:rPr>
                <w:rStyle w:val="InstructionsTabelleberschrift"/>
                <w:rFonts w:ascii="Times New Roman" w:eastAsia="Times New Roman" w:hAnsi="Times New Roman"/>
                <w:sz w:val="24"/>
              </w:rPr>
            </w:pPr>
            <w:r w:rsidRPr="0006335B">
              <w:rPr>
                <w:rFonts w:ascii="Times New Roman" w:hAnsi="Times New Roman"/>
                <w:sz w:val="24"/>
              </w:rPr>
              <w:t>Przychody z tytułu opłat i prowizji, o których mowa w załączniku V do rozporządzenia wykonawczego Komisji (UE) 2021/451, obliczone zgodnie z art. 314 ust. 5 rozporządzenia (UE) nr 575/2013.</w:t>
            </w:r>
          </w:p>
        </w:tc>
      </w:tr>
      <w:tr w:rsidR="003826D3" w:rsidRPr="0006335B" w14:paraId="20677853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17D63A" w14:textId="77777777" w:rsidR="003826D3" w:rsidRPr="0006335B" w:rsidRDefault="003826D3" w:rsidP="003826D3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6335B">
              <w:rPr>
                <w:rFonts w:ascii="Times New Roman" w:hAnsi="Times New Roman"/>
                <w:b/>
                <w:sz w:val="24"/>
              </w:rPr>
              <w:t>2b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8259B2" w14:textId="77777777" w:rsidR="003826D3" w:rsidRPr="0006335B" w:rsidRDefault="003826D3" w:rsidP="003826D3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6335B">
              <w:rPr>
                <w:rFonts w:ascii="Times New Roman" w:hAnsi="Times New Roman"/>
                <w:b/>
                <w:sz w:val="24"/>
              </w:rPr>
              <w:t>Koszty z tytułu opłat i prowizji</w:t>
            </w:r>
          </w:p>
          <w:p w14:paraId="37B7C759" w14:textId="77939277" w:rsidR="003826D3" w:rsidRPr="0006335B" w:rsidRDefault="009816D6" w:rsidP="003826D3">
            <w:pPr>
              <w:spacing w:before="60" w:after="120"/>
              <w:jc w:val="both"/>
              <w:rPr>
                <w:rStyle w:val="InstructionsTabelleberschrift"/>
                <w:rFonts w:ascii="Times New Roman" w:eastAsia="Times New Roman" w:hAnsi="Times New Roman"/>
                <w:bCs w:val="0"/>
                <w:sz w:val="24"/>
              </w:rPr>
            </w:pPr>
            <w:r w:rsidRPr="0006335B">
              <w:rPr>
                <w:rFonts w:ascii="Times New Roman" w:hAnsi="Times New Roman"/>
                <w:sz w:val="24"/>
              </w:rPr>
              <w:t>Koszty z tytułu opłat i prowizji, o których mowa w załączniku V do rozporządzenia wykonawczego Komisji (UE) 2021/451, obliczone zgodnie z art. 314 ust. 5 rozporządzenia (UE) nr 575/2013.</w:t>
            </w:r>
          </w:p>
        </w:tc>
      </w:tr>
      <w:tr w:rsidR="003826D3" w:rsidRPr="0006335B" w14:paraId="56FE9999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7FDD92" w14:textId="77777777" w:rsidR="003826D3" w:rsidRPr="0006335B" w:rsidRDefault="003826D3" w:rsidP="003826D3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6335B">
              <w:rPr>
                <w:rFonts w:ascii="Times New Roman" w:hAnsi="Times New Roman"/>
                <w:b/>
                <w:sz w:val="24"/>
              </w:rPr>
              <w:t>2c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640694" w14:textId="77777777" w:rsidR="003826D3" w:rsidRPr="0006335B" w:rsidRDefault="003826D3" w:rsidP="003826D3">
            <w:pPr>
              <w:spacing w:before="60" w:after="120"/>
              <w:jc w:val="both"/>
              <w:rPr>
                <w:rStyle w:val="InstructionsTabelleberschrift"/>
                <w:rFonts w:ascii="Times New Roman" w:eastAsia="Times New Roman" w:hAnsi="Times New Roman"/>
                <w:sz w:val="24"/>
                <w:u w:val="none"/>
              </w:rPr>
            </w:pPr>
            <w:r w:rsidRPr="0006335B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Pozostałe przychody operacyjne</w:t>
            </w:r>
          </w:p>
          <w:p w14:paraId="035A399D" w14:textId="748A9DAE" w:rsidR="00671F1C" w:rsidRPr="0006335B" w:rsidRDefault="009816D6" w:rsidP="003826D3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6335B">
              <w:rPr>
                <w:rFonts w:ascii="Times New Roman" w:hAnsi="Times New Roman"/>
                <w:sz w:val="24"/>
              </w:rPr>
              <w:t xml:space="preserve">Pozostałe przychody operacyjne obejmujące: zyski z aktywów trwałych i grup do zbycia zaklasyfikowanych jako przeznaczone do sprzedaży, które nie kwalifikują się jako działalność zaniechana (w przypadku strat wartości traktuje się jako zero) oraz pozostałe przychody operacyjne, o których mowa w załączniku V do rozporządzenia wykonawczego Komisji (UE) 2021/451, ale z wyłączeniem przychodów z tytułu leasingu operacyjnego i wszelkich pozycji określonych na podstawie art. 314 ust. 7 rozporządzenia (UE) 2021/451. </w:t>
            </w:r>
          </w:p>
          <w:p w14:paraId="685D1BC1" w14:textId="3C43FE42" w:rsidR="003826D3" w:rsidRPr="0006335B" w:rsidRDefault="00DE3384" w:rsidP="003826D3">
            <w:pPr>
              <w:spacing w:before="60" w:after="120"/>
              <w:jc w:val="both"/>
              <w:rPr>
                <w:rStyle w:val="InstructionsTabelleberschrift"/>
                <w:rFonts w:ascii="Times New Roman" w:eastAsia="Times New Roman" w:hAnsi="Times New Roman"/>
                <w:b w:val="0"/>
                <w:bCs w:val="0"/>
                <w:sz w:val="24"/>
                <w:u w:val="none"/>
              </w:rPr>
            </w:pPr>
            <w:r w:rsidRPr="0006335B">
              <w:rPr>
                <w:rFonts w:ascii="Times New Roman" w:hAnsi="Times New Roman"/>
                <w:sz w:val="24"/>
              </w:rPr>
              <w:t>Kwotę w tym wierszu oblicza się zgodnie z art. 314 ust. 5 rozporządzenia (UE) nr 575/2013.</w:t>
            </w:r>
          </w:p>
        </w:tc>
      </w:tr>
      <w:tr w:rsidR="003826D3" w:rsidRPr="0006335B" w14:paraId="278E4D2B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575E4C" w14:textId="77777777" w:rsidR="003826D3" w:rsidRPr="0006335B" w:rsidRDefault="003826D3" w:rsidP="003826D3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6335B">
              <w:rPr>
                <w:rFonts w:ascii="Times New Roman" w:hAnsi="Times New Roman"/>
                <w:b/>
                <w:sz w:val="24"/>
              </w:rPr>
              <w:t>2d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C949AD" w14:textId="77777777" w:rsidR="003826D3" w:rsidRPr="0006335B" w:rsidRDefault="003826D3" w:rsidP="003826D3">
            <w:pPr>
              <w:spacing w:before="60" w:after="120"/>
              <w:jc w:val="both"/>
              <w:rPr>
                <w:rStyle w:val="InstructionsTabelleberschrift"/>
                <w:rFonts w:ascii="Times New Roman" w:eastAsia="Times New Roman" w:hAnsi="Times New Roman"/>
                <w:sz w:val="24"/>
                <w:u w:val="none"/>
              </w:rPr>
            </w:pPr>
            <w:r w:rsidRPr="0006335B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Pozostałe koszty operacyjne</w:t>
            </w:r>
          </w:p>
          <w:p w14:paraId="4E633503" w14:textId="282D7555" w:rsidR="00543CE4" w:rsidRPr="0006335B" w:rsidRDefault="009816D6" w:rsidP="003826D3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6335B">
              <w:rPr>
                <w:rFonts w:ascii="Times New Roman" w:hAnsi="Times New Roman"/>
                <w:sz w:val="24"/>
              </w:rPr>
              <w:lastRenderedPageBreak/>
              <w:t xml:space="preserve">Pozostałe koszty operacyjne obejmujące: straty z tytułu aktywów trwałych i grup do zbycia zaklasyfikowanych jako przeznaczone do sprzedaży, które nie kwalifikują się jako działalność zaniechana (w przypadku zysków wartość traktuje się jako zero); wszystkie straty, koszty, rezerwy i inne skutki finansowe związane ze zdarzeniami ryzyka operacyjnego i innymi kosztami operacyjnymi, o których mowa w załączniku V do rozporządzenia wykonawczego Komisji (UE) 2021/451, z wyjątkiem pozycji, które zostały już ujawnione w innych częściach niniejszego wzoru, w szczególności z wyłączeniem wszelkich kosztów z tytułu leasingu operacyjnego i z wyłączeniem pozycji określonych zgodnie z art. 314 ust. 7 rozporządzenia (UE) nr 575/2013. </w:t>
            </w:r>
          </w:p>
          <w:p w14:paraId="6F1C30F0" w14:textId="6B1C9DD9" w:rsidR="003826D3" w:rsidRPr="0006335B" w:rsidRDefault="00DE3384" w:rsidP="003826D3">
            <w:pPr>
              <w:spacing w:before="60" w:after="120"/>
              <w:jc w:val="both"/>
              <w:rPr>
                <w:rStyle w:val="InstructionsTabelleberschrift"/>
                <w:rFonts w:ascii="Times New Roman" w:eastAsia="Times New Roman" w:hAnsi="Times New Roman"/>
                <w:sz w:val="24"/>
              </w:rPr>
            </w:pPr>
            <w:r w:rsidRPr="0006335B">
              <w:rPr>
                <w:rFonts w:ascii="Times New Roman" w:hAnsi="Times New Roman"/>
                <w:sz w:val="24"/>
              </w:rPr>
              <w:t>Kwotę w tym wierszu oblicza się zgodnie z art. 314 ust. 5 rozporządzenia (UE) nr 575/2013.</w:t>
            </w:r>
          </w:p>
        </w:tc>
      </w:tr>
      <w:tr w:rsidR="003826D3" w:rsidRPr="0006335B" w14:paraId="7FA7A9FF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E87AB3" w14:textId="77777777" w:rsidR="003826D3" w:rsidRPr="0006335B" w:rsidRDefault="003826D3" w:rsidP="003826D3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6335B">
              <w:rPr>
                <w:rFonts w:ascii="Times New Roman" w:hAnsi="Times New Roman"/>
                <w:b/>
                <w:sz w:val="24"/>
              </w:rPr>
              <w:lastRenderedPageBreak/>
              <w:t>3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B7EDDC" w14:textId="77777777" w:rsidR="003826D3" w:rsidRPr="0006335B" w:rsidRDefault="003826D3" w:rsidP="003826D3">
            <w:pPr>
              <w:spacing w:before="60" w:after="120"/>
              <w:jc w:val="both"/>
              <w:rPr>
                <w:rStyle w:val="InstructionsTabelleberschrift"/>
                <w:rFonts w:ascii="Times New Roman" w:eastAsia="Times New Roman" w:hAnsi="Times New Roman"/>
                <w:bCs w:val="0"/>
                <w:sz w:val="24"/>
                <w:u w:val="none"/>
              </w:rPr>
            </w:pPr>
            <w:r w:rsidRPr="0006335B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Składnik finansowy (FC)</w:t>
            </w:r>
          </w:p>
          <w:p w14:paraId="1C2CD9AE" w14:textId="16B8F7FC" w:rsidR="003826D3" w:rsidRPr="0006335B" w:rsidRDefault="00DE3384" w:rsidP="003826D3">
            <w:pPr>
              <w:spacing w:before="60" w:after="120"/>
              <w:jc w:val="both"/>
              <w:rPr>
                <w:rStyle w:val="InstructionsTabelleberschrift"/>
                <w:rFonts w:ascii="Times New Roman" w:eastAsia="Times New Roman" w:hAnsi="Times New Roman"/>
                <w:b w:val="0"/>
                <w:bCs w:val="0"/>
                <w:sz w:val="24"/>
                <w:u w:val="none"/>
              </w:rPr>
            </w:pPr>
            <w:r w:rsidRPr="0006335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Składnik finansowy (FC) oblicza się zgodnie z art. 314 ust. 6 rozporządzenia (UE) nr 575/2013. </w:t>
            </w:r>
            <w:r w:rsidRPr="0006335B">
              <w:rPr>
                <w:rFonts w:ascii="Times New Roman" w:hAnsi="Times New Roman"/>
                <w:sz w:val="24"/>
              </w:rPr>
              <w:t>W przypadku gdy instytucja podlega odstępstwu, o którym mowa w art. 314 ust. 4 rozporządzenia (UE) nr 575/2013, instytucja ta nie uwzględnia żadnych danych liczbowych z linii biznesowych bankowości detalicznej i bankowości komercyjnej.</w:t>
            </w:r>
          </w:p>
        </w:tc>
      </w:tr>
      <w:tr w:rsidR="003826D3" w:rsidRPr="0006335B" w14:paraId="2B149247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3187E8" w14:textId="77777777" w:rsidR="003826D3" w:rsidRPr="0006335B" w:rsidRDefault="003826D3" w:rsidP="003826D3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6335B">
              <w:rPr>
                <w:rFonts w:ascii="Times New Roman" w:hAnsi="Times New Roman"/>
                <w:b/>
                <w:sz w:val="24"/>
              </w:rPr>
              <w:t>3a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37BB41" w14:textId="6F0E6551" w:rsidR="003826D3" w:rsidRPr="0006335B" w:rsidRDefault="003826D3" w:rsidP="003826D3">
            <w:pPr>
              <w:spacing w:before="60" w:after="120"/>
              <w:jc w:val="both"/>
              <w:rPr>
                <w:rStyle w:val="InstructionsTabelleberschrift"/>
                <w:rFonts w:ascii="Times New Roman" w:eastAsia="Times New Roman" w:hAnsi="Times New Roman"/>
                <w:bCs w:val="0"/>
                <w:sz w:val="24"/>
                <w:u w:val="none"/>
              </w:rPr>
            </w:pPr>
            <w:r w:rsidRPr="0006335B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Zysk lub strata netto mające zastosowanie do portfela handlowego (TB)</w:t>
            </w:r>
          </w:p>
          <w:p w14:paraId="4E177CA3" w14:textId="3117C8C9" w:rsidR="003826D3" w:rsidRPr="0006335B" w:rsidRDefault="003826D3" w:rsidP="003826D3">
            <w:pPr>
              <w:spacing w:before="60" w:after="120"/>
              <w:jc w:val="both"/>
              <w:rPr>
                <w:rStyle w:val="InstructionsTabelleberschrift"/>
                <w:rFonts w:ascii="Times New Roman" w:eastAsia="Times New Roman" w:hAnsi="Times New Roman"/>
                <w:b w:val="0"/>
                <w:bCs w:val="0"/>
                <w:sz w:val="24"/>
                <w:u w:val="none"/>
              </w:rPr>
            </w:pPr>
            <w:r w:rsidRPr="0006335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Zysk lub strata netto mające zastosowanie do portfela handlowego obliczone na podstawie pozycji zawartych we wzorze F 02.00 „Rachunek zysków lub strat” w załączniku IV do rozporządzenia wykonawczego Komisji (UE) 2021/451.</w:t>
            </w:r>
          </w:p>
          <w:p w14:paraId="761552C0" w14:textId="72FB01FC" w:rsidR="001E5563" w:rsidRPr="0006335B" w:rsidRDefault="001E5563" w:rsidP="00C65626">
            <w:pPr>
              <w:pStyle w:val="paragraph"/>
              <w:textAlignment w:val="baseline"/>
              <w:rPr>
                <w:rStyle w:val="InstructionsTabelleberschrift"/>
                <w:rFonts w:ascii="Segoe UI" w:hAnsi="Segoe UI" w:cs="Segoe UI"/>
              </w:rPr>
            </w:pPr>
            <w:r w:rsidRPr="0006335B">
              <w:t xml:space="preserve">Ujawniane wartości będą odzwierciedlać wartości księgowe ustalone przy użyciu granicy w ujęciu rachunkowym lub ostrożnościowym (PBA) w celu określenia pozycji portfela handlowego i portfela bankowego dla każdego </w:t>
            </w:r>
            <w:r w:rsidRPr="0006335B">
              <w:rPr>
                <w:rStyle w:val="normaltextrun"/>
              </w:rPr>
              <w:t>z ostatnich trzech lat obrachunkowych zgodnie z art. 314 ust. 6 rozporządzenia (UE) nr 575/2013.</w:t>
            </w:r>
            <w:r w:rsidRPr="0006335B">
              <w:t xml:space="preserve"> </w:t>
            </w:r>
          </w:p>
        </w:tc>
      </w:tr>
      <w:tr w:rsidR="003826D3" w:rsidRPr="0006335B" w14:paraId="769832BB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3C7174" w14:textId="77777777" w:rsidR="003826D3" w:rsidRPr="0006335B" w:rsidRDefault="003826D3" w:rsidP="003826D3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6335B">
              <w:rPr>
                <w:rFonts w:ascii="Times New Roman" w:hAnsi="Times New Roman"/>
                <w:b/>
                <w:sz w:val="24"/>
              </w:rPr>
              <w:t>3b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D949CD" w14:textId="505506A8" w:rsidR="003826D3" w:rsidRPr="0006335B" w:rsidRDefault="003826D3" w:rsidP="003826D3">
            <w:pPr>
              <w:spacing w:before="60" w:after="120"/>
              <w:jc w:val="both"/>
              <w:rPr>
                <w:rStyle w:val="InstructionsTabelleberschrift"/>
                <w:rFonts w:ascii="Times New Roman" w:eastAsia="Times New Roman" w:hAnsi="Times New Roman"/>
                <w:bCs w:val="0"/>
                <w:sz w:val="24"/>
                <w:u w:val="none"/>
              </w:rPr>
            </w:pPr>
            <w:r w:rsidRPr="0006335B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Zysk lub strata netto mające zastosowanie do portfela bankowego (BB)</w:t>
            </w:r>
          </w:p>
          <w:p w14:paraId="16F13570" w14:textId="2B0892A5" w:rsidR="003826D3" w:rsidRPr="0006335B" w:rsidRDefault="003826D3" w:rsidP="003826D3">
            <w:pPr>
              <w:spacing w:before="60" w:after="120"/>
              <w:jc w:val="both"/>
              <w:rPr>
                <w:rStyle w:val="InstructionsTabelleberschrift"/>
                <w:rFonts w:ascii="Times New Roman" w:eastAsia="Times New Roman" w:hAnsi="Times New Roman"/>
                <w:b w:val="0"/>
                <w:bCs w:val="0"/>
                <w:sz w:val="24"/>
                <w:u w:val="none"/>
              </w:rPr>
            </w:pPr>
            <w:r w:rsidRPr="0006335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Zysk lub strata netto mające zastosowanie do portfela bankowego obliczone na podstawie pozycji zawartych we wzorze F 02.00 „Rachunek zysków lub strat” w załączniku IV do rozporządzenia wykonawczego Komisji (UE) 2021/451.</w:t>
            </w:r>
          </w:p>
          <w:p w14:paraId="3E9BB5BF" w14:textId="02EE9697" w:rsidR="003826D3" w:rsidRPr="0006335B" w:rsidRDefault="001E5563" w:rsidP="003826D3">
            <w:pPr>
              <w:pStyle w:val="paragraph"/>
              <w:textAlignment w:val="baseline"/>
              <w:rPr>
                <w:rStyle w:val="InstructionsTabelleberschrift"/>
                <w:rFonts w:ascii="Segoe UI" w:hAnsi="Segoe UI" w:cs="Segoe UI"/>
              </w:rPr>
            </w:pPr>
            <w:r w:rsidRPr="0006335B">
              <w:t xml:space="preserve">Ujawniane wartości będą odzwierciedlać wartości księgowe ustalone przy użyciu granicy w ujęciu rachunkowym lub ostrożnościowym (PBA) w celu określenia pozycji portfela handlowego i portfela bankowego dla każdego </w:t>
            </w:r>
            <w:r w:rsidRPr="0006335B">
              <w:rPr>
                <w:rStyle w:val="normaltextrun"/>
              </w:rPr>
              <w:t>z ostatnich trzech lat obrachunkowych zgodnie z art. 314 ust. 6 rozporządzenia (UE) nr 575/2013.</w:t>
            </w:r>
          </w:p>
        </w:tc>
      </w:tr>
      <w:tr w:rsidR="003826D3" w:rsidRPr="0006335B" w14:paraId="4C01E0EE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DF21AD" w14:textId="77777777" w:rsidR="003826D3" w:rsidRPr="0006335B" w:rsidRDefault="003826D3" w:rsidP="003826D3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6335B">
              <w:rPr>
                <w:rFonts w:ascii="Times New Roman" w:hAnsi="Times New Roman"/>
                <w:b/>
                <w:sz w:val="24"/>
              </w:rPr>
              <w:t>EU 3c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1BB97F" w14:textId="198C3BBA" w:rsidR="003826D3" w:rsidRPr="0006335B" w:rsidRDefault="008C3E6A" w:rsidP="003826D3">
            <w:pPr>
              <w:spacing w:before="60" w:after="120"/>
              <w:jc w:val="both"/>
              <w:rPr>
                <w:rStyle w:val="InstructionsTabelleberschrift"/>
                <w:rFonts w:ascii="Times New Roman" w:eastAsia="Times New Roman" w:hAnsi="Times New Roman"/>
                <w:bCs w:val="0"/>
                <w:sz w:val="24"/>
                <w:u w:val="none"/>
              </w:rPr>
            </w:pPr>
            <w:r w:rsidRPr="0006335B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Ujęcie stosowane do ustalenia granicy pomiędzy portfelem bankowym a portfelem handlowym (ujęcie ostrożnościowe lub rachunkowe)</w:t>
            </w:r>
          </w:p>
          <w:p w14:paraId="00A81A34" w14:textId="0A7D6D1A" w:rsidR="003826D3" w:rsidRPr="0006335B" w:rsidRDefault="003826D3" w:rsidP="003826D3">
            <w:pPr>
              <w:spacing w:before="60" w:after="120"/>
              <w:jc w:val="both"/>
              <w:rPr>
                <w:rStyle w:val="InstructionsTabelleberschrift"/>
                <w:rFonts w:ascii="Times New Roman" w:eastAsia="Times New Roman" w:hAnsi="Times New Roman"/>
                <w:b w:val="0"/>
                <w:bCs w:val="0"/>
                <w:sz w:val="24"/>
                <w:u w:val="none"/>
              </w:rPr>
            </w:pPr>
            <w:r w:rsidRPr="0006335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Ujęcie stosowane w dniu odniesienia przy ustalaniu FC: klasyfikacja rachunkowa lub ostrożnościowa (PBA). Podejście to stosuje się konsekwentnie </w:t>
            </w:r>
            <w:r w:rsidRPr="0006335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w odniesieniu do kwot ujawnianych za każdy z ostatnich trzech lat obrachunkowych.</w:t>
            </w:r>
          </w:p>
        </w:tc>
      </w:tr>
      <w:tr w:rsidR="003826D3" w:rsidRPr="0006335B" w14:paraId="130758B4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1EF276" w14:textId="77777777" w:rsidR="003826D3" w:rsidRPr="0006335B" w:rsidRDefault="003826D3" w:rsidP="003826D3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6335B">
              <w:rPr>
                <w:rFonts w:ascii="Times New Roman" w:hAnsi="Times New Roman"/>
                <w:b/>
                <w:sz w:val="24"/>
              </w:rPr>
              <w:lastRenderedPageBreak/>
              <w:t>4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4882AA" w14:textId="77777777" w:rsidR="003826D3" w:rsidRPr="0006335B" w:rsidRDefault="003826D3" w:rsidP="003826D3">
            <w:pPr>
              <w:spacing w:before="60" w:after="120"/>
              <w:jc w:val="both"/>
              <w:rPr>
                <w:rStyle w:val="InstructionsTabelleberschrift"/>
                <w:rFonts w:ascii="Times New Roman" w:eastAsia="Times New Roman" w:hAnsi="Times New Roman"/>
                <w:bCs w:val="0"/>
                <w:sz w:val="24"/>
                <w:u w:val="none"/>
              </w:rPr>
            </w:pPr>
            <w:r w:rsidRPr="0006335B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Wskaźnik biznesowy</w:t>
            </w:r>
          </w:p>
          <w:p w14:paraId="35C99FE1" w14:textId="0AFECB29" w:rsidR="003826D3" w:rsidRPr="0006335B" w:rsidRDefault="003826D3" w:rsidP="003826D3">
            <w:pPr>
              <w:spacing w:before="60" w:after="120"/>
              <w:jc w:val="both"/>
              <w:rPr>
                <w:rStyle w:val="InstructionsTabelleberschrift"/>
                <w:rFonts w:ascii="Times New Roman" w:eastAsia="Times New Roman" w:hAnsi="Times New Roman"/>
                <w:b w:val="0"/>
                <w:bCs w:val="0"/>
                <w:sz w:val="24"/>
                <w:u w:val="none"/>
              </w:rPr>
            </w:pPr>
            <w:r w:rsidRPr="0006335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Wskaźnik biznesowy obliczony zgodnie z art. 314 ust. 1</w:t>
            </w:r>
            <w:r w:rsidRPr="0006335B">
              <w:rPr>
                <w:rFonts w:ascii="Times New Roman" w:hAnsi="Times New Roman"/>
                <w:sz w:val="24"/>
              </w:rPr>
              <w:t xml:space="preserve"> rozporządzenia (UE) nr 575/2013, </w:t>
            </w:r>
            <w:r w:rsidRPr="0006335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stanowiący sumę trzech składników</w:t>
            </w:r>
            <w:r w:rsidRPr="0006335B">
              <w:rPr>
                <w:rFonts w:ascii="Times New Roman" w:hAnsi="Times New Roman"/>
                <w:sz w:val="24"/>
              </w:rPr>
              <w:t>:</w:t>
            </w:r>
            <w:r w:rsidRPr="0006335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ILDC, SC i FC.</w:t>
            </w:r>
          </w:p>
        </w:tc>
      </w:tr>
      <w:tr w:rsidR="003826D3" w:rsidRPr="0006335B" w14:paraId="45662CD2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E29C54" w14:textId="77777777" w:rsidR="003826D3" w:rsidRPr="0006335B" w:rsidRDefault="003826D3" w:rsidP="003826D3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6335B">
              <w:rPr>
                <w:rFonts w:ascii="Times New Roman" w:hAnsi="Times New Roman"/>
                <w:b/>
                <w:sz w:val="24"/>
              </w:rPr>
              <w:t>5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93F910" w14:textId="77777777" w:rsidR="003826D3" w:rsidRPr="0006335B" w:rsidRDefault="003826D3" w:rsidP="003826D3">
            <w:pPr>
              <w:spacing w:before="60" w:after="120"/>
              <w:jc w:val="both"/>
              <w:rPr>
                <w:rStyle w:val="InstructionsTabelleberschrift"/>
                <w:rFonts w:ascii="Times New Roman" w:eastAsia="Times New Roman" w:hAnsi="Times New Roman"/>
                <w:sz w:val="24"/>
                <w:u w:val="none"/>
              </w:rPr>
            </w:pPr>
            <w:r w:rsidRPr="0006335B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Wskaźnik biznesowy skorygowany o współczynniki krańcowe (BIC)</w:t>
            </w:r>
          </w:p>
          <w:p w14:paraId="4AC6BDA5" w14:textId="5507A684" w:rsidR="003826D3" w:rsidRPr="0006335B" w:rsidRDefault="003826D3" w:rsidP="003826D3">
            <w:pPr>
              <w:spacing w:before="60" w:after="120"/>
              <w:jc w:val="both"/>
              <w:rPr>
                <w:rStyle w:val="InstructionsTabelleberschrift"/>
                <w:rFonts w:ascii="Times New Roman" w:eastAsia="Times New Roman" w:hAnsi="Times New Roman"/>
                <w:b w:val="0"/>
                <w:bCs w:val="0"/>
                <w:sz w:val="24"/>
                <w:u w:val="none"/>
              </w:rPr>
            </w:pPr>
            <w:r w:rsidRPr="0006335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Wskaźnik biznesowy skorygowany o współczynniki krańcowe</w:t>
            </w:r>
            <w:r w:rsidRPr="0006335B">
              <w:rPr>
                <w:rFonts w:ascii="Times New Roman" w:hAnsi="Times New Roman"/>
                <w:sz w:val="24"/>
              </w:rPr>
              <w:t xml:space="preserve"> obliczony zgodnie z art. 313 rozporządzenia (UE) nr 575/2013: </w:t>
            </w:r>
          </w:p>
        </w:tc>
      </w:tr>
      <w:tr w:rsidR="003826D3" w:rsidRPr="0006335B" w14:paraId="246D3463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D251DF" w14:textId="77777777" w:rsidR="003826D3" w:rsidRPr="0006335B" w:rsidRDefault="003826D3" w:rsidP="003826D3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6335B">
              <w:rPr>
                <w:rFonts w:ascii="Times New Roman" w:hAnsi="Times New Roman"/>
                <w:b/>
                <w:sz w:val="24"/>
              </w:rPr>
              <w:t>6a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9BD331" w14:textId="77777777" w:rsidR="003826D3" w:rsidRPr="0006335B" w:rsidRDefault="003826D3" w:rsidP="003826D3">
            <w:pPr>
              <w:spacing w:before="60" w:after="120"/>
              <w:jc w:val="both"/>
              <w:rPr>
                <w:rStyle w:val="InstructionsTabelleberschrift"/>
                <w:rFonts w:ascii="Times New Roman" w:eastAsia="Times New Roman" w:hAnsi="Times New Roman"/>
                <w:bCs w:val="0"/>
                <w:sz w:val="24"/>
                <w:u w:val="none"/>
              </w:rPr>
            </w:pPr>
            <w:r w:rsidRPr="0006335B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Wskaźnik biznesowy z uwzględnieniem wyłączonej zbywanej działalności</w:t>
            </w:r>
          </w:p>
          <w:p w14:paraId="4B01F051" w14:textId="6AEF7EE6" w:rsidR="003826D3" w:rsidRPr="0006335B" w:rsidRDefault="003826D3" w:rsidP="003826D3">
            <w:pPr>
              <w:spacing w:before="60" w:after="120"/>
              <w:jc w:val="both"/>
              <w:rPr>
                <w:rStyle w:val="InstructionsTabelleberschrift"/>
                <w:rFonts w:ascii="Times New Roman" w:eastAsia="Times New Roman" w:hAnsi="Times New Roman"/>
                <w:b w:val="0"/>
                <w:bCs w:val="0"/>
                <w:sz w:val="24"/>
                <w:u w:val="none"/>
              </w:rPr>
            </w:pPr>
            <w:r w:rsidRPr="0006335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Kwota wskaźnika biznesowego z uwzględnieniem wyłączonej zbywanej działalności zgodnie z art. 315 ust. 2 rozporządzenia (UE) nr 575/2013</w:t>
            </w:r>
            <w:r w:rsidRPr="0006335B">
              <w:rPr>
                <w:rFonts w:ascii="Times New Roman" w:hAnsi="Times New Roman"/>
                <w:sz w:val="24"/>
              </w:rPr>
              <w:t>.</w:t>
            </w:r>
            <w:r w:rsidRPr="0006335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</w:p>
        </w:tc>
      </w:tr>
      <w:tr w:rsidR="003826D3" w:rsidRPr="0006335B" w14:paraId="6ADC8B44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7F6F18" w14:textId="77777777" w:rsidR="003826D3" w:rsidRPr="0006335B" w:rsidRDefault="003826D3" w:rsidP="003826D3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6335B">
              <w:rPr>
                <w:rFonts w:ascii="Times New Roman" w:hAnsi="Times New Roman"/>
                <w:b/>
                <w:sz w:val="24"/>
              </w:rPr>
              <w:t>6b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D596E1" w14:textId="77777777" w:rsidR="003826D3" w:rsidRPr="0006335B" w:rsidRDefault="003826D3" w:rsidP="003826D3">
            <w:pPr>
              <w:spacing w:before="60" w:after="120"/>
              <w:jc w:val="both"/>
              <w:rPr>
                <w:rStyle w:val="InstructionsTabelleberschrift"/>
                <w:rFonts w:ascii="Times New Roman" w:eastAsia="Times New Roman" w:hAnsi="Times New Roman"/>
                <w:bCs w:val="0"/>
                <w:sz w:val="24"/>
                <w:u w:val="none"/>
              </w:rPr>
            </w:pPr>
            <w:r w:rsidRPr="0006335B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Zmniejszenie wskaźnika biznesowego ze względu na wyłączoną zbywaną działalność</w:t>
            </w:r>
          </w:p>
          <w:p w14:paraId="100A0132" w14:textId="636B5EF6" w:rsidR="003826D3" w:rsidRPr="0006335B" w:rsidRDefault="003826D3" w:rsidP="003826D3">
            <w:pPr>
              <w:spacing w:before="60" w:after="120"/>
              <w:jc w:val="both"/>
              <w:rPr>
                <w:rStyle w:val="InstructionsTabelleberschrift"/>
                <w:rFonts w:ascii="Times New Roman" w:eastAsia="Times New Roman" w:hAnsi="Times New Roman"/>
                <w:b w:val="0"/>
                <w:bCs w:val="0"/>
                <w:sz w:val="24"/>
                <w:u w:val="none"/>
              </w:rPr>
            </w:pPr>
            <w:r w:rsidRPr="0006335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Różnica między wskaźnikiem biznesowym z uwzględnieniem wyłączonej zbywanej działalności (wiersz 6a) a wskaźnikiem biznesowym ogółem (wiersz 4). </w:t>
            </w:r>
          </w:p>
        </w:tc>
      </w:tr>
      <w:tr w:rsidR="003826D3" w:rsidRPr="0006335B" w14:paraId="66494CDF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D7A112" w14:textId="77777777" w:rsidR="003826D3" w:rsidRPr="0006335B" w:rsidRDefault="003826D3" w:rsidP="003826D3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6335B">
              <w:rPr>
                <w:rFonts w:ascii="Times New Roman" w:hAnsi="Times New Roman"/>
                <w:b/>
                <w:sz w:val="24"/>
              </w:rPr>
              <w:t>EU 6c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4B02A2" w14:textId="77777777" w:rsidR="003826D3" w:rsidRPr="0006335B" w:rsidRDefault="003826D3" w:rsidP="003826D3">
            <w:pPr>
              <w:spacing w:before="60" w:after="120"/>
              <w:jc w:val="both"/>
              <w:rPr>
                <w:rStyle w:val="InstructionsTabelleberschrift"/>
                <w:rFonts w:ascii="Times New Roman" w:eastAsia="Times New Roman" w:hAnsi="Times New Roman"/>
                <w:bCs w:val="0"/>
                <w:sz w:val="24"/>
                <w:u w:val="none"/>
              </w:rPr>
            </w:pPr>
            <w:r w:rsidRPr="0006335B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Wpływ połączeń/przejęć na wskaźnik biznesowy</w:t>
            </w:r>
          </w:p>
          <w:p w14:paraId="68B0EB8C" w14:textId="39D74825" w:rsidR="003826D3" w:rsidRPr="0006335B" w:rsidRDefault="003826D3" w:rsidP="003826D3">
            <w:pPr>
              <w:spacing w:before="60" w:after="120"/>
              <w:jc w:val="both"/>
              <w:rPr>
                <w:rStyle w:val="InstructionsTabelleberschrift"/>
                <w:rFonts w:ascii="Times New Roman" w:eastAsia="Times New Roman" w:hAnsi="Times New Roman"/>
                <w:b w:val="0"/>
                <w:bCs w:val="0"/>
                <w:sz w:val="24"/>
                <w:u w:val="none"/>
              </w:rPr>
            </w:pPr>
            <w:r w:rsidRPr="0006335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Kwota uwzględniona we wskaźniku biznesowym odpowiadająca składnikom wskaźnika biznesowego ze względu na połączenie lub nabycie podmiotów lub działalności, obliczona zgodnie z art. 315 ust. 1 rozporządzenia (UE) nr 575/2013.</w:t>
            </w:r>
          </w:p>
        </w:tc>
      </w:tr>
    </w:tbl>
    <w:p w14:paraId="2517003F" w14:textId="77777777" w:rsidR="00D740B8" w:rsidRPr="0006335B" w:rsidRDefault="00D740B8" w:rsidP="00D740B8">
      <w:pPr>
        <w:pStyle w:val="numberedparagraph"/>
        <w:numPr>
          <w:ilvl w:val="0"/>
          <w:numId w:val="0"/>
        </w:numPr>
        <w:ind w:left="284" w:hanging="284"/>
        <w:rPr>
          <w:rFonts w:ascii="Times New Roman" w:eastAsia="Arial" w:hAnsi="Times New Roman" w:cs="Times New Roman"/>
          <w:sz w:val="24"/>
        </w:rPr>
      </w:pPr>
    </w:p>
    <w:p w14:paraId="7E7146AD" w14:textId="1649FBD5" w:rsidR="00D740B8" w:rsidRPr="0006335B" w:rsidRDefault="00D740B8" w:rsidP="00D740B8">
      <w:pPr>
        <w:jc w:val="both"/>
        <w:rPr>
          <w:rFonts w:ascii="Times New Roman" w:hAnsi="Times New Roman" w:cs="Times New Roman"/>
          <w:bCs/>
          <w:sz w:val="24"/>
        </w:rPr>
      </w:pPr>
      <w:r w:rsidRPr="0006335B">
        <w:rPr>
          <w:rFonts w:ascii="Times New Roman" w:hAnsi="Times New Roman"/>
          <w:b/>
          <w:sz w:val="24"/>
        </w:rPr>
        <w:t xml:space="preserve">Wzór EU OR3 – Wymogi w zakresie funduszy własnych z tytułu ryzyka operacyjnego i kwoty ekspozycji na ryzyko. </w:t>
      </w:r>
      <w:r w:rsidRPr="0006335B">
        <w:rPr>
          <w:rFonts w:ascii="Times New Roman" w:hAnsi="Times New Roman"/>
          <w:sz w:val="24"/>
        </w:rPr>
        <w:t>Wzór o formacie stałym</w:t>
      </w:r>
    </w:p>
    <w:p w14:paraId="5AB15A39" w14:textId="77777777" w:rsidR="00D740B8" w:rsidRPr="0006335B" w:rsidRDefault="00D740B8" w:rsidP="00D740B8">
      <w:pPr>
        <w:ind w:left="360"/>
        <w:jc w:val="both"/>
        <w:rPr>
          <w:rFonts w:ascii="Times New Roman" w:hAnsi="Times New Roman" w:cs="Times New Roman"/>
          <w:bCs/>
          <w:sz w:val="24"/>
        </w:rPr>
      </w:pPr>
    </w:p>
    <w:p w14:paraId="60DF34D1" w14:textId="5D91AE75" w:rsidR="00D740B8" w:rsidRPr="0006335B" w:rsidRDefault="00D740B8" w:rsidP="00D740B8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06335B">
        <w:rPr>
          <w:rFonts w:ascii="Times New Roman" w:hAnsi="Times New Roman"/>
          <w:sz w:val="24"/>
        </w:rPr>
        <w:t xml:space="preserve">Instytucje ujawniają informacje zawarte we wzorze EU OR3 w zastosowaniu art. 446 ust. 1 lit b) rozporządzenia (UE) nr 575/2013. Niniejszy wzór zawiera informacje na temat obliczania wymogów w zakresie funduszy własnych z tytułu ryzyka operacyjnego zgodnie z art. 312–315 rozporządzenia (UE) nr 575/2013. </w:t>
      </w:r>
    </w:p>
    <w:p w14:paraId="6DFA1648" w14:textId="77777777" w:rsidR="00D740B8" w:rsidRPr="0006335B" w:rsidRDefault="00D740B8" w:rsidP="00D740B8">
      <w:pPr>
        <w:ind w:left="360"/>
        <w:jc w:val="both"/>
        <w:rPr>
          <w:rFonts w:ascii="Times New Roman" w:hAnsi="Times New Roman" w:cs="Times New Roman"/>
          <w:bCs/>
          <w:sz w:val="24"/>
        </w:rPr>
      </w:pPr>
    </w:p>
    <w:p w14:paraId="2E35B8A0" w14:textId="77777777" w:rsidR="00D740B8" w:rsidRPr="0006335B" w:rsidRDefault="00D740B8" w:rsidP="00D740B8">
      <w:pPr>
        <w:rPr>
          <w:rFonts w:ascii="Times New Roman" w:hAnsi="Times New Roman" w:cs="Times New Roman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1"/>
        <w:gridCol w:w="7768"/>
      </w:tblGrid>
      <w:tr w:rsidR="00D740B8" w:rsidRPr="0006335B" w14:paraId="6F42A4B4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DF89E53" w14:textId="77777777" w:rsidR="00D740B8" w:rsidRPr="0006335B" w:rsidRDefault="00D740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 w:rsidRPr="0006335B">
              <w:rPr>
                <w:rFonts w:ascii="Times New Roman" w:hAnsi="Times New Roman"/>
                <w:b/>
                <w:sz w:val="24"/>
              </w:rPr>
              <w:t xml:space="preserve">Wiersz 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ECBF1" w14:textId="77777777" w:rsidR="00D740B8" w:rsidRPr="0006335B" w:rsidRDefault="00D740B8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6335B">
              <w:rPr>
                <w:rFonts w:ascii="Times New Roman" w:hAnsi="Times New Roman"/>
                <w:b/>
                <w:sz w:val="24"/>
              </w:rPr>
              <w:t>Wyjaśnienie</w:t>
            </w:r>
          </w:p>
        </w:tc>
      </w:tr>
      <w:tr w:rsidR="00D740B8" w:rsidRPr="0006335B" w14:paraId="6BF3BB09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B58A85" w14:textId="77777777" w:rsidR="00D740B8" w:rsidRPr="0006335B" w:rsidRDefault="00D740B8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6335B"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8FF758" w14:textId="77777777" w:rsidR="00D740B8" w:rsidRPr="0006335B" w:rsidRDefault="00D740B8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6335B">
              <w:rPr>
                <w:rFonts w:ascii="Times New Roman" w:hAnsi="Times New Roman"/>
                <w:b/>
                <w:sz w:val="24"/>
              </w:rPr>
              <w:t>Wskaźnik biznesowy skorygowany o współczynniki krańcowe (BIC)</w:t>
            </w:r>
          </w:p>
          <w:p w14:paraId="1B10BB72" w14:textId="77777777" w:rsidR="00D740B8" w:rsidRPr="0006335B" w:rsidRDefault="00D740B8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6335B">
              <w:rPr>
                <w:rFonts w:ascii="Times New Roman" w:hAnsi="Times New Roman"/>
                <w:sz w:val="24"/>
              </w:rPr>
              <w:t>W wierszu tym przedstawia się wskaźnik biznesowy skorygowany o współczynniki krańcowe obliczany zgodnie z art. 313 rozporządzenia (UE) nr 575/2013.</w:t>
            </w:r>
          </w:p>
        </w:tc>
      </w:tr>
      <w:tr w:rsidR="00CA794A" w:rsidRPr="0006335B" w14:paraId="2713AC1F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A606E2" w14:textId="48C6967A" w:rsidR="00CA794A" w:rsidRPr="0006335B" w:rsidRDefault="004A58B5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6335B">
              <w:rPr>
                <w:rFonts w:ascii="Times New Roman" w:hAnsi="Times New Roman"/>
                <w:b/>
                <w:sz w:val="24"/>
              </w:rPr>
              <w:t>EU 1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B97C95" w14:textId="1613DFBF" w:rsidR="00CA794A" w:rsidRPr="0006335B" w:rsidRDefault="004A58B5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6335B">
              <w:rPr>
                <w:rFonts w:ascii="Times New Roman" w:hAnsi="Times New Roman"/>
                <w:b/>
                <w:sz w:val="24"/>
              </w:rPr>
              <w:t>Wymogi w zakresie funduszy własnych według alternatywnej metody standardowej zgodnie z art. 314 ust. 4</w:t>
            </w:r>
          </w:p>
          <w:p w14:paraId="7762DF0B" w14:textId="6E2ACCB9" w:rsidR="004A58B5" w:rsidRPr="0006335B" w:rsidRDefault="005B4907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6335B">
              <w:rPr>
                <w:rFonts w:ascii="Times New Roman" w:hAnsi="Times New Roman"/>
                <w:sz w:val="24"/>
              </w:rPr>
              <w:t xml:space="preserve">W tym wierszu ujmuje się wymogi w zakresie funduszy własnych dla linii biznesowych uwzględnianych, w stosownych przypadkach, zgodnie z art. 314 ust. 4 do dnia 31 grudnia 2027 r. lub do czasu udzielenia przez organ </w:t>
            </w:r>
            <w:r w:rsidRPr="0006335B">
              <w:rPr>
                <w:rFonts w:ascii="Times New Roman" w:hAnsi="Times New Roman"/>
                <w:sz w:val="24"/>
              </w:rPr>
              <w:lastRenderedPageBreak/>
              <w:t>sprawujący nadzór skonsolidowany zezwolenia zgodnie z art. 314 ust. 3, w zależności od tego, która z tych dat przypada wcześniej.</w:t>
            </w:r>
          </w:p>
        </w:tc>
      </w:tr>
      <w:tr w:rsidR="00D740B8" w:rsidRPr="0006335B" w14:paraId="362D8FB9" w14:textId="77777777" w:rsidTr="00F828EB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05B3213" w14:textId="77777777" w:rsidR="00D740B8" w:rsidRPr="0006335B" w:rsidRDefault="00D740B8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6335B">
              <w:rPr>
                <w:rFonts w:ascii="Times New Roman" w:hAnsi="Times New Roman"/>
                <w:b/>
                <w:sz w:val="24"/>
              </w:rPr>
              <w:lastRenderedPageBreak/>
              <w:t>2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0B1B93" w14:textId="22882506" w:rsidR="00D740B8" w:rsidRPr="0006335B" w:rsidRDefault="001918A2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6335B">
              <w:rPr>
                <w:rFonts w:ascii="Times New Roman" w:hAnsi="Times New Roman"/>
                <w:sz w:val="24"/>
              </w:rPr>
              <w:t xml:space="preserve">Nie dotyczy. </w:t>
            </w:r>
          </w:p>
        </w:tc>
      </w:tr>
      <w:tr w:rsidR="00D740B8" w:rsidRPr="0006335B" w14:paraId="779D052B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EF8453" w14:textId="77777777" w:rsidR="00D740B8" w:rsidRPr="0006335B" w:rsidRDefault="00D740B8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6335B"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B42F01" w14:textId="77777777" w:rsidR="00D740B8" w:rsidRPr="0006335B" w:rsidRDefault="00D740B8">
            <w:pPr>
              <w:spacing w:before="60" w:after="120"/>
              <w:jc w:val="both"/>
              <w:rPr>
                <w:rStyle w:val="InstructionsTabelleberschrift"/>
                <w:rFonts w:ascii="Times New Roman" w:eastAsia="Times New Roman" w:hAnsi="Times New Roman"/>
                <w:bCs w:val="0"/>
                <w:sz w:val="24"/>
                <w:u w:val="none"/>
              </w:rPr>
            </w:pPr>
            <w:r w:rsidRPr="0006335B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Minimalne wymogi w zakresie funduszy własnych z tytułu ryzyka operacyjnego (OROF)</w:t>
            </w:r>
          </w:p>
          <w:p w14:paraId="2A7C24D0" w14:textId="54D9C5FF" w:rsidR="00D740B8" w:rsidRPr="0006335B" w:rsidRDefault="00977842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6335B">
              <w:rPr>
                <w:rFonts w:ascii="Times New Roman" w:hAnsi="Times New Roman"/>
                <w:sz w:val="24"/>
              </w:rPr>
              <w:t xml:space="preserve">Wymogi w zakresie funduszy własnych oblicza się zgodnie z art. 312 rozporządzenia (UE) nr 575/2013. W wierszu tym przedstawia się wymogi w zakresie funduszy własnych z tytułu ryzyka operacyjnego, które w stosownych przypadkach pokrywają się z sumą BIC i wymogów w zakresie funduszy własnych dla linii biznesowych uwzględnionych zgodnie z art. 314 ust. 4. </w:t>
            </w:r>
          </w:p>
        </w:tc>
      </w:tr>
      <w:tr w:rsidR="00D740B8" w:rsidRPr="0006335B" w14:paraId="078B572A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DC3902" w14:textId="77777777" w:rsidR="00D740B8" w:rsidRPr="0006335B" w:rsidRDefault="00D740B8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6335B"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83DB44" w14:textId="00766941" w:rsidR="00D740B8" w:rsidRPr="0006335B" w:rsidRDefault="00D740B8">
            <w:pPr>
              <w:spacing w:before="60" w:after="120"/>
              <w:jc w:val="both"/>
              <w:rPr>
                <w:rStyle w:val="InstructionsTabelleberschrift"/>
                <w:rFonts w:ascii="Times New Roman" w:eastAsia="Times New Roman" w:hAnsi="Times New Roman"/>
                <w:bCs w:val="0"/>
                <w:sz w:val="24"/>
                <w:u w:val="none"/>
              </w:rPr>
            </w:pPr>
            <w:r w:rsidRPr="0006335B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Kwoty ekspozycji na ryzyko operacyjne (REA)</w:t>
            </w:r>
          </w:p>
          <w:p w14:paraId="317F9BDE" w14:textId="77777777" w:rsidR="00D740B8" w:rsidRPr="0006335B" w:rsidRDefault="00D740B8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6335B">
              <w:rPr>
                <w:rFonts w:ascii="Times New Roman" w:hAnsi="Times New Roman"/>
                <w:sz w:val="24"/>
              </w:rPr>
              <w:t xml:space="preserve">Na podstawie art. 92 ust. 3 lit. e) i art. 92 ust. 4 rozporządzenia (UE) nr 575/2013 w wierszu tym ujawnia się wymogi w zakresie funduszy własnych z wiersza 1 pomnożone przez 12,5. </w:t>
            </w:r>
          </w:p>
        </w:tc>
      </w:tr>
    </w:tbl>
    <w:p w14:paraId="079B8CA0" w14:textId="77777777" w:rsidR="00D740B8" w:rsidRPr="0006335B" w:rsidRDefault="00D740B8" w:rsidP="00D740B8">
      <w:pPr>
        <w:rPr>
          <w:rFonts w:ascii="Times New Roman" w:hAnsi="Times New Roman" w:cs="Times New Roman"/>
          <w:sz w:val="24"/>
        </w:rPr>
      </w:pPr>
    </w:p>
    <w:p w14:paraId="41C8F396" w14:textId="77777777" w:rsidR="002C1404" w:rsidRPr="0006335B" w:rsidRDefault="002C1404"/>
    <w:sectPr w:rsidR="002C1404" w:rsidRPr="0006335B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5C32A" w14:textId="77777777" w:rsidR="00356B96" w:rsidRPr="0006335B" w:rsidRDefault="00356B96" w:rsidP="00E114F3">
      <w:r w:rsidRPr="0006335B">
        <w:separator/>
      </w:r>
    </w:p>
  </w:endnote>
  <w:endnote w:type="continuationSeparator" w:id="0">
    <w:p w14:paraId="52BFC17B" w14:textId="77777777" w:rsidR="00356B96" w:rsidRPr="0006335B" w:rsidRDefault="00356B96" w:rsidP="00E114F3">
      <w:r w:rsidRPr="0006335B">
        <w:continuationSeparator/>
      </w:r>
    </w:p>
  </w:endnote>
  <w:endnote w:type="continuationNotice" w:id="1">
    <w:p w14:paraId="2613B681" w14:textId="77777777" w:rsidR="00356B96" w:rsidRPr="0006335B" w:rsidRDefault="00356B9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6783897"/>
      <w:docPartObj>
        <w:docPartGallery w:val="Page Numbers (Bottom of Page)"/>
        <w:docPartUnique/>
      </w:docPartObj>
    </w:sdtPr>
    <w:sdtEndPr/>
    <w:sdtContent>
      <w:p w14:paraId="3D3D22A9" w14:textId="77777777" w:rsidR="00E114F3" w:rsidRPr="0006335B" w:rsidRDefault="00E114F3">
        <w:pPr>
          <w:pStyle w:val="Footer"/>
          <w:jc w:val="right"/>
        </w:pPr>
        <w:r w:rsidRPr="0006335B">
          <w:fldChar w:fldCharType="begin"/>
        </w:r>
        <w:r w:rsidRPr="0006335B">
          <w:instrText xml:space="preserve"> PAGE   \* MERGEFORMAT </w:instrText>
        </w:r>
        <w:r w:rsidRPr="0006335B">
          <w:fldChar w:fldCharType="separate"/>
        </w:r>
        <w:r w:rsidRPr="0006335B">
          <w:t>1</w:t>
        </w:r>
        <w:r w:rsidRPr="0006335B">
          <w:fldChar w:fldCharType="end"/>
        </w:r>
      </w:p>
    </w:sdtContent>
  </w:sdt>
  <w:p w14:paraId="049F31CB" w14:textId="77777777" w:rsidR="00E114F3" w:rsidRPr="0006335B" w:rsidRDefault="00E114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C5BAC8" w14:textId="77777777" w:rsidR="00356B96" w:rsidRPr="0006335B" w:rsidRDefault="00356B96" w:rsidP="00E114F3">
      <w:r w:rsidRPr="0006335B">
        <w:separator/>
      </w:r>
    </w:p>
  </w:footnote>
  <w:footnote w:type="continuationSeparator" w:id="0">
    <w:p w14:paraId="3CF2CA43" w14:textId="77777777" w:rsidR="00356B96" w:rsidRPr="0006335B" w:rsidRDefault="00356B96" w:rsidP="00E114F3">
      <w:r w:rsidRPr="0006335B">
        <w:continuationSeparator/>
      </w:r>
    </w:p>
  </w:footnote>
  <w:footnote w:type="continuationNotice" w:id="1">
    <w:p w14:paraId="25D17D79" w14:textId="77777777" w:rsidR="00356B96" w:rsidRPr="0006335B" w:rsidRDefault="00356B96"/>
  </w:footnote>
  <w:footnote w:id="2">
    <w:p w14:paraId="3798489D" w14:textId="4B9D2ACC" w:rsidR="00E114F3" w:rsidRPr="0006335B" w:rsidRDefault="00E114F3" w:rsidP="003D3122">
      <w:pPr>
        <w:pStyle w:val="FootnoteText"/>
      </w:pPr>
      <w:r w:rsidRPr="0006335B">
        <w:rPr>
          <w:rStyle w:val="FootnoteReference"/>
          <w:rFonts w:cstheme="minorHAnsi"/>
        </w:rPr>
        <w:footnoteRef/>
      </w:r>
      <w:r w:rsidRPr="0006335B">
        <w:tab/>
        <w:t>Rozporządzenie Parlamentu Europejskiego i Rady (UE) nr 575/2013 z dnia 26 czerwca 2013 r. w sprawie wymogów ostrożnościowych dla instytucji kredytowych oraz zmieniające rozporządzenie (UE) nr 648/2012, zmienione rozporządzeniem (UE) 2024/1623 (</w:t>
      </w:r>
      <w:hyperlink r:id="rId1" w:history="1">
        <w:r w:rsidRPr="0006335B">
          <w:rPr>
            <w:rStyle w:val="Hyperlink"/>
            <w:color w:val="800080"/>
          </w:rPr>
          <w:t>Dz.U. L 176 z 27.6.2013, s. 1</w:t>
        </w:r>
      </w:hyperlink>
      <w:r w:rsidRPr="0006335B">
        <w:rPr>
          <w:color w:val="800080"/>
          <w:u w:val="single"/>
        </w:rPr>
        <w:t xml:space="preserve">; </w:t>
      </w:r>
      <w:hyperlink r:id="rId2" w:history="1">
        <w:r w:rsidRPr="0006335B">
          <w:rPr>
            <w:rStyle w:val="Hyperlink"/>
          </w:rPr>
          <w:t>Rozporządzenie - UE - 2024/1623 - PL - EUR-Lex (europa.eu)</w:t>
        </w:r>
      </w:hyperlink>
      <w:r w:rsidRPr="0006335B">
        <w:rPr>
          <w:color w:val="444444"/>
        </w:rPr>
        <w:t>).</w:t>
      </w:r>
    </w:p>
    <w:p w14:paraId="45FB0818" w14:textId="77777777" w:rsidR="00E114F3" w:rsidRPr="0006335B" w:rsidRDefault="00E114F3" w:rsidP="003D3122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B940D" w14:textId="1615A102" w:rsidR="00E114F3" w:rsidRPr="0006335B" w:rsidRDefault="00864ECA">
    <w:pPr>
      <w:pStyle w:val="Header"/>
    </w:pPr>
    <w:r w:rsidRPr="0006335B">
      <mc:AlternateContent>
        <mc:Choice Requires="wps">
          <w:drawing>
            <wp:anchor distT="0" distB="0" distL="0" distR="0" simplePos="0" relativeHeight="251658241" behindDoc="0" locked="0" layoutInCell="1" allowOverlap="1" wp14:anchorId="56CE9015" wp14:editId="3A1C7323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9525"/>
              <wp:wrapNone/>
              <wp:docPr id="5" name="Text Box 5" descr="EUNB – Standardowe wykorzystani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B807B26" w14:textId="3B0140B7" w:rsidR="00864ECA" w:rsidRPr="00864ECA" w:rsidRDefault="00864ECA" w:rsidP="00864EC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EUNB – Standardowe wykorzystanie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56CE9015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alt="Title:  - Description: EUNB – Standardowe wykorzystanie" style="position:absolute;margin-left:0;margin-top:0;width:34.95pt;height:34.95pt;z-index:251658241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6B807B26" w14:textId="3B0140B7" w:rsidR="00864ECA" w:rsidRPr="00864ECA" w:rsidRDefault="00864ECA" w:rsidP="00864ECA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EUNB – Standardowe wykorzystanie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3D3EC" w14:textId="1028A940" w:rsidR="00E114F3" w:rsidRPr="0006335B" w:rsidRDefault="00864ECA">
    <w:pPr>
      <w:pStyle w:val="Header"/>
    </w:pPr>
    <w:r w:rsidRPr="0006335B">
      <mc:AlternateContent>
        <mc:Choice Requires="wps">
          <w:drawing>
            <wp:anchor distT="0" distB="0" distL="0" distR="0" simplePos="0" relativeHeight="251658242" behindDoc="0" locked="0" layoutInCell="1" allowOverlap="1" wp14:anchorId="02F1B75F" wp14:editId="3120E37C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9525"/>
              <wp:wrapNone/>
              <wp:docPr id="6" name="Text Box 6" descr="EUNB – Standardowe wykorzystani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22808C3" w14:textId="14E505EC" w:rsidR="00864ECA" w:rsidRPr="00864ECA" w:rsidRDefault="00864ECA" w:rsidP="00864EC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EUNB – Standardowe wykorzystanie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02F1B75F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alt="Title:  - Description: EUNB – Standardowe wykorzystanie" style="position:absolute;margin-left:0;margin-top:0;width:34.95pt;height:34.95pt;z-index:251658242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422808C3" w14:textId="14E505EC" w:rsidR="00864ECA" w:rsidRPr="00864ECA" w:rsidRDefault="00864ECA" w:rsidP="00864ECA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EUNB – Standardowe wykorzystanie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4D5A5" w14:textId="505DD969" w:rsidR="00E114F3" w:rsidRPr="0006335B" w:rsidRDefault="00864ECA">
    <w:pPr>
      <w:pStyle w:val="Header"/>
    </w:pPr>
    <w:r w:rsidRPr="0006335B">
      <mc:AlternateContent>
        <mc:Choice Requires="wps">
          <w:drawing>
            <wp:anchor distT="0" distB="0" distL="0" distR="0" simplePos="0" relativeHeight="251658240" behindDoc="0" locked="0" layoutInCell="1" allowOverlap="1" wp14:anchorId="3B6A7D7E" wp14:editId="55F0D693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9525"/>
              <wp:wrapNone/>
              <wp:docPr id="4" name="Text Box 4" descr="EUNB – Standardowe wykorzystani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152C3BA" w14:textId="4F2B949B" w:rsidR="00864ECA" w:rsidRPr="00864ECA" w:rsidRDefault="00864ECA" w:rsidP="00864EC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EUNB – Standardowe wykorzystanie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3B6A7D7E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alt="Title:  - Description: EUNB – Standardowe wykorzystanie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3152C3BA" w14:textId="4F2B949B" w:rsidR="00864ECA" w:rsidRPr="00864ECA" w:rsidRDefault="00864ECA" w:rsidP="00864ECA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EUNB – Standardowe wykorzystanie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860DA"/>
    <w:multiLevelType w:val="hybridMultilevel"/>
    <w:tmpl w:val="C55009F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F4C79"/>
    <w:multiLevelType w:val="hybridMultilevel"/>
    <w:tmpl w:val="7554BD1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597EC3"/>
    <w:multiLevelType w:val="hybridMultilevel"/>
    <w:tmpl w:val="81D09E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7971C3"/>
    <w:multiLevelType w:val="hybridMultilevel"/>
    <w:tmpl w:val="3942E0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E749A0"/>
    <w:multiLevelType w:val="hybridMultilevel"/>
    <w:tmpl w:val="FFFFFFFF"/>
    <w:lvl w:ilvl="0" w:tplc="0CD0E7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28BC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0E4D8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308C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E6B26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26DF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B4D0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EAB5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4046B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0227369"/>
    <w:multiLevelType w:val="hybridMultilevel"/>
    <w:tmpl w:val="D17E5BA0"/>
    <w:lvl w:ilvl="0" w:tplc="FFFFFFFF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</w:lvl>
    <w:lvl w:ilvl="1" w:tplc="FFFFFFFF">
      <w:start w:val="1"/>
      <w:numFmt w:val="bullet"/>
      <w:lvlText w:val="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4767C0"/>
    <w:multiLevelType w:val="hybridMultilevel"/>
    <w:tmpl w:val="06983DA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num w:numId="1" w16cid:durableId="1479303020">
    <w:abstractNumId w:val="7"/>
  </w:num>
  <w:num w:numId="2" w16cid:durableId="1266694335">
    <w:abstractNumId w:val="5"/>
  </w:num>
  <w:num w:numId="3" w16cid:durableId="1815637054">
    <w:abstractNumId w:val="0"/>
  </w:num>
  <w:num w:numId="4" w16cid:durableId="956064537">
    <w:abstractNumId w:val="2"/>
  </w:num>
  <w:num w:numId="5" w16cid:durableId="37778419">
    <w:abstractNumId w:val="3"/>
  </w:num>
  <w:num w:numId="6" w16cid:durableId="803155118">
    <w:abstractNumId w:val="1"/>
  </w:num>
  <w:num w:numId="7" w16cid:durableId="1073312597">
    <w:abstractNumId w:val="6"/>
  </w:num>
  <w:num w:numId="8" w16cid:durableId="8969356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hideSpellingErrors/>
  <w:hideGrammaticalErrors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n-US" w:vendorID="64" w:dllVersion="0" w:nlCheck="1" w:checkStyle="0"/>
  <w:proofState w:spelling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FD049F"/>
    <w:rsid w:val="00011939"/>
    <w:rsid w:val="00012A75"/>
    <w:rsid w:val="0001405C"/>
    <w:rsid w:val="0001650F"/>
    <w:rsid w:val="00024346"/>
    <w:rsid w:val="00025F22"/>
    <w:rsid w:val="000272B2"/>
    <w:rsid w:val="00030D74"/>
    <w:rsid w:val="0004584F"/>
    <w:rsid w:val="00045858"/>
    <w:rsid w:val="00046439"/>
    <w:rsid w:val="000465B3"/>
    <w:rsid w:val="000576E8"/>
    <w:rsid w:val="0006335B"/>
    <w:rsid w:val="0006502A"/>
    <w:rsid w:val="000664FC"/>
    <w:rsid w:val="000665BE"/>
    <w:rsid w:val="00066F9F"/>
    <w:rsid w:val="0006789F"/>
    <w:rsid w:val="00073105"/>
    <w:rsid w:val="000746E8"/>
    <w:rsid w:val="00074F00"/>
    <w:rsid w:val="00075D8B"/>
    <w:rsid w:val="00076263"/>
    <w:rsid w:val="00087F79"/>
    <w:rsid w:val="00090561"/>
    <w:rsid w:val="00095D07"/>
    <w:rsid w:val="00096102"/>
    <w:rsid w:val="000A0D62"/>
    <w:rsid w:val="000A12B5"/>
    <w:rsid w:val="000B16B1"/>
    <w:rsid w:val="000B2704"/>
    <w:rsid w:val="000B2D8F"/>
    <w:rsid w:val="000C1526"/>
    <w:rsid w:val="000C3EAE"/>
    <w:rsid w:val="000C4618"/>
    <w:rsid w:val="000C77E0"/>
    <w:rsid w:val="000D0723"/>
    <w:rsid w:val="000D0DBB"/>
    <w:rsid w:val="000D3111"/>
    <w:rsid w:val="000D4A72"/>
    <w:rsid w:val="000D6DA0"/>
    <w:rsid w:val="000E3AB0"/>
    <w:rsid w:val="000E696C"/>
    <w:rsid w:val="000F08DF"/>
    <w:rsid w:val="000F1044"/>
    <w:rsid w:val="000F2921"/>
    <w:rsid w:val="000F375E"/>
    <w:rsid w:val="000F5C83"/>
    <w:rsid w:val="000F5FED"/>
    <w:rsid w:val="000F6C61"/>
    <w:rsid w:val="00103ABA"/>
    <w:rsid w:val="00105E35"/>
    <w:rsid w:val="0011472E"/>
    <w:rsid w:val="001220D8"/>
    <w:rsid w:val="00127955"/>
    <w:rsid w:val="00131C22"/>
    <w:rsid w:val="00134D05"/>
    <w:rsid w:val="00135C50"/>
    <w:rsid w:val="00136AE4"/>
    <w:rsid w:val="00141217"/>
    <w:rsid w:val="001420EB"/>
    <w:rsid w:val="00142276"/>
    <w:rsid w:val="00142D89"/>
    <w:rsid w:val="001449CE"/>
    <w:rsid w:val="001452C3"/>
    <w:rsid w:val="0015285C"/>
    <w:rsid w:val="00161A8E"/>
    <w:rsid w:val="00162183"/>
    <w:rsid w:val="00165BEF"/>
    <w:rsid w:val="001756BE"/>
    <w:rsid w:val="0017572D"/>
    <w:rsid w:val="00177229"/>
    <w:rsid w:val="001830A3"/>
    <w:rsid w:val="001871DA"/>
    <w:rsid w:val="001918A2"/>
    <w:rsid w:val="00196907"/>
    <w:rsid w:val="001A2C2E"/>
    <w:rsid w:val="001B03D9"/>
    <w:rsid w:val="001B0A1D"/>
    <w:rsid w:val="001B2292"/>
    <w:rsid w:val="001B291D"/>
    <w:rsid w:val="001B3BC1"/>
    <w:rsid w:val="001B500A"/>
    <w:rsid w:val="001B58F8"/>
    <w:rsid w:val="001B6C85"/>
    <w:rsid w:val="001C2B75"/>
    <w:rsid w:val="001C4677"/>
    <w:rsid w:val="001C6CDD"/>
    <w:rsid w:val="001D080D"/>
    <w:rsid w:val="001D11E0"/>
    <w:rsid w:val="001D782E"/>
    <w:rsid w:val="001E1503"/>
    <w:rsid w:val="001E5563"/>
    <w:rsid w:val="001F1176"/>
    <w:rsid w:val="001F7ED3"/>
    <w:rsid w:val="00201011"/>
    <w:rsid w:val="002026B4"/>
    <w:rsid w:val="002026D9"/>
    <w:rsid w:val="002054FC"/>
    <w:rsid w:val="002075AA"/>
    <w:rsid w:val="00211970"/>
    <w:rsid w:val="00216C79"/>
    <w:rsid w:val="002208D1"/>
    <w:rsid w:val="00223530"/>
    <w:rsid w:val="00226DD0"/>
    <w:rsid w:val="00230607"/>
    <w:rsid w:val="00230F64"/>
    <w:rsid w:val="002322F4"/>
    <w:rsid w:val="002354DB"/>
    <w:rsid w:val="00236174"/>
    <w:rsid w:val="0024083E"/>
    <w:rsid w:val="00241FEC"/>
    <w:rsid w:val="00242E08"/>
    <w:rsid w:val="002455B5"/>
    <w:rsid w:val="002457F5"/>
    <w:rsid w:val="00250A53"/>
    <w:rsid w:val="00253C3A"/>
    <w:rsid w:val="00253CF4"/>
    <w:rsid w:val="002558AA"/>
    <w:rsid w:val="00257387"/>
    <w:rsid w:val="0026154A"/>
    <w:rsid w:val="00267B03"/>
    <w:rsid w:val="00270E06"/>
    <w:rsid w:val="00272014"/>
    <w:rsid w:val="0027387E"/>
    <w:rsid w:val="00273B65"/>
    <w:rsid w:val="002755E0"/>
    <w:rsid w:val="00275651"/>
    <w:rsid w:val="00277197"/>
    <w:rsid w:val="002774FB"/>
    <w:rsid w:val="00277E2E"/>
    <w:rsid w:val="002854BD"/>
    <w:rsid w:val="0028730E"/>
    <w:rsid w:val="00287A78"/>
    <w:rsid w:val="002912CA"/>
    <w:rsid w:val="002919DB"/>
    <w:rsid w:val="002A02D1"/>
    <w:rsid w:val="002A213A"/>
    <w:rsid w:val="002A2633"/>
    <w:rsid w:val="002A4A49"/>
    <w:rsid w:val="002A55B5"/>
    <w:rsid w:val="002A7A1C"/>
    <w:rsid w:val="002B0785"/>
    <w:rsid w:val="002B20D8"/>
    <w:rsid w:val="002B2993"/>
    <w:rsid w:val="002B2F6C"/>
    <w:rsid w:val="002B708C"/>
    <w:rsid w:val="002B7BCC"/>
    <w:rsid w:val="002C1404"/>
    <w:rsid w:val="002D0EA4"/>
    <w:rsid w:val="002D5C08"/>
    <w:rsid w:val="002E1556"/>
    <w:rsid w:val="002E28B0"/>
    <w:rsid w:val="002F3CFA"/>
    <w:rsid w:val="002F733A"/>
    <w:rsid w:val="00306E05"/>
    <w:rsid w:val="003134EA"/>
    <w:rsid w:val="00313B19"/>
    <w:rsid w:val="00313BE5"/>
    <w:rsid w:val="003140BC"/>
    <w:rsid w:val="00322C5B"/>
    <w:rsid w:val="0032312B"/>
    <w:rsid w:val="0032508D"/>
    <w:rsid w:val="00325595"/>
    <w:rsid w:val="003260B9"/>
    <w:rsid w:val="00331494"/>
    <w:rsid w:val="00332B2B"/>
    <w:rsid w:val="00340DA2"/>
    <w:rsid w:val="00340F5A"/>
    <w:rsid w:val="0034291F"/>
    <w:rsid w:val="0034713B"/>
    <w:rsid w:val="00350F3E"/>
    <w:rsid w:val="00352E37"/>
    <w:rsid w:val="00352E7B"/>
    <w:rsid w:val="00353854"/>
    <w:rsid w:val="00356B96"/>
    <w:rsid w:val="00356C56"/>
    <w:rsid w:val="0036264E"/>
    <w:rsid w:val="00366387"/>
    <w:rsid w:val="00370155"/>
    <w:rsid w:val="00371504"/>
    <w:rsid w:val="00373F9D"/>
    <w:rsid w:val="0037691C"/>
    <w:rsid w:val="003826D3"/>
    <w:rsid w:val="003858A3"/>
    <w:rsid w:val="00390609"/>
    <w:rsid w:val="003930C3"/>
    <w:rsid w:val="00393427"/>
    <w:rsid w:val="00393FEF"/>
    <w:rsid w:val="00394AE0"/>
    <w:rsid w:val="003A11C2"/>
    <w:rsid w:val="003A134B"/>
    <w:rsid w:val="003A1367"/>
    <w:rsid w:val="003A3338"/>
    <w:rsid w:val="003A752D"/>
    <w:rsid w:val="003B0795"/>
    <w:rsid w:val="003B12FB"/>
    <w:rsid w:val="003B40C6"/>
    <w:rsid w:val="003C0178"/>
    <w:rsid w:val="003C7646"/>
    <w:rsid w:val="003D3122"/>
    <w:rsid w:val="003D36FD"/>
    <w:rsid w:val="003D49FC"/>
    <w:rsid w:val="003D54AC"/>
    <w:rsid w:val="003D5875"/>
    <w:rsid w:val="003E1A11"/>
    <w:rsid w:val="003E207A"/>
    <w:rsid w:val="003E3201"/>
    <w:rsid w:val="003E7CB0"/>
    <w:rsid w:val="003F52CD"/>
    <w:rsid w:val="003F5CE4"/>
    <w:rsid w:val="00403F5F"/>
    <w:rsid w:val="00404BBB"/>
    <w:rsid w:val="00405D1E"/>
    <w:rsid w:val="0041073A"/>
    <w:rsid w:val="004129ED"/>
    <w:rsid w:val="00413B96"/>
    <w:rsid w:val="0042443A"/>
    <w:rsid w:val="00425384"/>
    <w:rsid w:val="00430F3A"/>
    <w:rsid w:val="00443CBC"/>
    <w:rsid w:val="00445677"/>
    <w:rsid w:val="004509B7"/>
    <w:rsid w:val="004544AD"/>
    <w:rsid w:val="00456F97"/>
    <w:rsid w:val="00457089"/>
    <w:rsid w:val="00460310"/>
    <w:rsid w:val="004618A3"/>
    <w:rsid w:val="0046389C"/>
    <w:rsid w:val="00471410"/>
    <w:rsid w:val="004714CE"/>
    <w:rsid w:val="004744D1"/>
    <w:rsid w:val="004849ED"/>
    <w:rsid w:val="00486925"/>
    <w:rsid w:val="00487314"/>
    <w:rsid w:val="0049000A"/>
    <w:rsid w:val="00492339"/>
    <w:rsid w:val="00496389"/>
    <w:rsid w:val="00496A9E"/>
    <w:rsid w:val="004A0952"/>
    <w:rsid w:val="004A18F4"/>
    <w:rsid w:val="004A4A2C"/>
    <w:rsid w:val="004A58B5"/>
    <w:rsid w:val="004A62B8"/>
    <w:rsid w:val="004A7915"/>
    <w:rsid w:val="004B0B6E"/>
    <w:rsid w:val="004B0FCE"/>
    <w:rsid w:val="004B1D55"/>
    <w:rsid w:val="004B6D23"/>
    <w:rsid w:val="004C06C0"/>
    <w:rsid w:val="004C08C6"/>
    <w:rsid w:val="004C2C33"/>
    <w:rsid w:val="004C3206"/>
    <w:rsid w:val="004D442B"/>
    <w:rsid w:val="004D7AAC"/>
    <w:rsid w:val="004E0A33"/>
    <w:rsid w:val="004E2BF2"/>
    <w:rsid w:val="004E3E86"/>
    <w:rsid w:val="004E41F1"/>
    <w:rsid w:val="004E5F6E"/>
    <w:rsid w:val="004E67D0"/>
    <w:rsid w:val="004E7E6A"/>
    <w:rsid w:val="004F22BD"/>
    <w:rsid w:val="004F6309"/>
    <w:rsid w:val="004F7296"/>
    <w:rsid w:val="00501D3A"/>
    <w:rsid w:val="00502CBE"/>
    <w:rsid w:val="005129A3"/>
    <w:rsid w:val="00513E9E"/>
    <w:rsid w:val="005201AB"/>
    <w:rsid w:val="00520A67"/>
    <w:rsid w:val="00521787"/>
    <w:rsid w:val="005227BF"/>
    <w:rsid w:val="005244B2"/>
    <w:rsid w:val="00525D0C"/>
    <w:rsid w:val="00531A16"/>
    <w:rsid w:val="0053230B"/>
    <w:rsid w:val="005323E0"/>
    <w:rsid w:val="00532CFA"/>
    <w:rsid w:val="00533587"/>
    <w:rsid w:val="005346B6"/>
    <w:rsid w:val="00542C4F"/>
    <w:rsid w:val="00543CE4"/>
    <w:rsid w:val="00545C2E"/>
    <w:rsid w:val="005511B4"/>
    <w:rsid w:val="00552616"/>
    <w:rsid w:val="00555026"/>
    <w:rsid w:val="00557E87"/>
    <w:rsid w:val="005644FD"/>
    <w:rsid w:val="00573755"/>
    <w:rsid w:val="0058077D"/>
    <w:rsid w:val="00581EE7"/>
    <w:rsid w:val="00585FE7"/>
    <w:rsid w:val="00594DEA"/>
    <w:rsid w:val="00597741"/>
    <w:rsid w:val="005A0E65"/>
    <w:rsid w:val="005A1D73"/>
    <w:rsid w:val="005A28B3"/>
    <w:rsid w:val="005A56B5"/>
    <w:rsid w:val="005A6F28"/>
    <w:rsid w:val="005B1A6A"/>
    <w:rsid w:val="005B2681"/>
    <w:rsid w:val="005B35FE"/>
    <w:rsid w:val="005B36AF"/>
    <w:rsid w:val="005B4907"/>
    <w:rsid w:val="005B5827"/>
    <w:rsid w:val="005B6691"/>
    <w:rsid w:val="005B76B3"/>
    <w:rsid w:val="005C0169"/>
    <w:rsid w:val="005C361B"/>
    <w:rsid w:val="005C4785"/>
    <w:rsid w:val="005C5685"/>
    <w:rsid w:val="005C7DD8"/>
    <w:rsid w:val="005D02AE"/>
    <w:rsid w:val="005D3B7F"/>
    <w:rsid w:val="005D484F"/>
    <w:rsid w:val="005D78BA"/>
    <w:rsid w:val="005E0DB5"/>
    <w:rsid w:val="005E1172"/>
    <w:rsid w:val="005E426C"/>
    <w:rsid w:val="005E5C07"/>
    <w:rsid w:val="005E651B"/>
    <w:rsid w:val="005E6595"/>
    <w:rsid w:val="005E7C4C"/>
    <w:rsid w:val="005F2270"/>
    <w:rsid w:val="006010B7"/>
    <w:rsid w:val="006020C0"/>
    <w:rsid w:val="00605946"/>
    <w:rsid w:val="00611A03"/>
    <w:rsid w:val="00615045"/>
    <w:rsid w:val="006175E8"/>
    <w:rsid w:val="00617849"/>
    <w:rsid w:val="00620C52"/>
    <w:rsid w:val="006276CF"/>
    <w:rsid w:val="00631769"/>
    <w:rsid w:val="00632F0C"/>
    <w:rsid w:val="00634105"/>
    <w:rsid w:val="006423F0"/>
    <w:rsid w:val="006467E0"/>
    <w:rsid w:val="006515E3"/>
    <w:rsid w:val="00651CFD"/>
    <w:rsid w:val="00654641"/>
    <w:rsid w:val="00663EA2"/>
    <w:rsid w:val="00665EDF"/>
    <w:rsid w:val="00666BFE"/>
    <w:rsid w:val="006671B4"/>
    <w:rsid w:val="00670D9B"/>
    <w:rsid w:val="006710C9"/>
    <w:rsid w:val="00671F1C"/>
    <w:rsid w:val="00672648"/>
    <w:rsid w:val="00672FCF"/>
    <w:rsid w:val="006734FF"/>
    <w:rsid w:val="0067596F"/>
    <w:rsid w:val="00675FB5"/>
    <w:rsid w:val="006825A4"/>
    <w:rsid w:val="006832AC"/>
    <w:rsid w:val="0068676B"/>
    <w:rsid w:val="006943D3"/>
    <w:rsid w:val="006956F2"/>
    <w:rsid w:val="00695DBE"/>
    <w:rsid w:val="006A3134"/>
    <w:rsid w:val="006A3C03"/>
    <w:rsid w:val="006A6B36"/>
    <w:rsid w:val="006B1B9D"/>
    <w:rsid w:val="006B7E63"/>
    <w:rsid w:val="006C306E"/>
    <w:rsid w:val="006C331E"/>
    <w:rsid w:val="006C62E5"/>
    <w:rsid w:val="006D3272"/>
    <w:rsid w:val="006D3A51"/>
    <w:rsid w:val="006D58A9"/>
    <w:rsid w:val="006D76F7"/>
    <w:rsid w:val="006E0F5F"/>
    <w:rsid w:val="006E1A81"/>
    <w:rsid w:val="006E2DDE"/>
    <w:rsid w:val="006E3051"/>
    <w:rsid w:val="006F4C95"/>
    <w:rsid w:val="006F5677"/>
    <w:rsid w:val="00701AB8"/>
    <w:rsid w:val="0070389C"/>
    <w:rsid w:val="00705C67"/>
    <w:rsid w:val="007146FC"/>
    <w:rsid w:val="0071476F"/>
    <w:rsid w:val="00716B43"/>
    <w:rsid w:val="007212B1"/>
    <w:rsid w:val="00721E9C"/>
    <w:rsid w:val="007227C1"/>
    <w:rsid w:val="00725562"/>
    <w:rsid w:val="00727D92"/>
    <w:rsid w:val="0073744A"/>
    <w:rsid w:val="00742D4E"/>
    <w:rsid w:val="00744472"/>
    <w:rsid w:val="00752BA7"/>
    <w:rsid w:val="00753C8F"/>
    <w:rsid w:val="007561ED"/>
    <w:rsid w:val="00756B6D"/>
    <w:rsid w:val="007572BA"/>
    <w:rsid w:val="00757EE7"/>
    <w:rsid w:val="00760B2D"/>
    <w:rsid w:val="00761A99"/>
    <w:rsid w:val="00764F56"/>
    <w:rsid w:val="00765CB0"/>
    <w:rsid w:val="00775BD9"/>
    <w:rsid w:val="00780966"/>
    <w:rsid w:val="00787341"/>
    <w:rsid w:val="007912F6"/>
    <w:rsid w:val="00793C82"/>
    <w:rsid w:val="0079404E"/>
    <w:rsid w:val="00794EEA"/>
    <w:rsid w:val="00795D11"/>
    <w:rsid w:val="007A244C"/>
    <w:rsid w:val="007A7D9C"/>
    <w:rsid w:val="007B0E7E"/>
    <w:rsid w:val="007B37CA"/>
    <w:rsid w:val="007B3E62"/>
    <w:rsid w:val="007B4F63"/>
    <w:rsid w:val="007B716B"/>
    <w:rsid w:val="007B759C"/>
    <w:rsid w:val="007C45A4"/>
    <w:rsid w:val="007C4795"/>
    <w:rsid w:val="007C6DDA"/>
    <w:rsid w:val="007D1B69"/>
    <w:rsid w:val="007D47E8"/>
    <w:rsid w:val="007F107B"/>
    <w:rsid w:val="007F3294"/>
    <w:rsid w:val="007F35C2"/>
    <w:rsid w:val="007F5FB7"/>
    <w:rsid w:val="007F79D0"/>
    <w:rsid w:val="008006BD"/>
    <w:rsid w:val="00800DA8"/>
    <w:rsid w:val="00804617"/>
    <w:rsid w:val="0080619E"/>
    <w:rsid w:val="008064B3"/>
    <w:rsid w:val="00806C37"/>
    <w:rsid w:val="00806D63"/>
    <w:rsid w:val="008073CE"/>
    <w:rsid w:val="008126E2"/>
    <w:rsid w:val="00815D64"/>
    <w:rsid w:val="00820A89"/>
    <w:rsid w:val="008224E4"/>
    <w:rsid w:val="00823C1A"/>
    <w:rsid w:val="008340AA"/>
    <w:rsid w:val="008408B7"/>
    <w:rsid w:val="00841A0D"/>
    <w:rsid w:val="008447E9"/>
    <w:rsid w:val="00853F81"/>
    <w:rsid w:val="00856A58"/>
    <w:rsid w:val="00856FD6"/>
    <w:rsid w:val="008606AB"/>
    <w:rsid w:val="00860C4A"/>
    <w:rsid w:val="00864ECA"/>
    <w:rsid w:val="00864F98"/>
    <w:rsid w:val="008703CB"/>
    <w:rsid w:val="00871AC0"/>
    <w:rsid w:val="008726D2"/>
    <w:rsid w:val="00873664"/>
    <w:rsid w:val="00876FEE"/>
    <w:rsid w:val="00877D06"/>
    <w:rsid w:val="00881740"/>
    <w:rsid w:val="00882C01"/>
    <w:rsid w:val="0088515A"/>
    <w:rsid w:val="00885AC5"/>
    <w:rsid w:val="00891AE6"/>
    <w:rsid w:val="00892FC4"/>
    <w:rsid w:val="008A1C9E"/>
    <w:rsid w:val="008A4CE3"/>
    <w:rsid w:val="008A6B9E"/>
    <w:rsid w:val="008A789A"/>
    <w:rsid w:val="008A7B63"/>
    <w:rsid w:val="008B015F"/>
    <w:rsid w:val="008B71AE"/>
    <w:rsid w:val="008C3E6A"/>
    <w:rsid w:val="008C599A"/>
    <w:rsid w:val="008D0DA3"/>
    <w:rsid w:val="008D220D"/>
    <w:rsid w:val="008D6AE8"/>
    <w:rsid w:val="008D71E9"/>
    <w:rsid w:val="008D73D0"/>
    <w:rsid w:val="008E0228"/>
    <w:rsid w:val="008E4C2C"/>
    <w:rsid w:val="008E7892"/>
    <w:rsid w:val="008F6903"/>
    <w:rsid w:val="00902E47"/>
    <w:rsid w:val="009046C7"/>
    <w:rsid w:val="00907148"/>
    <w:rsid w:val="00911DED"/>
    <w:rsid w:val="00912473"/>
    <w:rsid w:val="009126FD"/>
    <w:rsid w:val="00915138"/>
    <w:rsid w:val="00922520"/>
    <w:rsid w:val="0092318D"/>
    <w:rsid w:val="00926593"/>
    <w:rsid w:val="0093286E"/>
    <w:rsid w:val="00933E3B"/>
    <w:rsid w:val="009361B2"/>
    <w:rsid w:val="009365C9"/>
    <w:rsid w:val="0094124B"/>
    <w:rsid w:val="009419C5"/>
    <w:rsid w:val="00954121"/>
    <w:rsid w:val="00954FB2"/>
    <w:rsid w:val="00956CFD"/>
    <w:rsid w:val="009614D5"/>
    <w:rsid w:val="00962EA7"/>
    <w:rsid w:val="00965CF0"/>
    <w:rsid w:val="009757A9"/>
    <w:rsid w:val="0097685A"/>
    <w:rsid w:val="00977842"/>
    <w:rsid w:val="009816D6"/>
    <w:rsid w:val="00982018"/>
    <w:rsid w:val="00983339"/>
    <w:rsid w:val="00984383"/>
    <w:rsid w:val="00984AB4"/>
    <w:rsid w:val="0098747C"/>
    <w:rsid w:val="00993F77"/>
    <w:rsid w:val="0099479E"/>
    <w:rsid w:val="009A1465"/>
    <w:rsid w:val="009A4AFC"/>
    <w:rsid w:val="009A4E43"/>
    <w:rsid w:val="009B143E"/>
    <w:rsid w:val="009B1F6C"/>
    <w:rsid w:val="009B7607"/>
    <w:rsid w:val="009C194B"/>
    <w:rsid w:val="009C1BC1"/>
    <w:rsid w:val="009C7B8C"/>
    <w:rsid w:val="009D1C49"/>
    <w:rsid w:val="009D2AA7"/>
    <w:rsid w:val="009D43F3"/>
    <w:rsid w:val="009D4A12"/>
    <w:rsid w:val="009D56BD"/>
    <w:rsid w:val="009D76DE"/>
    <w:rsid w:val="009E1FA8"/>
    <w:rsid w:val="009E306F"/>
    <w:rsid w:val="009E3E80"/>
    <w:rsid w:val="009E4370"/>
    <w:rsid w:val="009E565F"/>
    <w:rsid w:val="009F39F6"/>
    <w:rsid w:val="009F423C"/>
    <w:rsid w:val="009F7C59"/>
    <w:rsid w:val="00A02195"/>
    <w:rsid w:val="00A0227E"/>
    <w:rsid w:val="00A0556C"/>
    <w:rsid w:val="00A12978"/>
    <w:rsid w:val="00A17193"/>
    <w:rsid w:val="00A174CD"/>
    <w:rsid w:val="00A17EAD"/>
    <w:rsid w:val="00A215ED"/>
    <w:rsid w:val="00A24AB4"/>
    <w:rsid w:val="00A255AF"/>
    <w:rsid w:val="00A26F9F"/>
    <w:rsid w:val="00A31C3A"/>
    <w:rsid w:val="00A32EDF"/>
    <w:rsid w:val="00A3462E"/>
    <w:rsid w:val="00A35BD7"/>
    <w:rsid w:val="00A42FD7"/>
    <w:rsid w:val="00A45948"/>
    <w:rsid w:val="00A4606C"/>
    <w:rsid w:val="00A47B28"/>
    <w:rsid w:val="00A509DA"/>
    <w:rsid w:val="00A536F4"/>
    <w:rsid w:val="00A5559A"/>
    <w:rsid w:val="00A621C9"/>
    <w:rsid w:val="00A622C1"/>
    <w:rsid w:val="00A633F6"/>
    <w:rsid w:val="00A653D8"/>
    <w:rsid w:val="00A71D9B"/>
    <w:rsid w:val="00A71F37"/>
    <w:rsid w:val="00A72505"/>
    <w:rsid w:val="00A755DF"/>
    <w:rsid w:val="00A7672B"/>
    <w:rsid w:val="00A76A8F"/>
    <w:rsid w:val="00A804B8"/>
    <w:rsid w:val="00A80AD8"/>
    <w:rsid w:val="00A82F75"/>
    <w:rsid w:val="00A843E1"/>
    <w:rsid w:val="00A90BF1"/>
    <w:rsid w:val="00A92258"/>
    <w:rsid w:val="00A9249A"/>
    <w:rsid w:val="00A92AB0"/>
    <w:rsid w:val="00A93038"/>
    <w:rsid w:val="00A945D1"/>
    <w:rsid w:val="00A94BCA"/>
    <w:rsid w:val="00A95CB6"/>
    <w:rsid w:val="00AA36DC"/>
    <w:rsid w:val="00AA5B9A"/>
    <w:rsid w:val="00AB1539"/>
    <w:rsid w:val="00AB31A2"/>
    <w:rsid w:val="00AC150B"/>
    <w:rsid w:val="00AD193C"/>
    <w:rsid w:val="00AD3DCE"/>
    <w:rsid w:val="00AD49B8"/>
    <w:rsid w:val="00AE6902"/>
    <w:rsid w:val="00AF03AE"/>
    <w:rsid w:val="00AF467F"/>
    <w:rsid w:val="00B02F7E"/>
    <w:rsid w:val="00B03935"/>
    <w:rsid w:val="00B0524B"/>
    <w:rsid w:val="00B068B0"/>
    <w:rsid w:val="00B103CE"/>
    <w:rsid w:val="00B14961"/>
    <w:rsid w:val="00B16370"/>
    <w:rsid w:val="00B165EB"/>
    <w:rsid w:val="00B2221A"/>
    <w:rsid w:val="00B23CE1"/>
    <w:rsid w:val="00B24621"/>
    <w:rsid w:val="00B31A1C"/>
    <w:rsid w:val="00B33E68"/>
    <w:rsid w:val="00B34102"/>
    <w:rsid w:val="00B43AD7"/>
    <w:rsid w:val="00B512EE"/>
    <w:rsid w:val="00B522B0"/>
    <w:rsid w:val="00B52679"/>
    <w:rsid w:val="00B53886"/>
    <w:rsid w:val="00B55481"/>
    <w:rsid w:val="00B55900"/>
    <w:rsid w:val="00B567BA"/>
    <w:rsid w:val="00B568CE"/>
    <w:rsid w:val="00B61464"/>
    <w:rsid w:val="00B676B3"/>
    <w:rsid w:val="00B706B1"/>
    <w:rsid w:val="00B707B2"/>
    <w:rsid w:val="00B713A8"/>
    <w:rsid w:val="00B71605"/>
    <w:rsid w:val="00B74EFE"/>
    <w:rsid w:val="00B76288"/>
    <w:rsid w:val="00B76736"/>
    <w:rsid w:val="00B769F2"/>
    <w:rsid w:val="00B76B25"/>
    <w:rsid w:val="00B77A65"/>
    <w:rsid w:val="00B77DC7"/>
    <w:rsid w:val="00B805CD"/>
    <w:rsid w:val="00B84747"/>
    <w:rsid w:val="00B85488"/>
    <w:rsid w:val="00B87F06"/>
    <w:rsid w:val="00B94263"/>
    <w:rsid w:val="00B95A0E"/>
    <w:rsid w:val="00B973FA"/>
    <w:rsid w:val="00B97738"/>
    <w:rsid w:val="00BA3968"/>
    <w:rsid w:val="00BA4C67"/>
    <w:rsid w:val="00BA5732"/>
    <w:rsid w:val="00BA59D8"/>
    <w:rsid w:val="00BA6256"/>
    <w:rsid w:val="00BB704D"/>
    <w:rsid w:val="00BC186D"/>
    <w:rsid w:val="00BC1F18"/>
    <w:rsid w:val="00BC2C89"/>
    <w:rsid w:val="00BC3FB7"/>
    <w:rsid w:val="00BD3A95"/>
    <w:rsid w:val="00BD7206"/>
    <w:rsid w:val="00BD7550"/>
    <w:rsid w:val="00BE15A1"/>
    <w:rsid w:val="00BE42E0"/>
    <w:rsid w:val="00BF3C9E"/>
    <w:rsid w:val="00BF4A7F"/>
    <w:rsid w:val="00BF4BAF"/>
    <w:rsid w:val="00BF4E0B"/>
    <w:rsid w:val="00BF51AD"/>
    <w:rsid w:val="00C0682E"/>
    <w:rsid w:val="00C1741B"/>
    <w:rsid w:val="00C21475"/>
    <w:rsid w:val="00C23912"/>
    <w:rsid w:val="00C248D1"/>
    <w:rsid w:val="00C24966"/>
    <w:rsid w:val="00C305C3"/>
    <w:rsid w:val="00C3314A"/>
    <w:rsid w:val="00C3526F"/>
    <w:rsid w:val="00C35993"/>
    <w:rsid w:val="00C36191"/>
    <w:rsid w:val="00C3709E"/>
    <w:rsid w:val="00C40F35"/>
    <w:rsid w:val="00C411C4"/>
    <w:rsid w:val="00C41FA3"/>
    <w:rsid w:val="00C43700"/>
    <w:rsid w:val="00C4421F"/>
    <w:rsid w:val="00C51633"/>
    <w:rsid w:val="00C524CB"/>
    <w:rsid w:val="00C532CF"/>
    <w:rsid w:val="00C53869"/>
    <w:rsid w:val="00C54B92"/>
    <w:rsid w:val="00C568CA"/>
    <w:rsid w:val="00C65626"/>
    <w:rsid w:val="00C700F4"/>
    <w:rsid w:val="00C703A9"/>
    <w:rsid w:val="00C748ED"/>
    <w:rsid w:val="00C764F0"/>
    <w:rsid w:val="00C90166"/>
    <w:rsid w:val="00C90191"/>
    <w:rsid w:val="00C916C9"/>
    <w:rsid w:val="00C928D9"/>
    <w:rsid w:val="00C94470"/>
    <w:rsid w:val="00C969DD"/>
    <w:rsid w:val="00CA074B"/>
    <w:rsid w:val="00CA3BBF"/>
    <w:rsid w:val="00CA794A"/>
    <w:rsid w:val="00CB0899"/>
    <w:rsid w:val="00CB3224"/>
    <w:rsid w:val="00CB3237"/>
    <w:rsid w:val="00CB44DC"/>
    <w:rsid w:val="00CB60D9"/>
    <w:rsid w:val="00CD444E"/>
    <w:rsid w:val="00CD4798"/>
    <w:rsid w:val="00CE002E"/>
    <w:rsid w:val="00CE243D"/>
    <w:rsid w:val="00CE373B"/>
    <w:rsid w:val="00CE4B78"/>
    <w:rsid w:val="00CE5334"/>
    <w:rsid w:val="00CF4B75"/>
    <w:rsid w:val="00CF5BBA"/>
    <w:rsid w:val="00CF6DD4"/>
    <w:rsid w:val="00CF7F64"/>
    <w:rsid w:val="00D00F1D"/>
    <w:rsid w:val="00D02186"/>
    <w:rsid w:val="00D05431"/>
    <w:rsid w:val="00D06E45"/>
    <w:rsid w:val="00D07442"/>
    <w:rsid w:val="00D07858"/>
    <w:rsid w:val="00D159DE"/>
    <w:rsid w:val="00D20F89"/>
    <w:rsid w:val="00D26C81"/>
    <w:rsid w:val="00D34497"/>
    <w:rsid w:val="00D42000"/>
    <w:rsid w:val="00D43444"/>
    <w:rsid w:val="00D449C1"/>
    <w:rsid w:val="00D46663"/>
    <w:rsid w:val="00D46E79"/>
    <w:rsid w:val="00D50422"/>
    <w:rsid w:val="00D508C3"/>
    <w:rsid w:val="00D5746A"/>
    <w:rsid w:val="00D57EAD"/>
    <w:rsid w:val="00D60958"/>
    <w:rsid w:val="00D6205F"/>
    <w:rsid w:val="00D62B9C"/>
    <w:rsid w:val="00D64D68"/>
    <w:rsid w:val="00D656A5"/>
    <w:rsid w:val="00D70DE3"/>
    <w:rsid w:val="00D734E2"/>
    <w:rsid w:val="00D740B8"/>
    <w:rsid w:val="00D75EF0"/>
    <w:rsid w:val="00D76A23"/>
    <w:rsid w:val="00D81FA1"/>
    <w:rsid w:val="00D825DD"/>
    <w:rsid w:val="00D82B99"/>
    <w:rsid w:val="00D85DC0"/>
    <w:rsid w:val="00D873C1"/>
    <w:rsid w:val="00D9508C"/>
    <w:rsid w:val="00DA0E14"/>
    <w:rsid w:val="00DA2994"/>
    <w:rsid w:val="00DA47E2"/>
    <w:rsid w:val="00DB1204"/>
    <w:rsid w:val="00DB2BE1"/>
    <w:rsid w:val="00DB2F85"/>
    <w:rsid w:val="00DB51FA"/>
    <w:rsid w:val="00DB5E7D"/>
    <w:rsid w:val="00DC05DC"/>
    <w:rsid w:val="00DC2A2F"/>
    <w:rsid w:val="00DC4922"/>
    <w:rsid w:val="00DC553D"/>
    <w:rsid w:val="00DC65A9"/>
    <w:rsid w:val="00DD0AAA"/>
    <w:rsid w:val="00DD4484"/>
    <w:rsid w:val="00DD6EDE"/>
    <w:rsid w:val="00DE041D"/>
    <w:rsid w:val="00DE0873"/>
    <w:rsid w:val="00DE306F"/>
    <w:rsid w:val="00DE3384"/>
    <w:rsid w:val="00DE3C24"/>
    <w:rsid w:val="00DE4617"/>
    <w:rsid w:val="00DE46B0"/>
    <w:rsid w:val="00DF2FC9"/>
    <w:rsid w:val="00E03FA1"/>
    <w:rsid w:val="00E114F3"/>
    <w:rsid w:val="00E12E35"/>
    <w:rsid w:val="00E13370"/>
    <w:rsid w:val="00E14EBE"/>
    <w:rsid w:val="00E232A6"/>
    <w:rsid w:val="00E25C0C"/>
    <w:rsid w:val="00E2624F"/>
    <w:rsid w:val="00E33540"/>
    <w:rsid w:val="00E339D0"/>
    <w:rsid w:val="00E34291"/>
    <w:rsid w:val="00E35426"/>
    <w:rsid w:val="00E418BA"/>
    <w:rsid w:val="00E420AD"/>
    <w:rsid w:val="00E44051"/>
    <w:rsid w:val="00E46BA5"/>
    <w:rsid w:val="00E472D4"/>
    <w:rsid w:val="00E47A0A"/>
    <w:rsid w:val="00E5460F"/>
    <w:rsid w:val="00E55040"/>
    <w:rsid w:val="00E72306"/>
    <w:rsid w:val="00E7399B"/>
    <w:rsid w:val="00E739E8"/>
    <w:rsid w:val="00E74500"/>
    <w:rsid w:val="00E810A4"/>
    <w:rsid w:val="00E8156F"/>
    <w:rsid w:val="00E83C2F"/>
    <w:rsid w:val="00E84823"/>
    <w:rsid w:val="00E86D65"/>
    <w:rsid w:val="00E930D2"/>
    <w:rsid w:val="00E93EC2"/>
    <w:rsid w:val="00EA10B1"/>
    <w:rsid w:val="00EA4672"/>
    <w:rsid w:val="00EB181C"/>
    <w:rsid w:val="00EB334E"/>
    <w:rsid w:val="00EB4637"/>
    <w:rsid w:val="00EB5A36"/>
    <w:rsid w:val="00EB5B9E"/>
    <w:rsid w:val="00EC0B2D"/>
    <w:rsid w:val="00EC31D7"/>
    <w:rsid w:val="00EC38AF"/>
    <w:rsid w:val="00EC4ABE"/>
    <w:rsid w:val="00EC5126"/>
    <w:rsid w:val="00EC5CB0"/>
    <w:rsid w:val="00EC6260"/>
    <w:rsid w:val="00ED1CAA"/>
    <w:rsid w:val="00EE0982"/>
    <w:rsid w:val="00EE2C55"/>
    <w:rsid w:val="00EE41EC"/>
    <w:rsid w:val="00EE72D7"/>
    <w:rsid w:val="00EF02B2"/>
    <w:rsid w:val="00EF0863"/>
    <w:rsid w:val="00EF0D3A"/>
    <w:rsid w:val="00EF3514"/>
    <w:rsid w:val="00EF5E19"/>
    <w:rsid w:val="00F0497A"/>
    <w:rsid w:val="00F04F6C"/>
    <w:rsid w:val="00F050C0"/>
    <w:rsid w:val="00F05C8E"/>
    <w:rsid w:val="00F109EB"/>
    <w:rsid w:val="00F12D64"/>
    <w:rsid w:val="00F13925"/>
    <w:rsid w:val="00F15314"/>
    <w:rsid w:val="00F17ACE"/>
    <w:rsid w:val="00F17DB8"/>
    <w:rsid w:val="00F27A79"/>
    <w:rsid w:val="00F32954"/>
    <w:rsid w:val="00F350A5"/>
    <w:rsid w:val="00F360F5"/>
    <w:rsid w:val="00F40946"/>
    <w:rsid w:val="00F41086"/>
    <w:rsid w:val="00F42D1D"/>
    <w:rsid w:val="00F45561"/>
    <w:rsid w:val="00F45FA0"/>
    <w:rsid w:val="00F46777"/>
    <w:rsid w:val="00F471EF"/>
    <w:rsid w:val="00F50AB4"/>
    <w:rsid w:val="00F50C98"/>
    <w:rsid w:val="00F5545D"/>
    <w:rsid w:val="00F60E58"/>
    <w:rsid w:val="00F63909"/>
    <w:rsid w:val="00F6491B"/>
    <w:rsid w:val="00F65F2F"/>
    <w:rsid w:val="00F66BE7"/>
    <w:rsid w:val="00F71C94"/>
    <w:rsid w:val="00F72D18"/>
    <w:rsid w:val="00F733E0"/>
    <w:rsid w:val="00F73806"/>
    <w:rsid w:val="00F73C0B"/>
    <w:rsid w:val="00F75FDA"/>
    <w:rsid w:val="00F77220"/>
    <w:rsid w:val="00F828EB"/>
    <w:rsid w:val="00F83B83"/>
    <w:rsid w:val="00F856E9"/>
    <w:rsid w:val="00F91EBC"/>
    <w:rsid w:val="00F9691B"/>
    <w:rsid w:val="00F96CC1"/>
    <w:rsid w:val="00FA3008"/>
    <w:rsid w:val="00FA5FE3"/>
    <w:rsid w:val="00FA6077"/>
    <w:rsid w:val="00FA77E7"/>
    <w:rsid w:val="00FB2C55"/>
    <w:rsid w:val="00FB3621"/>
    <w:rsid w:val="00FB3A31"/>
    <w:rsid w:val="00FC09A0"/>
    <w:rsid w:val="00FC325D"/>
    <w:rsid w:val="00FC35EA"/>
    <w:rsid w:val="00FC4327"/>
    <w:rsid w:val="00FD049F"/>
    <w:rsid w:val="00FE2ACA"/>
    <w:rsid w:val="00FE2C3C"/>
    <w:rsid w:val="00FE315B"/>
    <w:rsid w:val="00FE7EA3"/>
    <w:rsid w:val="00FF0746"/>
    <w:rsid w:val="00FF2660"/>
    <w:rsid w:val="00FF383E"/>
    <w:rsid w:val="00FF43F5"/>
    <w:rsid w:val="00FF6026"/>
    <w:rsid w:val="040168D1"/>
    <w:rsid w:val="09B4687D"/>
    <w:rsid w:val="0FB33569"/>
    <w:rsid w:val="1099E001"/>
    <w:rsid w:val="11B3E1E0"/>
    <w:rsid w:val="170A9DD2"/>
    <w:rsid w:val="18D05918"/>
    <w:rsid w:val="1905675E"/>
    <w:rsid w:val="190B926E"/>
    <w:rsid w:val="19434C61"/>
    <w:rsid w:val="1958ACBD"/>
    <w:rsid w:val="1B530A6C"/>
    <w:rsid w:val="1FBEEBC9"/>
    <w:rsid w:val="20353CAB"/>
    <w:rsid w:val="225DAA7E"/>
    <w:rsid w:val="23494677"/>
    <w:rsid w:val="250ACB92"/>
    <w:rsid w:val="288727C2"/>
    <w:rsid w:val="288A6108"/>
    <w:rsid w:val="28D78DA6"/>
    <w:rsid w:val="2A1FD4BE"/>
    <w:rsid w:val="2F7BCE35"/>
    <w:rsid w:val="3420AE3F"/>
    <w:rsid w:val="36E7BB56"/>
    <w:rsid w:val="3C0DD26A"/>
    <w:rsid w:val="3F0EE72D"/>
    <w:rsid w:val="4216D795"/>
    <w:rsid w:val="4495982A"/>
    <w:rsid w:val="44B77564"/>
    <w:rsid w:val="45ADF715"/>
    <w:rsid w:val="45C20331"/>
    <w:rsid w:val="4C1BA502"/>
    <w:rsid w:val="4FC59EDC"/>
    <w:rsid w:val="503DE061"/>
    <w:rsid w:val="512B8816"/>
    <w:rsid w:val="527FA7DA"/>
    <w:rsid w:val="528FE949"/>
    <w:rsid w:val="530BB453"/>
    <w:rsid w:val="54A2C95F"/>
    <w:rsid w:val="57106895"/>
    <w:rsid w:val="5937C0E4"/>
    <w:rsid w:val="594088A9"/>
    <w:rsid w:val="5C451C5F"/>
    <w:rsid w:val="5E245202"/>
    <w:rsid w:val="5FA26A9F"/>
    <w:rsid w:val="60BDE520"/>
    <w:rsid w:val="633686B6"/>
    <w:rsid w:val="695413D3"/>
    <w:rsid w:val="712C0A6D"/>
    <w:rsid w:val="71E6E887"/>
    <w:rsid w:val="73C7185F"/>
    <w:rsid w:val="75FC7447"/>
    <w:rsid w:val="770D5D1D"/>
    <w:rsid w:val="7948EFE4"/>
    <w:rsid w:val="795C0AA5"/>
    <w:rsid w:val="7B5AC040"/>
    <w:rsid w:val="7D25A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7795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14F3"/>
    <w:pPr>
      <w:spacing w:after="0" w:line="240" w:lineRule="auto"/>
    </w:pPr>
    <w:rPr>
      <w:rFonts w:eastAsiaTheme="minorEastAsi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level2">
    <w:name w:val="Title level 2"/>
    <w:qFormat/>
    <w:rsid w:val="00E114F3"/>
    <w:pPr>
      <w:spacing w:before="240" w:after="240" w:line="240" w:lineRule="auto"/>
    </w:pPr>
    <w:rPr>
      <w:rFonts w:asciiTheme="majorHAnsi" w:eastAsiaTheme="majorEastAsia" w:hAnsiTheme="majorHAnsi" w:cstheme="majorBidi"/>
      <w:bCs/>
      <w:color w:val="44546A" w:themeColor="text2"/>
      <w:sz w:val="32"/>
      <w:szCs w:val="24"/>
    </w:rPr>
  </w:style>
  <w:style w:type="paragraph" w:styleId="FootnoteText">
    <w:name w:val="footnote text"/>
    <w:basedOn w:val="Normal"/>
    <w:link w:val="FootnoteTextChar"/>
    <w:autoRedefine/>
    <w:qFormat/>
    <w:rsid w:val="003D3122"/>
    <w:pPr>
      <w:spacing w:before="80" w:line="200" w:lineRule="exact"/>
      <w:ind w:left="567" w:hanging="567"/>
      <w:jc w:val="both"/>
    </w:pPr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rsid w:val="003D3122"/>
    <w:rPr>
      <w:rFonts w:eastAsiaTheme="minorEastAsia"/>
      <w:sz w:val="18"/>
      <w:szCs w:val="18"/>
      <w:lang w:val="pl-PL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uiPriority w:val="99"/>
    <w:qFormat/>
    <w:rsid w:val="00E114F3"/>
    <w:rPr>
      <w:rFonts w:asciiTheme="minorHAnsi" w:hAnsiTheme="minorHAnsi"/>
      <w:sz w:val="22"/>
      <w:szCs w:val="18"/>
      <w:vertAlign w:val="superscript"/>
    </w:rPr>
  </w:style>
  <w:style w:type="character" w:styleId="Hyperlink">
    <w:name w:val="Hyperlink"/>
    <w:basedOn w:val="DefaultParagraphFont"/>
    <w:uiPriority w:val="99"/>
    <w:rsid w:val="00E114F3"/>
    <w:rPr>
      <w:color w:val="0563C1" w:themeColor="hyperlink"/>
      <w:u w:val="single"/>
    </w:rPr>
  </w:style>
  <w:style w:type="paragraph" w:customStyle="1" w:styleId="Annexetitre">
    <w:name w:val="Annexe titre"/>
    <w:basedOn w:val="Normal"/>
    <w:next w:val="Normal"/>
    <w:rsid w:val="00E114F3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customStyle="1" w:styleId="Applicationdirecte">
    <w:name w:val="Application directe"/>
    <w:basedOn w:val="Normal"/>
    <w:next w:val="Normal"/>
    <w:rsid w:val="00E114F3"/>
    <w:pPr>
      <w:spacing w:before="480" w:after="120"/>
      <w:jc w:val="both"/>
    </w:pPr>
    <w:rPr>
      <w:rFonts w:ascii="Times New Roman" w:eastAsia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E114F3"/>
    <w:pPr>
      <w:ind w:left="720"/>
    </w:pPr>
    <w:rPr>
      <w:rFonts w:ascii="Calibri" w:eastAsia="Calibri" w:hAnsi="Calibri" w:cs="Times New Roman"/>
      <w:szCs w:val="22"/>
    </w:rPr>
  </w:style>
  <w:style w:type="paragraph" w:customStyle="1" w:styleId="TableMainHeading">
    <w:name w:val="TableMainHeading"/>
    <w:basedOn w:val="Normal"/>
    <w:next w:val="Normal"/>
    <w:uiPriority w:val="99"/>
    <w:rsid w:val="00E114F3"/>
    <w:pPr>
      <w:spacing w:before="120" w:after="120"/>
    </w:pPr>
    <w:rPr>
      <w:rFonts w:ascii="Segoe UI" w:eastAsia="Times New Roman" w:hAnsi="Segoe UI" w:cs="Times New Roman"/>
      <w:szCs w:val="20"/>
    </w:rPr>
  </w:style>
  <w:style w:type="paragraph" w:customStyle="1" w:styleId="TableTitle">
    <w:name w:val="TableTitle"/>
    <w:basedOn w:val="Normal"/>
    <w:next w:val="Normal"/>
    <w:link w:val="TableTitleChar"/>
    <w:rsid w:val="00E114F3"/>
    <w:pPr>
      <w:keepNext/>
      <w:spacing w:before="120" w:after="240"/>
      <w:jc w:val="center"/>
    </w:pPr>
    <w:rPr>
      <w:rFonts w:ascii="Arial" w:eastAsia="MS Mincho" w:hAnsi="Arial" w:cs="Times New Roman"/>
      <w:b/>
      <w:noProof/>
      <w:szCs w:val="20"/>
    </w:rPr>
  </w:style>
  <w:style w:type="character" w:customStyle="1" w:styleId="TableTitleChar">
    <w:name w:val="TableTitle Char"/>
    <w:basedOn w:val="DefaultParagraphFont"/>
    <w:link w:val="TableTitle"/>
    <w:locked/>
    <w:rsid w:val="00E114F3"/>
    <w:rPr>
      <w:rFonts w:ascii="Arial" w:eastAsia="MS Mincho" w:hAnsi="Arial" w:cs="Times New Roman"/>
      <w:b/>
      <w:noProof/>
      <w:szCs w:val="20"/>
    </w:rPr>
  </w:style>
  <w:style w:type="character" w:customStyle="1" w:styleId="InstructionsTabelleberschrift">
    <w:name w:val="Instructions Tabelle Überschrift"/>
    <w:qFormat/>
    <w:rsid w:val="00E114F3"/>
    <w:rPr>
      <w:rFonts w:ascii="Verdana" w:hAnsi="Verdana" w:cs="Times New Roman"/>
      <w:b/>
      <w:bCs/>
      <w:sz w:val="20"/>
      <w:u w:val="single"/>
    </w:rPr>
  </w:style>
  <w:style w:type="paragraph" w:customStyle="1" w:styleId="InstructionsText2">
    <w:name w:val="Instructions Text 2"/>
    <w:basedOn w:val="Normal"/>
    <w:qFormat/>
    <w:rsid w:val="00E114F3"/>
    <w:pPr>
      <w:numPr>
        <w:numId w:val="2"/>
      </w:numPr>
      <w:spacing w:after="240"/>
      <w:jc w:val="both"/>
    </w:pPr>
    <w:rPr>
      <w:rFonts w:ascii="Times New Roman" w:eastAsia="Times New Roman" w:hAnsi="Times New Roman" w:cs="Times New Roman"/>
      <w:sz w:val="24"/>
      <w:lang w:eastAsia="de-DE"/>
    </w:rPr>
  </w:style>
  <w:style w:type="paragraph" w:styleId="Header">
    <w:name w:val="header"/>
    <w:basedOn w:val="Normal"/>
    <w:link w:val="HeaderChar"/>
    <w:uiPriority w:val="99"/>
    <w:unhideWhenUsed/>
    <w:rsid w:val="00E114F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14F3"/>
    <w:rPr>
      <w:rFonts w:eastAsiaTheme="minorEastAsia"/>
      <w:szCs w:val="24"/>
    </w:rPr>
  </w:style>
  <w:style w:type="paragraph" w:styleId="Footer">
    <w:name w:val="footer"/>
    <w:basedOn w:val="Normal"/>
    <w:link w:val="FooterChar"/>
    <w:uiPriority w:val="99"/>
    <w:unhideWhenUsed/>
    <w:rsid w:val="00E114F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14F3"/>
    <w:rPr>
      <w:rFonts w:eastAsiaTheme="minorEastAsia"/>
      <w:szCs w:val="24"/>
    </w:rPr>
  </w:style>
  <w:style w:type="paragraph" w:styleId="Revision">
    <w:name w:val="Revision"/>
    <w:hidden/>
    <w:uiPriority w:val="99"/>
    <w:semiHidden/>
    <w:rsid w:val="00241FEC"/>
    <w:pPr>
      <w:spacing w:after="0" w:line="240" w:lineRule="auto"/>
    </w:pPr>
    <w:rPr>
      <w:rFonts w:eastAsiaTheme="minorEastAsia"/>
      <w:szCs w:val="24"/>
    </w:rPr>
  </w:style>
  <w:style w:type="character" w:styleId="CommentReference">
    <w:name w:val="annotation reference"/>
    <w:basedOn w:val="DefaultParagraphFont"/>
    <w:uiPriority w:val="99"/>
    <w:unhideWhenUsed/>
    <w:rsid w:val="00095D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5D0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5D07"/>
    <w:rPr>
      <w:rFonts w:eastAsiaTheme="minorEastAsia"/>
      <w:sz w:val="20"/>
      <w:szCs w:val="20"/>
      <w:lang w:val="pl-PL"/>
    </w:rPr>
  </w:style>
  <w:style w:type="paragraph" w:customStyle="1" w:styleId="numberedparagraph">
    <w:name w:val="numbered paragraph"/>
    <w:basedOn w:val="Normal"/>
    <w:qFormat/>
    <w:rsid w:val="00095D07"/>
    <w:pPr>
      <w:numPr>
        <w:numId w:val="7"/>
      </w:numPr>
      <w:spacing w:before="240" w:after="120" w:line="276" w:lineRule="auto"/>
      <w:jc w:val="both"/>
    </w:pPr>
  </w:style>
  <w:style w:type="paragraph" w:customStyle="1" w:styleId="paragraph">
    <w:name w:val="paragraph"/>
    <w:basedOn w:val="Normal"/>
    <w:rsid w:val="00095D0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lang w:eastAsia="en-GB"/>
    </w:rPr>
  </w:style>
  <w:style w:type="character" w:customStyle="1" w:styleId="normaltextrun">
    <w:name w:val="normaltextrun"/>
    <w:basedOn w:val="DefaultParagraphFont"/>
    <w:rsid w:val="00095D07"/>
  </w:style>
  <w:style w:type="character" w:customStyle="1" w:styleId="eop">
    <w:name w:val="eop"/>
    <w:basedOn w:val="DefaultParagraphFont"/>
    <w:rsid w:val="00095D07"/>
  </w:style>
  <w:style w:type="character" w:styleId="Mention">
    <w:name w:val="Mention"/>
    <w:basedOn w:val="DefaultParagraphFont"/>
    <w:uiPriority w:val="99"/>
    <w:unhideWhenUsed/>
    <w:rsid w:val="00095D07"/>
    <w:rPr>
      <w:color w:val="2B579A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4F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4F00"/>
    <w:rPr>
      <w:rFonts w:eastAsiaTheme="minorEastAsia"/>
      <w:b/>
      <w:bCs/>
      <w:sz w:val="20"/>
      <w:szCs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PL/TXT/?uri=OJ:L_202401623" TargetMode="External"/><Relationship Id="rId1" Type="http://schemas.openxmlformats.org/officeDocument/2006/relationships/hyperlink" Target="https://eur-lex.europa.eu/legal-content/PL/AUTO/?uri=OJ:L:2013:176: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2897FCB-9E4A-4741-9004-D2C005DA780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EA24617-D9FB-4719-92A9-5012FAC551F3}"/>
</file>

<file path=customXml/itemProps3.xml><?xml version="1.0" encoding="utf-8"?>
<ds:datastoreItem xmlns:ds="http://schemas.openxmlformats.org/officeDocument/2006/customXml" ds:itemID="{7E426D50-F584-4B1C-B894-883E7D6123EB}"/>
</file>

<file path=customXml/itemProps4.xml><?xml version="1.0" encoding="utf-8"?>
<ds:datastoreItem xmlns:ds="http://schemas.openxmlformats.org/officeDocument/2006/customXml" ds:itemID="{65CD0654-2955-4986-B8F7-30D79A0563A3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3652</Words>
  <Characters>21880</Characters>
  <Application>Microsoft Office Word</Application>
  <DocSecurity>0</DocSecurity>
  <Lines>486</Lines>
  <Paragraphs>222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25310</CharactersWithSpaces>
  <SharedDoc>false</SharedDoc>
  <HLinks>
    <vt:vector size="6" baseType="variant">
      <vt:variant>
        <vt:i4>7602297</vt:i4>
      </vt:variant>
      <vt:variant>
        <vt:i4>0</vt:i4>
      </vt:variant>
      <vt:variant>
        <vt:i4>0</vt:i4>
      </vt:variant>
      <vt:variant>
        <vt:i4>5</vt:i4>
      </vt:variant>
      <vt:variant>
        <vt:lpwstr>https://eur-lex.europa.eu/legal-content/EN/AUTO/?uri=OJ:L:2013:176:TOC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2024-01-16T19:59:00Z</dcterms:created>
  <dcterms:modified xsi:type="dcterms:W3CDTF">2024-10-17T09:20:00Z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2024-09-26T14:33:15Z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1b3d45c3-b119-4dc7-a546-67a8ee009990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0x010100A640DC13EB184F4EBE5AA21BE9F247DB</vt:lpwstr>
  </property>
</Properties>
</file>