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Metadata/LabelInfo.xml" ContentType="application/vnd.ms-office.classificationlabel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BDA22" w14:textId="77777777" w:rsidR="00455D0D" w:rsidRPr="007F4CC8" w:rsidRDefault="00455D0D" w:rsidP="00455D0D">
      <w:pPr>
        <w:pStyle w:val="Annexetitre"/>
        <w:rPr>
          <w:b w:val="0"/>
        </w:rPr>
      </w:pPr>
      <w:r>
        <w:t xml:space="preserve">PŘÍLOHA X – Pokyny k zpřístupňování informací o proticyklických kapitálových rezervách</w:t>
      </w:r>
    </w:p>
    <w:p w14:paraId="01BBFD15" w14:textId="77777777" w:rsidR="00455D0D" w:rsidRPr="007F4CC8" w:rsidRDefault="00455D0D" w:rsidP="00455D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</w:rPr>
      </w:pPr>
    </w:p>
    <w:p w14:paraId="23E8C0FC" w14:textId="77777777" w:rsidR="00455D0D" w:rsidRPr="007F4CC8" w:rsidRDefault="00455D0D" w:rsidP="00455D0D">
      <w:pPr>
        <w:autoSpaceDE w:val="0"/>
        <w:autoSpaceDN w:val="0"/>
        <w:adjustRightInd w:val="0"/>
        <w:jc w:val="both"/>
        <w:rPr>
          <w:sz w:val="24"/>
          <w:rFonts w:ascii="Times New Roman" w:hAnsi="Times New Roman" w:cs="Times New Roman"/>
        </w:rPr>
      </w:pPr>
      <w:r>
        <w:rPr>
          <w:sz w:val="24"/>
          <w:b/>
          <w:rFonts w:ascii="Times New Roman" w:hAnsi="Times New Roman"/>
        </w:rPr>
        <w:t xml:space="preserve">Šablona EU CCyB1 – Zeměpisné rozdělení úvěrových expozic relevantních pro výpočet proticyklické kapitálové rezervy.</w:t>
      </w:r>
      <w:r>
        <w:rPr>
          <w:sz w:val="24"/>
          <w:b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U sloupců pevně daný formát, u řádků flexibilní formát.</w:t>
      </w:r>
      <w:r>
        <w:rPr>
          <w:sz w:val="24"/>
          <w:rFonts w:ascii="Times New Roman" w:hAnsi="Times New Roman"/>
        </w:rPr>
        <w:t xml:space="preserve"> </w:t>
      </w:r>
    </w:p>
    <w:p w14:paraId="3340396C" w14:textId="77777777" w:rsidR="00455D0D" w:rsidRPr="007F4CC8" w:rsidRDefault="00455D0D" w:rsidP="00455D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</w:rPr>
      </w:pPr>
    </w:p>
    <w:p w14:paraId="41E7C5B7" w14:textId="473FDA2B" w:rsidR="00455D0D" w:rsidRPr="007F4CC8" w:rsidRDefault="00455D0D" w:rsidP="00455D0D">
      <w:pPr>
        <w:pStyle w:val="ListParagraph"/>
        <w:numPr>
          <w:ilvl w:val="0"/>
          <w:numId w:val="2"/>
        </w:numPr>
        <w:spacing w:before="120" w:after="120"/>
        <w:ind w:left="425" w:hanging="357"/>
        <w:jc w:val="both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Informace uvedené v čl. 440 písm. a) nařízení (EU) č. 575/2013</w:t>
      </w:r>
      <w:r w:rsidRPr="007F4CC8">
        <w:rPr>
          <w:rStyle w:val="FootnoteReference"/>
        </w:rPr>
        <w:footnoteReference w:id="1"/>
      </w:r>
      <w:r>
        <w:rPr>
          <w:sz w:val="24"/>
          <w:rFonts w:ascii="Times New Roman" w:hAnsi="Times New Roman"/>
        </w:rPr>
        <w:t xml:space="preserve"> (dále jen „CRR“) zpřístupňují instituce podle následujících pokynů k vyplnění šablony EU CCyB1, obsažené v příloze IX IT řešení orgánu EBA.</w:t>
      </w:r>
      <w:r>
        <w:rPr>
          <w:sz w:val="24"/>
          <w:rFonts w:ascii="Times New Roman" w:hAnsi="Times New Roman"/>
        </w:rPr>
        <w:t xml:space="preserve"> </w:t>
      </w:r>
    </w:p>
    <w:p w14:paraId="7398E361" w14:textId="77777777" w:rsidR="00455D0D" w:rsidRPr="00266A53" w:rsidRDefault="00455D0D" w:rsidP="00455D0D">
      <w:pPr>
        <w:pStyle w:val="ListParagraph"/>
        <w:numPr>
          <w:ilvl w:val="0"/>
          <w:numId w:val="2"/>
        </w:numPr>
        <w:spacing w:before="120" w:after="120"/>
        <w:ind w:left="360" w:hanging="357"/>
        <w:contextualSpacing/>
        <w:jc w:val="both"/>
        <w:rPr>
          <w:sz w:val="24"/>
          <w:szCs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Oblast působnosti šablony EU CCyB1 je omezena na úvěrové expozice relevantní pro výpočet proticyklické kapitálové rezervy podle čl. 140 odst. 4 směrnice (EU) 2013/36</w:t>
      </w:r>
      <w:r w:rsidRPr="007F4CC8">
        <w:rPr>
          <w:rStyle w:val="FootnoteReference"/>
          <w:rFonts w:eastAsia="Times New Roman"/>
        </w:rPr>
        <w:footnoteReference w:id="2"/>
      </w:r>
      <w:r>
        <w:rPr>
          <w:sz w:val="24"/>
          <w:rFonts w:ascii="Times New Roman" w:hAnsi="Times New Roman"/>
        </w:rPr>
        <w:t xml:space="preserve"> (dále jen „CRD“).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455D0D" w:rsidRPr="007F4CC8" w14:paraId="0A43BEBB" w14:textId="77777777" w:rsidTr="00D819DE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B5801A4" w14:textId="77777777" w:rsidR="00455D0D" w:rsidRPr="007F4CC8" w:rsidRDefault="00455D0D" w:rsidP="00D819DE">
            <w:pPr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Odkazy na právní předpisy a pokyny</w:t>
            </w:r>
          </w:p>
        </w:tc>
      </w:tr>
      <w:tr w:rsidR="00455D0D" w:rsidRPr="007F4CC8" w14:paraId="5753E80F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63F8D0B7" w14:textId="77777777" w:rsidR="00455D0D" w:rsidRPr="007F4CC8" w:rsidRDefault="00455D0D" w:rsidP="00D819DE">
            <w:pPr>
              <w:autoSpaceDE w:val="0"/>
              <w:autoSpaceDN w:val="0"/>
              <w:adjustRightInd w:val="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Řádek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5B6BF2F1" w14:textId="77777777" w:rsidR="00455D0D" w:rsidRPr="007F4CC8" w:rsidRDefault="00455D0D" w:rsidP="00D819DE">
            <w:pPr>
              <w:autoSpaceDE w:val="0"/>
              <w:autoSpaceDN w:val="0"/>
              <w:adjustRightInd w:val="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Vysvětlení</w:t>
            </w:r>
          </w:p>
        </w:tc>
      </w:tr>
      <w:tr w:rsidR="00455D0D" w:rsidRPr="007F4CC8" w14:paraId="6D5018C1" w14:textId="77777777" w:rsidTr="00D819DE">
        <w:trPr>
          <w:trHeight w:val="4381"/>
        </w:trPr>
        <w:tc>
          <w:tcPr>
            <w:tcW w:w="1384" w:type="dxa"/>
          </w:tcPr>
          <w:p w14:paraId="48FA5F7D" w14:textId="77777777" w:rsidR="00455D0D" w:rsidRPr="007F4CC8" w:rsidRDefault="00455D0D" w:rsidP="00D819DE">
            <w:pPr>
              <w:pStyle w:val="Applicationdirecte"/>
              <w:spacing w:before="120"/>
            </w:pPr>
            <w:r>
              <w:t xml:space="preserve">010-01X</w:t>
            </w:r>
          </w:p>
        </w:tc>
        <w:tc>
          <w:tcPr>
            <w:tcW w:w="7655" w:type="dxa"/>
          </w:tcPr>
          <w:p w14:paraId="482E28A9" w14:textId="77777777" w:rsidR="00455D0D" w:rsidRPr="007F4CC8" w:rsidRDefault="00455D0D" w:rsidP="00D819DE">
            <w:pPr>
              <w:pStyle w:val="Applicationdirecte"/>
              <w:spacing w:before="120"/>
              <w:rPr>
                <w:b/>
              </w:rPr>
            </w:pPr>
            <w:r>
              <w:rPr>
                <w:b/>
              </w:rPr>
              <w:t xml:space="preserve">Členění podle zemí</w:t>
            </w:r>
          </w:p>
          <w:p w14:paraId="2DDAA49A" w14:textId="77777777" w:rsidR="00455D0D" w:rsidRPr="007F4CC8" w:rsidRDefault="00455D0D" w:rsidP="00D819DE">
            <w:pPr>
              <w:pStyle w:val="Applicationdirecte"/>
              <w:spacing w:before="120"/>
            </w:pPr>
            <w:r>
              <w:t xml:space="preserve">Seznam zemí, ve kterých má instituce úvěrové expozice relevantní pro výpočet individuální proticyklické kapitálové rezervy v souladu s nařízením Komise v přenesené pravomoci (EU) č. 1152/2014</w:t>
            </w:r>
            <w:r w:rsidRPr="007F4CC8">
              <w:rPr>
                <w:rStyle w:val="FootnoteReference"/>
              </w:rPr>
              <w:footnoteReference w:id="3"/>
            </w:r>
          </w:p>
          <w:p w14:paraId="37E96D2E" w14:textId="77777777" w:rsidR="00455D0D" w:rsidRPr="007F4CC8" w:rsidRDefault="00455D0D" w:rsidP="00D819DE">
            <w:pPr>
              <w:pStyle w:val="Fait"/>
              <w:spacing w:after="120"/>
            </w:pPr>
            <w:r>
              <w:t xml:space="preserve">Počet řádků se může lišit v závislosti na počtu zemí, v nichž má instituce své úvěrové expozice relevantní pro výpočet proticyklické rezervy.</w:t>
            </w:r>
            <w:r>
              <w:t xml:space="preserve"> </w:t>
            </w:r>
            <w:r>
              <w:t xml:space="preserve">Instituce řádky pro jednotlivé země očíslují po sobě jdoucími čísly od 010.</w:t>
            </w:r>
          </w:p>
          <w:p w14:paraId="110E5142" w14:textId="77777777" w:rsidR="00455D0D" w:rsidRPr="007F4CC8" w:rsidRDefault="00455D0D" w:rsidP="00D819DE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 souladu s nařízením Komise v přenesené pravomoci (EU) č. 1152/2014, pokud expozice obchodního portfolia nebo zahraniční úvěrové expozice instituce představují méně než 2 % souhrnu rizikově vážených expozic, může se instituce rozhodnout, že tyto expozice přidělí místu instituce (tj. domovskému členskému státu instituce).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Pokud expozice uvedené u místa instituce zahrnují expozice z jiných zemí, jsou expozice z jiných zemí jasně označeny v poznámce k dané šabloně pro zpřístupnění informací.</w:t>
            </w:r>
          </w:p>
        </w:tc>
      </w:tr>
      <w:tr w:rsidR="00455D0D" w:rsidRPr="007F4CC8" w14:paraId="2B7D044A" w14:textId="77777777" w:rsidTr="00D819DE">
        <w:trPr>
          <w:trHeight w:val="316"/>
        </w:trPr>
        <w:tc>
          <w:tcPr>
            <w:tcW w:w="1384" w:type="dxa"/>
          </w:tcPr>
          <w:p w14:paraId="34D2A4C4" w14:textId="77777777" w:rsidR="00455D0D" w:rsidRPr="007F4CC8" w:rsidRDefault="00455D0D" w:rsidP="00D819DE">
            <w:pPr>
              <w:autoSpaceDE w:val="0"/>
              <w:autoSpaceDN w:val="0"/>
              <w:adjustRightInd w:val="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020</w:t>
            </w:r>
          </w:p>
        </w:tc>
        <w:tc>
          <w:tcPr>
            <w:tcW w:w="7655" w:type="dxa"/>
          </w:tcPr>
          <w:p w14:paraId="1007C866" w14:textId="77777777" w:rsidR="00455D0D" w:rsidRPr="007F4CC8" w:rsidRDefault="00455D0D" w:rsidP="00D819DE">
            <w:pPr>
              <w:autoSpaceDE w:val="0"/>
              <w:autoSpaceDN w:val="0"/>
              <w:adjustRightInd w:val="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Celkem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159FB8B0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Hodnota podle vysvětlivek pro sloupce a až m této šablony.</w:t>
            </w:r>
          </w:p>
        </w:tc>
      </w:tr>
    </w:tbl>
    <w:p w14:paraId="761A683E" w14:textId="77777777" w:rsidR="00455D0D" w:rsidRPr="007F4CC8" w:rsidRDefault="00455D0D" w:rsidP="00455D0D">
      <w:pPr>
        <w:rPr>
          <w:rFonts w:ascii="Times New Roman" w:hAnsi="Times New Roman" w:cs="Times New Roman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455D0D" w:rsidRPr="007F4CC8" w14:paraId="0EDEA811" w14:textId="77777777" w:rsidTr="00D819DE">
        <w:trPr>
          <w:trHeight w:val="238"/>
        </w:trPr>
        <w:tc>
          <w:tcPr>
            <w:tcW w:w="9039" w:type="dxa"/>
            <w:gridSpan w:val="2"/>
            <w:shd w:val="clear" w:color="auto" w:fill="D9D9D9" w:themeFill="background1" w:themeFillShade="D9"/>
          </w:tcPr>
          <w:p w14:paraId="6E1DF8CC" w14:textId="77777777" w:rsidR="00455D0D" w:rsidRPr="007F4CC8" w:rsidRDefault="00455D0D" w:rsidP="00D819DE">
            <w:pPr>
              <w:autoSpaceDE w:val="0"/>
              <w:autoSpaceDN w:val="0"/>
              <w:adjustRightInd w:val="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Odkazy na právní předpisy a pokyny</w:t>
            </w:r>
          </w:p>
        </w:tc>
      </w:tr>
      <w:tr w:rsidR="00455D0D" w:rsidRPr="007F4CC8" w14:paraId="40DA12F8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0EE254B1" w14:textId="77777777" w:rsidR="00455D0D" w:rsidRPr="007F4CC8" w:rsidRDefault="00455D0D" w:rsidP="00D819DE">
            <w:pPr>
              <w:autoSpaceDE w:val="0"/>
              <w:autoSpaceDN w:val="0"/>
              <w:adjustRightInd w:val="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Sloupec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1BD7CCD7" w14:textId="77777777" w:rsidR="00455D0D" w:rsidRPr="007F4CC8" w:rsidRDefault="00455D0D" w:rsidP="00D819DE">
            <w:pPr>
              <w:autoSpaceDE w:val="0"/>
              <w:autoSpaceDN w:val="0"/>
              <w:adjustRightInd w:val="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Vysvětlení</w:t>
            </w:r>
          </w:p>
        </w:tc>
      </w:tr>
      <w:tr w:rsidR="00455D0D" w:rsidRPr="007F4CC8" w14:paraId="2CFE33C2" w14:textId="77777777" w:rsidTr="00D819DE">
        <w:trPr>
          <w:trHeight w:val="841"/>
        </w:trPr>
        <w:tc>
          <w:tcPr>
            <w:tcW w:w="1384" w:type="dxa"/>
          </w:tcPr>
          <w:p w14:paraId="09169D26" w14:textId="77777777" w:rsidR="00455D0D" w:rsidRPr="007F4CC8" w:rsidRDefault="00455D0D" w:rsidP="00D819DE">
            <w:pPr>
              <w:pStyle w:val="Applicationdirecte"/>
              <w:spacing w:before="120"/>
            </w:pPr>
            <w:r>
              <w:t xml:space="preserve">a</w:t>
            </w:r>
          </w:p>
        </w:tc>
        <w:tc>
          <w:tcPr>
            <w:tcW w:w="7655" w:type="dxa"/>
          </w:tcPr>
          <w:p w14:paraId="4397613E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rPr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Hodnota obecných úvěrových expozic podle standardizovaného přístupu</w:t>
            </w:r>
          </w:p>
          <w:p w14:paraId="217A6855" w14:textId="77777777" w:rsidR="00455D0D" w:rsidRPr="007F4CC8" w:rsidRDefault="00455D0D" w:rsidP="00D819DE">
            <w:pPr>
              <w:pStyle w:val="Fait"/>
              <w:spacing w:after="120"/>
            </w:pPr>
            <w:r>
              <w:t xml:space="preserve">Hodnota rozhodných úvěrových expozic stanovená v souladu s čl. 140 odst. 4 písm. a) CRD a článkem 111 CRR.</w:t>
            </w:r>
          </w:p>
          <w:p w14:paraId="7001526D" w14:textId="77777777" w:rsidR="00455D0D" w:rsidRPr="007F4CC8" w:rsidRDefault="00455D0D" w:rsidP="00D819DE">
            <w:pPr>
              <w:pStyle w:val="Fait"/>
              <w:spacing w:after="120"/>
            </w:pPr>
            <w:r>
              <w:t xml:space="preserve">Hodnota rozhodných úvěrových expozic stanovená v souladu s čl. 140 odst. 4 písm. c) CRD a čl. 248 písm. a) a c) CRR se neuvádí zde, ale ve sloupci e této šablony.</w:t>
            </w:r>
          </w:p>
          <w:p w14:paraId="7DC41FB9" w14:textId="77777777" w:rsidR="00455D0D" w:rsidRPr="007F4CC8" w:rsidRDefault="00455D0D" w:rsidP="00D819DE">
            <w:pPr>
              <w:pStyle w:val="Fait"/>
              <w:spacing w:after="120"/>
            </w:pPr>
            <w:r>
              <w:t xml:space="preserve">Zeměpisné rozdělení se provádí v souladu s nařízením Komise v přenesené pravomoci (EU) č. 1152/2014.</w:t>
            </w:r>
            <w:r>
              <w:t xml:space="preserve"> </w:t>
            </w:r>
          </w:p>
          <w:p w14:paraId="6801ED6C" w14:textId="77777777" w:rsidR="00455D0D" w:rsidRPr="007F4CC8" w:rsidRDefault="00455D0D" w:rsidP="00D819DE">
            <w:pPr>
              <w:pStyle w:val="Fait"/>
              <w:spacing w:after="120"/>
            </w:pPr>
            <w:r>
              <w:t xml:space="preserve">Řádek 020 (Celkem):</w:t>
            </w:r>
            <w:r>
              <w:t xml:space="preserve"> </w:t>
            </w:r>
            <w:r>
              <w:t xml:space="preserve">Součet všech rozhodných úvěrových expozic se stanoví v souladu s čl. 140 odst. 4 písm. a) CRD a článkem 111 CRR.</w:t>
            </w:r>
          </w:p>
        </w:tc>
      </w:tr>
      <w:tr w:rsidR="00455D0D" w:rsidRPr="007F4CC8" w14:paraId="3E403FD1" w14:textId="77777777" w:rsidTr="00D819DE">
        <w:trPr>
          <w:trHeight w:val="841"/>
        </w:trPr>
        <w:tc>
          <w:tcPr>
            <w:tcW w:w="1384" w:type="dxa"/>
          </w:tcPr>
          <w:p w14:paraId="2F14660E" w14:textId="77777777" w:rsidR="00455D0D" w:rsidRPr="007F4CC8" w:rsidRDefault="00455D0D" w:rsidP="00D819DE">
            <w:pPr>
              <w:pStyle w:val="Applicationdirecte"/>
              <w:spacing w:before="120"/>
            </w:pPr>
            <w:r>
              <w:t xml:space="preserve">b</w:t>
            </w:r>
          </w:p>
        </w:tc>
        <w:tc>
          <w:tcPr>
            <w:tcW w:w="7655" w:type="dxa"/>
          </w:tcPr>
          <w:p w14:paraId="3C9BF2FD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Hodnota obecných úvěrových expozic podle přístupu IRB</w:t>
            </w:r>
          </w:p>
          <w:p w14:paraId="45C5ADD3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Hodnota rozhodných úvěrových expozic stanovená v souladu s čl. 140 odst. 4 písm. a) CRD a s články 166, 167 a 168 CRR.</w:t>
            </w:r>
          </w:p>
          <w:p w14:paraId="4BAA504B" w14:textId="77777777" w:rsidR="00455D0D" w:rsidRPr="007F4CC8" w:rsidRDefault="00455D0D" w:rsidP="00D819DE">
            <w:pPr>
              <w:pStyle w:val="Fait"/>
              <w:spacing w:after="120"/>
            </w:pPr>
            <w:r>
              <w:t xml:space="preserve">Hodnota rozhodných úvěrových expozic stanovená v souladu s čl. 140 odst. 4 písm. c) CRD a čl. 248 písm. a) a c) CRR se neuvádí zde, ale ve sloupci e této šablony.</w:t>
            </w:r>
          </w:p>
          <w:p w14:paraId="5FD72283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Zeměpisné rozdělení se provádí v souladu s nařízením Komise v přenesené pravomoci (EU) č. 1152/2014.</w:t>
            </w:r>
          </w:p>
          <w:p w14:paraId="5B53F08D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Řádek 020 (Celkem):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Součet všech rozhodných úvěrových expozic se stanoví v souladu s čl. 140 odst. 4 písm. a) CRD a s články 166, 167 a 168 CRR.</w:t>
            </w:r>
          </w:p>
        </w:tc>
      </w:tr>
      <w:tr w:rsidR="00455D0D" w:rsidRPr="007F4CC8" w14:paraId="2FD82798" w14:textId="77777777" w:rsidTr="00D819DE">
        <w:trPr>
          <w:trHeight w:val="316"/>
        </w:trPr>
        <w:tc>
          <w:tcPr>
            <w:tcW w:w="1384" w:type="dxa"/>
          </w:tcPr>
          <w:p w14:paraId="41DD12A9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c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  <w:tc>
          <w:tcPr>
            <w:tcW w:w="7655" w:type="dxa"/>
          </w:tcPr>
          <w:p w14:paraId="5921C026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Součet dlouhých a krátkých pozic expozic obchodního portfolia pro standardizovaný přístup</w:t>
            </w:r>
          </w:p>
          <w:p w14:paraId="7ED55B13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Součet dlouhých a krátkých pozic rozhodných úvěrových expozic podle čl. 140 odst. 4 písm. b) CRD vypočtený jako součet dlouhých a krátkých pozic stanovených v souladu s článkem 327 CRR.</w:t>
            </w:r>
          </w:p>
          <w:p w14:paraId="5A13EFF9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Zeměpisné rozdělení se provádí v souladu s nařízením Komise v přenesené pravomoci (EU) č. 1152/2014.</w:t>
            </w:r>
          </w:p>
          <w:p w14:paraId="49E9F7E7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Řádek 020 (Celkem):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Celkový součet všech dlouhých a krátkých pozic rozhodných úvěrových expozic podle čl. 140 odst. 4 písm. b) CRD vypočtený jako součet dlouhých a krátkých pozic stanovených v souladu s článkem 327 CRR.</w:t>
            </w:r>
          </w:p>
        </w:tc>
      </w:tr>
      <w:tr w:rsidR="00455D0D" w:rsidRPr="007F4CC8" w14:paraId="6BD777EC" w14:textId="77777777" w:rsidTr="00D819DE">
        <w:trPr>
          <w:trHeight w:val="316"/>
        </w:trPr>
        <w:tc>
          <w:tcPr>
            <w:tcW w:w="1384" w:type="dxa"/>
          </w:tcPr>
          <w:p w14:paraId="1273C16C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</w:t>
            </w:r>
          </w:p>
        </w:tc>
        <w:tc>
          <w:tcPr>
            <w:tcW w:w="7655" w:type="dxa"/>
          </w:tcPr>
          <w:p w14:paraId="7DCFFF7B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Hodnota expozic obchodního portfolia pro interní modely</w:t>
            </w:r>
          </w:p>
          <w:p w14:paraId="2F891B2E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Součet těchto hodnot:</w:t>
            </w:r>
          </w:p>
          <w:p w14:paraId="39E4732D" w14:textId="77777777" w:rsidR="00455D0D" w:rsidRPr="007F4CC8" w:rsidRDefault="00455D0D" w:rsidP="00455D0D">
            <w:pPr>
              <w:pStyle w:val="ListParagraph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 w:after="120"/>
              <w:contextualSpacing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reálné hodnoty hotovostních pozic představujících rozhodné úvěrové expozice stanovené v souladu s čl. 140 odst. 4 písm. b) CRD a s článkem 104 CRR,</w:t>
            </w:r>
          </w:p>
          <w:p w14:paraId="0C23596C" w14:textId="77777777" w:rsidR="00455D0D" w:rsidRPr="007F4CC8" w:rsidRDefault="00455D0D" w:rsidP="00455D0D">
            <w:pPr>
              <w:pStyle w:val="ListParagraph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 w:after="120"/>
              <w:contextualSpacing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pomyslné hodnoty derivátů představujících rozhodné úvěrové expozice stanovené v souladu s čl. 140 odst. 4 písm. b) CRD.</w:t>
            </w:r>
          </w:p>
          <w:p w14:paraId="432A3011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Zeměpisné rozdělení se provádí v souladu s nařízením Komise v přenesené pravomoci (EU) č. 1152/2014.</w:t>
            </w:r>
          </w:p>
          <w:p w14:paraId="4482DFFB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Řádek 020 (Celkem):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Součet reálné hodnoty všech hotovostních pozic představujících rozhodné úvěrové expozice se stanoví v souladu s čl. 140 odst. 4 písm. b) CRD a s článkem 104 CRR a součet pomyslných hodnot všech derivátů představujících rozhodné úvěrové expozice se stanoví v souladu s čl. 140 odst. 4 písm. b) CRD.</w:t>
            </w:r>
          </w:p>
        </w:tc>
      </w:tr>
      <w:tr w:rsidR="00455D0D" w:rsidRPr="007F4CC8" w14:paraId="0B1D7D40" w14:textId="77777777" w:rsidTr="00D819DE">
        <w:trPr>
          <w:trHeight w:val="316"/>
        </w:trPr>
        <w:tc>
          <w:tcPr>
            <w:tcW w:w="1384" w:type="dxa"/>
          </w:tcPr>
          <w:p w14:paraId="44208D79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</w:t>
            </w:r>
          </w:p>
        </w:tc>
        <w:tc>
          <w:tcPr>
            <w:tcW w:w="7655" w:type="dxa"/>
          </w:tcPr>
          <w:p w14:paraId="2FE034CC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Sekuritizované expozice Hodnota expozice v investičním portfoliu</w:t>
            </w:r>
          </w:p>
          <w:p w14:paraId="475647C8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Hodnota expozice rozhodných úvěrových expozic stanovená v souladu s čl. 140 odst. 4 písm. c) CRD a s čl. 248 písm. a) a c) CRR</w:t>
            </w:r>
          </w:p>
          <w:p w14:paraId="540C9D0B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Zeměpisné rozdělení se provádí v souladu s nařízením Komise v přenesené pravomoci (EU) č. 1152/2014.</w:t>
            </w:r>
          </w:p>
          <w:p w14:paraId="02F1A397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Řádek 020 (Celkem):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Součet všech rozhodných úvěrových expozic se stanoví v souladu s čl. 140 odst. 4 písm. c) CRD a s čl. 248 písm. a) a c) CRR.</w:t>
            </w:r>
          </w:p>
        </w:tc>
      </w:tr>
      <w:tr w:rsidR="00455D0D" w:rsidRPr="007F4CC8" w14:paraId="1BCFEC03" w14:textId="77777777" w:rsidTr="00D819DE">
        <w:trPr>
          <w:trHeight w:val="695"/>
        </w:trPr>
        <w:tc>
          <w:tcPr>
            <w:tcW w:w="1384" w:type="dxa"/>
          </w:tcPr>
          <w:p w14:paraId="055AA5DF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</w:t>
            </w:r>
          </w:p>
        </w:tc>
        <w:tc>
          <w:tcPr>
            <w:tcW w:w="7655" w:type="dxa"/>
          </w:tcPr>
          <w:p w14:paraId="019A072A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Celková hodnota expozic</w:t>
            </w:r>
          </w:p>
          <w:p w14:paraId="0D119275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Součet hodnot ve sloupcích a, b, c, d a e této šablony</w:t>
            </w:r>
          </w:p>
          <w:p w14:paraId="762C47EB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Řádek 020 (Celkem):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Součet všech rozhodných úvěrových expozic se stanoví v souladu s čl. 140 odst. 4 CRD.</w:t>
            </w:r>
          </w:p>
        </w:tc>
      </w:tr>
      <w:tr w:rsidR="00455D0D" w:rsidRPr="007F4CC8" w14:paraId="133835DF" w14:textId="77777777" w:rsidTr="00D819DE">
        <w:trPr>
          <w:trHeight w:val="695"/>
        </w:trPr>
        <w:tc>
          <w:tcPr>
            <w:tcW w:w="1384" w:type="dxa"/>
          </w:tcPr>
          <w:p w14:paraId="129DFE24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</w:t>
            </w:r>
          </w:p>
        </w:tc>
        <w:tc>
          <w:tcPr>
            <w:tcW w:w="7655" w:type="dxa"/>
          </w:tcPr>
          <w:p w14:paraId="522B76C1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Kapitálové požadavky – Rozhodné úvěrové expozice – Úvěrové riziko</w:t>
            </w:r>
          </w:p>
          <w:p w14:paraId="6877B57C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Kapitálové požadavky na rozhodné expozice úvěrového rizika v dané zemi stanovené v souladu s čl. 140 odst. 4 písm. a) CRD a s částí třetí hlavou II CRR a zohledňující kapitálové požadavky související s případnými úpravami rizikových vah pro jednotlivé země podle článku 458 CRR.</w:t>
            </w:r>
          </w:p>
          <w:p w14:paraId="537A3B0D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Řádek 020 (Celkem):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Součet všech kapitálových požadavků na rozhodné expozice úvěrového rizika se stanoví v souladu s čl. 140 odst. 4 písm. a) CRD a s částí třetí hlavou II CRR.</w:t>
            </w:r>
          </w:p>
        </w:tc>
      </w:tr>
      <w:tr w:rsidR="00455D0D" w:rsidRPr="007F4CC8" w14:paraId="6FF64630" w14:textId="77777777" w:rsidTr="00D819DE">
        <w:trPr>
          <w:trHeight w:val="695"/>
        </w:trPr>
        <w:tc>
          <w:tcPr>
            <w:tcW w:w="1384" w:type="dxa"/>
          </w:tcPr>
          <w:p w14:paraId="6E775ED0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</w:t>
            </w:r>
          </w:p>
        </w:tc>
        <w:tc>
          <w:tcPr>
            <w:tcW w:w="7655" w:type="dxa"/>
          </w:tcPr>
          <w:p w14:paraId="747D313E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Kapitálové požadavky – Rozhodné úvěrové expozice – Tržní riziko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01D71615" w14:textId="77777777" w:rsidR="00455D0D" w:rsidRPr="007F4CC8" w:rsidRDefault="00455D0D" w:rsidP="00D819DE">
            <w:pPr>
              <w:pStyle w:val="Fait"/>
              <w:spacing w:after="120"/>
            </w:pPr>
            <w:r>
              <w:t xml:space="preserve">Kapitálové požadavky na rozhodné úvěrové expozice v dané zemi stanovené v souladu s čl. 140 odst. 4 písm. b) CRD a s částí třetí hlavou IV kapitolou 2 CRR pro specifické riziko nebo v souladu s částí třetí hlavou IV kapitolou 5 CRR pro dodatečné riziko selhání a migrace.</w:t>
            </w:r>
          </w:p>
          <w:p w14:paraId="3376CF2A" w14:textId="77777777" w:rsidR="00455D0D" w:rsidRPr="007F4CC8" w:rsidRDefault="00455D0D" w:rsidP="00D819DE">
            <w:pPr>
              <w:pStyle w:val="Fait"/>
              <w:spacing w:after="120"/>
            </w:pPr>
            <w:r>
              <w:t xml:space="preserve">Řádek 020 (Celkem):</w:t>
            </w:r>
            <w:r>
              <w:t xml:space="preserve"> </w:t>
            </w:r>
            <w:r>
              <w:t xml:space="preserve">Součet všech kapitálových požadavků na rozhodné úvěrové expozice se stanoví v souladu s čl. 140 odst. 4 písm. b) CRD a s částí třetí hlavou IV kapitolou 2 CRR pro specifické riziko nebo s částí třetí hlavou IV kapitolou 5 CRR pro dodatečné riziko selhání a migrace.</w:t>
            </w:r>
          </w:p>
        </w:tc>
      </w:tr>
      <w:tr w:rsidR="00455D0D" w:rsidRPr="007F4CC8" w14:paraId="091E5047" w14:textId="77777777" w:rsidTr="00D819DE">
        <w:trPr>
          <w:trHeight w:val="695"/>
        </w:trPr>
        <w:tc>
          <w:tcPr>
            <w:tcW w:w="1384" w:type="dxa"/>
          </w:tcPr>
          <w:p w14:paraId="55EF9EAA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</w:t>
            </w:r>
          </w:p>
        </w:tc>
        <w:tc>
          <w:tcPr>
            <w:tcW w:w="7655" w:type="dxa"/>
          </w:tcPr>
          <w:p w14:paraId="64A6CA14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Kapitálové požadavky – Rozhodné úvěrové expozice – Sekuritizované pozice v investičním portfoliu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6DA357CD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Kapitálové požadavky na rozhodné úvěrové expozice v dané zemi stanovené v souladu s čl. 140 odst. 4 písm. c) CRD a s částí třetí hlavou II kapitolou 5 CRR.</w:t>
            </w:r>
          </w:p>
          <w:p w14:paraId="2E6C3AF3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Řádek 020 (Celkem):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Součet všech kapitálových požadavků na rozhodné úvěrové expozice se stanoví v souladu s čl. 140 odst. 4 písm. c) CRD a s částí třetí hlavou II kapitolou 5 CRR.</w:t>
            </w:r>
          </w:p>
        </w:tc>
      </w:tr>
      <w:tr w:rsidR="00455D0D" w:rsidRPr="007F4CC8" w14:paraId="1B31BDF8" w14:textId="77777777" w:rsidTr="00D819DE">
        <w:trPr>
          <w:trHeight w:val="695"/>
        </w:trPr>
        <w:tc>
          <w:tcPr>
            <w:tcW w:w="1384" w:type="dxa"/>
          </w:tcPr>
          <w:p w14:paraId="6AFA58A8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j</w:t>
            </w:r>
          </w:p>
        </w:tc>
        <w:tc>
          <w:tcPr>
            <w:tcW w:w="7655" w:type="dxa"/>
          </w:tcPr>
          <w:p w14:paraId="21280CF6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Kapitálové požadavky – celkem</w:t>
            </w:r>
          </w:p>
          <w:p w14:paraId="1885EA73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Součet hodnot ve sloupcích g, h a i této šablony</w:t>
            </w:r>
          </w:p>
          <w:p w14:paraId="647FF047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Řádek 020 (Celkem):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Součet všech kapitálových požadavků na rozhodné úvěrové expozice se stanoví v souladu s čl. 140 odst. 4 CRD.</w:t>
            </w:r>
          </w:p>
        </w:tc>
      </w:tr>
      <w:tr w:rsidR="00455D0D" w:rsidRPr="007F4CC8" w14:paraId="53136553" w14:textId="77777777" w:rsidTr="00D819DE">
        <w:trPr>
          <w:trHeight w:val="695"/>
        </w:trPr>
        <w:tc>
          <w:tcPr>
            <w:tcW w:w="1384" w:type="dxa"/>
          </w:tcPr>
          <w:p w14:paraId="5E519554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</w:t>
            </w:r>
          </w:p>
        </w:tc>
        <w:tc>
          <w:tcPr>
            <w:tcW w:w="7655" w:type="dxa"/>
          </w:tcPr>
          <w:p w14:paraId="7ADAA73B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Objemy rizikově vážených expozic</w:t>
            </w:r>
          </w:p>
          <w:p w14:paraId="314E7BF8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Objemy rizikově vážených expozic u rozhodných úvěrových expozic stanovené v souladu s čl. 140 odst. 4 CRD, členěné podle zemí a zohledňující případné úpravy rizikových vah pro jednotlivé země podle článku 458 CRR.</w:t>
            </w:r>
          </w:p>
          <w:p w14:paraId="2AF6A48C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Řádek 020 (Celkem):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Součet všech objemů rizikově vážených expozic u rozhodných úvěrových expozic se stanoví v souladu s čl. 140 odst. 4 CRD.</w:t>
            </w:r>
          </w:p>
        </w:tc>
      </w:tr>
      <w:tr w:rsidR="00455D0D" w:rsidRPr="007F4CC8" w14:paraId="69E793ED" w14:textId="77777777" w:rsidTr="00D819DE">
        <w:trPr>
          <w:trHeight w:val="695"/>
        </w:trPr>
        <w:tc>
          <w:tcPr>
            <w:tcW w:w="1384" w:type="dxa"/>
          </w:tcPr>
          <w:p w14:paraId="2A231285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</w:t>
            </w:r>
          </w:p>
        </w:tc>
        <w:tc>
          <w:tcPr>
            <w:tcW w:w="7655" w:type="dxa"/>
          </w:tcPr>
          <w:p w14:paraId="1E8A4B57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Váhy kapitálových požadavků (v %)</w:t>
            </w:r>
          </w:p>
          <w:p w14:paraId="3A7905F9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Váha uplatněná na sazbu proticyklické rezervy v každé zemi vypočítaná jako podíl celkových kapitálových požadavků na rozhodné úvěrové expozice v dané zemi (řádek 01X, sloupec j této šablony) na celkových kapitálových požadavcích na všechny úvěrové expozice relevantní pro výpočet proticyklické rezervy podle čl. 140 odst. 4 CRD (řádek 020, sloupec j této šablony).</w:t>
            </w:r>
          </w:p>
          <w:p w14:paraId="4FE6F23B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Tato hodnota se uvádí jako procento s přesností na 2 desetinná místa.</w:t>
            </w:r>
          </w:p>
        </w:tc>
      </w:tr>
      <w:tr w:rsidR="00455D0D" w:rsidRPr="007F4CC8" w14:paraId="78993D09" w14:textId="77777777" w:rsidTr="00D819DE">
        <w:trPr>
          <w:trHeight w:val="695"/>
        </w:trPr>
        <w:tc>
          <w:tcPr>
            <w:tcW w:w="1384" w:type="dxa"/>
          </w:tcPr>
          <w:p w14:paraId="7422EAC6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</w:t>
            </w:r>
          </w:p>
        </w:tc>
        <w:tc>
          <w:tcPr>
            <w:tcW w:w="7655" w:type="dxa"/>
          </w:tcPr>
          <w:p w14:paraId="7A959B8C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Sazba proticyklické kapitálové rezervy (v %)</w:t>
            </w:r>
          </w:p>
          <w:p w14:paraId="587D402C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Sazba proticyklické kapitálové rezervy platná v dané zemi a stanovená v souladu s články 136, 137, 138 a 139 CRD.</w:t>
            </w:r>
          </w:p>
          <w:p w14:paraId="5813AAA1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Tento sloupec nezahrnuje sazby proticyklické kapitálové rezervy, které byly stanoveny, ale v době výpočtu individuální proticyklické kapitálové rezervy, jíž se zveřejnění informací týká, zatím nejsou platné.</w:t>
            </w:r>
          </w:p>
          <w:p w14:paraId="0585C9BE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Tato hodnota se uvádí jako procento se stejným počtem desetinných míst, jaký stanoví články 136, 137, 138 a 139 CRD.</w:t>
            </w:r>
          </w:p>
        </w:tc>
      </w:tr>
    </w:tbl>
    <w:p w14:paraId="29C77942" w14:textId="77777777" w:rsidR="00455D0D" w:rsidRPr="007F4CC8" w:rsidRDefault="00455D0D" w:rsidP="00455D0D">
      <w:pPr>
        <w:jc w:val="both"/>
        <w:rPr>
          <w:rFonts w:ascii="Times New Roman" w:hAnsi="Times New Roman" w:cs="Times New Roman"/>
          <w:sz w:val="24"/>
        </w:rPr>
      </w:pPr>
    </w:p>
    <w:p w14:paraId="64839D89" w14:textId="77777777" w:rsidR="00455D0D" w:rsidRPr="007F4CC8" w:rsidRDefault="00455D0D" w:rsidP="00455D0D">
      <w:pPr>
        <w:autoSpaceDE w:val="0"/>
        <w:autoSpaceDN w:val="0"/>
        <w:adjustRightInd w:val="0"/>
        <w:jc w:val="both"/>
        <w:rPr>
          <w:b/>
          <w:sz w:val="24"/>
          <w:rFonts w:ascii="Times New Roman" w:hAnsi="Times New Roman" w:cs="Times New Roman"/>
        </w:rPr>
      </w:pPr>
      <w:r>
        <w:rPr>
          <w:b/>
          <w:sz w:val="24"/>
          <w:rFonts w:ascii="Times New Roman" w:hAnsi="Times New Roman"/>
        </w:rPr>
        <w:t xml:space="preserve">Šablona EU CCyB2 – Objem proticyklické kapitálové rezervy stanovené konkrétně pro danou instituci</w:t>
      </w:r>
    </w:p>
    <w:p w14:paraId="283F7254" w14:textId="77777777" w:rsidR="00455D0D" w:rsidRPr="007F4CC8" w:rsidRDefault="00455D0D" w:rsidP="00455D0D">
      <w:pPr>
        <w:pStyle w:val="ListParagraph"/>
        <w:numPr>
          <w:ilvl w:val="0"/>
          <w:numId w:val="2"/>
        </w:numPr>
        <w:spacing w:before="120" w:after="120"/>
        <w:ind w:left="425" w:hanging="357"/>
        <w:jc w:val="both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Informace uvedené v čl. 440 písm. b) CRR zpřístupňují instituce podle následujících pokynů k vyplnění šablony EU CCyB2, obsažené v příloze IX tohoto prováděcího nařízení.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455D0D" w:rsidRPr="007F4CC8" w14:paraId="360D0819" w14:textId="77777777" w:rsidTr="00D819DE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11C706" w14:textId="77777777" w:rsidR="00455D0D" w:rsidRPr="007F4CC8" w:rsidRDefault="00455D0D" w:rsidP="00D819DE">
            <w:pPr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Odkazy na právní předpisy a pokyny</w:t>
            </w:r>
          </w:p>
        </w:tc>
      </w:tr>
      <w:tr w:rsidR="00455D0D" w:rsidRPr="007F4CC8" w14:paraId="658922CA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2CFC7589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Řádek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6C35C310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Vysvětlení</w:t>
            </w:r>
          </w:p>
        </w:tc>
      </w:tr>
      <w:tr w:rsidR="00455D0D" w:rsidRPr="007F4CC8" w14:paraId="32D19805" w14:textId="77777777" w:rsidTr="00D819DE">
        <w:trPr>
          <w:trHeight w:val="1055"/>
        </w:trPr>
        <w:tc>
          <w:tcPr>
            <w:tcW w:w="1384" w:type="dxa"/>
          </w:tcPr>
          <w:p w14:paraId="59088176" w14:textId="77777777" w:rsidR="00455D0D" w:rsidRPr="007F4CC8" w:rsidRDefault="00455D0D" w:rsidP="00D819DE">
            <w:pPr>
              <w:pStyle w:val="Applicationdirecte"/>
              <w:spacing w:before="120"/>
            </w:pPr>
            <w:r>
              <w:t xml:space="preserve">1</w:t>
            </w:r>
          </w:p>
        </w:tc>
        <w:tc>
          <w:tcPr>
            <w:tcW w:w="7655" w:type="dxa"/>
          </w:tcPr>
          <w:p w14:paraId="365B8327" w14:textId="77777777" w:rsidR="00455D0D" w:rsidRPr="007F4CC8" w:rsidRDefault="00455D0D" w:rsidP="00D819DE">
            <w:pPr>
              <w:pStyle w:val="Applicationdirecte"/>
              <w:spacing w:before="120"/>
              <w:rPr>
                <w:b/>
              </w:rPr>
            </w:pPr>
            <w:r>
              <w:rPr>
                <w:b/>
              </w:rPr>
              <w:t xml:space="preserve">Celkový objem rizikové expozice</w:t>
            </w:r>
          </w:p>
          <w:p w14:paraId="6FC34F99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Celkový objem rizikové expozice vypočtený v souladu s čl. 92 odst. 3 CRR.</w:t>
            </w:r>
          </w:p>
        </w:tc>
      </w:tr>
      <w:tr w:rsidR="00455D0D" w:rsidRPr="007F4CC8" w14:paraId="768C2D66" w14:textId="77777777" w:rsidTr="00D819DE">
        <w:trPr>
          <w:trHeight w:val="316"/>
        </w:trPr>
        <w:tc>
          <w:tcPr>
            <w:tcW w:w="1384" w:type="dxa"/>
          </w:tcPr>
          <w:p w14:paraId="2DC1BFF9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</w:t>
            </w:r>
          </w:p>
        </w:tc>
        <w:tc>
          <w:tcPr>
            <w:tcW w:w="7655" w:type="dxa"/>
          </w:tcPr>
          <w:p w14:paraId="7CEE8A38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Sazba proticyklické kapitálové rezervy stanovené konkrétně pro danou instituci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66399395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Sazba proticyklické kapitálové rezervy pro danou instituci stanovená v souladu s čl. 140 odst. 1 CRD.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49DFA41A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Sazba proticyklické kapitálové rezervy stanovené konkrétně pro danou instituci se vypočítá jako vážený průměr sazeb proticyklické kapitálové rezervy, které se použijí v zemích, kde se nacházejí rozhodné úvěrové expozice dané instituce, které jsou uvedeny v řádcích 010.1 až 010.X sloupce m šablony EU CCyB1.</w:t>
            </w:r>
          </w:p>
          <w:p w14:paraId="23A765A5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Váha uplatněná na sazbu proticyklické rezervy v každé zemi je podílem kapitálových požadavků na celkových kapitálových požadavcích a je uvedena ve sloupci l šablony EU CCyB1.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7F32981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Tato hodnota se uvádí jako procento s přesností na 2 desetinná místa.</w:t>
            </w:r>
          </w:p>
        </w:tc>
      </w:tr>
      <w:tr w:rsidR="00455D0D" w:rsidRPr="007F4CC8" w14:paraId="44E7A9FA" w14:textId="77777777" w:rsidTr="00D819DE">
        <w:trPr>
          <w:trHeight w:val="316"/>
        </w:trPr>
        <w:tc>
          <w:tcPr>
            <w:tcW w:w="1384" w:type="dxa"/>
          </w:tcPr>
          <w:p w14:paraId="7AB6A5B3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3</w:t>
            </w:r>
          </w:p>
        </w:tc>
        <w:tc>
          <w:tcPr>
            <w:tcW w:w="7655" w:type="dxa"/>
          </w:tcPr>
          <w:p w14:paraId="4BFFC9C6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Požadavek proticyklické kapitálové rezervy stanovené konkrétně pro danou instituci</w:t>
            </w:r>
          </w:p>
          <w:p w14:paraId="2EEC939D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Požadavek proticyklické kapitálové rezervy stanovené konkrétně pro danou instituci vypočítaný pomocí proticyklické kapitálové rezervy stanovené konkrétně pro danou instituci uvedené v řádku 2 této šablony, která se uplatní na celkový objem rizikové expozice uvedený v řádku 1 této šablony.</w:t>
            </w:r>
          </w:p>
        </w:tc>
      </w:tr>
    </w:tbl>
    <w:p w14:paraId="0670C1A7" w14:textId="77777777" w:rsidR="00455D0D" w:rsidRPr="007F4CC8" w:rsidRDefault="00455D0D" w:rsidP="00455D0D">
      <w:pPr>
        <w:jc w:val="both"/>
        <w:rPr>
          <w:rFonts w:ascii="Times New Roman" w:hAnsi="Times New Roman" w:cs="Times New Roman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455D0D" w:rsidRPr="007F4CC8" w14:paraId="5C8A2212" w14:textId="77777777" w:rsidTr="00D819DE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C1D160" w14:textId="77777777" w:rsidR="00455D0D" w:rsidRPr="007F4CC8" w:rsidRDefault="00455D0D" w:rsidP="00D819DE">
            <w:pPr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Odkazy na právní předpisy a pokyny</w:t>
            </w:r>
          </w:p>
        </w:tc>
      </w:tr>
      <w:tr w:rsidR="00455D0D" w:rsidRPr="007F4CC8" w14:paraId="3AE40F7E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3A49F058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Sloupec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419637B6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Vysvětlení</w:t>
            </w:r>
          </w:p>
        </w:tc>
      </w:tr>
      <w:tr w:rsidR="00455D0D" w:rsidRPr="007F4CC8" w14:paraId="6D043B5C" w14:textId="77777777" w:rsidTr="00D819DE">
        <w:trPr>
          <w:trHeight w:val="703"/>
        </w:trPr>
        <w:tc>
          <w:tcPr>
            <w:tcW w:w="1384" w:type="dxa"/>
          </w:tcPr>
          <w:p w14:paraId="5A332E76" w14:textId="77777777" w:rsidR="00455D0D" w:rsidRPr="007F4CC8" w:rsidRDefault="00455D0D" w:rsidP="00D819DE">
            <w:pPr>
              <w:pStyle w:val="Applicationdirecte"/>
              <w:spacing w:before="120"/>
            </w:pPr>
            <w:r>
              <w:t xml:space="preserve">a</w:t>
            </w:r>
          </w:p>
        </w:tc>
        <w:tc>
          <w:tcPr>
            <w:tcW w:w="7655" w:type="dxa"/>
          </w:tcPr>
          <w:p w14:paraId="788A4EF6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Hodnota podle vysvětlivek k řádkům 1 až 3 této šablony.</w:t>
            </w:r>
          </w:p>
        </w:tc>
      </w:tr>
    </w:tbl>
    <w:p w14:paraId="56662C56" w14:textId="77777777" w:rsidR="004E3F4D" w:rsidRDefault="004E3F4D"/>
    <w:sectPr w:rsidR="004E3F4D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BB986" w14:textId="77777777" w:rsidR="00DE3BED" w:rsidRDefault="00DE3BED" w:rsidP="00455D0D">
      <w:r>
        <w:separator/>
      </w:r>
    </w:p>
  </w:endnote>
  <w:endnote w:type="continuationSeparator" w:id="0">
    <w:p w14:paraId="318E4105" w14:textId="77777777" w:rsidR="00DE3BED" w:rsidRDefault="00DE3BED" w:rsidP="00455D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841761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E8034C" w14:textId="77777777" w:rsidR="00455D0D" w:rsidRDefault="00455D0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5</w:t>
        </w:r>
        <w:r>
          <w:fldChar w:fldCharType="end"/>
        </w:r>
      </w:p>
    </w:sdtContent>
  </w:sdt>
  <w:p w14:paraId="3FD3665B" w14:textId="77777777" w:rsidR="00455D0D" w:rsidRDefault="00455D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C2C4D" w14:textId="77777777" w:rsidR="00DE3BED" w:rsidRDefault="00DE3BED" w:rsidP="00455D0D">
      <w:r>
        <w:separator/>
      </w:r>
    </w:p>
  </w:footnote>
  <w:footnote w:type="continuationSeparator" w:id="0">
    <w:p w14:paraId="72D34102" w14:textId="77777777" w:rsidR="00DE3BED" w:rsidRDefault="00DE3BED" w:rsidP="00455D0D">
      <w:r>
        <w:continuationSeparator/>
      </w:r>
    </w:p>
  </w:footnote>
  <w:footnote w:id="1">
    <w:p w14:paraId="424F9A4F" w14:textId="41D55D5F" w:rsidR="00455D0D" w:rsidRPr="00222AAB" w:rsidRDefault="00455D0D" w:rsidP="00455D0D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</w:r>
      <w:r>
        <w:t xml:space="preserve">Nařízení Evropského parlamentu a Rady (EU) č. 575/2013 ze dne 26. června 2013 o obezřetnostních požadavcích na úvěrové instituce a o změně nařízení (EU) č. 648/2012 ve znění nařízení (EU) 2024/1623 (</w:t>
      </w:r>
      <w:hyperlink r:id="rId1" w:history="1">
        <w:r>
          <w:rPr>
            <w:rStyle w:val="Hyperlink"/>
            <w:color w:val="800080"/>
          </w:rPr>
          <w:t xml:space="preserve">Úř. věst. L 176, 27.6.2013, s. 1</w:t>
        </w:r>
      </w:hyperlink>
      <w:r>
        <w:t xml:space="preserve">;</w:t>
      </w:r>
      <w:r>
        <w:rPr>
          <w:color w:val="800080"/>
          <w:u w:val="single"/>
        </w:rPr>
        <w:t xml:space="preserve"> </w:t>
      </w:r>
      <w:hyperlink r:id="rId2" w:history="1">
        <w:r>
          <w:rPr>
            <w:rStyle w:val="Hyperlink"/>
          </w:rPr>
          <w:t xml:space="preserve">nařízení – EU – 2024/1623 – CS – EUR-Lex (europa.eu)</w:t>
        </w:r>
      </w:hyperlink>
      <w:r>
        <w:rPr>
          <w:color w:val="444444"/>
        </w:rPr>
        <w:t xml:space="preserve">).</w:t>
      </w:r>
    </w:p>
  </w:footnote>
  <w:footnote w:id="2">
    <w:p w14:paraId="02DF96C7" w14:textId="697CF201" w:rsidR="00455D0D" w:rsidRPr="00222AAB" w:rsidRDefault="00455D0D" w:rsidP="00455D0D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ab/>
      </w:r>
      <w:r>
        <w:t xml:space="preserve">Směrnice Evropského parlamentu a Rady 2013/36/EU ze dne 26. června 2013 o přístupu k činnosti úvěrových institucí a o obezřetnostním dohledu nad úvěrovými institucemi a o změně směrnice 2002/87/ES a zrušení směrnic 2006/48/ES a 2006/49/ES</w:t>
      </w:r>
      <w:r>
        <w:rPr>
          <w:b/>
          <w:color w:val="333333"/>
          <w:sz w:val="21"/>
          <w:shd w:val="clear" w:color="auto" w:fill="FFFFFF"/>
          <w:rFonts w:ascii="Roboto" w:hAnsi="Roboto"/>
        </w:rPr>
        <w:t xml:space="preserve"> </w:t>
      </w:r>
      <w:r>
        <w:t xml:space="preserve">(Úř. věst. L 176, 27.6.2013, s. 338).</w:t>
      </w:r>
    </w:p>
  </w:footnote>
  <w:footnote w:id="3">
    <w:p w14:paraId="56A80E1C" w14:textId="77777777" w:rsidR="00455D0D" w:rsidRPr="00222AAB" w:rsidRDefault="00455D0D" w:rsidP="00455D0D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</w:r>
      <w:r>
        <w:t xml:space="preserve">NAŘÍZENÍ KOMISE V PŘENESENÉ PRAVOMOCI (EU) č. 1152/2014 ze dne 4. června 2014, kterým se doplňuje směrnice Evropského parlamentu a Rady 2013/36/EU, pokud jde o regulační technické normy pro určování zeměpisné oblasti rozhodných úvěrových expozic pro výpočet individuální sazby proticyklické kapitálové rezervy (Úř. věst. L 309, 30.10.2014, s. 5).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7110C" w14:textId="302A6D63" w:rsidR="00B80E57" w:rsidRDefault="00B80E57">
    <w:pPr>
      <w:pStyle w:val="Header"/>
    </w:pPr>
    <w:r>
      <mc:AlternateContent>
        <mc:Choice Requires="wps">
          <w:drawing>
            <wp:anchor distT="0" distB="0" distL="0" distR="0" simplePos="0" relativeHeight="251659264" behindDoc="0" locked="0" layoutInCell="1" allowOverlap="1" wp14:anchorId="66B32C67" wp14:editId="37755B92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307149112" name="Text Box 2" descr="EBA – pravidelné používá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05DDAC7" w14:textId="1B9EDF09" w:rsidR="00B80E57" w:rsidRPr="00B80E57" w:rsidRDefault="00B80E57" w:rsidP="00B80E57">
                          <w:pPr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– pravidelné používání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66B32C6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EBA – pravidelné používání" style="position:absolute;margin-left:0;margin-top:0;width:100.25pt;height:29.6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" filled="f" stroked="f">
              <v:fill o:detectmouseclick="t"/>
              <v:textbox style="mso-fit-shape-to-text:t" inset="20pt,15pt,0,0">
                <w:txbxContent>
                  <w:p w14:paraId="305DDAC7" w14:textId="1B9EDF09" w:rsidR="00B80E57" w:rsidRPr="00B80E57" w:rsidRDefault="00B80E57" w:rsidP="00B80E57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– pravidelné používání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15223" w14:textId="311AC12A" w:rsidR="00B80E57" w:rsidRDefault="00B80E57">
    <w:pPr>
      <w:pStyle w:val="Header"/>
    </w:pPr>
    <w:r>
      <mc:AlternateContent>
        <mc:Choice Requires="wps">
          <w:drawing>
            <wp:anchor distT="0" distB="0" distL="0" distR="0" simplePos="0" relativeHeight="251660288" behindDoc="0" locked="0" layoutInCell="1" allowOverlap="1" wp14:anchorId="6A713163" wp14:editId="05937118">
              <wp:simplePos x="914400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451469576" name="Text Box 3" descr="EBA – pravidelné používá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D2830DF" w14:textId="79E7B8D2" w:rsidR="00B80E57" w:rsidRPr="00B80E57" w:rsidRDefault="00B80E57" w:rsidP="00B80E57">
                          <w:pPr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– pravidelné používání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6A71316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EBA – pravidelné používání" style="position:absolute;margin-left:0;margin-top:0;width:100.25pt;height:29.6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" filled="f" stroked="f">
              <v:fill o:detectmouseclick="t"/>
              <v:textbox style="mso-fit-shape-to-text:t" inset="20pt,15pt,0,0">
                <w:txbxContent>
                  <w:p w14:paraId="2D2830DF" w14:textId="79E7B8D2" w:rsidR="00B80E57" w:rsidRPr="00B80E57" w:rsidRDefault="00B80E57" w:rsidP="00B80E57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– pravidelné používání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6B230" w14:textId="56076649" w:rsidR="00B80E57" w:rsidRDefault="00B80E57">
    <w:pPr>
      <w:pStyle w:val="Header"/>
    </w:pPr>
    <w:r>
      <mc:AlternateContent>
        <mc:Choice Requires="wps">
          <w:drawing>
            <wp:anchor distT="0" distB="0" distL="0" distR="0" simplePos="0" relativeHeight="251658240" behindDoc="0" locked="0" layoutInCell="1" allowOverlap="1" wp14:anchorId="74EBD702" wp14:editId="28C21A76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898049557" name="Text Box 1" descr="EBA – pravidelné používá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846B1BF" w14:textId="5B1DD12A" w:rsidR="00B80E57" w:rsidRPr="00B80E57" w:rsidRDefault="00B80E57" w:rsidP="00B80E57">
                          <w:pPr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– pravidelné používání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74EBD70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EBA – pravidelné používání" style="position:absolute;margin-left:0;margin-top:0;width:100.25pt;height:29.6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" filled="f" stroked="f">
              <v:fill o:detectmouseclick="t"/>
              <v:textbox style="mso-fit-shape-to-text:t" inset="20pt,15pt,0,0">
                <w:txbxContent>
                  <w:p w14:paraId="4846B1BF" w14:textId="5B1DD12A" w:rsidR="00B80E57" w:rsidRPr="00B80E57" w:rsidRDefault="00B80E57" w:rsidP="00B80E57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– pravidelné používání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E6367A"/>
    <w:multiLevelType w:val="hybridMultilevel"/>
    <w:tmpl w:val="2B98C612"/>
    <w:lvl w:ilvl="0" w:tplc="4C2450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C04A11E">
      <w:start w:val="130"/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F1B0208"/>
    <w:multiLevelType w:val="hybridMultilevel"/>
    <w:tmpl w:val="0502690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6641234">
    <w:abstractNumId w:val="0"/>
  </w:num>
  <w:num w:numId="2" w16cid:durableId="20493785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8B1793"/>
    <w:rsid w:val="00383B86"/>
    <w:rsid w:val="00455D0D"/>
    <w:rsid w:val="004E3F4D"/>
    <w:rsid w:val="0079468D"/>
    <w:rsid w:val="008B1793"/>
    <w:rsid w:val="00B80E57"/>
    <w:rsid w:val="00DE3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5BEAB9"/>
  <w15:chartTrackingRefBased/>
  <w15:docId w15:val="{39071AB2-44A9-4C0E-9939-9ACAB36C1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D0D"/>
    <w:pPr>
      <w:spacing w:after="0" w:line="240" w:lineRule="auto"/>
    </w:pPr>
    <w:rPr>
      <w:rFonts w:eastAsiaTheme="min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autoRedefine/>
    <w:qFormat/>
    <w:rsid w:val="00455D0D"/>
    <w:pPr>
      <w:spacing w:before="80" w:line="200" w:lineRule="exact"/>
      <w:ind w:left="567" w:hanging="567"/>
      <w:jc w:val="both"/>
    </w:pPr>
    <w:rPr>
      <w:sz w:val="18"/>
      <w:szCs w:val="18"/>
      <w:lang w:val="cs-CZ"/>
    </w:rPr>
  </w:style>
  <w:style w:type="character" w:customStyle="1" w:styleId="FootnoteTextChar">
    <w:name w:val="Footnote Text Char"/>
    <w:basedOn w:val="DefaultParagraphFont"/>
    <w:link w:val="FootnoteText"/>
    <w:rsid w:val="00455D0D"/>
    <w:rPr>
      <w:rFonts w:eastAsiaTheme="minorEastAsia"/>
      <w:sz w:val="18"/>
      <w:szCs w:val="18"/>
      <w:lang w:val="cs-CZ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455D0D"/>
    <w:rPr>
      <w:rFonts w:asciiTheme="minorHAnsi" w:hAnsiTheme="minorHAnsi"/>
      <w:sz w:val="22"/>
      <w:szCs w:val="18"/>
      <w:vertAlign w:val="superscript"/>
    </w:rPr>
  </w:style>
  <w:style w:type="character" w:styleId="Hyperlink">
    <w:name w:val="Hyperlink"/>
    <w:basedOn w:val="DefaultParagraphFont"/>
    <w:uiPriority w:val="99"/>
    <w:rsid w:val="00455D0D"/>
    <w:rPr>
      <w:color w:val="0563C1" w:themeColor="hyperlink"/>
      <w:u w:val="single"/>
    </w:rPr>
  </w:style>
  <w:style w:type="paragraph" w:customStyle="1" w:styleId="Annexetitre">
    <w:name w:val="Annexe titre"/>
    <w:basedOn w:val="Normal"/>
    <w:next w:val="Normal"/>
    <w:rsid w:val="00455D0D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customStyle="1" w:styleId="Applicationdirecte">
    <w:name w:val="Application directe"/>
    <w:basedOn w:val="Normal"/>
    <w:next w:val="Fait"/>
    <w:rsid w:val="00455D0D"/>
    <w:pPr>
      <w:spacing w:before="48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Fait">
    <w:name w:val="Fait à"/>
    <w:basedOn w:val="Normal"/>
    <w:next w:val="Normal"/>
    <w:rsid w:val="00455D0D"/>
    <w:pPr>
      <w:keepNext/>
      <w:spacing w:before="120"/>
      <w:jc w:val="both"/>
    </w:pPr>
    <w:rPr>
      <w:rFonts w:ascii="Times New Roman" w:eastAsia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455D0D"/>
    <w:pPr>
      <w:ind w:left="720"/>
    </w:pPr>
    <w:rPr>
      <w:rFonts w:ascii="Calibri" w:eastAsia="Calibri" w:hAnsi="Calibri" w:cs="Times New Roman"/>
      <w:szCs w:val="22"/>
    </w:rPr>
  </w:style>
  <w:style w:type="paragraph" w:styleId="Header">
    <w:name w:val="header"/>
    <w:basedOn w:val="Normal"/>
    <w:link w:val="HeaderChar"/>
    <w:uiPriority w:val="99"/>
    <w:unhideWhenUsed/>
    <w:rsid w:val="00455D0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5D0D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455D0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5D0D"/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footnotes.xml.rels>&#65279;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CS/TXT/?uri=OJ%3AL_202401623" TargetMode="External"/><Relationship Id="rId1" Type="http://schemas.openxmlformats.org/officeDocument/2006/relationships/hyperlink" Target="https://eur-lex.europa.eu/legal-content/CS/TXT/?uri=OJ%3AL%3A2013%3A176%3A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30B98BF-C0CE-4869-B8FA-D71B433F9866}"/>
</file>

<file path=customXml/itemProps2.xml><?xml version="1.0" encoding="utf-8"?>
<ds:datastoreItem xmlns:ds="http://schemas.openxmlformats.org/officeDocument/2006/customXml" ds:itemID="{ACD2EF49-92FC-477B-92D1-87F2E6B09F26}"/>
</file>

<file path=customXml/itemProps3.xml><?xml version="1.0" encoding="utf-8"?>
<ds:datastoreItem xmlns:ds="http://schemas.openxmlformats.org/officeDocument/2006/customXml" ds:itemID="{AF54BA78-A8D3-4FFE-ADB0-4B33DAFDE164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1693</Words>
  <Characters>9026</Characters>
  <Application>Microsoft Office Word</Application>
  <DocSecurity>0</DocSecurity>
  <Lines>209</Lines>
  <Paragraphs>120</Paragraphs>
  <ScaleCrop>false</ScaleCrop>
  <Company>European Banking Authority</Company>
  <LinksUpToDate>false</LinksUpToDate>
  <CharactersWithSpaces>10599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Teodora Chilan</dc:creator>
  <cp:keywords/>
  <dc:description/>
  <cp:lastModifiedBy>PETRE Gheorghe-Cristian (FISMA)</cp:lastModifiedBy>
  <cp:revision>4</cp:revision>
  <dcterms:created xsi:type="dcterms:W3CDTF">2021-03-11T11:56:00Z</dcterms:created>
  <dcterms:modified xsi:type="dcterms:W3CDTF">2024-09-26T14:43:00Z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35872615,124eb938,1ae8e108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MSIP_Label_6bd9ddd1-4d20-43f6-abfa-fc3c07406f94_Enabled">
    <vt:lpwstr>true</vt:lpwstr>
  </property>
  <property fmtid="{D5CDD505-2E9C-101B-9397-08002B2CF9AE}" pid="6" name="MSIP_Label_6bd9ddd1-4d20-43f6-abfa-fc3c07406f94_SetDate">
    <vt:lpwstr>2024-09-26T14:43:39Z</vt:lpwstr>
  </property>
  <property fmtid="{D5CDD505-2E9C-101B-9397-08002B2CF9AE}" pid="7" name="MSIP_Label_6bd9ddd1-4d20-43f6-abfa-fc3c07406f94_Method">
    <vt:lpwstr>Standard</vt:lpwstr>
  </property>
  <property fmtid="{D5CDD505-2E9C-101B-9397-08002B2CF9AE}" pid="8" name="MSIP_Label_6bd9ddd1-4d20-43f6-abfa-fc3c07406f94_Name">
    <vt:lpwstr>Commission Use</vt:lpwstr>
  </property>
  <property fmtid="{D5CDD505-2E9C-101B-9397-08002B2CF9AE}" pid="9" name="MSIP_Label_6bd9ddd1-4d20-43f6-abfa-fc3c07406f94_SiteId">
    <vt:lpwstr>b24c8b06-522c-46fe-9080-70926f8dddb1</vt:lpwstr>
  </property>
  <property fmtid="{D5CDD505-2E9C-101B-9397-08002B2CF9AE}" pid="10" name="MSIP_Label_6bd9ddd1-4d20-43f6-abfa-fc3c07406f94_ActionId">
    <vt:lpwstr>5a99a6ec-7d0f-4ccb-8b43-056eaab9821e</vt:lpwstr>
  </property>
  <property fmtid="{D5CDD505-2E9C-101B-9397-08002B2CF9AE}" pid="11" name="MSIP_Label_6bd9ddd1-4d20-43f6-abfa-fc3c07406f94_ContentBits">
    <vt:lpwstr>0</vt:lpwstr>
  </property>
  <property fmtid="{D5CDD505-2E9C-101B-9397-08002B2CF9AE}" pid="12" name="ContentTypeId">
    <vt:lpwstr>0x010100A640DC13EB184F4EBE5AA21BE9F247DB</vt:lpwstr>
  </property>
</Properties>
</file>