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080B76AD" w:rsidR="00931C32" w:rsidRPr="001F1865" w:rsidRDefault="3E2CC804" w:rsidP="06503780">
      <w:pPr>
        <w:pStyle w:val="Titlelevel2"/>
        <w:spacing w:before="0"/>
        <w:rPr>
          <w:b/>
          <w:color w:val="auto"/>
          <w:sz w:val="24"/>
          <w:rFonts w:ascii="Times New Roman" w:hAnsi="Times New Roman" w:cs="Times New Roman"/>
        </w:rPr>
      </w:pPr>
      <w:r>
        <w:rPr>
          <w:b/>
          <w:color w:val="auto"/>
          <w:sz w:val="24"/>
          <w:rFonts w:ascii="Times New Roman" w:hAnsi="Times New Roman"/>
        </w:rPr>
        <w:t xml:space="preserve">ANNEXE XXX – Tableaux et modèles de publication pour les approches internes et standard du risque de marché:</w:t>
      </w:r>
      <w:r>
        <w:rPr>
          <w:b/>
          <w:color w:val="auto"/>
          <w:sz w:val="24"/>
          <w:rFonts w:ascii="Times New Roman" w:hAnsi="Times New Roman"/>
        </w:rPr>
        <w:t xml:space="preserve"> </w:t>
      </w:r>
      <w:r>
        <w:rPr>
          <w:b/>
          <w:color w:val="auto"/>
          <w:sz w:val="24"/>
          <w:rFonts w:ascii="Times New Roman" w:hAnsi="Times New Roman"/>
        </w:rPr>
        <w:t xml:space="preserve">Instructions</w:t>
      </w:r>
      <w:r>
        <w:rPr>
          <w:b/>
          <w:color w:val="auto"/>
          <w:sz w:val="24"/>
          <w:rFonts w:ascii="Times New Roman" w:hAnsi="Times New Roman"/>
        </w:rPr>
        <w:t xml:space="preserve"> </w:t>
      </w:r>
    </w:p>
    <w:p w14:paraId="30BCD097" w14:textId="4E7CD1C5" w:rsidR="00931C32" w:rsidRPr="001F1865" w:rsidRDefault="3E2CC804" w:rsidP="5DD19F35">
      <w:pPr>
        <w:pStyle w:val="Titlelevel2"/>
        <w:numPr>
          <w:ilvl w:val="0"/>
          <w:numId w:val="4"/>
        </w:numPr>
        <w:spacing w:before="0"/>
        <w:jc w:val="both"/>
        <w:rPr>
          <w:color w:val="auto"/>
          <w:sz w:val="24"/>
          <w:rFonts w:ascii="Times New Roman" w:hAnsi="Times New Roman" w:cs="Times New Roman"/>
        </w:rPr>
      </w:pPr>
      <w:r>
        <w:rPr>
          <w:color w:val="auto"/>
          <w:sz w:val="24"/>
          <w:rFonts w:ascii="Times New Roman" w:hAnsi="Times New Roman"/>
        </w:rPr>
        <w:t xml:space="preserve">La présente annexe contient les instructions que les établissements doivent suivre lors de la publication des informations visées aux articles 435, 445 et 455 du règlement (UE) nº 575/2013</w:t>
      </w:r>
      <w:r>
        <w:rPr>
          <w:rStyle w:val="FootnoteReference"/>
          <w:rFonts w:ascii="Times New Roman" w:hAnsi="Times New Roman" w:cs="Times New Roman"/>
          <w:color w:val="auto"/>
          <w:lang w:val="en-GB"/>
        </w:rPr>
        <w:footnoteReference w:id="2"/>
      </w:r>
      <w:r>
        <w:rPr>
          <w:color w:val="auto"/>
          <w:sz w:val="24"/>
          <w:rFonts w:ascii="Times New Roman" w:hAnsi="Times New Roman"/>
        </w:rPr>
        <w:t xml:space="preserve"> («CRR»), pour compléter les tableaux et modèles de publication sur le risque de marché présentés à l’annexe XXIX des solutions informatiques de l’ABE.</w:t>
      </w:r>
      <w:r>
        <w:rPr>
          <w:color w:val="auto"/>
          <w:sz w:val="24"/>
          <w:rFonts w:ascii="Times New Roman" w:hAnsi="Times New Roman"/>
        </w:rPr>
        <w:t xml:space="preserve"> </w:t>
      </w:r>
    </w:p>
    <w:p w14:paraId="69DA8DE0" w14:textId="77777777" w:rsidR="00931C32" w:rsidRPr="001F1865" w:rsidRDefault="00931C32" w:rsidP="00931C32">
      <w:pPr>
        <w:spacing w:after="240"/>
        <w:jc w:val="both"/>
        <w:rPr>
          <w:sz w:val="24"/>
          <w:rFonts w:ascii="Times New Roman" w:hAnsi="Times New Roman" w:cs="Times New Roman"/>
        </w:rPr>
      </w:pPr>
      <w:r>
        <w:rPr>
          <w:sz w:val="24"/>
          <w:b/>
          <w:rFonts w:ascii="Times New Roman" w:hAnsi="Times New Roman"/>
        </w:rPr>
        <w:t xml:space="preserve">Tableau EU MRA</w:t>
      </w:r>
      <w:r>
        <w:rPr>
          <w:sz w:val="24"/>
          <w:b/>
          <w:rFonts w:ascii="Times New Roman" w:hAnsi="Times New Roman"/>
        </w:rPr>
        <w:t xml:space="preserve"> – Exigences de publication d’informations qualitatives sur le risque de marché:</w:t>
      </w:r>
      <w:r>
        <w:rPr>
          <w:sz w:val="24"/>
          <w:rFonts w:ascii="Times New Roman" w:hAnsi="Times New Roman"/>
        </w:rPr>
        <w:t xml:space="preserve"> </w:t>
      </w:r>
      <w:r>
        <w:rPr>
          <w:sz w:val="24"/>
          <w:rFonts w:ascii="Times New Roman" w:hAnsi="Times New Roman"/>
        </w:rPr>
        <w:t xml:space="preserve">Champs de texte libre</w:t>
      </w:r>
    </w:p>
    <w:p w14:paraId="1B9BDBE7" w14:textId="621617DF" w:rsidR="00931C32" w:rsidRPr="001F1865" w:rsidRDefault="00931C32" w:rsidP="72461198">
      <w:pPr>
        <w:pStyle w:val="Titlelevel2"/>
        <w:numPr>
          <w:ilvl w:val="0"/>
          <w:numId w:val="4"/>
        </w:numPr>
        <w:spacing w:before="0"/>
        <w:jc w:val="both"/>
        <w:rPr>
          <w:sz w:val="24"/>
          <w:rFonts w:ascii="Times New Roman" w:hAnsi="Times New Roman" w:cs="Times New Roman"/>
        </w:rPr>
      </w:pPr>
      <w:r>
        <w:rPr>
          <w:color w:val="000000" w:themeColor="text1"/>
          <w:sz w:val="24"/>
          <w:rFonts w:ascii="Times New Roman" w:hAnsi="Times New Roman"/>
        </w:rPr>
        <w:t xml:space="preserve">Les établissements publient les informations visées à l’article 435, paragraphe 1, points a) à d), du règlement (UE) nº 575/2013 en ce qui concerne le risque de marché, suivant les instructions données ci-dessous dans la présente annexe pour compléter le tableau EU MRA présenté à l’annexe XXIX.</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Références juridiques et instructions</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Numéro de la ligne</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Explication</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 xml:space="preserve">a)</w:t>
            </w:r>
          </w:p>
        </w:tc>
        <w:tc>
          <w:tcPr>
            <w:tcW w:w="7655" w:type="dxa"/>
            <w:vAlign w:val="center"/>
          </w:tcPr>
          <w:p w14:paraId="0ECBECD6" w14:textId="59A2C39A" w:rsidR="00931C32" w:rsidRPr="001F1865" w:rsidRDefault="00931C32" w:rsidP="72461198">
            <w:pPr>
              <w:spacing w:after="240"/>
              <w:jc w:val="both"/>
              <w:rPr>
                <w:sz w:val="24"/>
                <w:rFonts w:ascii="Times New Roman" w:eastAsia="Times New Roman" w:hAnsi="Times New Roman" w:cs="Times New Roman"/>
              </w:rPr>
            </w:pPr>
            <w:r>
              <w:rPr>
                <w:sz w:val="24"/>
                <w:rFonts w:ascii="Times New Roman" w:hAnsi="Times New Roman"/>
              </w:rPr>
              <w:t xml:space="preserve">Lors de la publication des informations visées à l’article 435, paragraphe 1, points a) et d), du règlement (UE) nº 575/2013 sur les objectifs et politiques en matière de gestion des risques en ce qui concerne la gestion du risque de marché, les établissements incluent:</w:t>
            </w:r>
          </w:p>
          <w:p w14:paraId="2954CCD3"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une explication des objectifs stratégiques de la direction dans le cadre des activités de négociation;</w:t>
            </w:r>
            <w:r>
              <w:rPr>
                <w:sz w:val="24"/>
                <w:rFonts w:ascii="Times New Roman" w:hAnsi="Times New Roman"/>
              </w:rPr>
              <w:t xml:space="preserve"> </w:t>
            </w:r>
          </w:p>
          <w:p w14:paraId="28C8AA1E" w14:textId="2D7A10DE" w:rsidR="00DE4020" w:rsidRPr="001F1865" w:rsidRDefault="00EC10EF"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une description des politiques visées à l’article 104, paragraphe 1, pour déterminer les positions à inclure dans le portefeuille de négociation, y compris la définition des positions prolongées et les politiques de gestion des risques pour le suivi de ces positions.</w:t>
            </w:r>
            <w:r>
              <w:rPr>
                <w:sz w:val="24"/>
                <w:rFonts w:ascii="Times New Roman" w:hAnsi="Times New Roman"/>
              </w:rPr>
              <w:t xml:space="preserve"> </w:t>
            </w:r>
            <w:r>
              <w:rPr>
                <w:sz w:val="24"/>
                <w:rFonts w:ascii="Times New Roman" w:hAnsi="Times New Roman"/>
              </w:rPr>
              <w:t xml:space="preserve">En outre, les établissements décrivent les cas dans lesquels des instruments sont affectés au portefeuille de négociation ou au portefeuille bancaire, à l’encontre des présomptions générales applicables à la catégorie d’instruments concernée, y compris leur valeur de marché et leur juste valeur, ainsi que tout reclassement d’un portefeuille à l’autre depuis la dernière période de déclaration, y compris la juste valeur des instruments reclassés et la raison du reclassement;</w:t>
            </w:r>
          </w:p>
          <w:p w14:paraId="20F3C237" w14:textId="77E3E75D" w:rsidR="00795618" w:rsidRPr="001F1865" w:rsidRDefault="002C5234"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une description des activités de transfert de risque interne, y compris les types de table de transfert de risque interne;</w:t>
            </w:r>
          </w:p>
          <w:p w14:paraId="17B1142E"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les processus mis en œuvre pour identifier, mesurer, surveiller et contrôler les risques de marché de l’établissement;</w:t>
            </w:r>
          </w:p>
          <w:p w14:paraId="216165DD"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les politiques en matière de couverture et d’atténuation des risques;</w:t>
            </w:r>
          </w:p>
          <w:p w14:paraId="5B43C932"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les stratégies et processus de contrôle de l’efficacité continue des couvertures.</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t xml:space="preserve">b)</w:t>
            </w:r>
          </w:p>
        </w:tc>
        <w:tc>
          <w:tcPr>
            <w:tcW w:w="7655" w:type="dxa"/>
          </w:tcPr>
          <w:p w14:paraId="57B23AAF" w14:textId="53C0A959" w:rsidR="00931C32" w:rsidRPr="001F1865" w:rsidRDefault="00931C32" w:rsidP="72461198">
            <w:pPr>
              <w:spacing w:after="240"/>
              <w:jc w:val="both"/>
              <w:rPr>
                <w:sz w:val="24"/>
                <w:rFonts w:ascii="Times New Roman" w:eastAsia="Times New Roman" w:hAnsi="Times New Roman" w:cs="Times New Roman"/>
              </w:rPr>
            </w:pPr>
            <w:r>
              <w:rPr>
                <w:sz w:val="24"/>
                <w:rFonts w:ascii="Times New Roman" w:hAnsi="Times New Roman"/>
              </w:rPr>
              <w:t xml:space="preserve">Lors de la publication des informations visées à l’article 435, paragraphe 1, point b), du règlement (UE) nº 575/2013 sur la structure et l’organisation de la fonction de gestion du risque de marché, les établissements incluent:</w:t>
            </w:r>
          </w:p>
          <w:p w14:paraId="15341445" w14:textId="0D70F6B3" w:rsidR="00931C32" w:rsidRPr="001F1865" w:rsidRDefault="00931C32" w:rsidP="00931C32">
            <w:pPr>
              <w:pStyle w:val="ListParagraph"/>
              <w:numPr>
                <w:ilvl w:val="0"/>
                <w:numId w:val="3"/>
              </w:numPr>
              <w:spacing w:after="240"/>
              <w:jc w:val="both"/>
              <w:rPr>
                <w:sz w:val="24"/>
                <w:szCs w:val="24"/>
                <w:rFonts w:ascii="Times New Roman" w:eastAsia="Times New Roman" w:hAnsi="Times New Roman"/>
              </w:rPr>
            </w:pPr>
            <w:r>
              <w:rPr>
                <w:sz w:val="24"/>
                <w:rFonts w:ascii="Times New Roman" w:hAnsi="Times New Roman"/>
              </w:rPr>
              <w:t xml:space="preserve">une description de la structure de gouvernance du risque de marché mise en place pour mettre en œuvre les stratégies et processus de l’établissement exposés à la ligne a) ci-dessus,</w:t>
            </w:r>
            <w:r>
              <w:rPr>
                <w:sz w:val="24"/>
                <w:rFonts w:ascii="Times New Roman" w:hAnsi="Times New Roman"/>
              </w:rPr>
              <w:t xml:space="preserve"> </w:t>
            </w:r>
          </w:p>
          <w:p w14:paraId="10C87729" w14:textId="77777777" w:rsidR="00931C32" w:rsidRPr="001F1865" w:rsidRDefault="00931C32" w:rsidP="00931C32">
            <w:pPr>
              <w:pStyle w:val="ListParagraph"/>
              <w:numPr>
                <w:ilvl w:val="0"/>
                <w:numId w:val="3"/>
              </w:numPr>
              <w:spacing w:after="240"/>
              <w:jc w:val="both"/>
              <w:rPr>
                <w:sz w:val="24"/>
                <w:szCs w:val="24"/>
                <w:rFonts w:ascii="Times New Roman" w:eastAsia="Times New Roman" w:hAnsi="Times New Roman"/>
              </w:rPr>
            </w:pPr>
            <w:r>
              <w:rPr>
                <w:sz w:val="24"/>
                <w:rFonts w:ascii="Times New Roman" w:hAnsi="Times New Roman"/>
              </w:rPr>
              <w:t xml:space="preserve">une description des relations et des mécanismes de communication entre les différentes parties intervenant dans la gestion du risque de marché.</w:t>
            </w:r>
            <w:r>
              <w:rPr>
                <w:sz w:val="24"/>
                <w:rFonts w:ascii="Times New Roman" w:hAnsi="Times New Roman"/>
              </w:rPr>
              <w:t xml:space="preserve">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 xml:space="preserve">c)</w:t>
            </w:r>
          </w:p>
          <w:p w14:paraId="672A6659" w14:textId="77777777" w:rsidR="00931C32" w:rsidRPr="001F1865" w:rsidRDefault="00931C32" w:rsidP="00DE090B">
            <w:pPr>
              <w:pStyle w:val="Fait"/>
              <w:spacing w:before="0" w:after="240"/>
            </w:pPr>
          </w:p>
        </w:tc>
        <w:tc>
          <w:tcPr>
            <w:tcW w:w="7655" w:type="dxa"/>
          </w:tcPr>
          <w:p w14:paraId="1ADA7F58" w14:textId="27D05688" w:rsidR="00931C32" w:rsidRPr="001F1865" w:rsidRDefault="3E2CC804" w:rsidP="72461198">
            <w:pPr>
              <w:spacing w:after="240"/>
              <w:jc w:val="both"/>
              <w:rPr>
                <w:sz w:val="24"/>
                <w:rFonts w:ascii="Times New Roman" w:eastAsia="Times New Roman" w:hAnsi="Times New Roman" w:cs="Times New Roman"/>
              </w:rPr>
            </w:pPr>
            <w:r>
              <w:rPr>
                <w:sz w:val="24"/>
                <w:rFonts w:ascii="Times New Roman" w:hAnsi="Times New Roman"/>
              </w:rPr>
              <w:t xml:space="preserve">Lors de la publication des informations visées à l’article 435, paragraphe 1, point c), du règlement (UE) nº 575/2013 sur la portée et la nature des systèmes de publication d’informations sur le risque de marché et d’évaluation de ce risque, les établissements fournissent une description de la portée et de la nature de la publication d’informations sur le risque de marché, ainsi que des systèmes d’évaluation.</w:t>
            </w:r>
            <w:r>
              <w:rPr>
                <w:sz w:val="24"/>
                <w:rFonts w:ascii="Times New Roman" w:hAnsi="Times New Roman"/>
              </w:rPr>
              <w:t xml:space="preserve"> </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(EU d)</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sz w:val="24"/>
                <w:rFonts w:ascii="Times New Roman" w:eastAsia="Times New Roman" w:hAnsi="Times New Roman" w:cs="Times New Roman"/>
              </w:rPr>
            </w:pPr>
            <w:r>
              <w:rPr>
                <w:sz w:val="24"/>
                <w:rFonts w:ascii="Times New Roman" w:hAnsi="Times New Roman"/>
              </w:rPr>
              <w:t xml:space="preserve">Lors de la publication des informations visées à l’article 445, paragraphe 1, du règlement (UE) nº 575/2013 sous la forme d’un aperçu des positions de leur portefeuille de négociation, les établissements fournissent une description générale des positions de leur portefeuille de négociation.</w:t>
            </w:r>
          </w:p>
        </w:tc>
      </w:tr>
    </w:tbl>
    <w:p w14:paraId="0A37501D" w14:textId="5B1DE2AB" w:rsidR="00931C32" w:rsidRPr="001F1865" w:rsidRDefault="00931C32" w:rsidP="06503780">
      <w:pPr>
        <w:pStyle w:val="Titlelevel2"/>
        <w:spacing w:before="0"/>
        <w:rPr>
          <w:rFonts w:ascii="Times New Roman" w:hAnsi="Times New Roman" w:cs="Times New Roman"/>
          <w:b/>
          <w:sz w:val="24"/>
          <w:lang w:val="en-GB"/>
        </w:rPr>
      </w:pPr>
    </w:p>
    <w:p w14:paraId="6A05A809"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21FE8BB6" w14:textId="0765936F" w:rsidR="00931C32" w:rsidRPr="00DB0A49" w:rsidRDefault="4E51ABE0" w:rsidP="00DB0A49">
      <w:pPr>
        <w:spacing w:after="240"/>
        <w:rPr>
          <w:sz w:val="24"/>
          <w:rFonts w:ascii="Times New Roman" w:eastAsia="Times New Roman" w:hAnsi="Times New Roman" w:cs="Times New Roman"/>
        </w:rPr>
      </w:pPr>
      <w:r>
        <w:rPr>
          <w:sz w:val="24"/>
          <w:b/>
          <w:rFonts w:ascii="Times New Roman" w:hAnsi="Times New Roman"/>
        </w:rPr>
        <w:t xml:space="preserve">Modèle EU MR1 – Risque de marché dans le cadre de l’approche standard alternative (ASA)</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format fixe</w:t>
      </w:r>
    </w:p>
    <w:p w14:paraId="328A3EAE" w14:textId="50FF69DE" w:rsidR="00931C32" w:rsidRPr="00DB0A49" w:rsidRDefault="4E51ABE0" w:rsidP="00DB0A49">
      <w:pPr>
        <w:pStyle w:val="Titlelevel2"/>
        <w:numPr>
          <w:ilvl w:val="0"/>
          <w:numId w:val="4"/>
        </w:numPr>
        <w:spacing w:before="0"/>
        <w:ind w:left="284" w:hanging="284"/>
        <w:jc w:val="both"/>
        <w:rPr>
          <w:color w:val="auto"/>
          <w:sz w:val="24"/>
          <w:rFonts w:ascii="Times New Roman" w:eastAsiaTheme="minorEastAsia" w:hAnsi="Times New Roman" w:cs="Times New Roman"/>
        </w:rPr>
      </w:pPr>
      <w:r>
        <w:rPr>
          <w:sz w:val="24"/>
          <w:color w:val="000000" w:themeColor="text1"/>
          <w:rFonts w:ascii="Times New Roman" w:hAnsi="Times New Roman"/>
        </w:rPr>
        <w:t xml:space="preserve">Les établissements publient les informations visées à l’article 445 </w:t>
      </w:r>
      <w:r>
        <w:rPr>
          <w:sz w:val="24"/>
          <w:color w:val="auto"/>
          <w:rFonts w:ascii="Times New Roman" w:hAnsi="Times New Roman"/>
        </w:rPr>
        <w:t xml:space="preserve">du règlement (UE) nº 575/2013</w:t>
      </w:r>
      <w:r>
        <w:rPr>
          <w:sz w:val="24"/>
          <w:color w:val="000000" w:themeColor="text1"/>
          <w:rFonts w:ascii="Times New Roman" w:hAnsi="Times New Roman"/>
        </w:rPr>
        <w:t xml:space="preserve">, suivant les instructions fournies ci-dessous dans la présente annexe pour compléter le modèle EU MR1 présenté à l’annexe XXIX.</w:t>
      </w:r>
      <w:r>
        <w:rPr>
          <w:sz w:val="24"/>
          <w:color w:val="000000" w:themeColor="text1"/>
          <w:rFonts w:ascii="Times New Roman" w:hAnsi="Times New Roman"/>
        </w:rPr>
        <w:t xml:space="preserve"> </w:t>
      </w:r>
      <w:r>
        <w:rPr>
          <w:sz w:val="24"/>
          <w:color w:val="auto"/>
          <w:rFonts w:ascii="Times New Roman" w:hAnsi="Times New Roman"/>
        </w:rPr>
        <w:t xml:space="preserve">Les établissements n’incluent aucune donnée relative à leur table de transfert de risque interne dans ce modèle.</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Références juridiques et instructions</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Numéro de la ligne</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Explication</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1F1865" w:rsidRDefault="06503780" w:rsidP="00DB0A49">
            <w:pPr>
              <w:spacing w:after="240"/>
              <w:rPr>
                <w:sz w:val="24"/>
                <w:u w:val="single"/>
                <w:rFonts w:ascii="Times New Roman" w:eastAsia="Times New Roman" w:hAnsi="Times New Roman" w:cs="Times New Roman"/>
              </w:rPr>
            </w:pPr>
            <w:r>
              <w:rPr>
                <w:sz w:val="24"/>
                <w:u w:val="single"/>
                <w:b/>
                <w:rFonts w:ascii="Times New Roman" w:hAnsi="Times New Roman"/>
              </w:rPr>
              <w:t xml:space="preserve">Méthode des sensibilités</w:t>
            </w:r>
            <w:r>
              <w:rPr>
                <w:sz w:val="24"/>
                <w:u w:val="single"/>
                <w:rFonts w:ascii="Times New Roman" w:hAnsi="Times New Roman"/>
              </w:rPr>
              <w:t xml:space="preserve"> </w:t>
            </w:r>
          </w:p>
          <w:p w14:paraId="32BE5AB7" w14:textId="13D92956" w:rsidR="06503780" w:rsidRPr="001F1865" w:rsidRDefault="06503780" w:rsidP="00DB0A49">
            <w:pPr>
              <w:spacing w:after="240"/>
              <w:rPr>
                <w:sz w:val="24"/>
                <w:rFonts w:ascii="Times New Roman" w:eastAsia="Times New Roman" w:hAnsi="Times New Roman" w:cs="Times New Roman"/>
              </w:rPr>
            </w:pPr>
            <w:r>
              <w:rPr>
                <w:sz w:val="24"/>
                <w:rFonts w:ascii="Times New Roman" w:hAnsi="Times New Roman"/>
              </w:rPr>
              <w:t xml:space="preserve">conformément à la troisième partie, titre IV, chapitre 1 </w:t>
            </w:r>
            <w:r>
              <w:rPr>
                <w:sz w:val="24"/>
                <w:i/>
                <w:rFonts w:ascii="Times New Roman" w:hAnsi="Times New Roman"/>
              </w:rPr>
              <w:t xml:space="preserve">bis</w:t>
            </w:r>
            <w:r>
              <w:rPr>
                <w:sz w:val="24"/>
                <w:rFonts w:ascii="Times New Roman" w:hAnsi="Times New Roman"/>
              </w:rPr>
              <w:t xml:space="preserve">, section 2, du règlement (UE) nº 575/2013.</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Risque de taux d’intérêt global (RTG)</w:t>
            </w:r>
          </w:p>
          <w:p w14:paraId="7CFD9A05" w14:textId="08877C85"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a) et à l’article 325 </w:t>
            </w:r>
            <w:r>
              <w:rPr>
                <w:sz w:val="24"/>
                <w:i/>
                <w:rFonts w:ascii="Times New Roman" w:hAnsi="Times New Roman"/>
              </w:rPr>
              <w:t xml:space="preserve">quinquies</w:t>
            </w:r>
            <w:r>
              <w:rPr>
                <w:sz w:val="24"/>
                <w:rFonts w:ascii="Times New Roman" w:hAnsi="Times New Roman"/>
              </w:rPr>
              <w:t xml:space="preserve">, paragraphe 1, point i), du règlement (UE) nº 575/2013.</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szCs w:val="22"/>
                <w:rFonts w:ascii="Times New Roman" w:eastAsia="Times New Roman" w:hAnsi="Times New Roman" w:cs="Times New Roman"/>
              </w:rPr>
            </w:pPr>
            <w:r>
              <w:rPr>
                <w:rFonts w:ascii="Times New Roman" w:hAnsi="Times New Roman"/>
              </w:rPr>
              <w:t xml:space="preserve">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Risque sur actions (EQU)</w:t>
            </w:r>
          </w:p>
          <w:p w14:paraId="7FA49EA1" w14:textId="72B40A8D" w:rsidR="006852CB" w:rsidRPr="001F1865" w:rsidRDefault="006852CB" w:rsidP="006852CB">
            <w:pPr>
              <w:spacing w:before="120" w:after="120" w:line="257" w:lineRule="auto"/>
              <w:rPr>
                <w:b/>
                <w:bCs/>
                <w:sz w:val="24"/>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a), et à l’article 325 </w:t>
            </w:r>
            <w:r>
              <w:rPr>
                <w:sz w:val="24"/>
                <w:i/>
                <w:rFonts w:ascii="Times New Roman" w:hAnsi="Times New Roman"/>
              </w:rPr>
              <w:t xml:space="preserve">quinquies</w:t>
            </w:r>
            <w:r>
              <w:rPr>
                <w:sz w:val="24"/>
                <w:rFonts w:ascii="Times New Roman" w:hAnsi="Times New Roman"/>
              </w:rPr>
              <w:t xml:space="preserve">, paragraphe 1, point v), du règlement (UE) nº 575/2013.</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szCs w:val="22"/>
                <w:rFonts w:ascii="Times New Roman" w:eastAsia="Times New Roman" w:hAnsi="Times New Roman" w:cs="Times New Roman"/>
              </w:rPr>
            </w:pPr>
            <w:r>
              <w:rPr>
                <w:rFonts w:ascii="Times New Roman" w:hAnsi="Times New Roman"/>
              </w:rPr>
              <w:t xml:space="preserve">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Risque sur matières premières (COM)</w:t>
            </w:r>
          </w:p>
          <w:p w14:paraId="2EF1141F" w14:textId="6573588B" w:rsidR="006852CB" w:rsidRPr="001F1865" w:rsidRDefault="006852CB" w:rsidP="006852CB">
            <w:pPr>
              <w:spacing w:before="120" w:after="120" w:line="257" w:lineRule="auto"/>
              <w:rPr>
                <w:b/>
                <w:bCs/>
                <w:sz w:val="24"/>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a), et à l’article 325 </w:t>
            </w:r>
            <w:r>
              <w:rPr>
                <w:sz w:val="24"/>
                <w:i/>
                <w:rFonts w:ascii="Times New Roman" w:hAnsi="Times New Roman"/>
              </w:rPr>
              <w:t xml:space="preserve">quinquies</w:t>
            </w:r>
            <w:r>
              <w:rPr>
                <w:sz w:val="24"/>
                <w:rFonts w:ascii="Times New Roman" w:hAnsi="Times New Roman"/>
              </w:rPr>
              <w:t xml:space="preserve">, paragraphe 1, point vi), du règlement (UE) nº 575/2013.</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szCs w:val="22"/>
                <w:rFonts w:ascii="Times New Roman" w:eastAsia="Times New Roman" w:hAnsi="Times New Roman" w:cs="Times New Roman"/>
              </w:rPr>
            </w:pPr>
            <w:r>
              <w:rPr>
                <w:rFonts w:ascii="Times New Roman" w:hAnsi="Times New Roman"/>
              </w:rPr>
              <w:t xml:space="preserve">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Risque de change (FX)</w:t>
            </w:r>
          </w:p>
          <w:p w14:paraId="4E899697" w14:textId="1EDAE9C1" w:rsidR="006852CB" w:rsidRPr="001F1865" w:rsidRDefault="006852CB" w:rsidP="006852CB">
            <w:pPr>
              <w:spacing w:before="120" w:after="120" w:line="257" w:lineRule="auto"/>
              <w:rPr>
                <w:b/>
                <w:bCs/>
                <w:sz w:val="24"/>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a), et à l’article 325 </w:t>
            </w:r>
            <w:r>
              <w:rPr>
                <w:sz w:val="24"/>
                <w:i/>
                <w:rFonts w:ascii="Times New Roman" w:hAnsi="Times New Roman"/>
              </w:rPr>
              <w:t xml:space="preserve">quinquies</w:t>
            </w:r>
            <w:r>
              <w:rPr>
                <w:sz w:val="24"/>
                <w:rFonts w:ascii="Times New Roman" w:hAnsi="Times New Roman"/>
              </w:rPr>
              <w:t xml:space="preserve">, paragraphe 1, point vii), du règlement (UE) nº 575/2013.</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szCs w:val="22"/>
                <w:rFonts w:ascii="Times New Roman" w:eastAsia="Times New Roman" w:hAnsi="Times New Roman" w:cs="Times New Roman"/>
              </w:rPr>
            </w:pPr>
            <w:r>
              <w:rPr>
                <w:rFonts w:ascii="Times New Roman" w:hAnsi="Times New Roman"/>
              </w:rPr>
              <w:t xml:space="preserve">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Risque d’écart de crédit sur expositions hors titrisation (CSR)</w:t>
            </w:r>
          </w:p>
          <w:p w14:paraId="7FFBB47A" w14:textId="19FCC5B4"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a), et à l’article 325 </w:t>
            </w:r>
            <w:r>
              <w:rPr>
                <w:sz w:val="24"/>
                <w:i/>
                <w:rFonts w:ascii="Times New Roman" w:hAnsi="Times New Roman"/>
              </w:rPr>
              <w:t xml:space="preserve">quinquies</w:t>
            </w:r>
            <w:r>
              <w:rPr>
                <w:sz w:val="24"/>
                <w:rFonts w:ascii="Times New Roman" w:hAnsi="Times New Roman"/>
              </w:rPr>
              <w:t xml:space="preserve">, paragraphe 1, point ii), du règlement (UE) nº 575/2013.</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szCs w:val="22"/>
                <w:rFonts w:ascii="Times New Roman" w:eastAsia="Times New Roman" w:hAnsi="Times New Roman" w:cs="Times New Roman"/>
              </w:rPr>
            </w:pPr>
            <w:r>
              <w:rPr>
                <w:rFonts w:ascii="Times New Roman" w:hAnsi="Times New Roman"/>
              </w:rPr>
              <w:t xml:space="preserve">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Risque d'écart de crédit sur expositions de titrisation hors portefeuille de négociation en corrélation alternatif (CSR hors portefeuille de négociation en corrélation alternatif)</w:t>
            </w:r>
          </w:p>
          <w:p w14:paraId="7767EDBC" w14:textId="24BC8D91"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a), et à l’article 325 </w:t>
            </w:r>
            <w:r>
              <w:rPr>
                <w:sz w:val="24"/>
                <w:i/>
                <w:rFonts w:ascii="Times New Roman" w:hAnsi="Times New Roman"/>
              </w:rPr>
              <w:t xml:space="preserve">quinquies</w:t>
            </w:r>
            <w:r>
              <w:rPr>
                <w:sz w:val="24"/>
                <w:rFonts w:ascii="Times New Roman" w:hAnsi="Times New Roman"/>
              </w:rPr>
              <w:t xml:space="preserve">, paragraphe 1, point iii), du règlement (UE) nº 575/2013.</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szCs w:val="22"/>
                <w:rFonts w:ascii="Times New Roman" w:eastAsia="Times New Roman" w:hAnsi="Times New Roman" w:cs="Times New Roman"/>
              </w:rPr>
            </w:pPr>
            <w:r>
              <w:rPr>
                <w:rFonts w:ascii="Times New Roman" w:hAnsi="Times New Roman"/>
              </w:rPr>
              <w:t xml:space="preserve">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Risque d'écart de crédit sur expositions de titrisation du portefeuille de négociation en corrélation alternatif (CSR portefeuille de négociation en corrélation alternatif)</w:t>
            </w:r>
          </w:p>
          <w:p w14:paraId="3E4A8A35" w14:textId="160B9A80"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a), et à l’article 325 </w:t>
            </w:r>
            <w:r>
              <w:rPr>
                <w:sz w:val="24"/>
                <w:i/>
                <w:rFonts w:ascii="Times New Roman" w:hAnsi="Times New Roman"/>
              </w:rPr>
              <w:t xml:space="preserve">quinquies</w:t>
            </w:r>
            <w:r>
              <w:rPr>
                <w:sz w:val="24"/>
                <w:rFonts w:ascii="Times New Roman" w:hAnsi="Times New Roman"/>
              </w:rPr>
              <w:t xml:space="preserve">, paragraphe 1, point iv), du règlement (UE) nº 575/2013.</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Risque de défaut</w:t>
            </w:r>
          </w:p>
          <w:p w14:paraId="50AC8B96" w14:textId="24D7EC82" w:rsidR="06503780" w:rsidRPr="001F1865" w:rsidRDefault="06503780" w:rsidP="00DB0A49">
            <w:pPr>
              <w:spacing w:after="240"/>
              <w:rPr>
                <w:sz w:val="24"/>
                <w:rFonts w:ascii="Times New Roman" w:eastAsia="Times New Roman" w:hAnsi="Times New Roman" w:cs="Times New Roman"/>
              </w:rPr>
            </w:pPr>
            <w:r>
              <w:rPr>
                <w:sz w:val="24"/>
                <w:rFonts w:ascii="Times New Roman" w:hAnsi="Times New Roman"/>
              </w:rPr>
              <w:t xml:space="preserve">conformément à la troisième partie, titre IV, chapitre 1 </w:t>
            </w:r>
            <w:r>
              <w:rPr>
                <w:sz w:val="24"/>
                <w:i/>
                <w:rFonts w:ascii="Times New Roman" w:hAnsi="Times New Roman"/>
              </w:rPr>
              <w:t xml:space="preserve">bis</w:t>
            </w:r>
            <w:r>
              <w:rPr>
                <w:sz w:val="24"/>
                <w:rFonts w:ascii="Times New Roman" w:hAnsi="Times New Roman"/>
              </w:rPr>
              <w:t xml:space="preserve">, section 5, du règlement (UE) nº 575/2013.</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Expositions hors titrisation</w:t>
            </w:r>
          </w:p>
          <w:p w14:paraId="6E07A74F" w14:textId="60055B48" w:rsidR="06503780" w:rsidRPr="001F1865" w:rsidRDefault="06503780" w:rsidP="00DB0A49">
            <w:pPr>
              <w:spacing w:after="240"/>
              <w:jc w:val="both"/>
              <w:rPr>
                <w:szCs w:val="22"/>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b), et à la troisième partie, titre IV, chapitre 1 </w:t>
            </w:r>
            <w:r>
              <w:rPr>
                <w:sz w:val="24"/>
                <w:i/>
                <w:rFonts w:ascii="Times New Roman" w:hAnsi="Times New Roman"/>
              </w:rPr>
              <w:t xml:space="preserve">bis</w:t>
            </w:r>
            <w:r>
              <w:rPr>
                <w:sz w:val="24"/>
                <w:rFonts w:ascii="Times New Roman" w:hAnsi="Times New Roman"/>
              </w:rPr>
              <w:t xml:space="preserve">, section 5, sous-section 1, du règlement (UE) nº 575/2013.</w:t>
            </w:r>
            <w:r>
              <w:rPr>
                <w:rFonts w:ascii="Times New Roman" w:hAnsi="Times New Roman"/>
              </w:rPr>
              <w:t xml:space="preserve"> </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Expositions de titrisation hors portefeuille de négociation en corrélation alternatif (hors portefeuille de négociation en corrélation alternatif)</w:t>
            </w:r>
          </w:p>
          <w:p w14:paraId="093A58C5" w14:textId="0BD66CFC" w:rsidR="06503780" w:rsidRPr="001F1865" w:rsidRDefault="06503780" w:rsidP="00DB0A49">
            <w:pPr>
              <w:spacing w:after="240"/>
              <w:jc w:val="both"/>
              <w:rPr>
                <w:szCs w:val="22"/>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b), et à la troisième partie, titre IV, chapitre 1 </w:t>
            </w:r>
            <w:r>
              <w:rPr>
                <w:sz w:val="24"/>
                <w:i/>
                <w:rFonts w:ascii="Times New Roman" w:hAnsi="Times New Roman"/>
              </w:rPr>
              <w:t xml:space="preserve">bis</w:t>
            </w:r>
            <w:r>
              <w:rPr>
                <w:sz w:val="24"/>
                <w:rFonts w:ascii="Times New Roman" w:hAnsi="Times New Roman"/>
              </w:rPr>
              <w:t xml:space="preserve">, section 5, sous-section 2, du règlement (UE) nº 575/2013.</w:t>
            </w:r>
            <w:r>
              <w:rPr>
                <w:rFonts w:ascii="Times New Roman" w:hAnsi="Times New Roman"/>
              </w:rPr>
              <w:t xml:space="preserve"> </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Expositions de titrisation du portefeuille de négociation en corrélation alternatif (portefeuille de négociation en corrélation alternatif)</w:t>
            </w:r>
          </w:p>
          <w:p w14:paraId="4F126C34" w14:textId="2E83A436" w:rsidR="06503780" w:rsidRPr="001F1865" w:rsidRDefault="06503780" w:rsidP="00DB0A49">
            <w:pPr>
              <w:spacing w:after="240"/>
              <w:jc w:val="both"/>
              <w:rPr>
                <w:szCs w:val="22"/>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b), et à la troisième partie, titre IV, chapitre 1 </w:t>
            </w:r>
            <w:r>
              <w:rPr>
                <w:sz w:val="24"/>
                <w:i/>
                <w:rFonts w:ascii="Times New Roman" w:hAnsi="Times New Roman"/>
              </w:rPr>
              <w:t xml:space="preserve">bis</w:t>
            </w:r>
            <w:r>
              <w:rPr>
                <w:sz w:val="24"/>
                <w:rFonts w:ascii="Times New Roman" w:hAnsi="Times New Roman"/>
              </w:rPr>
              <w:t xml:space="preserve">, section 5, sous-section 3, du règlement (UE) nº 575/2013.</w:t>
            </w:r>
            <w:r>
              <w:rPr>
                <w:rFonts w:ascii="Times New Roman" w:hAnsi="Times New Roman"/>
              </w:rPr>
              <w:t xml:space="preserve"> </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Risque résiduel</w:t>
            </w:r>
          </w:p>
          <w:p w14:paraId="3E3A6F03" w14:textId="754D8113" w:rsidR="06503780" w:rsidRPr="001F1865" w:rsidRDefault="06503780" w:rsidP="00DB0A49">
            <w:pPr>
              <w:spacing w:after="240"/>
              <w:rPr>
                <w:sz w:val="24"/>
                <w:rFonts w:ascii="Times New Roman" w:eastAsia="Times New Roman" w:hAnsi="Times New Roman" w:cs="Times New Roman"/>
              </w:rPr>
            </w:pPr>
            <w:r>
              <w:rPr>
                <w:sz w:val="24"/>
                <w:rFonts w:ascii="Times New Roman" w:hAnsi="Times New Roman"/>
              </w:rPr>
              <w:t xml:space="preserve">Troisième partie, titre IV, chapitre 1 </w:t>
            </w:r>
            <w:r>
              <w:rPr>
                <w:sz w:val="24"/>
                <w:i/>
                <w:rFonts w:ascii="Times New Roman" w:hAnsi="Times New Roman"/>
              </w:rPr>
              <w:t xml:space="preserve">bis</w:t>
            </w:r>
            <w:r>
              <w:rPr>
                <w:sz w:val="24"/>
                <w:rFonts w:ascii="Times New Roman" w:hAnsi="Times New Roman"/>
              </w:rPr>
              <w:t xml:space="preserve">, section 4, du règlement (UE) nº 575/2013.</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szCs w:val="22"/>
                <w:rFonts w:ascii="Times New Roman" w:eastAsia="Times New Roman" w:hAnsi="Times New Roman" w:cs="Times New Roman"/>
              </w:rPr>
            </w:pPr>
            <w:r>
              <w:rPr>
                <w:rFonts w:ascii="Times New Roman" w:hAnsi="Times New Roman"/>
              </w:rPr>
              <w:t xml:space="preserve">EU 11a</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Sous-jacents exotiques</w:t>
            </w:r>
          </w:p>
          <w:p w14:paraId="7ED02FAC" w14:textId="7DFCBC6E" w:rsidR="06503780" w:rsidRPr="001F1865" w:rsidRDefault="06503780" w:rsidP="00DB0A49">
            <w:pPr>
              <w:spacing w:before="120" w:after="120"/>
              <w:rPr>
                <w:sz w:val="24"/>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c), et à l’article 325 </w:t>
            </w:r>
            <w:r>
              <w:rPr>
                <w:sz w:val="24"/>
                <w:i/>
                <w:rFonts w:ascii="Times New Roman" w:hAnsi="Times New Roman"/>
              </w:rPr>
              <w:t xml:space="preserve">duovicies</w:t>
            </w:r>
            <w:r>
              <w:rPr>
                <w:sz w:val="24"/>
                <w:rFonts w:ascii="Times New Roman" w:hAnsi="Times New Roman"/>
              </w:rPr>
              <w:t xml:space="preserve">, paragraphe 2, point a), du règlement (UE) nº 575/2013.</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szCs w:val="22"/>
                <w:rFonts w:ascii="Times New Roman" w:eastAsia="Times New Roman" w:hAnsi="Times New Roman" w:cs="Times New Roman"/>
              </w:rPr>
            </w:pPr>
            <w:r>
              <w:rPr>
                <w:rFonts w:ascii="Times New Roman" w:hAnsi="Times New Roman"/>
              </w:rPr>
              <w:t xml:space="preserve">EU 11b</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Autres risques résiduels</w:t>
            </w:r>
          </w:p>
          <w:p w14:paraId="5E46032C" w14:textId="013FBB68" w:rsidR="06503780" w:rsidRPr="001F1865" w:rsidRDefault="06503780" w:rsidP="00DB0A49">
            <w:pPr>
              <w:spacing w:before="120" w:after="120"/>
              <w:rPr>
                <w:sz w:val="24"/>
                <w:rFonts w:ascii="Times New Roman" w:eastAsia="Times New Roman" w:hAnsi="Times New Roman" w:cs="Times New Roman"/>
              </w:rPr>
            </w:pPr>
            <w:r>
              <w:rPr>
                <w:sz w:val="24"/>
                <w:rFonts w:ascii="Times New Roman" w:hAnsi="Times New Roman"/>
              </w:rPr>
              <w:t xml:space="preserve">conformément à l’article 325 </w:t>
            </w:r>
            <w:r>
              <w:rPr>
                <w:sz w:val="24"/>
                <w:i/>
                <w:rFonts w:ascii="Times New Roman" w:hAnsi="Times New Roman"/>
              </w:rPr>
              <w:t xml:space="preserve">quater</w:t>
            </w:r>
            <w:r>
              <w:rPr>
                <w:sz w:val="24"/>
                <w:rFonts w:ascii="Times New Roman" w:hAnsi="Times New Roman"/>
              </w:rPr>
              <w:t xml:space="preserve">, paragraphe 2, point c), et à l’article 325 </w:t>
            </w:r>
            <w:r>
              <w:rPr>
                <w:sz w:val="24"/>
                <w:i/>
                <w:rFonts w:ascii="Times New Roman" w:hAnsi="Times New Roman"/>
              </w:rPr>
              <w:t xml:space="preserve">duovicies</w:t>
            </w:r>
            <w:r>
              <w:rPr>
                <w:sz w:val="24"/>
                <w:rFonts w:ascii="Times New Roman" w:hAnsi="Times New Roman"/>
              </w:rPr>
              <w:t xml:space="preserve">, paragraphe 2, point b), du règlement (UE) nº 575/2013.</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Total des exigences de fonds propres (OFR)</w:t>
            </w:r>
          </w:p>
          <w:p w14:paraId="3AEB87FA" w14:textId="63F7CC8B" w:rsidR="06503780" w:rsidRDefault="002A353C" w:rsidP="06503780">
            <w:pPr>
              <w:spacing w:after="120" w:line="257" w:lineRule="auto"/>
              <w:rPr>
                <w:sz w:val="24"/>
                <w:rFonts w:ascii="Times New Roman" w:eastAsia="Times New Roman" w:hAnsi="Times New Roman" w:cs="Times New Roman"/>
              </w:rPr>
            </w:pPr>
            <w:r>
              <w:rPr>
                <w:sz w:val="24"/>
                <w:rFonts w:ascii="Times New Roman" w:hAnsi="Times New Roman"/>
              </w:rPr>
              <w:t xml:space="preserve">Somme des lignes de 1 à EU11b.</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Lettre de la colonne</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Explication</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Total des exigences de fonds propres (OFR)</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a</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sz w:val="24"/>
                <w:rFonts w:ascii="Times New Roman" w:eastAsia="Times New Roman" w:hAnsi="Times New Roman" w:cs="Times New Roman"/>
              </w:rPr>
            </w:pPr>
            <w:r>
              <w:rPr>
                <w:sz w:val="24"/>
                <w:rFonts w:ascii="Times New Roman" w:hAnsi="Times New Roman"/>
              </w:rPr>
              <w:t xml:space="preserve">Publication d’informations sur les exigences de fonds propres visées à l’article 438, point d), du </w:t>
            </w:r>
            <w:r>
              <w:rPr>
                <w:sz w:val="24"/>
                <w:color w:val="000000" w:themeColor="text1"/>
                <w:rFonts w:ascii="Times New Roman" w:hAnsi="Times New Roman"/>
              </w:rPr>
              <w:t xml:space="preserve">règlement (UE) nº 575/2013</w:t>
            </w:r>
            <w:r>
              <w:rPr>
                <w:sz w:val="24"/>
                <w:rFonts w:ascii="Times New Roman" w:hAnsi="Times New Roman"/>
              </w:rPr>
              <w:t xml:space="preserve">, calculées comme étant la somme simple des montants ci-dessus aux lignes 1 à EU 11b.</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b/>
          <w:bCs/>
          <w:sz w:val="24"/>
          <w:rFonts w:ascii="Times New Roman" w:hAnsi="Times New Roman" w:cs="Times New Roman"/>
        </w:rPr>
      </w:pPr>
      <w:r>
        <w:rPr>
          <w:sz w:val="24"/>
          <w:b/>
          <w:rFonts w:ascii="Times New Roman" w:hAnsi="Times New Roman"/>
        </w:rPr>
        <w:t xml:space="preserve">Tableau EU MRB:</w:t>
      </w:r>
      <w:r>
        <w:rPr>
          <w:sz w:val="24"/>
          <w:b/>
          <w:rFonts w:ascii="Times New Roman" w:hAnsi="Times New Roman"/>
        </w:rPr>
        <w:t xml:space="preserve"> </w:t>
      </w:r>
      <w:r>
        <w:rPr>
          <w:sz w:val="24"/>
          <w:b/>
          <w:rFonts w:ascii="Times New Roman" w:hAnsi="Times New Roman"/>
        </w:rPr>
        <w:t xml:space="preserve">Exigences de publication d’informations qualitatives pour les établissements utilisant l’approche alternative fondée sur les modèles internes</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format texte libre</w:t>
      </w:r>
    </w:p>
    <w:p w14:paraId="32EDF34C" w14:textId="442D1C01" w:rsidR="00931C32" w:rsidRPr="001F1865" w:rsidRDefault="00931C32" w:rsidP="00DB0A49">
      <w:pPr>
        <w:pStyle w:val="Titlelevel2"/>
        <w:numPr>
          <w:ilvl w:val="0"/>
          <w:numId w:val="4"/>
        </w:numPr>
        <w:spacing w:before="0"/>
        <w:ind w:left="284" w:hanging="284"/>
        <w:jc w:val="both"/>
        <w:rPr>
          <w:b/>
          <w:sz w:val="24"/>
          <w:rFonts w:ascii="Times New Roman" w:hAnsi="Times New Roman" w:cs="Times New Roman"/>
        </w:rPr>
      </w:pPr>
      <w:r>
        <w:rPr>
          <w:color w:val="000000" w:themeColor="text1"/>
          <w:sz w:val="24"/>
          <w:rFonts w:ascii="Times New Roman" w:hAnsi="Times New Roman"/>
        </w:rPr>
        <w:t xml:space="preserve">Les établissements publient les informations visées à l’article 455, points a), b), c), d), e) et f) </w:t>
      </w:r>
      <w:r>
        <w:rPr>
          <w:color w:val="000000" w:themeColor="text1"/>
          <w:sz w:val="24"/>
          <w:rFonts w:ascii="Times New Roman" w:hAnsi="Times New Roman"/>
        </w:rPr>
        <w:t xml:space="preserve">du règlement (UE) nº 575/2013</w:t>
      </w:r>
      <w:r>
        <w:rPr>
          <w:color w:val="000000" w:themeColor="text1"/>
          <w:sz w:val="24"/>
          <w:rFonts w:ascii="Times New Roman" w:hAnsi="Times New Roman"/>
        </w:rPr>
        <w:t xml:space="preserve">, suivant les instructions fournies ci-dessous dans la présente annexe pour compléter le tableau EU MRB présenté à l’annexe XXIX.</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Références juridiques et instructions</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Numéro de la ligne</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Explication</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sz w:val="24"/>
                <w:rFonts w:ascii="Times New Roman" w:eastAsia="Times New Roman" w:hAnsi="Times New Roman" w:cs="Times New Roman"/>
              </w:rPr>
            </w:pPr>
            <w:r>
              <w:rPr>
                <w:sz w:val="24"/>
                <w:rFonts w:ascii="Times New Roman" w:hAnsi="Times New Roman"/>
              </w:rPr>
              <w:t xml:space="preserve">Lors de la publication des informations visées à l’article 455, paragraphe 1, point a), du règlement (UE) nº 575/2013 sur les modèles internes alternatifs pour le risque de marché, les établissements incluent:</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sz w:val="24"/>
                <w:rFonts w:ascii="Times New Roman" w:hAnsi="Times New Roman" w:cs="Times New Roman"/>
              </w:rPr>
            </w:pPr>
            <w:r>
              <w:rPr>
                <w:sz w:val="24"/>
                <w:rFonts w:ascii="Times New Roman" w:hAnsi="Times New Roman"/>
              </w:rPr>
              <w:t xml:space="preserve">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sz w:val="24"/>
                <w:rFonts w:ascii="Times New Roman" w:eastAsia="Times New Roman" w:hAnsi="Times New Roman" w:cs="Times New Roman"/>
              </w:rPr>
            </w:pPr>
            <w:r>
              <w:rPr>
                <w:color w:val="000000" w:themeColor="text1"/>
                <w:sz w:val="24"/>
                <w:rFonts w:ascii="Times New Roman" w:hAnsi="Times New Roman"/>
              </w:rPr>
              <w:t xml:space="preserve">les objectifs de l’établissement en matière d’activités de négociation et les processus qu’il met en œuvre pour identifier, mesurer, surveiller et suivre ses risques de marché.</w:t>
            </w:r>
            <w:r>
              <w:rPr>
                <w:color w:val="000000" w:themeColor="text1"/>
                <w:sz w:val="24"/>
                <w:rFonts w:ascii="Times New Roman" w:hAnsi="Times New Roman"/>
              </w:rPr>
              <w:t xml:space="preserve"> </w:t>
            </w:r>
            <w:r>
              <w:rPr>
                <w:color w:val="000000" w:themeColor="text1"/>
                <w:sz w:val="24"/>
                <w:rFonts w:ascii="Times New Roman" w:hAnsi="Times New Roman"/>
              </w:rPr>
              <w:t xml:space="preserve">Ces informations peuvent être fournies par une référence croisée au tableau EU MRA;</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sz w:val="24"/>
                <w:rFonts w:ascii="Times New Roman" w:hAnsi="Times New Roman" w:cs="Times New Roman"/>
              </w:rPr>
            </w:pPr>
            <w:r>
              <w:rPr>
                <w:sz w:val="24"/>
                <w:rFonts w:ascii="Times New Roman" w:hAnsi="Times New Roman"/>
              </w:rPr>
              <w:t xml:space="preserve">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sz w:val="24"/>
                <w:rFonts w:ascii="Times New Roman" w:eastAsia="Times New Roman" w:hAnsi="Times New Roman" w:cs="Times New Roman"/>
              </w:rPr>
            </w:pPr>
            <w:r>
              <w:rPr>
                <w:color w:val="000000" w:themeColor="text1"/>
                <w:sz w:val="24"/>
                <w:rFonts w:ascii="Times New Roman" w:hAnsi="Times New Roman"/>
              </w:rPr>
              <w:t xml:space="preserve">les politiques visées à l’article 104, paragraphe 1, servant à déterminer quelle position doit être incluse dans le portefeuille de négociation;</w:t>
            </w:r>
            <w:r>
              <w:rPr>
                <w:color w:val="000000" w:themeColor="text1"/>
                <w:sz w:val="24"/>
                <w:rFonts w:ascii="Times New Roman" w:hAnsi="Times New Roman"/>
              </w:rPr>
              <w:t xml:space="preserve"> </w:t>
            </w:r>
            <w:r>
              <w:rPr>
                <w:color w:val="000000" w:themeColor="text1"/>
                <w:sz w:val="24"/>
                <w:rFonts w:ascii="Times New Roman" w:hAnsi="Times New Roman"/>
              </w:rPr>
              <w:t xml:space="preserve">Ces informations peuvent être fournies par une référence croisée au tableau EU MRA;</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sz w:val="24"/>
                <w:rFonts w:ascii="Times New Roman" w:hAnsi="Times New Roman" w:cs="Times New Roman"/>
              </w:rPr>
            </w:pPr>
            <w:r>
              <w:rPr>
                <w:sz w:val="24"/>
                <w:rFonts w:ascii="Times New Roman" w:hAnsi="Times New Roman"/>
              </w:rPr>
              <w:t xml:space="preserve">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sz w:val="24"/>
                <w:rFonts w:ascii="Times New Roman" w:eastAsia="Times New Roman" w:hAnsi="Times New Roman" w:cs="Times New Roman"/>
              </w:rPr>
            </w:pPr>
            <w:r>
              <w:rPr>
                <w:color w:val="000000" w:themeColor="text1"/>
                <w:sz w:val="24"/>
                <w:rFonts w:ascii="Times New Roman" w:hAnsi="Times New Roman"/>
              </w:rPr>
              <w:t xml:space="preserve">la structure et l’organisation de la fonction de gestion du risque de marché et de sa gouvernance;</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A) B) Description générale de la structure de la table de négociation et des types d’instruments admis à la table de négociation AIMA conformément à l’article 455, paragraphe 1, points c) et d), du règlement (UE) nº 575/2013.</w:t>
            </w:r>
            <w:r>
              <w:rPr>
                <w:color w:val="000000" w:themeColor="text1"/>
                <w:sz w:val="24"/>
                <w:rFonts w:ascii="Times New Roman" w:hAnsi="Times New Roman"/>
              </w:rPr>
              <w:t xml:space="preserve">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sz w:val="24"/>
                <w:rFonts w:ascii="Times New Roman" w:hAnsi="Times New Roman" w:cs="Times New Roman"/>
              </w:rPr>
            </w:pPr>
            <w:r>
              <w:rPr>
                <w:sz w:val="24"/>
                <w:rFonts w:ascii="Times New Roman" w:hAnsi="Times New Roman"/>
              </w:rPr>
              <w:t xml:space="preserve">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sz w:val="24"/>
                <w:rFonts w:ascii="Times New Roman" w:eastAsia="Times New Roman" w:hAnsi="Times New Roman" w:cs="Times New Roman"/>
              </w:rPr>
            </w:pPr>
            <w:r>
              <w:rPr>
                <w:color w:val="000000" w:themeColor="text1"/>
                <w:sz w:val="24"/>
                <w:rFonts w:ascii="Times New Roman" w:hAnsi="Times New Roman"/>
              </w:rPr>
              <w:t xml:space="preserve">Lors de la publication des informations visées à l’article 455, paragraphe 1, point c) du règlement (UE) nº 575/2013, les établissements fournissent une description générale de la structure des tables de négociation couvertes par les modèles internes visés à l’article 325 </w:t>
            </w:r>
            <w:r>
              <w:rPr>
                <w:color w:val="000000" w:themeColor="text1"/>
                <w:sz w:val="24"/>
                <w:i/>
                <w:rFonts w:ascii="Times New Roman" w:hAnsi="Times New Roman"/>
              </w:rPr>
              <w:t xml:space="preserve">terquinquagies</w:t>
            </w:r>
            <w:r>
              <w:rPr>
                <w:color w:val="000000" w:themeColor="text1"/>
                <w:sz w:val="24"/>
                <w:rFonts w:ascii="Times New Roman" w:hAnsi="Times New Roman"/>
              </w:rPr>
              <w:t xml:space="preserve">, y compris, pour chaque table, une description générale de la stratégie commerciale de cette table, des instruments qui y sont admis et des principaux types de risques liés à cette table;</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sz w:val="24"/>
                <w:rFonts w:ascii="Times New Roman" w:eastAsia="Times New Roman" w:hAnsi="Times New Roman" w:cs="Times New Roman"/>
              </w:rPr>
            </w:pPr>
            <w:r>
              <w:rPr>
                <w:color w:val="000000" w:themeColor="text1"/>
                <w:sz w:val="24"/>
                <w:rFonts w:ascii="Times New Roman" w:hAnsi="Times New Roman"/>
              </w:rPr>
              <w:t xml:space="preserve">Lors de la publication des informations visées à l’article 455, paragraphe 1, point d), du règlement (UE) nº 575/2013, les établissements fournissent un aperçu des positions du portefeuille de négociation qui ne sont pas couvertes par les modèles internes visés à l’article 325 </w:t>
            </w:r>
            <w:r>
              <w:rPr>
                <w:color w:val="000000" w:themeColor="text1"/>
                <w:sz w:val="24"/>
                <w:i/>
                <w:rFonts w:ascii="Times New Roman" w:hAnsi="Times New Roman"/>
              </w:rPr>
              <w:t xml:space="preserve">terquinquagies</w:t>
            </w:r>
            <w:r>
              <w:rPr>
                <w:color w:val="000000" w:themeColor="text1"/>
                <w:sz w:val="24"/>
                <w:rFonts w:ascii="Times New Roman" w:hAnsi="Times New Roman"/>
              </w:rPr>
              <w:t xml:space="preserve">, y compris une description générale de la structure de la table et des types d’instruments inclus dans les tables ou dans les catégories de tables conformément à l’article 104 </w:t>
            </w:r>
            <w:r>
              <w:rPr>
                <w:color w:val="000000" w:themeColor="text1"/>
                <w:sz w:val="24"/>
                <w:i/>
                <w:rFonts w:ascii="Times New Roman" w:hAnsi="Times New Roman"/>
              </w:rPr>
              <w:t xml:space="preserve">ter</w:t>
            </w:r>
            <w:r>
              <w:rPr>
                <w:color w:val="000000" w:themeColor="text1"/>
                <w:sz w:val="24"/>
                <w:rFonts w:ascii="Times New Roman" w:hAnsi="Times New Roman"/>
              </w:rPr>
              <w:t xml:space="preserve">;</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B) C) E) Description des principales caractéristiques des modèles utilisés au niveau consolidé, y compris les approches utilisées pour la validation des modèles et des processus de modélisation.</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sz w:val="24"/>
                <w:rFonts w:ascii="Times New Roman" w:hAnsi="Times New Roman" w:cs="Times New Roman"/>
              </w:rPr>
            </w:pPr>
            <w:r>
              <w:rPr>
                <w:sz w:val="24"/>
                <w:rFonts w:ascii="Times New Roman" w:hAnsi="Times New Roman"/>
              </w:rPr>
              <w:t xml:space="preserve">B (b) (c)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150F8DFA" w:rsidR="007E7D7A" w:rsidRPr="00DB0A49" w:rsidDel="00671C85" w:rsidRDefault="001D2F69" w:rsidP="0BE40342">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Lors de la publication des informations visées à l’article 455, paragraphe 1, point f), i) du règlement (UE) nº 575/2013, les établissements fournissent:</w:t>
            </w:r>
            <w:r>
              <w:rPr>
                <w:color w:val="000000" w:themeColor="text1"/>
                <w:sz w:val="24"/>
                <w:rFonts w:ascii="Times New Roman" w:hAnsi="Times New Roman"/>
              </w:rPr>
              <w:t xml:space="preserve">  </w:t>
            </w:r>
            <w:r>
              <w:rPr>
                <w:color w:val="000000" w:themeColor="text1"/>
                <w:sz w:val="24"/>
                <w:rFonts w:ascii="Times New Roman" w:hAnsi="Times New Roman"/>
              </w:rPr>
              <w:t xml:space="preserve">la portée, les principales caractéristiques et les principaux choix de modélisation des modèles internes alternatifs visés à l’article 325 </w:t>
            </w:r>
            <w:r>
              <w:rPr>
                <w:color w:val="000000" w:themeColor="text1"/>
                <w:sz w:val="24"/>
                <w:i/>
                <w:rFonts w:ascii="Times New Roman" w:hAnsi="Times New Roman"/>
              </w:rPr>
              <w:t xml:space="preserve">terquinquagies</w:t>
            </w:r>
            <w:r>
              <w:rPr>
                <w:color w:val="000000" w:themeColor="text1"/>
                <w:sz w:val="24"/>
                <w:rFonts w:ascii="Times New Roman" w:hAnsi="Times New Roman"/>
              </w:rPr>
              <w:t xml:space="preserve"> du règlement (UE) nº 575/2013 utilisés pour calculer les montants d’exposition au risque pour les principaux modèles utilisés au niveau consolidé, ainsi qu’une description de la mesure dans laquelle ces modèles internes représentent tous les modèles utilisés au niveau consolidé, y compris, le cas échéant:</w:t>
            </w:r>
            <w:r>
              <w:rPr>
                <w:color w:val="000000" w:themeColor="text1"/>
                <w:sz w:val="24"/>
                <w:rFonts w:ascii="Times New Roman" w:hAnsi="Times New Roman"/>
              </w:rPr>
              <w:t xml:space="preserve"> </w:t>
            </w:r>
            <w:r>
              <w:rPr>
                <w:color w:val="000000" w:themeColor="text1"/>
                <w:sz w:val="24"/>
                <w:rFonts w:ascii="Times New Roman" w:hAnsi="Times New Roman"/>
              </w:rPr>
              <w:t xml:space="preserve">i) une description générale de l’approche de modélisation utilisée pour calculer la valeur en risque conditionnelle visée à l’article 325 </w:t>
            </w:r>
            <w:r>
              <w:rPr>
                <w:color w:val="000000" w:themeColor="text1"/>
                <w:sz w:val="24"/>
                <w:i/>
                <w:rFonts w:ascii="Times New Roman" w:hAnsi="Times New Roman"/>
              </w:rPr>
              <w:t xml:space="preserve">quaterquinquagies</w:t>
            </w:r>
            <w:r>
              <w:rPr>
                <w:color w:val="000000" w:themeColor="text1"/>
                <w:sz w:val="24"/>
                <w:rFonts w:ascii="Times New Roman" w:hAnsi="Times New Roman"/>
              </w:rPr>
              <w:t xml:space="preserve">, paragraphe 1, point a), du CRR, y compris la fréquence d’actualisation des données.</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sz w:val="24"/>
                <w:rFonts w:ascii="Times New Roman" w:hAnsi="Times New Roman" w:cs="Times New Roman"/>
              </w:rPr>
            </w:pPr>
            <w:r>
              <w:rPr>
                <w:sz w:val="24"/>
                <w:rFonts w:ascii="Times New Roman" w:hAnsi="Times New Roman"/>
              </w:rPr>
              <w:t xml:space="preserve">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Lors de la publication des informations visées à l’article 455, paragraphe 1, point f), ii) du règlement (UE) nº 575/2013, les établissements incluent, le cas échéant:</w:t>
            </w:r>
            <w:r>
              <w:rPr>
                <w:color w:val="000000" w:themeColor="text1"/>
                <w:sz w:val="24"/>
                <w:rFonts w:ascii="Times New Roman" w:hAnsi="Times New Roman"/>
              </w:rPr>
              <w:t xml:space="preserve"> </w:t>
            </w:r>
            <w:r>
              <w:rPr>
                <w:color w:val="000000" w:themeColor="text1"/>
                <w:sz w:val="24"/>
                <w:rFonts w:ascii="Times New Roman" w:hAnsi="Times New Roman"/>
              </w:rPr>
              <w:t xml:space="preserve">une description générale de la méthode utilisée pour calculer la mesure du risque selon un scénario de tensions visée à l’article 325 </w:t>
            </w:r>
            <w:r>
              <w:rPr>
                <w:color w:val="000000" w:themeColor="text1"/>
                <w:sz w:val="24"/>
                <w:i/>
                <w:rFonts w:ascii="Times New Roman" w:hAnsi="Times New Roman"/>
              </w:rPr>
              <w:t xml:space="preserve">quaterquinquagies</w:t>
            </w:r>
            <w:r>
              <w:rPr>
                <w:color w:val="000000" w:themeColor="text1"/>
                <w:sz w:val="24"/>
                <w:rFonts w:ascii="Times New Roman" w:hAnsi="Times New Roman"/>
              </w:rPr>
              <w:t xml:space="preserve">, paragraphe 1, point b), du règlement (UE) nº 575/2013, autre que les précisions prévues à l’article 325 </w:t>
            </w:r>
            <w:r>
              <w:rPr>
                <w:color w:val="000000" w:themeColor="text1"/>
                <w:sz w:val="24"/>
                <w:i/>
                <w:rFonts w:ascii="Times New Roman" w:hAnsi="Times New Roman"/>
              </w:rPr>
              <w:t xml:space="preserve">quatersexagies</w:t>
            </w:r>
            <w:r>
              <w:rPr>
                <w:color w:val="000000" w:themeColor="text1"/>
                <w:sz w:val="24"/>
                <w:rFonts w:ascii="Times New Roman" w:hAnsi="Times New Roman"/>
              </w:rPr>
              <w:t xml:space="preserve">, paragraphe 3, du règlement (UE) nº 575/2013.</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D) Description des modèles internes utilisés pour calculer l’exigence de fonds propres pour risque de défaut</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sz w:val="24"/>
                <w:rFonts w:ascii="Times New Roman" w:hAnsi="Times New Roman"/>
              </w:rPr>
            </w:pPr>
            <w:r>
              <w:rPr>
                <w:sz w:val="24"/>
                <w:rFonts w:ascii="Times New Roman" w:hAnsi="Times New Roman"/>
              </w:rPr>
              <w:t xml:space="preserve">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Lors de la publication des informations visées à l’article 455, paragraphe 1, point f), iii) du règlement (UE) nº 575/2013, les établissements incluent, le cas échéant:</w:t>
            </w:r>
            <w:r>
              <w:rPr>
                <w:color w:val="000000" w:themeColor="text1"/>
                <w:sz w:val="24"/>
                <w:rFonts w:ascii="Times New Roman" w:hAnsi="Times New Roman"/>
              </w:rPr>
              <w:t xml:space="preserve"> </w:t>
            </w:r>
            <w:r>
              <w:rPr>
                <w:color w:val="000000" w:themeColor="text1"/>
                <w:sz w:val="24"/>
                <w:rFonts w:ascii="Times New Roman" w:hAnsi="Times New Roman"/>
              </w:rPr>
              <w:t xml:space="preserve">une description générale de l’approche de modélisation utilisée pour calculer l’exigence de fonds propres supplémentaire pour risque de défaut visée à l’article 325 </w:t>
            </w:r>
            <w:r>
              <w:rPr>
                <w:color w:val="000000" w:themeColor="text1"/>
                <w:sz w:val="24"/>
                <w:i/>
                <w:rFonts w:ascii="Times New Roman" w:hAnsi="Times New Roman"/>
              </w:rPr>
              <w:t xml:space="preserve">quaterquinquagies</w:t>
            </w:r>
            <w:r>
              <w:rPr>
                <w:color w:val="000000" w:themeColor="text1"/>
                <w:sz w:val="24"/>
                <w:rFonts w:ascii="Times New Roman" w:hAnsi="Times New Roman"/>
              </w:rPr>
              <w:t xml:space="preserve">, paragraphe 2, du règlement (UE) nº 575/2013, y compris la fréquence d’actualisation des données.</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color w:val="auto"/>
          <w:sz w:val="24"/>
          <w:rFonts w:ascii="Times New Roman" w:hAnsi="Times New Roman" w:cs="Times New Roman"/>
        </w:rPr>
      </w:pPr>
      <w:r>
        <w:rPr>
          <w:color w:val="auto"/>
          <w:sz w:val="24"/>
          <w:b/>
          <w:rFonts w:ascii="Times New Roman" w:hAnsi="Times New Roman"/>
        </w:rPr>
        <w:t xml:space="preserve">Modèle EU MR2 – Risque de marché dans le cadre de l’approche alternative fondée sur les modèles internes (AIMA)</w:t>
      </w:r>
      <w:r>
        <w:rPr>
          <w:color w:val="auto"/>
          <w:sz w:val="24"/>
          <w:rFonts w:ascii="Times New Roman" w:hAnsi="Times New Roman"/>
        </w:rPr>
        <w:t xml:space="preserve"> </w:t>
      </w:r>
      <w:r>
        <w:rPr>
          <w:color w:val="auto"/>
          <w:sz w:val="24"/>
          <w:rFonts w:ascii="Times New Roman" w:hAnsi="Times New Roman"/>
        </w:rPr>
        <w:t xml:space="preserve">format fixe</w:t>
      </w:r>
    </w:p>
    <w:p w14:paraId="2D64DF36" w14:textId="6604692C" w:rsidR="00931C32" w:rsidRPr="00DB0A49" w:rsidRDefault="00931C32" w:rsidP="00DB0A49">
      <w:pPr>
        <w:pStyle w:val="Titlelevel2"/>
        <w:numPr>
          <w:ilvl w:val="0"/>
          <w:numId w:val="4"/>
        </w:numPr>
        <w:spacing w:before="0"/>
        <w:ind w:left="284" w:hanging="284"/>
        <w:jc w:val="both"/>
        <w:rPr>
          <w:color w:val="auto"/>
          <w:sz w:val="24"/>
          <w:rFonts w:ascii="Times New Roman" w:eastAsiaTheme="minorEastAsia" w:hAnsi="Times New Roman" w:cs="Times New Roman"/>
        </w:rPr>
      </w:pPr>
      <w:r>
        <w:rPr>
          <w:sz w:val="24"/>
          <w:color w:val="000000" w:themeColor="text1"/>
          <w:rFonts w:ascii="Times New Roman" w:hAnsi="Times New Roman"/>
        </w:rPr>
        <w:t xml:space="preserve">Les établissements publient les informations visées à l’article 455, paragraphe 2, </w:t>
      </w:r>
      <w:r>
        <w:rPr>
          <w:sz w:val="24"/>
          <w:color w:val="000000" w:themeColor="text1"/>
          <w:rFonts w:ascii="Times New Roman" w:hAnsi="Times New Roman"/>
        </w:rPr>
        <w:t xml:space="preserve">du règlement (UE) nº 575/2013</w:t>
      </w:r>
      <w:r>
        <w:rPr>
          <w:sz w:val="24"/>
          <w:color w:val="000000" w:themeColor="text1"/>
          <w:rFonts w:ascii="Times New Roman" w:hAnsi="Times New Roman"/>
        </w:rPr>
        <w:t xml:space="preserve">, suivant les instructions fournies ci-dessous dans la présente annexe pour compléter le modèle EU MR2 présenté à l’annexe XXIX.</w:t>
      </w:r>
      <w:r>
        <w:rPr>
          <w:sz w:val="24"/>
          <w:color w:val="000000" w:themeColor="text1"/>
          <w:rFonts w:ascii="Times New Roman" w:hAnsi="Times New Roman"/>
        </w:rPr>
        <w:t xml:space="preserve"> </w:t>
      </w:r>
      <w:r>
        <w:rPr>
          <w:sz w:val="24"/>
          <w:color w:val="auto"/>
          <w:rFonts w:ascii="Times New Roman" w:hAnsi="Times New Roman"/>
        </w:rPr>
        <w:t xml:space="preserve">Les établissements n’incluent aucune donnée relative à leur table de transfert de risque interne dans ce modèle.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Références juridiques et instructions</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Numéro de la ligne</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Explication</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sz w:val="24"/>
                <w:rFonts w:ascii="Times New Roman" w:eastAsia="Times New Roman" w:hAnsi="Times New Roman" w:cs="Times New Roman"/>
              </w:rPr>
            </w:pPr>
            <w:r>
              <w:rPr>
                <w:sz w:val="24"/>
                <w:rFonts w:ascii="Times New Roman" w:hAnsi="Times New Roman"/>
              </w:rPr>
              <w:t xml:space="preserve">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b/>
                <w:bCs/>
                <w:sz w:val="24"/>
                <w:rFonts w:ascii="Times New Roman" w:eastAsia="Times New Roman" w:hAnsi="Times New Roman" w:cs="Times New Roman"/>
              </w:rPr>
            </w:pPr>
            <w:r>
              <w:rPr>
                <w:b/>
                <w:sz w:val="24"/>
                <w:rFonts w:ascii="Times New Roman" w:hAnsi="Times New Roman"/>
              </w:rPr>
              <w:t xml:space="preserve">Valeur en risque conditionnelle non limitée (UESt)</w:t>
            </w:r>
          </w:p>
          <w:p w14:paraId="1E53AB6F" w14:textId="2D37B3D8" w:rsidR="3E91330B" w:rsidRPr="00DB0A49" w:rsidRDefault="3BB31265" w:rsidP="140F9DE1">
            <w:pPr>
              <w:rPr>
                <w:sz w:val="24"/>
                <w:rFonts w:ascii="Times New Roman" w:eastAsia="Times New Roman" w:hAnsi="Times New Roman" w:cs="Times New Roman"/>
              </w:rPr>
            </w:pPr>
            <w:r>
              <w:rPr>
                <w:sz w:val="24"/>
                <w:rFonts w:ascii="Times New Roman" w:hAnsi="Times New Roman"/>
              </w:rPr>
              <w:t xml:space="preserve">La valeur publiée est calculée au niveau du portefeuille global et non au niveau d’une grande catégorie de facteurs de risque conformément aux articles 325 </w:t>
            </w:r>
            <w:r>
              <w:rPr>
                <w:sz w:val="24"/>
                <w:i/>
                <w:rFonts w:ascii="Times New Roman" w:hAnsi="Times New Roman"/>
              </w:rPr>
              <w:t xml:space="preserve">quinquinquagies</w:t>
            </w:r>
            <w:r>
              <w:rPr>
                <w:sz w:val="24"/>
                <w:rFonts w:ascii="Times New Roman" w:hAnsi="Times New Roman"/>
              </w:rPr>
              <w:t xml:space="preserve"> et 325 </w:t>
            </w:r>
            <w:r>
              <w:rPr>
                <w:sz w:val="24"/>
                <w:i/>
                <w:rFonts w:ascii="Times New Roman" w:hAnsi="Times New Roman"/>
              </w:rPr>
              <w:t xml:space="preserve">sexquinquagies</w:t>
            </w:r>
            <w:r>
              <w:rPr>
                <w:sz w:val="24"/>
                <w:rFonts w:ascii="Times New Roman" w:hAnsi="Times New Roman"/>
              </w:rPr>
              <w:t xml:space="preserve"> du règlement (UE) nº 575/2013.</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sz w:val="24"/>
                <w:rFonts w:ascii="Times New Roman" w:eastAsia="Times New Roman" w:hAnsi="Times New Roman" w:cs="Times New Roman"/>
              </w:rPr>
            </w:pPr>
            <w:r>
              <w:rPr>
                <w:sz w:val="24"/>
                <w:rFonts w:ascii="Times New Roman" w:hAnsi="Times New Roman"/>
              </w:rPr>
              <w:t xml:space="preserve">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b/>
                <w:bCs/>
                <w:sz w:val="24"/>
                <w:rFonts w:ascii="Times New Roman" w:eastAsia="Times New Roman" w:hAnsi="Times New Roman" w:cs="Times New Roman"/>
              </w:rPr>
            </w:pPr>
            <w:r>
              <w:rPr>
                <w:b/>
                <w:sz w:val="24"/>
                <w:rFonts w:ascii="Times New Roman" w:hAnsi="Times New Roman"/>
              </w:rPr>
              <w:t xml:space="preserve">Valeur en risque conditionnelle non limitée pour la catégorie de facteurs de risque «taux d’intérêt»</w:t>
            </w:r>
          </w:p>
          <w:p w14:paraId="39E48A15" w14:textId="5243BB2A" w:rsidR="40EE3118" w:rsidRPr="00DB0A49" w:rsidRDefault="749F8553" w:rsidP="0BE40342">
            <w:pPr>
              <w:rPr>
                <w:sz w:val="24"/>
                <w:rFonts w:ascii="Times New Roman" w:eastAsia="Times New Roman" w:hAnsi="Times New Roman" w:cs="Times New Roman"/>
              </w:rPr>
            </w:pPr>
            <w:r>
              <w:rPr>
                <w:sz w:val="24"/>
                <w:rFonts w:ascii="Times New Roman" w:hAnsi="Times New Roman"/>
              </w:rPr>
              <w:t xml:space="preserve">La valeur publiée est calculée pour les facteurs de risque de la catégorie de risque «taux d’intérêt» conformément aux articles 325 </w:t>
            </w:r>
            <w:r>
              <w:rPr>
                <w:sz w:val="24"/>
                <w:i/>
                <w:rFonts w:ascii="Times New Roman" w:hAnsi="Times New Roman"/>
              </w:rPr>
              <w:t xml:space="preserve">quinquinquagies</w:t>
            </w:r>
            <w:r>
              <w:rPr>
                <w:sz w:val="24"/>
                <w:rFonts w:ascii="Times New Roman" w:hAnsi="Times New Roman"/>
              </w:rPr>
              <w:t xml:space="preserve">, 325 </w:t>
            </w:r>
            <w:r>
              <w:rPr>
                <w:sz w:val="24"/>
                <w:i/>
                <w:rFonts w:ascii="Times New Roman" w:hAnsi="Times New Roman"/>
              </w:rPr>
              <w:t xml:space="preserve">sexquinquagies</w:t>
            </w:r>
            <w:r>
              <w:rPr>
                <w:sz w:val="24"/>
                <w:rFonts w:ascii="Times New Roman" w:hAnsi="Times New Roman"/>
              </w:rPr>
              <w:t xml:space="preserve"> et 325 </w:t>
            </w:r>
            <w:r>
              <w:rPr>
                <w:sz w:val="24"/>
                <w:i/>
                <w:rFonts w:ascii="Times New Roman" w:hAnsi="Times New Roman"/>
              </w:rPr>
              <w:t xml:space="preserve">septquinquagies</w:t>
            </w:r>
            <w:r>
              <w:rPr>
                <w:sz w:val="24"/>
                <w:rFonts w:ascii="Times New Roman" w:hAnsi="Times New Roman"/>
              </w:rPr>
              <w:t xml:space="preserve"> du règlement (UE) nº 575/2013.</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sz w:val="24"/>
                <w:rFonts w:ascii="Times New Roman" w:eastAsia="Times New Roman" w:hAnsi="Times New Roman" w:cs="Times New Roman"/>
              </w:rPr>
            </w:pPr>
            <w:r>
              <w:rPr>
                <w:sz w:val="24"/>
                <w:rFonts w:ascii="Times New Roman" w:hAnsi="Times New Roman"/>
              </w:rPr>
              <w:t xml:space="preserve">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32D0F810" w:rsidR="00234F41" w:rsidRPr="00AA44B0" w:rsidRDefault="471075D0" w:rsidP="140F9DE1">
            <w:pPr>
              <w:rPr>
                <w:b/>
                <w:bCs/>
                <w:sz w:val="24"/>
                <w:rFonts w:ascii="Times New Roman" w:eastAsia="Times New Roman" w:hAnsi="Times New Roman" w:cs="Times New Roman"/>
              </w:rPr>
            </w:pPr>
            <w:r>
              <w:rPr>
                <w:sz w:val="24"/>
                <w:b/>
                <w:rFonts w:ascii="Times New Roman" w:hAnsi="Times New Roman"/>
              </w:rPr>
              <w:t xml:space="preserve">Valeur en risque conditionnelle non limitée pour la catégorie de facteurs de risque «actions»</w:t>
            </w:r>
            <w:r>
              <w:rPr>
                <w:sz w:val="24"/>
                <w:rFonts w:ascii="Times New Roman" w:hAnsi="Times New Roman"/>
              </w:rPr>
              <w:t xml:space="preserve">  </w:t>
            </w:r>
          </w:p>
          <w:p w14:paraId="4E1BA488" w14:textId="705548F0" w:rsidR="00234F41" w:rsidRPr="00DB0A49" w:rsidRDefault="7A25B94F" w:rsidP="140F9DE1">
            <w:pPr>
              <w:rPr>
                <w:b/>
                <w:bCs/>
                <w:color w:val="444444"/>
                <w:sz w:val="24"/>
                <w:rFonts w:ascii="Times New Roman" w:eastAsia="Times New Roman" w:hAnsi="Times New Roman" w:cs="Times New Roman"/>
              </w:rPr>
            </w:pPr>
            <w:r>
              <w:rPr>
                <w:sz w:val="24"/>
                <w:rFonts w:ascii="Times New Roman" w:hAnsi="Times New Roman"/>
              </w:rPr>
              <w:t xml:space="preserve">La valeur publiée est calculée pour les facteurs de risque de la catégorie de risque «actions» conformément aux articles 325 </w:t>
            </w:r>
            <w:r>
              <w:rPr>
                <w:sz w:val="24"/>
                <w:i/>
                <w:rFonts w:ascii="Times New Roman" w:hAnsi="Times New Roman"/>
              </w:rPr>
              <w:t xml:space="preserve">quinquinquagies</w:t>
            </w:r>
            <w:r>
              <w:rPr>
                <w:sz w:val="24"/>
                <w:rFonts w:ascii="Times New Roman" w:hAnsi="Times New Roman"/>
              </w:rPr>
              <w:t xml:space="preserve">, 325 </w:t>
            </w:r>
            <w:r>
              <w:rPr>
                <w:sz w:val="24"/>
                <w:i/>
                <w:rFonts w:ascii="Times New Roman" w:hAnsi="Times New Roman"/>
              </w:rPr>
              <w:t xml:space="preserve">sexquinquagies</w:t>
            </w:r>
            <w:r>
              <w:rPr>
                <w:sz w:val="24"/>
                <w:rFonts w:ascii="Times New Roman" w:hAnsi="Times New Roman"/>
              </w:rPr>
              <w:t xml:space="preserve"> et 325 </w:t>
            </w:r>
            <w:r>
              <w:rPr>
                <w:sz w:val="24"/>
                <w:i/>
                <w:rFonts w:ascii="Times New Roman" w:hAnsi="Times New Roman"/>
              </w:rPr>
              <w:t xml:space="preserve">septquinquagies</w:t>
            </w:r>
            <w:r>
              <w:rPr>
                <w:sz w:val="24"/>
                <w:rFonts w:ascii="Times New Roman" w:hAnsi="Times New Roman"/>
              </w:rPr>
              <w:t xml:space="preserve"> du règlement (UE) nº 575/2013.</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sz w:val="24"/>
                <w:rFonts w:ascii="Times New Roman" w:eastAsia="Times New Roman" w:hAnsi="Times New Roman" w:cs="Times New Roman"/>
              </w:rPr>
            </w:pPr>
            <w:r>
              <w:rPr>
                <w:sz w:val="24"/>
                <w:rFonts w:ascii="Times New Roman" w:hAnsi="Times New Roman"/>
              </w:rPr>
              <w:t xml:space="preserve">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sz w:val="24"/>
                <w:rFonts w:ascii="Times New Roman" w:eastAsia="Times New Roman" w:hAnsi="Times New Roman" w:cs="Times New Roman"/>
              </w:rPr>
            </w:pPr>
            <w:r>
              <w:rPr>
                <w:sz w:val="24"/>
                <w:b/>
                <w:rFonts w:ascii="Times New Roman" w:hAnsi="Times New Roman"/>
              </w:rPr>
              <w:t xml:space="preserve">Valeur en risque conditionnelle non limitée pour la catégorie de facteurs de risque «matières premières»</w:t>
            </w:r>
            <w:r>
              <w:rPr>
                <w:sz w:val="24"/>
                <w:rFonts w:ascii="Times New Roman" w:hAnsi="Times New Roman"/>
              </w:rPr>
              <w:t xml:space="preserve"> </w:t>
            </w:r>
          </w:p>
          <w:p w14:paraId="70BA8462" w14:textId="47AECB7A" w:rsidR="00B86E1A" w:rsidRPr="00DB0A49" w:rsidRDefault="05EA5842" w:rsidP="140F9DE1">
            <w:pPr>
              <w:rPr>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La valeur publiée est calculée pour les facteurs de risque de la catégorie de risque «matières premières» conformément aux articles 325 </w:t>
            </w:r>
            <w:r>
              <w:rPr>
                <w:sz w:val="24"/>
                <w:i/>
                <w:rFonts w:ascii="Times New Roman" w:hAnsi="Times New Roman"/>
              </w:rPr>
              <w:t xml:space="preserve">quinquinquagies</w:t>
            </w:r>
            <w:r>
              <w:rPr>
                <w:sz w:val="24"/>
                <w:rFonts w:ascii="Times New Roman" w:hAnsi="Times New Roman"/>
              </w:rPr>
              <w:t xml:space="preserve">, 325 </w:t>
            </w:r>
            <w:r>
              <w:rPr>
                <w:sz w:val="24"/>
                <w:i/>
                <w:rFonts w:ascii="Times New Roman" w:hAnsi="Times New Roman"/>
              </w:rPr>
              <w:t xml:space="preserve">sexquinquagies</w:t>
            </w:r>
            <w:r>
              <w:rPr>
                <w:sz w:val="24"/>
                <w:rFonts w:ascii="Times New Roman" w:hAnsi="Times New Roman"/>
              </w:rPr>
              <w:t xml:space="preserve"> et 325 </w:t>
            </w:r>
            <w:r>
              <w:rPr>
                <w:sz w:val="24"/>
                <w:i/>
                <w:rFonts w:ascii="Times New Roman" w:hAnsi="Times New Roman"/>
              </w:rPr>
              <w:t xml:space="preserve">septquinquagies</w:t>
            </w:r>
            <w:r>
              <w:rPr>
                <w:sz w:val="24"/>
                <w:rFonts w:ascii="Times New Roman" w:hAnsi="Times New Roman"/>
              </w:rPr>
              <w:t xml:space="preserve"> du règlement (UE) nº 575/2013.</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sz w:val="24"/>
                <w:rFonts w:ascii="Times New Roman" w:eastAsia="Times New Roman" w:hAnsi="Times New Roman" w:cs="Times New Roman"/>
              </w:rPr>
            </w:pPr>
            <w:r>
              <w:rPr>
                <w:sz w:val="24"/>
                <w:rFonts w:ascii="Times New Roman" w:hAnsi="Times New Roman"/>
              </w:rPr>
              <w:t xml:space="preserve">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b/>
                <w:bCs/>
                <w:sz w:val="24"/>
                <w:rFonts w:ascii="Times New Roman" w:eastAsia="Times New Roman" w:hAnsi="Times New Roman" w:cs="Times New Roman"/>
              </w:rPr>
            </w:pPr>
            <w:r>
              <w:rPr>
                <w:b/>
                <w:sz w:val="24"/>
                <w:rFonts w:ascii="Times New Roman" w:hAnsi="Times New Roman"/>
              </w:rPr>
              <w:t xml:space="preserve">Valeur en risque conditionnelle non limitée pour la catégorie de facteurs de risque «change»</w:t>
            </w:r>
          </w:p>
          <w:p w14:paraId="1880B223" w14:textId="34F16589" w:rsidR="002F3022" w:rsidRPr="00DB0A49" w:rsidRDefault="1F3BA536" w:rsidP="140F9DE1">
            <w:pPr>
              <w:rPr>
                <w:sz w:val="24"/>
                <w:rFonts w:ascii="Times New Roman" w:eastAsia="Times New Roman" w:hAnsi="Times New Roman" w:cs="Times New Roman"/>
              </w:rPr>
            </w:pPr>
            <w:r>
              <w:rPr>
                <w:sz w:val="24"/>
                <w:b/>
                <w:color w:val="44444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La valeur publiée est calculée pour les facteurs de risque de la catégorie de risque «change» conformément aux articles 325 </w:t>
            </w:r>
            <w:r>
              <w:rPr>
                <w:sz w:val="24"/>
                <w:i/>
                <w:rFonts w:ascii="Times New Roman" w:hAnsi="Times New Roman"/>
              </w:rPr>
              <w:t xml:space="preserve">quinquinquagies</w:t>
            </w:r>
            <w:r>
              <w:rPr>
                <w:sz w:val="24"/>
                <w:rFonts w:ascii="Times New Roman" w:hAnsi="Times New Roman"/>
              </w:rPr>
              <w:t xml:space="preserve">, 325 </w:t>
            </w:r>
            <w:r>
              <w:rPr>
                <w:sz w:val="24"/>
                <w:i/>
                <w:rFonts w:ascii="Times New Roman" w:hAnsi="Times New Roman"/>
              </w:rPr>
              <w:t xml:space="preserve">sexquinquagies</w:t>
            </w:r>
            <w:r>
              <w:rPr>
                <w:sz w:val="24"/>
                <w:rFonts w:ascii="Times New Roman" w:hAnsi="Times New Roman"/>
              </w:rPr>
              <w:t xml:space="preserve"> et 325 </w:t>
            </w:r>
            <w:r>
              <w:rPr>
                <w:sz w:val="24"/>
                <w:i/>
                <w:rFonts w:ascii="Times New Roman" w:hAnsi="Times New Roman"/>
              </w:rPr>
              <w:t xml:space="preserve">septquinquagies</w:t>
            </w:r>
            <w:r>
              <w:rPr>
                <w:sz w:val="24"/>
                <w:rFonts w:ascii="Times New Roman" w:hAnsi="Times New Roman"/>
              </w:rPr>
              <w:t xml:space="preserve"> du règlement (UE) nº 575/2013.</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sz w:val="24"/>
                <w:rFonts w:ascii="Times New Roman" w:eastAsia="Times New Roman" w:hAnsi="Times New Roman" w:cs="Times New Roman"/>
              </w:rPr>
            </w:pPr>
            <w:r>
              <w:rPr>
                <w:sz w:val="24"/>
                <w:rFonts w:ascii="Times New Roman" w:hAnsi="Times New Roman"/>
              </w:rPr>
              <w:t xml:space="preserve">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AA44B0" w:rsidRDefault="00234F41" w:rsidP="00234F41">
            <w:pPr>
              <w:rPr>
                <w:sz w:val="24"/>
                <w:rFonts w:ascii="Times New Roman" w:eastAsia="Times New Roman" w:hAnsi="Times New Roman" w:cs="Times New Roman"/>
              </w:rPr>
            </w:pPr>
            <w:r>
              <w:rPr>
                <w:b/>
                <w:sz w:val="24"/>
                <w:rFonts w:ascii="Times New Roman" w:hAnsi="Times New Roman"/>
              </w:rPr>
              <w:t xml:space="preserve">Valeur en risque conditionnelle non limitée pour la catégorie de facteurs de risque «écart de crédit»</w:t>
            </w:r>
            <w:r>
              <w:rPr>
                <w:b/>
                <w:sz w:val="24"/>
                <w:rFonts w:ascii="Times New Roman" w:hAnsi="Times New Roman"/>
              </w:rPr>
              <w:t xml:space="preserve"> </w:t>
            </w:r>
          </w:p>
          <w:p w14:paraId="5C567B92" w14:textId="2263B6AC" w:rsidR="00234F41" w:rsidRPr="00DB0A49" w:rsidRDefault="79641B5E" w:rsidP="140F9DE1">
            <w:pPr>
              <w:rPr>
                <w:sz w:val="24"/>
                <w:rFonts w:ascii="Times New Roman" w:eastAsia="Times New Roman" w:hAnsi="Times New Roman" w:cs="Times New Roman"/>
              </w:rPr>
            </w:pPr>
            <w:r>
              <w:rPr>
                <w:sz w:val="24"/>
                <w:rFonts w:ascii="Times New Roman" w:hAnsi="Times New Roman"/>
              </w:rPr>
              <w:t xml:space="preserve">La valeur publiée est calculée pour les facteurs de risque de la catégorie de risque «écart de crédit» conformément aux articles 325 </w:t>
            </w:r>
            <w:r>
              <w:rPr>
                <w:sz w:val="24"/>
                <w:i/>
                <w:rFonts w:ascii="Times New Roman" w:hAnsi="Times New Roman"/>
              </w:rPr>
              <w:t xml:space="preserve">quinquinquagies</w:t>
            </w:r>
            <w:r>
              <w:rPr>
                <w:sz w:val="24"/>
                <w:rFonts w:ascii="Times New Roman" w:hAnsi="Times New Roman"/>
              </w:rPr>
              <w:t xml:space="preserve">, 325 </w:t>
            </w:r>
            <w:r>
              <w:rPr>
                <w:sz w:val="24"/>
                <w:i/>
                <w:rFonts w:ascii="Times New Roman" w:hAnsi="Times New Roman"/>
              </w:rPr>
              <w:t xml:space="preserve">sexquinquagies</w:t>
            </w:r>
            <w:r>
              <w:rPr>
                <w:sz w:val="24"/>
                <w:rFonts w:ascii="Times New Roman" w:hAnsi="Times New Roman"/>
              </w:rPr>
              <w:t xml:space="preserve"> et 325 </w:t>
            </w:r>
            <w:r>
              <w:rPr>
                <w:sz w:val="24"/>
                <w:i/>
                <w:rFonts w:ascii="Times New Roman" w:hAnsi="Times New Roman"/>
              </w:rPr>
              <w:t xml:space="preserve">septquinquagies</w:t>
            </w:r>
            <w:r>
              <w:rPr>
                <w:sz w:val="24"/>
                <w:rFonts w:ascii="Times New Roman" w:hAnsi="Times New Roman"/>
              </w:rPr>
              <w:t xml:space="preserve"> du règlement (UE) nº 575/2013.</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sz w:val="24"/>
                <w:rFonts w:ascii="Times New Roman" w:eastAsia="Times New Roman" w:hAnsi="Times New Roman" w:cs="Times New Roman"/>
              </w:rPr>
            </w:pPr>
            <w:r>
              <w:rPr>
                <w:sz w:val="24"/>
                <w:rFonts w:ascii="Times New Roman" w:hAnsi="Times New Roman"/>
              </w:rPr>
              <w:t xml:space="preserve">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sz w:val="24"/>
                <w:rFonts w:ascii="Times New Roman" w:eastAsia="Times New Roman" w:hAnsi="Times New Roman" w:cs="Times New Roman"/>
              </w:rPr>
            </w:pPr>
            <w:r>
              <w:rPr>
                <w:sz w:val="24"/>
                <w:b/>
                <w:rFonts w:ascii="Times New Roman" w:hAnsi="Times New Roman"/>
              </w:rPr>
              <w:t xml:space="preserve">Somme des valeurs en risque conditionnelles non limitées pour chaque grande catégorie de facteurs de risque </w:t>
            </w:r>
            <w:r>
              <w:rPr>
                <w:sz w:val="24"/>
                <w:rFonts w:ascii="Times New Roman" w:hAnsi="Times New Roman"/>
              </w:rPr>
              <w:t xml:space="preserve">(∑UES</w:t>
            </w:r>
            <w:r>
              <w:rPr>
                <w:sz w:val="24"/>
                <w:vertAlign w:val="superscript"/>
                <w:rFonts w:ascii="Times New Roman" w:hAnsi="Times New Roman"/>
              </w:rPr>
              <w:t xml:space="preserve">i</w:t>
            </w:r>
            <w:r>
              <w:rPr>
                <w:sz w:val="24"/>
                <w:vertAlign w:val="subscript"/>
                <w:rFonts w:ascii="Times New Roman" w:hAnsi="Times New Roman"/>
              </w:rPr>
              <w:t xml:space="preserve">t</w:t>
            </w:r>
            <w:r>
              <w:rPr>
                <w:sz w:val="24"/>
                <w:rFonts w:ascii="Times New Roman" w:hAnsi="Times New Roman"/>
              </w:rPr>
              <w:t xml:space="preserve">)</w:t>
            </w:r>
            <w:r>
              <w:rPr>
                <w:sz w:val="24"/>
                <w:rFonts w:ascii="Times New Roman" w:hAnsi="Times New Roman"/>
              </w:rPr>
              <w:t xml:space="preserve"> </w:t>
            </w:r>
          </w:p>
          <w:p w14:paraId="014CC777" w14:textId="17C0E236" w:rsidR="00234F41" w:rsidRPr="00AA44B0" w:rsidRDefault="00F80764" w:rsidP="140F9DE1">
            <w:pPr>
              <w:rPr>
                <w:sz w:val="24"/>
                <w:rFonts w:ascii="Times New Roman" w:eastAsia="Times New Roman" w:hAnsi="Times New Roman" w:cs="Times New Roman"/>
              </w:rPr>
            </w:pPr>
            <w:r>
              <w:rPr>
                <w:sz w:val="24"/>
                <w:rFonts w:ascii="Times New Roman" w:hAnsi="Times New Roman"/>
              </w:rPr>
              <w:t xml:space="preserve">Somme des lignes 2 à 6.</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sz w:val="24"/>
                <w:rFonts w:ascii="Times New Roman" w:eastAsia="Times New Roman" w:hAnsi="Times New Roman" w:cs="Times New Roman"/>
              </w:rPr>
            </w:pPr>
            <w:r>
              <w:rPr>
                <w:sz w:val="24"/>
                <w:rFonts w:ascii="Times New Roman" w:hAnsi="Times New Roman"/>
              </w:rPr>
              <w:t xml:space="preserve">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b/>
                <w:bCs/>
                <w:sz w:val="24"/>
                <w:rFonts w:ascii="Times New Roman" w:eastAsia="Times New Roman" w:hAnsi="Times New Roman" w:cs="Times New Roman"/>
              </w:rPr>
            </w:pPr>
            <w:r>
              <w:rPr>
                <w:b/>
                <w:sz w:val="24"/>
                <w:rFonts w:ascii="Times New Roman" w:hAnsi="Times New Roman"/>
              </w:rPr>
              <w:t xml:space="preserve">Valeur en risque conditionnelle (ES</w:t>
            </w:r>
            <w:r>
              <w:rPr>
                <w:b/>
                <w:sz w:val="24"/>
                <w:vertAlign w:val="subscript"/>
                <w:rFonts w:ascii="Times New Roman" w:hAnsi="Times New Roman"/>
              </w:rPr>
              <w:t xml:space="preserve">t</w:t>
            </w:r>
            <w:r>
              <w:rPr>
                <w:b/>
                <w:sz w:val="24"/>
                <w:rFonts w:ascii="Times New Roman" w:hAnsi="Times New Roman"/>
              </w:rPr>
              <w:t xml:space="preserve">)</w:t>
            </w:r>
          </w:p>
          <w:p w14:paraId="3985A7B9" w14:textId="37C4DB19" w:rsidR="00234F41" w:rsidRPr="00DB0A49" w:rsidRDefault="5D2FC7FD" w:rsidP="140F9DE1">
            <w:pPr>
              <w:rPr>
                <w:sz w:val="24"/>
                <w:rFonts w:ascii="Times New Roman" w:eastAsia="Times New Roman" w:hAnsi="Times New Roman" w:cs="Times New Roman"/>
              </w:rPr>
            </w:pPr>
            <w:r>
              <w:rPr>
                <w:sz w:val="24"/>
                <w:rFonts w:ascii="Times New Roman" w:hAnsi="Times New Roman"/>
              </w:rPr>
              <w:t xml:space="preserve">La valeur en risque conditionnelle est calculée conformément à l’article 325 </w:t>
            </w:r>
            <w:r>
              <w:rPr>
                <w:sz w:val="24"/>
                <w:i/>
                <w:rFonts w:ascii="Times New Roman" w:hAnsi="Times New Roman"/>
              </w:rPr>
              <w:t xml:space="preserve">quaterquinquagies</w:t>
            </w:r>
            <w:r>
              <w:rPr>
                <w:sz w:val="24"/>
                <w:rFonts w:ascii="Times New Roman" w:hAnsi="Times New Roman"/>
              </w:rPr>
              <w:t xml:space="preserve">, paragraphe 1, point a), i) du règlement (UE) nº 575/2013.</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b/>
                <w:bCs/>
                <w:sz w:val="24"/>
                <w:rFonts w:ascii="Times New Roman" w:eastAsia="Times New Roman" w:hAnsi="Times New Roman" w:cs="Times New Roman"/>
              </w:rPr>
            </w:pPr>
            <w:r>
              <w:rPr>
                <w:b/>
                <w:sz w:val="24"/>
                <w:rFonts w:ascii="Times New Roman" w:hAnsi="Times New Roman"/>
              </w:rPr>
              <w:t xml:space="preserve">Mesure du risque selon un scénario de tensions (SS</w:t>
            </w:r>
            <w:r>
              <w:rPr>
                <w:b/>
                <w:sz w:val="24"/>
                <w:vertAlign w:val="subscript"/>
                <w:rFonts w:ascii="Times New Roman" w:hAnsi="Times New Roman"/>
              </w:rPr>
              <w:t xml:space="preserve">t</w:t>
            </w:r>
            <w:r>
              <w:rPr>
                <w:b/>
                <w:sz w:val="24"/>
                <w:rFonts w:ascii="Times New Roman" w:hAnsi="Times New Roman"/>
              </w:rPr>
              <w:t xml:space="preserve">)</w:t>
            </w:r>
          </w:p>
          <w:p w14:paraId="1A984573" w14:textId="59113B26" w:rsidR="00234F41" w:rsidRPr="00DB0A49" w:rsidRDefault="060F6C17" w:rsidP="140F9DE1">
            <w:pPr>
              <w:rPr>
                <w:sz w:val="24"/>
                <w:rFonts w:ascii="Times New Roman" w:eastAsia="Times New Roman" w:hAnsi="Times New Roman" w:cs="Times New Roman"/>
              </w:rPr>
            </w:pPr>
            <w:r>
              <w:rPr>
                <w:sz w:val="24"/>
                <w:rFonts w:ascii="Times New Roman" w:hAnsi="Times New Roman"/>
              </w:rPr>
              <w:t xml:space="preserve">La mesure du risque selon un scénario de tensions est calculée conformément à l’article 325 </w:t>
            </w:r>
            <w:r>
              <w:rPr>
                <w:sz w:val="24"/>
                <w:i/>
                <w:rFonts w:ascii="Times New Roman" w:hAnsi="Times New Roman"/>
              </w:rPr>
              <w:t xml:space="preserve">quaterquinquagies</w:t>
            </w:r>
            <w:r>
              <w:rPr>
                <w:sz w:val="24"/>
                <w:rFonts w:ascii="Times New Roman" w:hAnsi="Times New Roman"/>
              </w:rPr>
              <w:t xml:space="preserve">, paragraphe 1, point a), ii) du règlement (UE) nº 575/2013.</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b/>
                <w:bCs/>
                <w:sz w:val="24"/>
                <w:rFonts w:ascii="Times New Roman" w:eastAsia="Times New Roman" w:hAnsi="Times New Roman" w:cs="Times New Roman"/>
              </w:rPr>
            </w:pPr>
            <w:r>
              <w:rPr>
                <w:b/>
                <w:sz w:val="24"/>
                <w:rFonts w:ascii="Times New Roman" w:hAnsi="Times New Roman"/>
              </w:rPr>
              <w:t xml:space="preserve">Exigence de fonds propres pour risque de défaut (DRC</w:t>
            </w:r>
            <w:r>
              <w:rPr>
                <w:b/>
                <w:sz w:val="24"/>
                <w:vertAlign w:val="subscript"/>
                <w:rFonts w:ascii="Times New Roman" w:hAnsi="Times New Roman"/>
              </w:rPr>
              <w:t xml:space="preserve">t</w:t>
            </w:r>
            <w:r>
              <w:rPr>
                <w:b/>
                <w:sz w:val="24"/>
                <w:rFonts w:ascii="Times New Roman" w:hAnsi="Times New Roman"/>
              </w:rPr>
              <w:t xml:space="preserve">)</w:t>
            </w:r>
          </w:p>
          <w:p w14:paraId="0AF5675B" w14:textId="1F8133B2" w:rsidR="00234F41" w:rsidRPr="00DB0A49" w:rsidRDefault="654BF7D8" w:rsidP="140F9DE1">
            <w:pPr>
              <w:rPr>
                <w:sz w:val="24"/>
                <w:rFonts w:ascii="Times New Roman" w:eastAsia="Times New Roman" w:hAnsi="Times New Roman" w:cs="Times New Roman"/>
              </w:rPr>
            </w:pPr>
            <w:r>
              <w:rPr>
                <w:sz w:val="24"/>
                <w:rFonts w:ascii="Times New Roman" w:hAnsi="Times New Roman"/>
              </w:rPr>
              <w:t xml:space="preserve">L’exigence de fonds propres pour risque de défaut est calculée conformément à l’article 325 </w:t>
            </w:r>
            <w:r>
              <w:rPr>
                <w:sz w:val="24"/>
                <w:i/>
                <w:rFonts w:ascii="Times New Roman" w:hAnsi="Times New Roman"/>
              </w:rPr>
              <w:t xml:space="preserve">quaterquinquagies</w:t>
            </w:r>
            <w:r>
              <w:rPr>
                <w:sz w:val="24"/>
                <w:rFonts w:ascii="Times New Roman" w:hAnsi="Times New Roman"/>
              </w:rPr>
              <w:t xml:space="preserve">, paragraphe 2, point a), du règlement (UE) nº 575/2013.</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b/>
                <w:bCs/>
                <w:sz w:val="24"/>
                <w:rFonts w:ascii="Times New Roman" w:eastAsia="Times New Roman" w:hAnsi="Times New Roman" w:cs="Times New Roman"/>
              </w:rPr>
            </w:pPr>
            <w:r>
              <w:rPr>
                <w:b/>
                <w:sz w:val="24"/>
                <w:rFonts w:ascii="Times New Roman" w:hAnsi="Times New Roman"/>
              </w:rPr>
              <w:t xml:space="preserve">PLA</w:t>
            </w:r>
            <w:r>
              <w:rPr>
                <w:b/>
                <w:sz w:val="24"/>
                <w:vertAlign w:val="subscript"/>
                <w:rFonts w:ascii="Times New Roman" w:hAnsi="Times New Roman"/>
              </w:rPr>
              <w:t xml:space="preserve">addon</w:t>
            </w:r>
          </w:p>
          <w:p w14:paraId="72CEFFB9" w14:textId="21DFFB57" w:rsidR="00234F41" w:rsidRPr="00DB0A49" w:rsidRDefault="471075D0" w:rsidP="140F9DE1">
            <w:pPr>
              <w:rPr>
                <w:sz w:val="24"/>
                <w:rFonts w:ascii="Times New Roman" w:eastAsia="Times New Roman" w:hAnsi="Times New Roman" w:cs="Times New Roman"/>
              </w:rPr>
            </w:pPr>
            <w:r>
              <w:rPr>
                <w:sz w:val="24"/>
                <w:rFonts w:ascii="Times New Roman" w:hAnsi="Times New Roman"/>
              </w:rPr>
              <w:t xml:space="preserve">Cette valeur est calculée conformément à l’article 325 </w:t>
            </w:r>
            <w:r>
              <w:rPr>
                <w:sz w:val="24"/>
                <w:i/>
                <w:rFonts w:ascii="Times New Roman" w:hAnsi="Times New Roman"/>
              </w:rPr>
              <w:t xml:space="preserve">quaterquinquagies</w:t>
            </w:r>
            <w:r>
              <w:rPr>
                <w:sz w:val="24"/>
                <w:rFonts w:ascii="Times New Roman" w:hAnsi="Times New Roman"/>
              </w:rPr>
              <w:t xml:space="preserve">, paragraphe 3, du règlement (UE) nº 575/2013, lu en combinaison avec l’article 10, paragraphe 1, du règlement (UE) 2022/2059.</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b/>
                <w:bCs/>
                <w:sz w:val="24"/>
                <w:rFonts w:ascii="Times New Roman" w:hAnsi="Times New Roman" w:cs="Times New Roman"/>
              </w:rPr>
            </w:pPr>
            <w:r>
              <w:rPr>
                <w:b/>
                <w:sz w:val="24"/>
                <w:rFonts w:ascii="Times New Roman" w:hAnsi="Times New Roman"/>
              </w:rPr>
              <w:t xml:space="preserve">OFR pour les activités au bilan et hors bilan plus PLA</w:t>
            </w:r>
            <w:r>
              <w:rPr>
                <w:b/>
                <w:sz w:val="24"/>
                <w:vertAlign w:val="subscript"/>
                <w:rFonts w:ascii="Times New Roman" w:hAnsi="Times New Roman"/>
              </w:rPr>
              <w:t xml:space="preserve">addon</w:t>
            </w:r>
            <w:r>
              <w:rPr>
                <w:b/>
                <w:sz w:val="24"/>
                <w:rFonts w:ascii="Times New Roman" w:hAnsi="Times New Roman"/>
              </w:rPr>
              <w:t xml:space="preserve"> (AIMA + PLA</w:t>
            </w:r>
            <w:r>
              <w:rPr>
                <w:b/>
                <w:sz w:val="24"/>
                <w:vertAlign w:val="subscript"/>
                <w:rFonts w:ascii="Times New Roman" w:hAnsi="Times New Roman"/>
              </w:rPr>
              <w:t xml:space="preserve">addon</w:t>
            </w:r>
            <w:r>
              <w:rPr>
                <w:b/>
                <w:sz w:val="24"/>
                <w:rFonts w:ascii="Times New Roman" w:hAnsi="Times New Roman"/>
              </w:rPr>
              <w:t xml:space="preserve">)</w:t>
            </w:r>
          </w:p>
          <w:p w14:paraId="595AB2F9" w14:textId="23FB87CE" w:rsidR="00234F41" w:rsidRPr="00DB0A49" w:rsidRDefault="00234F41" w:rsidP="00234F41">
            <w:pPr>
              <w:rPr>
                <w:sz w:val="24"/>
                <w:rFonts w:ascii="Times New Roman" w:eastAsia="Times New Roman" w:hAnsi="Times New Roman" w:cs="Times New Roman"/>
              </w:rPr>
            </w:pPr>
            <w:r>
              <w:rPr>
                <w:sz w:val="24"/>
                <w:rFonts w:ascii="Times New Roman" w:hAnsi="Times New Roman"/>
              </w:rPr>
              <w:t xml:space="preserve">Cette valeur est calculée conformément à l’article 10, paragraphe 1, du règlement (UE) 2022/2059.</w:t>
            </w:r>
            <w:r>
              <w:rPr>
                <w:sz w:val="24"/>
                <w:rFonts w:ascii="Times New Roman" w:hAnsi="Times New Roman"/>
              </w:rPr>
              <w:t xml:space="preserve"> </w:t>
            </w:r>
            <w:r>
              <w:rPr>
                <w:sz w:val="24"/>
                <w:rFonts w:ascii="Times New Roman" w:hAnsi="Times New Roman"/>
              </w:rPr>
              <w:t xml:space="preserve">La valeur de la ligne 11 est ajoutée.</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sz w:val="24"/>
                <w:rFonts w:ascii="Times New Roman" w:eastAsia="Times New Roman" w:hAnsi="Times New Roman" w:cs="Times New Roman"/>
              </w:rPr>
            </w:pPr>
            <w:r>
              <w:rPr>
                <w:b/>
                <w:sz w:val="24"/>
                <w:rFonts w:ascii="Times New Roman" w:hAnsi="Times New Roman"/>
              </w:rPr>
              <w:t xml:space="preserve">Total ASA OFR pour les tables de négociation non éligibles à l’utilisation de AIMA (ASA</w:t>
            </w:r>
            <w:r>
              <w:rPr>
                <w:b/>
                <w:sz w:val="24"/>
                <w:vertAlign w:val="subscript"/>
                <w:rFonts w:ascii="Times New Roman" w:hAnsi="Times New Roman"/>
              </w:rPr>
              <w:t xml:space="preserve">non-aima</w:t>
            </w:r>
            <w:r>
              <w:rPr>
                <w:b/>
                <w:sz w:val="24"/>
                <w:rFonts w:ascii="Times New Roman" w:hAnsi="Times New Roman"/>
              </w:rPr>
              <w:t xml:space="preserve">)</w:t>
            </w:r>
          </w:p>
          <w:p w14:paraId="010A62FB" w14:textId="286F0BA2" w:rsidR="00234F41" w:rsidRPr="00DB0A49" w:rsidRDefault="11B9774E" w:rsidP="140F9DE1">
            <w:pPr>
              <w:rPr>
                <w:color w:val="444444"/>
                <w:sz w:val="24"/>
                <w:rFonts w:ascii="Times New Roman" w:eastAsia="Times New Roman" w:hAnsi="Times New Roman" w:cs="Times New Roman"/>
              </w:rPr>
            </w:pPr>
            <w:r>
              <w:rPr>
                <w:sz w:val="24"/>
                <w:rFonts w:ascii="Times New Roman" w:hAnsi="Times New Roman"/>
              </w:rPr>
              <w:t xml:space="preserve">Cette valeur est calculée conformément à l’article 325 </w:t>
            </w:r>
            <w:r>
              <w:rPr>
                <w:sz w:val="24"/>
                <w:i/>
                <w:rFonts w:ascii="Times New Roman" w:hAnsi="Times New Roman"/>
              </w:rPr>
              <w:t xml:space="preserve">quaterquinquagies</w:t>
            </w:r>
            <w:r>
              <w:rPr>
                <w:sz w:val="24"/>
                <w:rFonts w:ascii="Times New Roman" w:hAnsi="Times New Roman"/>
              </w:rPr>
              <w:t xml:space="preserve">, paragraphe 3, du règlement (UE) nº 575/2013.</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b/>
                <w:bCs/>
                <w:sz w:val="24"/>
                <w:rFonts w:ascii="Times New Roman" w:eastAsia="Times New Roman" w:hAnsi="Times New Roman" w:cs="Times New Roman"/>
              </w:rPr>
            </w:pPr>
            <w:r>
              <w:rPr>
                <w:b/>
                <w:sz w:val="24"/>
                <w:rFonts w:ascii="Times New Roman" w:hAnsi="Times New Roman"/>
              </w:rPr>
              <w:t xml:space="preserve">Différence d’exigences de fonds propres selon AIMA et ASA pour les tables de négociation AIMA (AIMA - ASA</w:t>
            </w:r>
            <w:r>
              <w:rPr>
                <w:b/>
                <w:sz w:val="24"/>
                <w:vertAlign w:val="subscript"/>
                <w:rFonts w:ascii="Times New Roman" w:hAnsi="Times New Roman"/>
              </w:rPr>
              <w:t xml:space="preserve">aima</w:t>
            </w:r>
            <w:r>
              <w:rPr>
                <w:b/>
                <w:sz w:val="24"/>
                <w:rFonts w:ascii="Times New Roman" w:hAnsi="Times New Roman"/>
              </w:rPr>
              <w:t xml:space="preserve">)</w:t>
            </w:r>
          </w:p>
          <w:p w14:paraId="326E0483" w14:textId="73A09039" w:rsidR="00234F41" w:rsidRPr="00DB0A49" w:rsidRDefault="471075D0" w:rsidP="140F9DE1">
            <w:pPr>
              <w:rPr>
                <w:sz w:val="24"/>
                <w:rFonts w:ascii="Times New Roman" w:eastAsia="Times New Roman" w:hAnsi="Times New Roman" w:cs="Times New Roman"/>
              </w:rPr>
            </w:pPr>
            <w:r>
              <w:rPr>
                <w:sz w:val="24"/>
                <w:rFonts w:ascii="Times New Roman" w:hAnsi="Times New Roman"/>
              </w:rPr>
              <w:t xml:space="preserve">Cette valeur est calculée comme étant la différence entre les exigences de fonds propres AIMA pour les tables AIMA [article 10, paragraphe 1, du règlement (UE) 2022/2059] et la valeur des exigences de fonds propres ASA pour toutes les tables AIMA (///vue du portefeuille) [article 10, paragraphe 1, du règlement (UE) 2022/2059].</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sz w:val="24"/>
                <w:rFonts w:ascii="Times New Roman" w:eastAsia="Times New Roman" w:hAnsi="Times New Roman" w:cs="Times New Roman"/>
              </w:rPr>
            </w:pPr>
            <w:r>
              <w:rPr>
                <w:b/>
                <w:sz w:val="24"/>
                <w:rFonts w:ascii="Times New Roman" w:hAnsi="Times New Roman"/>
              </w:rPr>
              <w:t xml:space="preserve">ASA OFR pour toutes les tables de négociation (y compris celles faisant l’objet de l’AIMA) (ASA</w:t>
            </w:r>
            <w:r>
              <w:rPr>
                <w:b/>
                <w:sz w:val="24"/>
                <w:vertAlign w:val="subscript"/>
                <w:rFonts w:ascii="Times New Roman" w:hAnsi="Times New Roman"/>
              </w:rPr>
              <w:t xml:space="preserve">allportfolio</w:t>
            </w:r>
            <w:r>
              <w:rPr>
                <w:b/>
                <w:sz w:val="24"/>
                <w:rFonts w:ascii="Times New Roman" w:hAnsi="Times New Roman"/>
              </w:rPr>
              <w:t xml:space="preserve">)</w:t>
            </w:r>
          </w:p>
          <w:p w14:paraId="7232E72B" w14:textId="0064FE14" w:rsidR="00234F41" w:rsidRPr="00DB0A49" w:rsidRDefault="3A829CD0" w:rsidP="140F9DE1">
            <w:pPr>
              <w:rPr>
                <w:color w:val="444444"/>
                <w:sz w:val="24"/>
                <w:rFonts w:ascii="Times New Roman" w:eastAsia="Times New Roman" w:hAnsi="Times New Roman" w:cs="Times New Roman"/>
              </w:rPr>
            </w:pPr>
            <w:r>
              <w:rPr>
                <w:sz w:val="24"/>
                <w:rFonts w:ascii="Times New Roman" w:hAnsi="Times New Roman"/>
              </w:rPr>
              <w:t xml:space="preserve">Cette valeur est calculée conformément à l’article 325 </w:t>
            </w:r>
            <w:r>
              <w:rPr>
                <w:sz w:val="24"/>
                <w:i/>
                <w:rFonts w:ascii="Times New Roman" w:hAnsi="Times New Roman"/>
              </w:rPr>
              <w:t xml:space="preserve">quaterquinquagies</w:t>
            </w:r>
            <w:r>
              <w:rPr>
                <w:sz w:val="24"/>
                <w:rFonts w:ascii="Times New Roman" w:hAnsi="Times New Roman"/>
              </w:rPr>
              <w:t xml:space="preserve">, paragraphe 3, du règlement (UE) nº 575/2013.</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b/>
                <w:bCs/>
                <w:sz w:val="24"/>
                <w:rFonts w:ascii="Times New Roman" w:eastAsia="Times New Roman" w:hAnsi="Times New Roman" w:cs="Times New Roman"/>
              </w:rPr>
            </w:pPr>
            <w:r>
              <w:rPr>
                <w:b/>
                <w:sz w:val="24"/>
                <w:rFonts w:ascii="Times New Roman" w:hAnsi="Times New Roman"/>
              </w:rPr>
              <w:t xml:space="preserve">Total des exigences de fonds propres AIMA (TotalAIMA)</w:t>
            </w:r>
          </w:p>
          <w:p w14:paraId="11A40A93" w14:textId="2A4DA65C" w:rsidR="00234F41" w:rsidRPr="00DB0A49" w:rsidRDefault="7D4B7A18" w:rsidP="3821DFBC">
            <w:pPr>
              <w:rPr>
                <w:color w:val="444444"/>
                <w:sz w:val="24"/>
                <w:rFonts w:ascii="Times New Roman" w:eastAsia="Times New Roman" w:hAnsi="Times New Roman" w:cs="Times New Roman"/>
              </w:rPr>
            </w:pPr>
            <w:r>
              <w:rPr>
                <w:sz w:val="24"/>
                <w:rFonts w:ascii="Times New Roman" w:hAnsi="Times New Roman"/>
              </w:rPr>
              <w:t xml:space="preserve">Cette valeur est calculée conformément à l’article 325 </w:t>
            </w:r>
            <w:r>
              <w:rPr>
                <w:sz w:val="24"/>
                <w:i/>
                <w:rFonts w:ascii="Times New Roman" w:hAnsi="Times New Roman"/>
              </w:rPr>
              <w:t xml:space="preserve">quaterquinquagies</w:t>
            </w:r>
            <w:r>
              <w:rPr>
                <w:sz w:val="24"/>
                <w:rFonts w:ascii="Times New Roman" w:hAnsi="Times New Roman"/>
              </w:rPr>
              <w:t xml:space="preserve">, paragraphe 3, du règlement (UE) nº 575/2013.</w:t>
            </w:r>
            <w:r>
              <w:rPr>
                <w:sz w:val="24"/>
                <w:rFonts w:ascii="Times New Roman" w:hAnsi="Times New Roman"/>
              </w:rPr>
              <w:t xml:space="preserve">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b/>
                <w:sz w:val="24"/>
                <w:rFonts w:ascii="Times New Roman" w:hAnsi="Times New Roman" w:cs="Times New Roman"/>
              </w:rPr>
            </w:pPr>
            <w:r>
              <w:rPr>
                <w:b/>
                <w:sz w:val="24"/>
                <w:rFonts w:ascii="Times New Roman" w:hAnsi="Times New Roman"/>
              </w:rPr>
              <w:t xml:space="preserve">Lettre de la colonne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b/>
                <w:sz w:val="24"/>
                <w:rFonts w:ascii="Times New Roman" w:hAnsi="Times New Roman" w:cs="Times New Roman"/>
              </w:rPr>
            </w:pPr>
            <w:r>
              <w:rPr>
                <w:b/>
                <w:sz w:val="24"/>
                <w:rFonts w:ascii="Times New Roman" w:hAnsi="Times New Roman"/>
              </w:rPr>
              <w:t xml:space="preserve">Explication</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sz w:val="24"/>
                <w:rFonts w:ascii="Times New Roman" w:hAnsi="Times New Roman" w:cs="Times New Roman"/>
              </w:rPr>
            </w:pPr>
            <w:r>
              <w:rPr>
                <w:sz w:val="24"/>
                <w:rFonts w:ascii="Times New Roman" w:hAnsi="Times New Roman"/>
              </w:rPr>
              <w:t xml:space="preserve">Publication d'informations sur la mesure la plus récente du risque (lignes 1 à 10) ou sur les exigences de fonds propres [lignes 11 à 16] au trimestre en cours.</w:t>
            </w:r>
            <w:r>
              <w:rPr>
                <w:sz w:val="24"/>
                <w:rFonts w:ascii="Times New Roman" w:hAnsi="Times New Roman"/>
              </w:rPr>
              <w:t xml:space="preserve">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sz w:val="24"/>
                <w:rFonts w:ascii="Times New Roman" w:hAnsi="Times New Roman" w:cs="Times New Roman"/>
              </w:rPr>
            </w:pPr>
            <w:r>
              <w:rPr>
                <w:sz w:val="24"/>
                <w:rFonts w:ascii="Times New Roman" w:hAnsi="Times New Roman"/>
              </w:rPr>
              <w:t xml:space="preserve">Valeur moyenne de la mesure du risque [lignes 1 à 10] sur les 60 jours ouvrés précédents [lignes 1 à 9] ou sur les 12 semaines précédentes [ligne 10] au trimestre en cours.</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sz w:val="24"/>
                <w:rFonts w:ascii="Times New Roman" w:hAnsi="Times New Roman" w:cs="Times New Roman"/>
              </w:rPr>
            </w:pPr>
            <w:r>
              <w:rPr>
                <w:sz w:val="24"/>
                <w:rFonts w:ascii="Times New Roman" w:hAnsi="Times New Roman"/>
              </w:rPr>
              <w:t xml:space="preserve">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sz w:val="24"/>
                <w:rFonts w:ascii="Times New Roman" w:hAnsi="Times New Roman" w:cs="Times New Roman"/>
              </w:rPr>
            </w:pPr>
            <w:r>
              <w:rPr>
                <w:sz w:val="24"/>
                <w:rFonts w:ascii="Times New Roman" w:hAnsi="Times New Roman"/>
              </w:rPr>
              <w:t xml:space="preserve">Mesure du risque le plus élevé sur les 60 jours ouvrés précédents [lignes 1 à 6] au trimestre en cours.</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sz w:val="24"/>
                <w:rFonts w:ascii="Times New Roman" w:hAnsi="Times New Roman" w:cs="Times New Roman"/>
              </w:rPr>
            </w:pPr>
            <w:r>
              <w:rPr>
                <w:sz w:val="24"/>
                <w:rFonts w:ascii="Times New Roman" w:hAnsi="Times New Roman"/>
              </w:rPr>
              <w:t xml:space="preserve">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sz w:val="24"/>
                <w:rFonts w:ascii="Times New Roman" w:hAnsi="Times New Roman" w:cs="Times New Roman"/>
              </w:rPr>
            </w:pPr>
            <w:r>
              <w:rPr>
                <w:sz w:val="24"/>
                <w:rFonts w:ascii="Times New Roman" w:hAnsi="Times New Roman"/>
              </w:rPr>
              <w:t xml:space="preserve">Mesure du risque le plus faible sur les 60 jours ouvrés précédents [lignes 1 à 6] au trimestre en cours.</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sz w:val="24"/>
                <w:rFonts w:ascii="Times New Roman" w:hAnsi="Times New Roman" w:cs="Times New Roman"/>
              </w:rPr>
            </w:pPr>
            <w:r>
              <w:rPr>
                <w:sz w:val="24"/>
                <w:rFonts w:ascii="Times New Roman" w:hAnsi="Times New Roman"/>
              </w:rPr>
              <w:t xml:space="preserve">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sz w:val="24"/>
                <w:rFonts w:ascii="Times New Roman" w:eastAsia="Times New Roman" w:hAnsi="Times New Roman" w:cs="Times New Roman"/>
              </w:rPr>
            </w:pPr>
            <w:r>
              <w:rPr>
                <w:sz w:val="24"/>
                <w:rFonts w:ascii="Times New Roman" w:hAnsi="Times New Roman"/>
              </w:rPr>
              <w:t xml:space="preserve">Nombre de dépassements recensés sur la base de contrôles a posteriori [ligne 1]</w:t>
            </w:r>
          </w:p>
          <w:p w14:paraId="486CF129" w14:textId="49048050" w:rsidR="00234F41" w:rsidRPr="00445013" w:rsidRDefault="51A69309" w:rsidP="0BE40342">
            <w:pPr>
              <w:rPr>
                <w:sz w:val="24"/>
                <w:rFonts w:ascii="Times New Roman" w:eastAsia="Times New Roman" w:hAnsi="Times New Roman" w:cs="Times New Roman"/>
              </w:rPr>
            </w:pPr>
            <w:r>
              <w:rPr>
                <w:sz w:val="24"/>
                <w:rFonts w:ascii="Times New Roman" w:hAnsi="Times New Roman"/>
              </w:rPr>
              <w:t xml:space="preserve">Le nombre de dépassements recensés indiqué dans cette cellule est le nombre utilisé pour déterminer la majoration conformément au tableau 3 de l’article 325 </w:t>
            </w:r>
            <w:r>
              <w:rPr>
                <w:sz w:val="24"/>
                <w:i/>
                <w:rFonts w:ascii="Times New Roman" w:hAnsi="Times New Roman"/>
              </w:rPr>
              <w:t xml:space="preserve">novoquinquagies</w:t>
            </w:r>
            <w:r>
              <w:rPr>
                <w:sz w:val="24"/>
                <w:rFonts w:ascii="Times New Roman" w:hAnsi="Times New Roman"/>
              </w:rPr>
              <w:t xml:space="preserve">, paragraphe 6, point b), du règlement (UE) nº 575/2013.</w:t>
            </w:r>
            <w:r>
              <w:rPr>
                <w:sz w:val="24"/>
                <w:rFonts w:ascii="Times New Roman" w:hAnsi="Times New Roman"/>
              </w:rPr>
              <w:t xml:space="preserve"> </w:t>
            </w:r>
            <w:r>
              <w:rPr>
                <w:sz w:val="24"/>
                <w:rFonts w:ascii="Times New Roman" w:hAnsi="Times New Roman"/>
              </w:rPr>
              <w:t xml:space="preserve">Les dépassements qui sont exclus avec l’autorisation de l’autorité compétente ne sont pas inclus.</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sz w:val="24"/>
                <w:rFonts w:ascii="Times New Roman" w:hAnsi="Times New Roman" w:cs="Times New Roman"/>
              </w:rPr>
            </w:pPr>
            <w:r>
              <w:rPr>
                <w:sz w:val="24"/>
                <w:rFonts w:ascii="Times New Roman" w:hAnsi="Times New Roman"/>
              </w:rPr>
              <w:t xml:space="preserve">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sz w:val="24"/>
                <w:rFonts w:ascii="Times New Roman" w:hAnsi="Times New Roman" w:cs="Times New Roman"/>
              </w:rPr>
            </w:pPr>
            <w:r>
              <w:rPr>
                <w:sz w:val="24"/>
                <w:rFonts w:ascii="Times New Roman" w:hAnsi="Times New Roman"/>
              </w:rPr>
              <w:t xml:space="preserve">Mesure la plus récente du risque (lignes 1 à 10) ou sur les exigences de fonds propres [lignes 11 à 16] au trimestre précédent.</w:t>
            </w:r>
            <w:r>
              <w:rPr>
                <w:sz w:val="24"/>
                <w:rFonts w:ascii="Times New Roman" w:hAnsi="Times New Roman"/>
              </w:rPr>
              <w:t xml:space="preserve">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sz w:val="24"/>
                <w:rFonts w:ascii="Times New Roman" w:hAnsi="Times New Roman" w:cs="Times New Roman"/>
              </w:rPr>
            </w:pPr>
            <w:r>
              <w:rPr>
                <w:sz w:val="24"/>
                <w:rFonts w:ascii="Times New Roman" w:hAnsi="Times New Roman"/>
              </w:rPr>
              <w:t xml:space="preserve">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sz w:val="24"/>
                <w:rFonts w:ascii="Times New Roman" w:hAnsi="Times New Roman" w:cs="Times New Roman"/>
              </w:rPr>
            </w:pPr>
            <w:r>
              <w:rPr>
                <w:sz w:val="24"/>
                <w:rFonts w:ascii="Times New Roman" w:hAnsi="Times New Roman"/>
              </w:rPr>
              <w:t xml:space="preserve">Valeur moyenne de la mesure du risque [lignes 1 à 10] sur les 60 jours ouvrés précédents [lignes 1 à 9] ou sur les 12 semaines précédentes [ligne 10] au trimestre précédent.</w:t>
            </w:r>
          </w:p>
        </w:tc>
      </w:tr>
    </w:tbl>
    <w:p w14:paraId="60061E4C" w14:textId="6CE0B0D3" w:rsidR="00AA4A0F" w:rsidRPr="001F1865" w:rsidRDefault="00AA4A0F" w:rsidP="00931C32">
      <w:pPr>
        <w:pStyle w:val="Titlelevel2"/>
        <w:spacing w:before="0"/>
        <w:rPr>
          <w:rFonts w:ascii="Times New Roman" w:hAnsi="Times New Roman" w:cs="Times New Roman"/>
          <w:b/>
          <w:color w:val="auto"/>
          <w:sz w:val="24"/>
          <w:lang w:val="en-GB"/>
        </w:rPr>
      </w:pPr>
    </w:p>
    <w:p w14:paraId="7EADC0A6" w14:textId="5B12A297" w:rsidR="00AA4A0F" w:rsidRPr="001F1865" w:rsidRDefault="00AA4A0F" w:rsidP="140F9DE1">
      <w:pPr>
        <w:pStyle w:val="Titlelevel2"/>
        <w:spacing w:before="0"/>
        <w:rPr>
          <w:color w:val="auto"/>
          <w:sz w:val="24"/>
          <w:rFonts w:ascii="Times New Roman" w:hAnsi="Times New Roman" w:cs="Times New Roman"/>
        </w:rPr>
      </w:pPr>
      <w:r>
        <w:rPr>
          <w:color w:val="auto"/>
          <w:sz w:val="24"/>
          <w:b/>
          <w:rFonts w:ascii="Times New Roman" w:hAnsi="Times New Roman"/>
        </w:rPr>
        <w:t xml:space="preserve">Modèle EU MR3 – Risque de marché dans le cadre de l’approche standard simplifiée (SSA)</w:t>
      </w:r>
      <w:r>
        <w:rPr>
          <w:color w:val="auto"/>
          <w:sz w:val="24"/>
          <w:rFonts w:ascii="Times New Roman" w:hAnsi="Times New Roman"/>
        </w:rPr>
        <w:t xml:space="preserve">:</w:t>
      </w:r>
      <w:r>
        <w:rPr>
          <w:color w:val="auto"/>
          <w:sz w:val="24"/>
          <w:rFonts w:ascii="Times New Roman" w:hAnsi="Times New Roman"/>
        </w:rPr>
        <w:t xml:space="preserve"> </w:t>
      </w:r>
      <w:r>
        <w:rPr>
          <w:color w:val="auto"/>
          <w:sz w:val="24"/>
          <w:rFonts w:ascii="Times New Roman" w:hAnsi="Times New Roman"/>
        </w:rPr>
        <w:t xml:space="preserve">format fixe</w:t>
      </w:r>
    </w:p>
    <w:p w14:paraId="6AC491D2" w14:textId="6E61C37E" w:rsidR="00AA4A0F" w:rsidRPr="001F1865" w:rsidRDefault="00AA4A0F" w:rsidP="00DB0A49">
      <w:pPr>
        <w:pStyle w:val="Titlelevel2"/>
        <w:numPr>
          <w:ilvl w:val="0"/>
          <w:numId w:val="5"/>
        </w:numPr>
        <w:spacing w:before="0"/>
        <w:ind w:left="284" w:hanging="284"/>
        <w:jc w:val="both"/>
        <w:rPr>
          <w:b/>
          <w:color w:val="auto"/>
          <w:sz w:val="24"/>
          <w:rFonts w:ascii="Times New Roman" w:hAnsi="Times New Roman" w:cs="Times New Roman"/>
        </w:rPr>
      </w:pPr>
      <w:r>
        <w:rPr>
          <w:color w:val="000000" w:themeColor="text1"/>
          <w:sz w:val="24"/>
          <w:rFonts w:ascii="Times New Roman" w:hAnsi="Times New Roman"/>
        </w:rPr>
        <w:t xml:space="preserve">Les établissements publient les informations visées à l’article 445 </w:t>
      </w:r>
      <w:r>
        <w:rPr>
          <w:color w:val="000000" w:themeColor="text1"/>
          <w:sz w:val="24"/>
          <w:rFonts w:ascii="Times New Roman" w:hAnsi="Times New Roman"/>
        </w:rPr>
        <w:t xml:space="preserve">du règlement (UE) nº 575/2013</w:t>
      </w:r>
      <w:r>
        <w:rPr>
          <w:color w:val="000000" w:themeColor="text1"/>
          <w:sz w:val="24"/>
          <w:rFonts w:ascii="Times New Roman" w:hAnsi="Times New Roman"/>
        </w:rPr>
        <w:t xml:space="preserve">, suivant les instructions fournies ci-dessous dans la présente annexe pour compléter le modèle EU MR3 présenté à l’annexe XXIX des solutions informatiques.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Références juridiques et instructions</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Numéro de la ligne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Explication</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sz w:val="24"/>
                <w:rFonts w:ascii="Times New Roman" w:hAnsi="Times New Roman" w:cs="Times New Roman"/>
              </w:rPr>
            </w:pPr>
            <w:r>
              <w:rPr>
                <w:sz w:val="24"/>
                <w:rFonts w:ascii="Times New Roman" w:hAnsi="Times New Roman"/>
              </w:rPr>
              <w:t xml:space="preserve">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Risque de taux d’intérêt (général et spécifique)</w:t>
            </w:r>
            <w:r>
              <w:rPr>
                <w:b/>
                <w:sz w:val="24"/>
                <w:rFonts w:ascii="Times New Roman" w:hAnsi="Times New Roman"/>
              </w:rPr>
              <w:t xml:space="preserve"> </w:t>
            </w:r>
          </w:p>
          <w:p w14:paraId="53976F70" w14:textId="7239AE46" w:rsidR="00AA4A0F" w:rsidRPr="001F1865" w:rsidRDefault="00AA4A0F" w:rsidP="0BE40342">
            <w:pPr>
              <w:autoSpaceDE w:val="0"/>
              <w:autoSpaceDN w:val="0"/>
              <w:adjustRightInd w:val="0"/>
              <w:spacing w:after="240"/>
              <w:jc w:val="both"/>
              <w:rPr>
                <w:sz w:val="24"/>
                <w:rFonts w:ascii="Times New Roman" w:hAnsi="Times New Roman" w:cs="Times New Roman"/>
              </w:rPr>
            </w:pPr>
            <w:r>
              <w:rPr>
                <w:sz w:val="24"/>
                <w:rFonts w:ascii="Times New Roman" w:hAnsi="Times New Roman"/>
              </w:rPr>
              <w:t xml:space="preserve">Risque général et spécifique lié aux positions sur des titres de créance négociés du portefeuille de négociation, conformément à la troisième partie, titre IV, chapitre 2, du règlement (UE) nº 575/2013, à l’exclusion du risque spécifique lié à la titrisation.</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b/>
                <w:sz w:val="24"/>
                <w:rFonts w:ascii="Times New Roman" w:hAnsi="Times New Roman" w:cs="Times New Roman"/>
              </w:rPr>
            </w:pPr>
            <w:r>
              <w:rPr>
                <w:sz w:val="24"/>
                <w:rFonts w:ascii="Times New Roman" w:hAnsi="Times New Roman"/>
              </w:rPr>
              <w:t xml:space="preserve">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Risque sur actions (général et spécifique)</w:t>
            </w:r>
          </w:p>
          <w:p w14:paraId="7CB149BE" w14:textId="7EC2652A" w:rsidR="00AA4A0F" w:rsidRPr="001F1865" w:rsidRDefault="00AA4A0F" w:rsidP="0BE40342">
            <w:pPr>
              <w:spacing w:after="240"/>
              <w:jc w:val="both"/>
              <w:rPr>
                <w:sz w:val="24"/>
                <w:rFonts w:ascii="Times New Roman" w:hAnsi="Times New Roman" w:cs="Times New Roman"/>
              </w:rPr>
            </w:pPr>
            <w:r>
              <w:rPr>
                <w:sz w:val="24"/>
                <w:rFonts w:ascii="Times New Roman" w:hAnsi="Times New Roman"/>
              </w:rPr>
              <w:t xml:space="preserve">Risque général et spécifique lié aux positions sur des actions du portefeuille de négociation, conformément à la troisième partie, titre IV, chapitre 2, du règlement (UE) nº 575/2013.</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sz w:val="24"/>
                <w:rFonts w:ascii="Times New Roman" w:hAnsi="Times New Roman" w:cs="Times New Roman"/>
              </w:rPr>
            </w:pPr>
            <w:r>
              <w:rPr>
                <w:sz w:val="24"/>
                <w:rFonts w:ascii="Times New Roman" w:hAnsi="Times New Roman"/>
              </w:rPr>
              <w:t xml:space="preserve">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Risque sur matières premières</w:t>
            </w:r>
          </w:p>
          <w:p w14:paraId="63B3CA85" w14:textId="0B927E14" w:rsidR="00AA4A0F" w:rsidRPr="001F1865" w:rsidRDefault="00AA4A0F" w:rsidP="0BE40342">
            <w:pPr>
              <w:spacing w:after="240"/>
              <w:rPr>
                <w:sz w:val="24"/>
                <w:rFonts w:ascii="Times New Roman" w:hAnsi="Times New Roman" w:cs="Times New Roman"/>
              </w:rPr>
            </w:pPr>
            <w:r>
              <w:rPr>
                <w:sz w:val="24"/>
                <w:rFonts w:ascii="Times New Roman" w:hAnsi="Times New Roman"/>
              </w:rPr>
              <w:t xml:space="preserve">Risque des positions sur matières premières, conformément à la troisième partie, titre IV, chapitre 4, du règlement (UE) nº 575/2013.</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b/>
                <w:sz w:val="24"/>
                <w:rFonts w:ascii="Times New Roman" w:hAnsi="Times New Roman" w:cs="Times New Roman"/>
              </w:rPr>
            </w:pPr>
            <w:r>
              <w:rPr>
                <w:sz w:val="24"/>
                <w:rFonts w:ascii="Times New Roman" w:hAnsi="Times New Roman"/>
              </w:rPr>
              <w:t xml:space="preserve">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Risque de change</w:t>
            </w:r>
          </w:p>
          <w:p w14:paraId="0EF57964" w14:textId="5BB6583A" w:rsidR="00AA4A0F" w:rsidRPr="001F1865" w:rsidRDefault="00AA4A0F" w:rsidP="0BE40342">
            <w:pPr>
              <w:spacing w:after="240"/>
              <w:jc w:val="both"/>
              <w:rPr>
                <w:sz w:val="24"/>
                <w:rFonts w:ascii="Times New Roman" w:hAnsi="Times New Roman" w:cs="Times New Roman"/>
              </w:rPr>
            </w:pPr>
            <w:r>
              <w:rPr>
                <w:sz w:val="24"/>
                <w:rFonts w:ascii="Times New Roman" w:hAnsi="Times New Roman"/>
              </w:rPr>
              <w:t xml:space="preserve">Risque des positions de change, conformément à la troisième partie, titre IV, chapitre 3, du règlement (UE) nº 575/2013.</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sz w:val="24"/>
                <w:rFonts w:ascii="Times New Roman" w:hAnsi="Times New Roman" w:cs="Times New Roman"/>
              </w:rPr>
            </w:pPr>
            <w:r>
              <w:rPr>
                <w:sz w:val="24"/>
                <w:rFonts w:ascii="Times New Roman" w:hAnsi="Times New Roman"/>
              </w:rPr>
              <w:t xml:space="preserve">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Titrisation (risque spécifique)</w:t>
            </w:r>
          </w:p>
          <w:p w14:paraId="20BB6B2F" w14:textId="370CD600" w:rsidR="00AA4A0F" w:rsidRPr="00DE72D6" w:rsidRDefault="00AA4A0F" w:rsidP="00DE090B">
            <w:pPr>
              <w:rPr>
                <w:rFonts w:ascii="Times New Roman" w:hAnsi="Times New Roman" w:cs="Times New Roman"/>
              </w:rPr>
            </w:pPr>
            <w:r>
              <w:rPr>
                <w:sz w:val="24"/>
                <w:rFonts w:ascii="Times New Roman" w:hAnsi="Times New Roman"/>
              </w:rPr>
              <w:t xml:space="preserve">Risque spécifique des positions de titrisation dans le portefeuille de négociation, conformément à la troisième partie, titre IV, chapitre 2, articles 337 et 338, du règlement (UE) nº 575/2013.</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sz w:val="24"/>
                <w:rFonts w:ascii="Times New Roman" w:hAnsi="Times New Roman" w:cs="Times New Roman"/>
              </w:rPr>
            </w:pPr>
            <w:r>
              <w:rPr>
                <w:sz w:val="24"/>
                <w:rFonts w:ascii="Times New Roman" w:hAnsi="Times New Roman"/>
              </w:rPr>
              <w:t xml:space="preserve">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Total OFR S-SA</w:t>
            </w:r>
            <w:r>
              <w:rPr>
                <w:b/>
                <w:sz w:val="24"/>
                <w:rFonts w:ascii="Times New Roman" w:hAnsi="Times New Roman"/>
              </w:rPr>
              <w:t xml:space="preserve"> </w:t>
            </w:r>
          </w:p>
          <w:p w14:paraId="5DD2D55D" w14:textId="027A9E83" w:rsidR="00AA4A0F" w:rsidRPr="001F1865" w:rsidRDefault="00AA4A0F" w:rsidP="00DE090B">
            <w:pPr>
              <w:rPr>
                <w:sz w:val="24"/>
                <w:rFonts w:ascii="Times New Roman" w:eastAsia="Times New Roman" w:hAnsi="Times New Roman" w:cs="Times New Roman"/>
              </w:rPr>
            </w:pPr>
            <w:r>
              <w:rPr>
                <w:sz w:val="24"/>
                <w:rFonts w:ascii="Times New Roman" w:hAnsi="Times New Roman"/>
              </w:rPr>
              <w:t xml:space="preserve">Publication d’informations sur les exigences de fonds propres visées à l’article 438, point d), du règlement (UE) nº 575/2013, calculées comme étant la somme simple des montants figurant aux lignes 1 à 5 ci-dessus pour la colonne a et calculées comme étant la somme simple des montants figurant aux lignes 1 à 4 ci-dessus pour les colonnes b, c et d.</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Lettre de la colonne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b/>
                <w:sz w:val="24"/>
                <w:rFonts w:ascii="Times New Roman" w:hAnsi="Times New Roman" w:cs="Times New Roman"/>
              </w:rPr>
            </w:pPr>
            <w:r>
              <w:rPr>
                <w:b/>
                <w:sz w:val="24"/>
                <w:rFonts w:ascii="Times New Roman" w:hAnsi="Times New Roman"/>
              </w:rPr>
              <w:t xml:space="preserve">Explication</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Produits fermes</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sz w:val="24"/>
                <w:rFonts w:ascii="Times New Roman" w:eastAsia="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szCs w:val="22"/>
                <w:rFonts w:ascii="Times New Roman" w:eastAsia="Calibri" w:hAnsi="Times New Roman" w:cs="Times New Roman"/>
              </w:rPr>
            </w:pPr>
            <w:r>
              <w:rPr>
                <w:sz w:val="24"/>
                <w:rFonts w:ascii="Times New Roman" w:hAnsi="Times New Roman"/>
              </w:rPr>
              <w:t xml:space="preserve">Positions sur des produits qui ne sont pas facultatifs et qui ne sont pas inclus dans les approches des normes techniques de réglementation pour le risque non-delta lié aux options de l’approche standard pour le risque de marché</w:t>
            </w:r>
            <w:r>
              <w:rPr>
                <w:rFonts w:ascii="Times New Roman" w:eastAsia="Calibri" w:hAnsi="Times New Roman" w:cs="Times New Roman"/>
                <w:szCs w:val="22"/>
                <w:vertAlign w:val="superscript"/>
              </w:rPr>
              <w:footnoteReference w:id="3"/>
            </w:r>
            <w:r>
              <w:rPr>
                <w:sz w:val="24"/>
                <w:rFonts w:ascii="Times New Roman" w:hAnsi="Times New Roman"/>
              </w:rPr>
              <w:t xml:space="preserve">.</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Options</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b/>
                <w:bCs/>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b/>
                <w:sz w:val="24"/>
                <w:rFonts w:ascii="Times New Roman" w:hAnsi="Times New Roman" w:cs="Times New Roman"/>
              </w:rPr>
            </w:pPr>
            <w:r>
              <w:rPr>
                <w:b/>
                <w:sz w:val="24"/>
                <w:rFonts w:ascii="Times New Roman" w:hAnsi="Times New Roman"/>
              </w:rPr>
              <w:t xml:space="preserve">Méthode simplifiée</w:t>
            </w:r>
          </w:p>
          <w:p w14:paraId="71365A3F" w14:textId="32ACEA9A" w:rsidR="00AA4A0F" w:rsidRPr="001F1865" w:rsidRDefault="00AA4A0F" w:rsidP="0BE40342">
            <w:pPr>
              <w:spacing w:after="240"/>
              <w:jc w:val="both"/>
              <w:rPr>
                <w:b/>
                <w:bCs/>
                <w:sz w:val="24"/>
                <w:rFonts w:ascii="Times New Roman" w:hAnsi="Times New Roman" w:cs="Times New Roman"/>
              </w:rPr>
            </w:pPr>
            <w:r>
              <w:rPr>
                <w:sz w:val="24"/>
                <w:rFonts w:ascii="Times New Roman" w:hAnsi="Times New Roman"/>
              </w:rPr>
              <w:t xml:space="preserve">Options ou warrants au sens de la troisième partie, titre IV, chapitre 2, article 329, paragraphe 3, du règlement (UE) nº 575/2013, pour lesquels les établissements calculent les exigences de fonds propres liées au risque non-delta selon la méthode simplifiée</w:t>
            </w:r>
            <w:r>
              <w:rPr>
                <w:rStyle w:val="FootnoteReference"/>
                <w:rFonts w:ascii="Times New Roman" w:eastAsia="Times New Roman" w:hAnsi="Times New Roman" w:cs="Times New Roman"/>
              </w:rPr>
              <w:footnoteReference w:id="4"/>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sz w:val="24"/>
                <w:rFonts w:ascii="Times New Roman" w:eastAsia="Times New Roman" w:hAnsi="Times New Roman" w:cs="Times New Roman"/>
              </w:rPr>
            </w:pPr>
            <w:r>
              <w:rPr>
                <w:sz w:val="24"/>
                <w:rFonts w:ascii="Times New Roman" w:hAnsi="Times New Roman"/>
              </w:rPr>
              <w:t xml:space="preserve">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b/>
                <w:sz w:val="24"/>
                <w:rFonts w:ascii="Times New Roman" w:hAnsi="Times New Roman" w:cs="Times New Roman"/>
              </w:rPr>
            </w:pPr>
            <w:r>
              <w:rPr>
                <w:b/>
                <w:sz w:val="24"/>
                <w:rFonts w:ascii="Times New Roman" w:hAnsi="Times New Roman"/>
              </w:rPr>
              <w:t xml:space="preserve">Méthode delta-plus</w:t>
            </w:r>
          </w:p>
          <w:p w14:paraId="4982FF4D" w14:textId="11E24DA9" w:rsidR="00AA4A0F" w:rsidRPr="001F1865" w:rsidRDefault="00AA4A0F" w:rsidP="0BE40342">
            <w:pPr>
              <w:spacing w:after="240"/>
              <w:jc w:val="both"/>
              <w:rPr>
                <w:b/>
                <w:bCs/>
                <w:sz w:val="24"/>
                <w:rFonts w:ascii="Times New Roman" w:hAnsi="Times New Roman" w:cs="Times New Roman"/>
              </w:rPr>
            </w:pPr>
            <w:r>
              <w:rPr>
                <w:sz w:val="24"/>
                <w:rFonts w:ascii="Times New Roman" w:hAnsi="Times New Roman"/>
              </w:rPr>
              <w:t xml:space="preserve">Options ou warrants du portefeuille de négociation tels que définis à la troisième partie, titre IV, chapitre 2, article 329, paragraphe 3, du règlement (UE) nº 575/2013, pour lesquels les établissements calculent les exigences de fonds propres liées au risque non-delta selon la méthode delta-plus</w:t>
            </w:r>
            <w:r>
              <w:rPr>
                <w:rStyle w:val="FootnoteReference"/>
                <w:rFonts w:ascii="Times New Roman" w:eastAsia="Times New Roman" w:hAnsi="Times New Roman" w:cs="Times New Roman"/>
              </w:rPr>
              <w:footnoteReference w:id="5"/>
            </w:r>
            <w:r>
              <w:rPr>
                <w:sz w:val="24"/>
                <w:rFonts w:ascii="Times New Roman" w:hAnsi="Times New Roman"/>
              </w:rPr>
              <w:t xml:space="preserve">.</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b/>
                <w:bCs/>
                <w:sz w:val="24"/>
                <w:rFonts w:ascii="Times New Roman" w:hAnsi="Times New Roman" w:cs="Times New Roman"/>
              </w:rPr>
            </w:pPr>
            <w:r>
              <w:rPr>
                <w:sz w:val="24"/>
                <w:rFonts w:ascii="Times New Roman" w:hAnsi="Times New Roman"/>
              </w:rPr>
              <w:t xml:space="preserve">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b/>
                <w:sz w:val="24"/>
                <w:rFonts w:ascii="Times New Roman" w:hAnsi="Times New Roman" w:cs="Times New Roman"/>
              </w:rPr>
            </w:pPr>
            <w:r>
              <w:rPr>
                <w:b/>
                <w:sz w:val="24"/>
                <w:rFonts w:ascii="Times New Roman" w:hAnsi="Times New Roman"/>
              </w:rPr>
              <w:t xml:space="preserve">Méthode par scénarios</w:t>
            </w:r>
          </w:p>
          <w:p w14:paraId="2B78A76A" w14:textId="583FBB66" w:rsidR="00AA4A0F" w:rsidRPr="001F1865" w:rsidRDefault="00AA4A0F" w:rsidP="0BE40342">
            <w:pPr>
              <w:spacing w:after="240"/>
              <w:jc w:val="both"/>
              <w:rPr>
                <w:b/>
                <w:bCs/>
                <w:sz w:val="24"/>
                <w:rFonts w:ascii="Times New Roman" w:hAnsi="Times New Roman" w:cs="Times New Roman"/>
              </w:rPr>
            </w:pPr>
            <w:r>
              <w:rPr>
                <w:sz w:val="24"/>
                <w:rFonts w:ascii="Times New Roman" w:hAnsi="Times New Roman"/>
              </w:rPr>
              <w:t xml:space="preserve">Options ou warrants du portefeuille de négociation tels que définis à la troisième partie, titre IV, chapitre 2, article 329, paragraphe 3, du règlement (UE) nº 575/2013, pour lesquels les établissements calculent les exigences de fonds propres liées au risque non-delta selon la méthode par scénarios</w:t>
            </w:r>
            <w:r>
              <w:rPr>
                <w:rStyle w:val="FootnoteReference"/>
                <w:rFonts w:ascii="Times New Roman" w:eastAsia="Times New Roman" w:hAnsi="Times New Roman" w:cs="Times New Roman"/>
              </w:rPr>
              <w:footnoteReference w:id="6"/>
            </w:r>
            <w:r>
              <w:rPr>
                <w:sz w:val="24"/>
                <w:rFonts w:ascii="Times New Roman" w:hAnsi="Times New Roman"/>
              </w:rPr>
              <w:t xml:space="preserve">.</w:t>
            </w:r>
          </w:p>
        </w:tc>
      </w:tr>
    </w:tbl>
    <w:p w14:paraId="79592B57" w14:textId="77777777" w:rsidR="00931C32" w:rsidRPr="001F1865" w:rsidRDefault="00931C32" w:rsidP="00931C32">
      <w:pPr>
        <w:pStyle w:val="Titlelevel2"/>
        <w:spacing w:before="0"/>
        <w:rPr>
          <w:rFonts w:ascii="Times New Roman" w:hAnsi="Times New Roman" w:cs="Times New Roman"/>
          <w:b/>
          <w:color w:val="auto"/>
          <w:sz w:val="24"/>
          <w:lang w:val="en-GB"/>
        </w:rPr>
      </w:pPr>
    </w:p>
    <w:sectPr w:rsidR="00931C32" w:rsidRPr="001F1865">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t xml:space="preserve">14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 xml:space="preserve"> </w:t>
      </w:r>
      <w:r>
        <w:tab/>
      </w:r>
      <w:r>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 xml:space="preserve">[</w:t>
      </w:r>
      <w:hyperlink r:id="rId1" w:history="1">
        <w:r>
          <w:rPr>
            <w:rStyle w:val="Hyperlink"/>
            <w:color w:val="800080"/>
          </w:rPr>
          <w:t xml:space="preserve">JO L 176 du 27.6.2013, p. 1</w:t>
        </w:r>
      </w:hyperlink>
      <w:r>
        <w:rPr>
          <w:color w:val="800080"/>
          <w:u w:val="single"/>
        </w:rPr>
        <w:t xml:space="preserve">;</w:t>
      </w:r>
      <w:r>
        <w:rPr>
          <w:color w:val="800080"/>
          <w:u w:val="single"/>
        </w:rPr>
        <w:t xml:space="preserve"> </w:t>
      </w:r>
      <w:hyperlink r:id="rId2" w:history="1">
        <w:r>
          <w:rPr>
            <w:rStyle w:val="Hyperlink"/>
          </w:rPr>
          <w:t xml:space="preserve">Règlement - UE - 2024/1623 - FR - EUR-Lex (europa.eu)</w:t>
        </w:r>
      </w:hyperlink>
      <w:r>
        <w:rPr>
          <w:color w:val="444444"/>
        </w:rPr>
        <w:t xml:space="preserve">]</w:t>
      </w:r>
      <w:r>
        <w:t xml:space="preserve">.</w:t>
      </w:r>
    </w:p>
  </w:footnote>
  <w:footnote w:id="3">
    <w:p w14:paraId="6651B5AC" w14:textId="77777777" w:rsidR="00AA4A0F" w:rsidRPr="008158FF" w:rsidRDefault="00AA4A0F" w:rsidP="00AA4A0F">
      <w:pPr>
        <w:pStyle w:val="FootnoteText"/>
      </w:pPr>
      <w:r>
        <w:footnoteRef/>
      </w:r>
      <w:r>
        <w:tab/>
      </w:r>
      <w:r>
        <w:t xml:space="preserve">Telle que définie dans le règlement délégué (UE) nº 528/2014 de la Commission du 12 mars 2014 complétant le règlement (UE) nº 575/2013 du Parlement européen et du Conseil en ce qui concerne les normes techniques de réglementation pour le risque non-delta lié aux options de l’approche standard pour le risque de marché (JO L 148 du 20.5.2014, p. 29).</w:t>
      </w:r>
    </w:p>
  </w:footnote>
  <w:footnote w:id="4">
    <w:p w14:paraId="67B37F98" w14:textId="77777777" w:rsidR="00AA4A0F" w:rsidRPr="00222AAB" w:rsidRDefault="00AA4A0F" w:rsidP="00AA4A0F">
      <w:pPr>
        <w:pStyle w:val="FootnoteText"/>
      </w:pPr>
      <w:r>
        <w:rPr>
          <w:rStyle w:val="FootnoteReference"/>
          <w:rFonts w:cstheme="minorHAnsi"/>
        </w:rPr>
        <w:footnoteRef/>
      </w:r>
      <w:r>
        <w:tab/>
      </w:r>
      <w:r>
        <w:t xml:space="preserve">Telle que définie dans le règlement délégué (UE) nº 528/2014 de la Commission du 12 mars 2014 complétant le règlement (UE) nº 575/2013 du Parlement européen et du Conseil en ce qui concerne les normes techniques de réglementation pour le risque non-delta lié aux options de l’approche standard pour le risque de marché (JO L 148 du 20.5.2014, p. 29).</w:t>
      </w:r>
    </w:p>
  </w:footnote>
  <w:footnote w:id="5">
    <w:p w14:paraId="6C32CA93" w14:textId="77777777" w:rsidR="00AA4A0F" w:rsidRPr="00222AAB" w:rsidRDefault="00AA4A0F" w:rsidP="00AA4A0F">
      <w:pPr>
        <w:pStyle w:val="FootnoteText"/>
      </w:pPr>
      <w:r>
        <w:rPr>
          <w:rStyle w:val="FootnoteReference"/>
          <w:rFonts w:cstheme="minorHAnsi"/>
        </w:rPr>
        <w:footnoteRef/>
      </w:r>
      <w:r>
        <w:tab/>
      </w:r>
      <w:r>
        <w:t xml:space="preserve">Telle que définie dans le règlement délégué (UE) nº 528/2014 de la Commission du 12 mars 2014 complétant le règlement (UE) nº 575/2013 du Parlement européen et du Conseil en ce qui concerne les normes techniques de réglementation pour le risque non-delta lié aux options de l’approche standard pour le risque de marché (JO L 148 du 20.5.2014, p. 29).</w:t>
      </w:r>
    </w:p>
  </w:footnote>
  <w:footnote w:id="6">
    <w:p w14:paraId="739259DE" w14:textId="77777777" w:rsidR="00AA4A0F" w:rsidRPr="00222AAB" w:rsidRDefault="00AA4A0F" w:rsidP="00AA4A0F">
      <w:pPr>
        <w:pStyle w:val="FootnoteText"/>
      </w:pPr>
      <w:r>
        <w:rPr>
          <w:rStyle w:val="FootnoteReference"/>
          <w:rFonts w:cstheme="minorHAnsi"/>
        </w:rPr>
        <w:footnoteRef/>
      </w:r>
      <w:r>
        <w:tab/>
      </w:r>
      <w:r>
        <w:t xml:space="preserve">Telle que définie dans le règlement délégué (UE) nº 528/2014 de la Commission du 12 mars 2014 complétant le règlement (UE) nº 575/2013 du Parlement européen et du Conseil en ce qui concerne les normes techniques de réglementation pour le risque non-delta lié aux options de l’approche standard pour le risque de marché (JO L 148 du 20.5.2014, p.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8BE4FF"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7F8E82E"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864388"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0" w:nlCheck="1" w:checkStyle="0"/>
  <w:activeWritingStyle w:appName="MSWord" w:lang="en-US" w:vendorID="64" w:dllVersion="0" w:nlCheck="1" w:checkStyle="0"/>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lang w:val="fr-FR"/>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lang w:val="fr-FR"/>
    </w:rPr>
  </w:style>
  <w:style w:type="character" w:customStyle="1" w:styleId="FootnoteTextChar">
    <w:name w:val="Footnote Text Char"/>
    <w:basedOn w:val="DefaultParagraphFont"/>
    <w:link w:val="FootnoteText"/>
    <w:rsid w:val="007F0B68"/>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6506088E-32B1-4A91-9E86-9B9562BB678A}"/>
</file>

<file path=customXml/itemProps3.xml><?xml version="1.0" encoding="utf-8"?>
<ds:datastoreItem xmlns:ds="http://schemas.openxmlformats.org/officeDocument/2006/customXml" ds:itemID="{F5FD794F-0994-4E0D-8239-4DB62E1C5BFB}"/>
</file>

<file path=customXml/itemProps4.xml><?xml version="1.0" encoding="utf-8"?>
<ds:datastoreItem xmlns:ds="http://schemas.openxmlformats.org/officeDocument/2006/customXml" ds:itemID="{B095F7D4-95E3-4442-9312-A28EECCBBF6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2826</Words>
  <Characters>15011</Characters>
  <Application>Microsoft Office Word</Application>
  <DocSecurity>0</DocSecurity>
  <Lines>428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17590</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2024-09-26T14:32:00Z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