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080B76AD" w:rsidR="00931C32" w:rsidRPr="001F1865" w:rsidRDefault="3E2CC804" w:rsidP="06503780">
      <w:pPr>
        <w:pStyle w:val="Titlelevel2"/>
        <w:spacing w:before="0"/>
        <w:rPr>
          <w:b/>
          <w:color w:val="auto"/>
          <w:sz w:val="24"/>
          <w:rFonts w:ascii="Times New Roman" w:hAnsi="Times New Roman" w:cs="Times New Roman"/>
        </w:rPr>
      </w:pPr>
      <w:r>
        <w:rPr>
          <w:b/>
          <w:color w:val="auto"/>
          <w:sz w:val="24"/>
          <w:rFonts w:ascii="Times New Roman" w:hAnsi="Times New Roman"/>
        </w:rPr>
        <w:t xml:space="preserve">XXX PIELIKUMS – Tabulas un veidnes informācijas atklāšanai par tirgus riska standartizēto un iekšējo pieeju:</w:t>
      </w:r>
      <w:r>
        <w:rPr>
          <w:b/>
          <w:color w:val="auto"/>
          <w:sz w:val="24"/>
          <w:rFonts w:ascii="Times New Roman" w:hAnsi="Times New Roman"/>
        </w:rPr>
        <w:t xml:space="preserve"> </w:t>
      </w:r>
      <w:r>
        <w:rPr>
          <w:b/>
          <w:color w:val="auto"/>
          <w:sz w:val="24"/>
          <w:rFonts w:ascii="Times New Roman" w:hAnsi="Times New Roman"/>
        </w:rPr>
        <w:t xml:space="preserve">norādījumi</w:t>
      </w:r>
      <w:r>
        <w:rPr>
          <w:b/>
          <w:color w:val="auto"/>
          <w:sz w:val="24"/>
          <w:rFonts w:ascii="Times New Roman" w:hAnsi="Times New Roman"/>
        </w:rPr>
        <w:t xml:space="preserve"> </w:t>
      </w:r>
    </w:p>
    <w:p w14:paraId="30BCD097" w14:textId="4E7CD1C5" w:rsidR="00931C32" w:rsidRPr="001F1865" w:rsidRDefault="3E2CC804" w:rsidP="5DD19F35">
      <w:pPr>
        <w:pStyle w:val="Titlelevel2"/>
        <w:numPr>
          <w:ilvl w:val="0"/>
          <w:numId w:val="4"/>
        </w:numPr>
        <w:spacing w:before="0"/>
        <w:jc w:val="both"/>
        <w:rPr>
          <w:color w:val="auto"/>
          <w:sz w:val="24"/>
          <w:rFonts w:ascii="Times New Roman" w:hAnsi="Times New Roman" w:cs="Times New Roman"/>
        </w:rPr>
      </w:pPr>
      <w:r>
        <w:rPr>
          <w:color w:val="auto"/>
          <w:sz w:val="24"/>
          <w:rFonts w:ascii="Times New Roman" w:hAnsi="Times New Roman"/>
        </w:rPr>
        <w:t xml:space="preserve">Šajā pielikumā ir sniegti norādījumi, ko iestādes ievēro, atklājot Regulas (ES) Nr. 575/2013</w:t>
      </w:r>
      <w:r w:rsidR="00931C32" w:rsidRPr="00DB0A49">
        <w:rPr>
          <w:rStyle w:val="FootnoteReference"/>
          <w:rFonts w:ascii="Times New Roman" w:hAnsi="Times New Roman" w:cs="Times New Roman"/>
          <w:color w:val="auto"/>
          <w:lang w:val="en-GB"/>
        </w:rPr>
        <w:footnoteReference w:id="2"/>
      </w:r>
      <w:r>
        <w:rPr>
          <w:color w:val="auto"/>
          <w:sz w:val="24"/>
          <w:rFonts w:ascii="Times New Roman" w:hAnsi="Times New Roman"/>
        </w:rPr>
        <w:t xml:space="preserve"> (“</w:t>
      </w:r>
      <w:r>
        <w:rPr>
          <w:color w:val="auto"/>
          <w:sz w:val="24"/>
          <w:i/>
          <w:rFonts w:ascii="Times New Roman" w:hAnsi="Times New Roman"/>
        </w:rPr>
        <w:t xml:space="preserve">CRR</w:t>
      </w:r>
      <w:r>
        <w:rPr>
          <w:color w:val="auto"/>
          <w:sz w:val="24"/>
          <w:rFonts w:ascii="Times New Roman" w:hAnsi="Times New Roman"/>
        </w:rPr>
        <w:t xml:space="preserve">”) 435., 445. un 455. pantā minēto informāciju, lai aizpildītu EBI IT risinājumu XXIX pielikumā ietvertās tabulas un veidnes informācijas atklāšanai par tirgus risku.</w:t>
      </w:r>
      <w:r>
        <w:rPr>
          <w:color w:val="auto"/>
          <w:sz w:val="24"/>
          <w:rFonts w:ascii="Times New Roman" w:hAnsi="Times New Roman"/>
        </w:rPr>
        <w:t xml:space="preserve"> </w:t>
      </w:r>
    </w:p>
    <w:p w14:paraId="69DA8DE0" w14:textId="77777777" w:rsidR="00931C32" w:rsidRPr="001F1865" w:rsidRDefault="00931C32" w:rsidP="00931C32">
      <w:pPr>
        <w:spacing w:after="240"/>
        <w:jc w:val="both"/>
        <w:rPr>
          <w:sz w:val="24"/>
          <w:rFonts w:ascii="Times New Roman" w:hAnsi="Times New Roman" w:cs="Times New Roman"/>
        </w:rPr>
      </w:pPr>
      <w:r>
        <w:rPr>
          <w:sz w:val="24"/>
          <w:b/>
          <w:rFonts w:ascii="Times New Roman" w:hAnsi="Times New Roman"/>
        </w:rPr>
        <w:t xml:space="preserve">Tabula EU MRA – Kvalitatīvās informācijas atklāšanas prasības saistībā ar tirgus risku.</w:t>
      </w:r>
      <w:r>
        <w:rPr>
          <w:sz w:val="24"/>
          <w:rFonts w:ascii="Times New Roman" w:hAnsi="Times New Roman"/>
        </w:rPr>
        <w:t xml:space="preserve"> </w:t>
      </w:r>
      <w:r>
        <w:rPr>
          <w:sz w:val="24"/>
          <w:rFonts w:ascii="Times New Roman" w:hAnsi="Times New Roman"/>
        </w:rPr>
        <w:t xml:space="preserve">Brīva formāta tekstlogi.</w:t>
      </w:r>
    </w:p>
    <w:p w14:paraId="1B9BDBE7" w14:textId="621617DF" w:rsidR="00931C32" w:rsidRPr="001F1865" w:rsidRDefault="00931C32" w:rsidP="72461198">
      <w:pPr>
        <w:pStyle w:val="Titlelevel2"/>
        <w:numPr>
          <w:ilvl w:val="0"/>
          <w:numId w:val="4"/>
        </w:numPr>
        <w:spacing w:before="0"/>
        <w:jc w:val="both"/>
        <w:rPr>
          <w:sz w:val="24"/>
          <w:rFonts w:ascii="Times New Roman" w:hAnsi="Times New Roman" w:cs="Times New Roman"/>
        </w:rPr>
      </w:pPr>
      <w:r>
        <w:rPr>
          <w:color w:val="000000" w:themeColor="text1"/>
          <w:sz w:val="24"/>
          <w:rFonts w:ascii="Times New Roman" w:hAnsi="Times New Roman"/>
        </w:rPr>
        <w:t xml:space="preserve">Iestādes atklāj Regulas (ES) Nr. 575/2013 435. panta 1. punkta a)–d) apakšpunktā minēto informāciju par tirgus risku, ievērojot turpmāk šajā pielikumā sniegtos norādījumus, lai aizpildītu EBI IT risinājumu XXIX pielikumā ietverto tabulu EU MRA.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Paskaidrojums</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 xml:space="preserve">a)</w:t>
            </w:r>
          </w:p>
        </w:tc>
        <w:tc>
          <w:tcPr>
            <w:tcW w:w="7655" w:type="dxa"/>
            <w:vAlign w:val="center"/>
          </w:tcPr>
          <w:p w14:paraId="0ECBECD6" w14:textId="59A2C39A" w:rsidR="00931C32" w:rsidRPr="001F1865" w:rsidRDefault="00931C32" w:rsidP="72461198">
            <w:pPr>
              <w:spacing w:after="240"/>
              <w:jc w:val="both"/>
              <w:rPr>
                <w:sz w:val="24"/>
                <w:rFonts w:ascii="Times New Roman" w:eastAsia="Times New Roman" w:hAnsi="Times New Roman" w:cs="Times New Roman"/>
              </w:rPr>
            </w:pPr>
            <w:r>
              <w:rPr>
                <w:sz w:val="24"/>
                <w:rFonts w:ascii="Times New Roman" w:hAnsi="Times New Roman"/>
              </w:rPr>
              <w:t xml:space="preserve">Atklājot Regulas (ES) Nr. 575/2013 435. panta 1. punkta a) un d) apakšpunktā minēto informāciju par riska pārvaldības mērķiem un tirgus riska pārvaldības politiku, iestādes iekļauj:</w:t>
            </w:r>
          </w:p>
          <w:p w14:paraId="2954CCD3"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skaidrojumu par to vadības stratēģiskajiem mērķiem tirdzniecības darbību īstenošanā,</w:t>
            </w:r>
            <w:r>
              <w:rPr>
                <w:sz w:val="24"/>
                <w:rFonts w:ascii="Times New Roman" w:hAnsi="Times New Roman"/>
              </w:rPr>
              <w:t xml:space="preserve"> </w:t>
            </w:r>
          </w:p>
          <w:p w14:paraId="28C8AA1E" w14:textId="2D7A10DE" w:rsidR="00DE4020" w:rsidRPr="001F1865" w:rsidRDefault="00EC10EF"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aprakstu par 104. panta 1. punktā minētajām politikām, ar ko nosaka, kura pozīcija jāiekļauj tirdzniecības portfelī, tajā skaitā inertu pozīciju definīciju un riska pārvaldības politiku šo pozīciju uzraudzībai.</w:t>
            </w:r>
            <w:r>
              <w:rPr>
                <w:sz w:val="24"/>
                <w:rFonts w:ascii="Times New Roman" w:hAnsi="Times New Roman"/>
              </w:rPr>
              <w:t xml:space="preserve"> </w:t>
            </w:r>
            <w:r>
              <w:rPr>
                <w:sz w:val="24"/>
                <w:rFonts w:ascii="Times New Roman" w:hAnsi="Times New Roman"/>
              </w:rPr>
              <w:t xml:space="preserve">Turklāt iestādes apraksta gadījumus, kad instrumenti iekļauti tirdzniecības vai banku portfelī pretēji to instrumentu kategorijas vispārējiem pieņēmumiem, tajā skaitā to tirgus un patieso vērtību šādos gadījumos, kā arī apraksta pārklasificēšanu no viena portfeļa uz otru kopš pēdējā pārskata perioda, tajā skaitā šādu gadījumu patieso vērtību un pārklasificēšanas iemeslu,</w:t>
            </w:r>
          </w:p>
          <w:p w14:paraId="20F3C237" w14:textId="77E3E75D" w:rsidR="00795618" w:rsidRPr="001F1865" w:rsidRDefault="002C5234"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aprakstu par iekšējām riska pārvešanas darbībām, tajā skaitā par iekšējo riska pārvešanas nodaļu veidiem,</w:t>
            </w:r>
          </w:p>
          <w:p w14:paraId="17B1142E"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procesus, kas ieviesti, lai apzinātu, novērtētu, uzraudzītu un kontrolētu iestādes tirgus riskus,</w:t>
            </w:r>
          </w:p>
          <w:p w14:paraId="216165DD"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riska ierobežošanas un mazināšanas politiku,</w:t>
            </w:r>
          </w:p>
          <w:p w14:paraId="5B43C932"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stratēģijas un procesus riska ierobežošanas pozīciju pastāvīgas efektivitātes kontrolei.</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t xml:space="preserve">b)</w:t>
            </w:r>
          </w:p>
        </w:tc>
        <w:tc>
          <w:tcPr>
            <w:tcW w:w="7655" w:type="dxa"/>
          </w:tcPr>
          <w:p w14:paraId="57B23AAF" w14:textId="53C0A959" w:rsidR="00931C32" w:rsidRPr="001F1865" w:rsidRDefault="00931C32" w:rsidP="72461198">
            <w:pPr>
              <w:spacing w:after="240"/>
              <w:jc w:val="both"/>
              <w:rPr>
                <w:sz w:val="24"/>
                <w:rFonts w:ascii="Times New Roman" w:eastAsia="Times New Roman" w:hAnsi="Times New Roman" w:cs="Times New Roman"/>
              </w:rPr>
            </w:pPr>
            <w:r>
              <w:rPr>
                <w:sz w:val="24"/>
                <w:rFonts w:ascii="Times New Roman" w:hAnsi="Times New Roman"/>
              </w:rPr>
              <w:t xml:space="preserve">Atklājot Regulas (ES) Nr. 575/2013 435. panta 1. punkta b) apakšpunktā minēto informāciju par tirgus riska pārvaldības funkcijas struktūru un organizāciju, iestādes iekļauj:</w:t>
            </w:r>
          </w:p>
          <w:p w14:paraId="15341445" w14:textId="0D70F6B3" w:rsidR="00931C32" w:rsidRPr="001F1865" w:rsidRDefault="00931C32" w:rsidP="00931C32">
            <w:pPr>
              <w:pStyle w:val="ListParagraph"/>
              <w:numPr>
                <w:ilvl w:val="0"/>
                <w:numId w:val="3"/>
              </w:numPr>
              <w:spacing w:after="240"/>
              <w:jc w:val="both"/>
              <w:rPr>
                <w:sz w:val="24"/>
                <w:szCs w:val="24"/>
                <w:rFonts w:ascii="Times New Roman" w:eastAsia="Times New Roman" w:hAnsi="Times New Roman"/>
              </w:rPr>
            </w:pPr>
            <w:r>
              <w:rPr>
                <w:sz w:val="24"/>
                <w:rFonts w:ascii="Times New Roman" w:hAnsi="Times New Roman"/>
              </w:rPr>
              <w:t xml:space="preserve">aprakstu par tirgus riska pārvaldības struktūru, kas izveidota, lai īstenotu iestādes stratēģijas un procesus, kā minēts a) rindā iepriekš,</w:t>
            </w:r>
            <w:r>
              <w:rPr>
                <w:sz w:val="24"/>
                <w:rFonts w:ascii="Times New Roman" w:hAnsi="Times New Roman"/>
              </w:rPr>
              <w:t xml:space="preserve"> </w:t>
            </w:r>
          </w:p>
          <w:p w14:paraId="10C87729" w14:textId="77777777" w:rsidR="00931C32" w:rsidRPr="001F1865" w:rsidRDefault="00931C32" w:rsidP="00931C32">
            <w:pPr>
              <w:pStyle w:val="ListParagraph"/>
              <w:numPr>
                <w:ilvl w:val="0"/>
                <w:numId w:val="3"/>
              </w:numPr>
              <w:spacing w:after="240"/>
              <w:jc w:val="both"/>
              <w:rPr>
                <w:sz w:val="24"/>
                <w:szCs w:val="24"/>
                <w:rFonts w:ascii="Times New Roman" w:eastAsia="Times New Roman" w:hAnsi="Times New Roman"/>
              </w:rPr>
            </w:pPr>
            <w:r>
              <w:rPr>
                <w:sz w:val="24"/>
                <w:rFonts w:ascii="Times New Roman" w:hAnsi="Times New Roman"/>
              </w:rPr>
              <w:t xml:space="preserve">aprakstu par attiecībām un saziņas mehānismiem starp dažādām pusēm, kas iesaistītas tirgus riska pārvaldībā.</w:t>
            </w:r>
            <w:r>
              <w:rPr>
                <w:sz w:val="24"/>
                <w:rFonts w:ascii="Times New Roman" w:hAnsi="Times New Roman"/>
              </w:rPr>
              <w:t xml:space="preserve">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 xml:space="preserve">c)</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sz w:val="24"/>
                <w:rFonts w:ascii="Times New Roman" w:eastAsia="Times New Roman" w:hAnsi="Times New Roman" w:cs="Times New Roman"/>
              </w:rPr>
            </w:pPr>
            <w:r>
              <w:rPr>
                <w:sz w:val="24"/>
                <w:rFonts w:ascii="Times New Roman" w:hAnsi="Times New Roman"/>
              </w:rPr>
              <w:t xml:space="preserve">Atklājot Regulas (ES) Nr. 575/2013 435. panta 1. punkta c) apakšpunktā minēto informāciju par tirgus riska ziņošanas un novērtēšanas sistēmu tvērumu un raksturu, iestādes sniedz aprakstu par tirgus riska ziņošanas un novērtēšanas sistēmu tvērumu un raksturu.</w:t>
            </w:r>
            <w:r>
              <w:rPr>
                <w:sz w:val="24"/>
                <w:rFonts w:ascii="Times New Roman" w:hAnsi="Times New Roman"/>
              </w:rPr>
              <w:t xml:space="preserve">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sz w:val="24"/>
                <w:rFonts w:ascii="Times New Roman" w:eastAsia="Times New Roman" w:hAnsi="Times New Roman" w:cs="Times New Roman"/>
              </w:rPr>
            </w:pPr>
            <w:r>
              <w:rPr>
                <w:sz w:val="24"/>
                <w:rFonts w:ascii="Times New Roman" w:hAnsi="Times New Roman"/>
              </w:rPr>
              <w:t xml:space="preserve">Atklājot Regulas (ES) Nr. 575/2013 445. panta 1. punktā minēto informāciju par vispārēju pārskatu par tirdzniecības portfeļa pozīcijām, iestādes sniedz augsta līmeņa aprakstu par to tirdzniecības portfeļa pozīcijām.</w:t>
            </w:r>
          </w:p>
        </w:tc>
      </w:tr>
    </w:tbl>
    <w:p w14:paraId="0A37501D" w14:textId="5B1DE2AB" w:rsidR="00931C32" w:rsidRPr="001F1865" w:rsidRDefault="00931C32" w:rsidP="06503780">
      <w:pPr>
        <w:pStyle w:val="Titlelevel2"/>
        <w:spacing w:before="0"/>
        <w:rPr>
          <w:rFonts w:ascii="Times New Roman" w:hAnsi="Times New Roman" w:cs="Times New Roman"/>
          <w:b/>
          <w:sz w:val="24"/>
          <w:lang w:val="en-GB"/>
        </w:rPr>
      </w:pPr>
    </w:p>
    <w:p w14:paraId="6A05A809"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21FE8BB6" w14:textId="0765936F" w:rsidR="00931C32" w:rsidRPr="00DB0A49" w:rsidRDefault="4E51ABE0" w:rsidP="00DB0A49">
      <w:pPr>
        <w:spacing w:after="240"/>
        <w:rPr>
          <w:sz w:val="24"/>
          <w:rFonts w:ascii="Times New Roman" w:eastAsia="Times New Roman" w:hAnsi="Times New Roman" w:cs="Times New Roman"/>
        </w:rPr>
      </w:pPr>
      <w:r>
        <w:rPr>
          <w:sz w:val="24"/>
          <w:b/>
          <w:rFonts w:ascii="Times New Roman" w:hAnsi="Times New Roman"/>
        </w:rPr>
        <w:t xml:space="preserve">Veidne EU MR1 – Tirgus risks saskaņā ar alternatīvu standartizēto pieeju (</w:t>
      </w:r>
      <w:r>
        <w:rPr>
          <w:sz w:val="24"/>
          <w:b/>
          <w:i/>
          <w:rFonts w:ascii="Times New Roman" w:hAnsi="Times New Roman"/>
        </w:rPr>
        <w:t xml:space="preserve">ASA</w:t>
      </w:r>
      <w:r>
        <w:rPr>
          <w:sz w:val="24"/>
          <w:b/>
          <w:rFonts w:ascii="Times New Roman" w:hAnsi="Times New Roman"/>
        </w:rPr>
        <w:t xml:space="preserve">)</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Fiksēts formāts.</w:t>
      </w:r>
    </w:p>
    <w:p w14:paraId="328A3EAE" w14:textId="50FF69DE" w:rsidR="00931C32" w:rsidRPr="00DB0A49" w:rsidRDefault="4E51ABE0" w:rsidP="00DB0A49">
      <w:pPr>
        <w:pStyle w:val="Titlelevel2"/>
        <w:numPr>
          <w:ilvl w:val="0"/>
          <w:numId w:val="4"/>
        </w:numPr>
        <w:spacing w:before="0"/>
        <w:ind w:left="284" w:hanging="284"/>
        <w:jc w:val="both"/>
        <w:rPr>
          <w:color w:val="auto"/>
          <w:sz w:val="24"/>
          <w:rFonts w:ascii="Times New Roman" w:eastAsiaTheme="minorEastAsia" w:hAnsi="Times New Roman" w:cs="Times New Roman"/>
        </w:rPr>
      </w:pPr>
      <w:r>
        <w:rPr>
          <w:sz w:val="24"/>
          <w:color w:val="000000" w:themeColor="text1"/>
          <w:rFonts w:ascii="Times New Roman" w:hAnsi="Times New Roman"/>
        </w:rPr>
        <w:t xml:space="preserve">Iestādes atklāj </w:t>
      </w:r>
      <w:r>
        <w:rPr>
          <w:sz w:val="24"/>
          <w:color w:val="000000" w:themeColor="text1"/>
          <w:color w:val="auto"/>
          <w:rFonts w:ascii="Times New Roman" w:hAnsi="Times New Roman"/>
        </w:rPr>
        <w:t xml:space="preserve">Regulas (ES) Nr. 575/2013</w:t>
      </w:r>
      <w:r>
        <w:rPr>
          <w:sz w:val="24"/>
          <w:color w:val="000000" w:themeColor="text1"/>
          <w:rFonts w:ascii="Times New Roman" w:hAnsi="Times New Roman"/>
        </w:rPr>
        <w:t xml:space="preserve"> 445. pantā minēto informāciju, ievērojot turpmāk šajā pielikumā sniegtos norādījumus, lai aizpildītu veidni EU MR1, kas ietverta EBI IT risinājumu XXIX pielikumā.</w:t>
      </w:r>
      <w:r>
        <w:rPr>
          <w:sz w:val="24"/>
          <w:color w:val="000000" w:themeColor="text1"/>
          <w:rFonts w:ascii="Times New Roman" w:hAnsi="Times New Roman"/>
        </w:rPr>
        <w:t xml:space="preserve"> </w:t>
      </w:r>
      <w:r>
        <w:rPr>
          <w:sz w:val="24"/>
          <w:color w:val="auto"/>
          <w:rFonts w:ascii="Times New Roman" w:hAnsi="Times New Roman"/>
        </w:rPr>
        <w:t xml:space="preserve">Iestādes šajā veidnē nenorāda datus par savu iekšējo riska pārvešanas (</w:t>
      </w:r>
      <w:r>
        <w:rPr>
          <w:sz w:val="24"/>
          <w:color w:val="auto"/>
          <w:i/>
          <w:iCs/>
          <w:rFonts w:ascii="Times New Roman" w:hAnsi="Times New Roman"/>
        </w:rPr>
        <w:t xml:space="preserve">IRT</w:t>
      </w:r>
      <w:r>
        <w:rPr>
          <w:sz w:val="24"/>
          <w:color w:val="auto"/>
          <w:rFonts w:ascii="Times New Roman" w:hAnsi="Times New Roman"/>
        </w:rPr>
        <w:t xml:space="preserve">) nodaļu.</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Atsauces uz tiesību aktiem un norādījumi</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Rindas numurs</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Paskaidrojums</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sz w:val="24"/>
                <w:u w:val="single"/>
                <w:rFonts w:ascii="Times New Roman" w:eastAsia="Times New Roman" w:hAnsi="Times New Roman" w:cs="Times New Roman"/>
              </w:rPr>
            </w:pPr>
            <w:r>
              <w:rPr>
                <w:sz w:val="24"/>
                <w:u w:val="single"/>
                <w:b/>
                <w:rFonts w:ascii="Times New Roman" w:hAnsi="Times New Roman"/>
              </w:rPr>
              <w:t xml:space="preserve">Uz jutīgumu balstīta metode</w:t>
            </w:r>
            <w:r>
              <w:rPr>
                <w:sz w:val="24"/>
                <w:u w:val="single"/>
                <w:rFonts w:ascii="Times New Roman" w:hAnsi="Times New Roman"/>
              </w:rPr>
              <w:t xml:space="preserve"> </w:t>
            </w:r>
          </w:p>
          <w:p w14:paraId="32BE5AB7" w14:textId="13D92956" w:rsidR="06503780" w:rsidRPr="001F1865" w:rsidRDefault="06503780" w:rsidP="00DB0A49">
            <w:pPr>
              <w:spacing w:after="240"/>
              <w:rPr>
                <w:sz w:val="24"/>
                <w:rFonts w:ascii="Times New Roman" w:eastAsia="Times New Roman" w:hAnsi="Times New Roman" w:cs="Times New Roman"/>
              </w:rPr>
            </w:pPr>
            <w:r>
              <w:rPr>
                <w:sz w:val="24"/>
                <w:rFonts w:ascii="Times New Roman" w:hAnsi="Times New Roman"/>
              </w:rPr>
              <w:t xml:space="preserve">Saskaņā ar Regulas (ES) Nr. 575/2013 trešās daļas IV sadaļas 1.a nodaļas 2. iedaļu.</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Vispārīgais procentu likmju risks (</w:t>
            </w:r>
            <w:r>
              <w:rPr>
                <w:b/>
                <w:sz w:val="24"/>
                <w:i/>
                <w:rFonts w:ascii="Times New Roman" w:hAnsi="Times New Roman"/>
              </w:rPr>
              <w:t xml:space="preserve">GIRR</w:t>
            </w:r>
            <w:r>
              <w:rPr>
                <w:b/>
                <w:sz w:val="24"/>
                <w:rFonts w:ascii="Times New Roman" w:hAnsi="Times New Roman"/>
              </w:rPr>
              <w:t xml:space="preserve">)</w:t>
            </w:r>
          </w:p>
          <w:p w14:paraId="7CFD9A05" w14:textId="08877C85"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Saskaņā ar Regulas (ES) Nr. 575/2013 325.c panta 2. punkta a) apakšpunktu un 325.d panta 1. punkta i) apakšpunktu.</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szCs w:val="22"/>
                <w:rFonts w:ascii="Times New Roman" w:eastAsia="Times New Roman" w:hAnsi="Times New Roman" w:cs="Times New Roman"/>
              </w:rPr>
            </w:pPr>
            <w:r>
              <w:rPr>
                <w:rFonts w:ascii="Times New Roman" w:hAnsi="Times New Roman"/>
              </w:rPr>
              <w:t xml:space="preserve">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Kapitāla vērtspapīru risks (</w:t>
            </w:r>
            <w:r>
              <w:rPr>
                <w:b/>
                <w:sz w:val="24"/>
                <w:i/>
                <w:rFonts w:ascii="Times New Roman" w:hAnsi="Times New Roman"/>
              </w:rPr>
              <w:t xml:space="preserve">EQU</w:t>
            </w:r>
            <w:r>
              <w:rPr>
                <w:b/>
                <w:sz w:val="24"/>
                <w:rFonts w:ascii="Times New Roman" w:hAnsi="Times New Roman"/>
              </w:rPr>
              <w:t xml:space="preserve">)</w:t>
            </w:r>
          </w:p>
          <w:p w14:paraId="7FA49EA1" w14:textId="72B40A8D" w:rsidR="006852CB" w:rsidRPr="001F1865" w:rsidRDefault="006852CB" w:rsidP="006852CB">
            <w:pPr>
              <w:spacing w:before="120" w:after="120" w:line="257" w:lineRule="auto"/>
              <w:rPr>
                <w:b/>
                <w:bCs/>
                <w:sz w:val="24"/>
                <w:rFonts w:ascii="Times New Roman" w:eastAsia="Times New Roman" w:hAnsi="Times New Roman" w:cs="Times New Roman"/>
              </w:rPr>
            </w:pPr>
            <w:r>
              <w:rPr>
                <w:sz w:val="24"/>
                <w:rFonts w:ascii="Times New Roman" w:hAnsi="Times New Roman"/>
              </w:rPr>
              <w:t xml:space="preserve">Saskaņā ar Regulas (ES) Nr. 575/2013 325.c panta 2. punkta a) apakšpunktu un 325.d panta 1. punkta v) apakšpunktu.</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szCs w:val="22"/>
                <w:rFonts w:ascii="Times New Roman" w:eastAsia="Times New Roman" w:hAnsi="Times New Roman" w:cs="Times New Roman"/>
              </w:rPr>
            </w:pPr>
            <w:r>
              <w:rPr>
                <w:rFonts w:ascii="Times New Roman" w:hAnsi="Times New Roman"/>
              </w:rPr>
              <w:t xml:space="preserve">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Preču risks (</w:t>
            </w:r>
            <w:r>
              <w:rPr>
                <w:b/>
                <w:sz w:val="24"/>
                <w:i/>
                <w:rFonts w:ascii="Times New Roman" w:hAnsi="Times New Roman"/>
              </w:rPr>
              <w:t xml:space="preserve">COM</w:t>
            </w:r>
            <w:r>
              <w:rPr>
                <w:b/>
                <w:sz w:val="24"/>
                <w:rFonts w:ascii="Times New Roman" w:hAnsi="Times New Roman"/>
              </w:rPr>
              <w:t xml:space="preserve">)</w:t>
            </w:r>
          </w:p>
          <w:p w14:paraId="2EF1141F" w14:textId="6573588B" w:rsidR="006852CB" w:rsidRPr="001F1865" w:rsidRDefault="006852CB" w:rsidP="006852CB">
            <w:pPr>
              <w:spacing w:before="120" w:after="120" w:line="257" w:lineRule="auto"/>
              <w:rPr>
                <w:b/>
                <w:bCs/>
                <w:sz w:val="24"/>
                <w:rFonts w:ascii="Times New Roman" w:eastAsia="Times New Roman" w:hAnsi="Times New Roman" w:cs="Times New Roman"/>
              </w:rPr>
            </w:pPr>
            <w:r>
              <w:rPr>
                <w:sz w:val="24"/>
                <w:rFonts w:ascii="Times New Roman" w:hAnsi="Times New Roman"/>
              </w:rPr>
              <w:t xml:space="preserve">Saskaņā ar Regulas (ES) Nr. 575/2013 325.c panta 2. punkta a) apakšpunktu un 325.d panta 1. punkta vi) apakšpunktu.</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szCs w:val="22"/>
                <w:rFonts w:ascii="Times New Roman" w:eastAsia="Times New Roman" w:hAnsi="Times New Roman" w:cs="Times New Roman"/>
              </w:rPr>
            </w:pPr>
            <w:r>
              <w:rPr>
                <w:rFonts w:ascii="Times New Roman" w:hAnsi="Times New Roman"/>
              </w:rPr>
              <w:t xml:space="preserve">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Ārvalstu valūtas risks (</w:t>
            </w:r>
            <w:r>
              <w:rPr>
                <w:b/>
                <w:sz w:val="24"/>
                <w:i/>
                <w:rFonts w:ascii="Times New Roman" w:hAnsi="Times New Roman"/>
              </w:rPr>
              <w:t xml:space="preserve">FX</w:t>
            </w:r>
            <w:r>
              <w:rPr>
                <w:b/>
                <w:sz w:val="24"/>
                <w:rFonts w:ascii="Times New Roman" w:hAnsi="Times New Roman"/>
              </w:rPr>
              <w:t xml:space="preserve">)</w:t>
            </w:r>
          </w:p>
          <w:p w14:paraId="4E899697" w14:textId="1EDAE9C1" w:rsidR="006852CB" w:rsidRPr="001F1865" w:rsidRDefault="006852CB" w:rsidP="006852CB">
            <w:pPr>
              <w:spacing w:before="120" w:after="120" w:line="257" w:lineRule="auto"/>
              <w:rPr>
                <w:b/>
                <w:bCs/>
                <w:sz w:val="24"/>
                <w:rFonts w:ascii="Times New Roman" w:eastAsia="Times New Roman" w:hAnsi="Times New Roman" w:cs="Times New Roman"/>
              </w:rPr>
            </w:pPr>
            <w:r>
              <w:rPr>
                <w:sz w:val="24"/>
                <w:rFonts w:ascii="Times New Roman" w:hAnsi="Times New Roman"/>
              </w:rPr>
              <w:t xml:space="preserve">Saskaņā ar Regulas (ES) Nr. 575/2013 325.c panta 2. punkta a) apakšpunktu un 325.d panta 1. punkta vii) apakšpunktu.</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szCs w:val="22"/>
                <w:rFonts w:ascii="Times New Roman" w:eastAsia="Times New Roman" w:hAnsi="Times New Roman" w:cs="Times New Roman"/>
              </w:rPr>
            </w:pPr>
            <w:r>
              <w:rPr>
                <w:rFonts w:ascii="Times New Roman" w:hAnsi="Times New Roman"/>
              </w:rPr>
              <w:t xml:space="preserve">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Nevērtspapīrošanas kredītriska starpības risks (</w:t>
            </w:r>
            <w:r>
              <w:rPr>
                <w:b/>
                <w:sz w:val="24"/>
                <w:i/>
                <w:rFonts w:ascii="Times New Roman" w:hAnsi="Times New Roman"/>
              </w:rPr>
              <w:t xml:space="preserve">CSR</w:t>
            </w:r>
            <w:r>
              <w:rPr>
                <w:b/>
                <w:sz w:val="24"/>
                <w:rFonts w:ascii="Times New Roman" w:hAnsi="Times New Roman"/>
              </w:rPr>
              <w:t xml:space="preserve">)</w:t>
            </w:r>
          </w:p>
          <w:p w14:paraId="7FFBB47A" w14:textId="19FCC5B4"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Saskaņā ar Regulas (ES) Nr. 575/2013 325.c panta 2. punkta a) apakšpunktu un 325.d panta 1. punkta ii) apakšpunktu.</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szCs w:val="22"/>
                <w:rFonts w:ascii="Times New Roman" w:eastAsia="Times New Roman" w:hAnsi="Times New Roman" w:cs="Times New Roman"/>
              </w:rPr>
            </w:pPr>
            <w:r>
              <w:rPr>
                <w:rFonts w:ascii="Times New Roman" w:hAnsi="Times New Roman"/>
              </w:rPr>
              <w:t xml:space="preserve">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Alternatīvā korelācijas tirdzniecības portfelī neiekļautas vērtspapīrošanas kredītriska starpības risks (</w:t>
            </w:r>
            <w:r>
              <w:rPr>
                <w:b/>
                <w:sz w:val="24"/>
                <w:i/>
                <w:rFonts w:ascii="Times New Roman" w:hAnsi="Times New Roman"/>
              </w:rPr>
              <w:t xml:space="preserve">non-ACTP CSR</w:t>
            </w:r>
            <w:r>
              <w:rPr>
                <w:b/>
                <w:sz w:val="24"/>
                <w:rFonts w:ascii="Times New Roman" w:hAnsi="Times New Roman"/>
              </w:rPr>
              <w:t xml:space="preserve">)</w:t>
            </w:r>
          </w:p>
          <w:p w14:paraId="7767EDBC" w14:textId="24BC8D91"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Saskaņā ar Regulas (ES) Nr. 575/2013 325.c panta 2. punkta a) apakšpunktu un 325.d panta 1. punkta iii) apakšpunktu.</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szCs w:val="22"/>
                <w:rFonts w:ascii="Times New Roman" w:eastAsia="Times New Roman" w:hAnsi="Times New Roman" w:cs="Times New Roman"/>
              </w:rPr>
            </w:pPr>
            <w:r>
              <w:rPr>
                <w:rFonts w:ascii="Times New Roman" w:hAnsi="Times New Roman"/>
              </w:rPr>
              <w:t xml:space="preserve">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Alternatīvā korelācijas tirdzniecības portfelī iekļautas vērtspapīrošanas kredītriska starpības risks (</w:t>
            </w:r>
            <w:r>
              <w:rPr>
                <w:b/>
                <w:sz w:val="24"/>
                <w:i/>
                <w:rFonts w:ascii="Times New Roman" w:hAnsi="Times New Roman"/>
              </w:rPr>
              <w:t xml:space="preserve">ACTP CSR</w:t>
            </w:r>
            <w:r>
              <w:rPr>
                <w:b/>
                <w:sz w:val="24"/>
                <w:rFonts w:ascii="Times New Roman" w:hAnsi="Times New Roman"/>
              </w:rPr>
              <w:t xml:space="preserve">)</w:t>
            </w:r>
          </w:p>
          <w:p w14:paraId="3E4A8A35" w14:textId="160B9A80"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Saskaņā ar Regulas (ES) Nr. 575/2013 325.c panta 2. punkta a) apakšpunktu un 325.d panta 1. punkta iv) apakšpunktu.</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Saistību neizpildes risks</w:t>
            </w:r>
          </w:p>
          <w:p w14:paraId="50AC8B96" w14:textId="24D7EC82" w:rsidR="06503780" w:rsidRPr="001F1865" w:rsidRDefault="06503780" w:rsidP="00DB0A49">
            <w:pPr>
              <w:spacing w:after="240"/>
              <w:rPr>
                <w:sz w:val="24"/>
                <w:rFonts w:ascii="Times New Roman" w:eastAsia="Times New Roman" w:hAnsi="Times New Roman" w:cs="Times New Roman"/>
              </w:rPr>
            </w:pPr>
            <w:r>
              <w:rPr>
                <w:sz w:val="24"/>
                <w:rFonts w:ascii="Times New Roman" w:hAnsi="Times New Roman"/>
              </w:rPr>
              <w:t xml:space="preserve">Saskaņā ar Regulas (ES) Nr. 575/2013 trešās daļas IV sadaļas 1.a nodaļas 5. iedaļu.</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Nevērtspapīrošana</w:t>
            </w:r>
          </w:p>
          <w:p w14:paraId="6E07A74F" w14:textId="60055B48" w:rsidR="06503780" w:rsidRPr="001F1865" w:rsidRDefault="06503780" w:rsidP="00DB0A49">
            <w:pPr>
              <w:spacing w:after="240"/>
              <w:jc w:val="both"/>
              <w:rPr>
                <w:szCs w:val="22"/>
                <w:rFonts w:ascii="Times New Roman" w:eastAsia="Times New Roman" w:hAnsi="Times New Roman" w:cs="Times New Roman"/>
              </w:rPr>
            </w:pPr>
            <w:r>
              <w:rPr>
                <w:sz w:val="24"/>
                <w:rFonts w:ascii="Times New Roman" w:hAnsi="Times New Roman"/>
              </w:rPr>
              <w:t xml:space="preserve">Saskaņā ar Regulas (ES) Nr. 575/2013 325.c panta 2. punkta b) apakšpunktu un trešās daļas IV sadaļas 1.a nodaļas 5. iedaļas 1. apakšiedaļu.</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Vērtspapīrošana, kas nav iekļauta alternatīvajā korelācijas tirdzniecības portfelī (</w:t>
            </w:r>
            <w:r>
              <w:rPr>
                <w:b/>
                <w:sz w:val="24"/>
                <w:i/>
                <w:rFonts w:ascii="Times New Roman" w:hAnsi="Times New Roman"/>
              </w:rPr>
              <w:t xml:space="preserve">non-ACTP</w:t>
            </w:r>
            <w:r>
              <w:rPr>
                <w:b/>
                <w:sz w:val="24"/>
                <w:rFonts w:ascii="Times New Roman" w:hAnsi="Times New Roman"/>
              </w:rPr>
              <w:t xml:space="preserve">)</w:t>
            </w:r>
          </w:p>
          <w:p w14:paraId="093A58C5" w14:textId="0BD66CFC" w:rsidR="06503780" w:rsidRPr="001F1865" w:rsidRDefault="06503780" w:rsidP="00DB0A49">
            <w:pPr>
              <w:spacing w:after="240"/>
              <w:jc w:val="both"/>
              <w:rPr>
                <w:szCs w:val="22"/>
                <w:rFonts w:ascii="Times New Roman" w:eastAsia="Times New Roman" w:hAnsi="Times New Roman" w:cs="Times New Roman"/>
              </w:rPr>
            </w:pPr>
            <w:r>
              <w:rPr>
                <w:sz w:val="24"/>
                <w:rFonts w:ascii="Times New Roman" w:hAnsi="Times New Roman"/>
              </w:rPr>
              <w:t xml:space="preserve">Saskaņā ar Regulas (ES) Nr. 575/2013 325.c panta 2. punkta b) apakšpunktu un trešās daļas IV sadaļas 1.a nodaļas 5. iedaļas 2. apakšiedaļu.</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Vērtspapīrošana, kas iekļauta alternatīvajā korelācijas tirdzniecības portfelī (</w:t>
            </w:r>
            <w:r>
              <w:rPr>
                <w:b/>
                <w:sz w:val="24"/>
                <w:i/>
                <w:rFonts w:ascii="Times New Roman" w:hAnsi="Times New Roman"/>
              </w:rPr>
              <w:t xml:space="preserve">ACTP</w:t>
            </w:r>
            <w:r>
              <w:rPr>
                <w:b/>
                <w:sz w:val="24"/>
                <w:rFonts w:ascii="Times New Roman" w:hAnsi="Times New Roman"/>
              </w:rPr>
              <w:t xml:space="preserve">)</w:t>
            </w:r>
          </w:p>
          <w:p w14:paraId="4F126C34" w14:textId="2E83A436" w:rsidR="06503780" w:rsidRPr="001F1865" w:rsidRDefault="06503780" w:rsidP="00DB0A49">
            <w:pPr>
              <w:spacing w:after="240"/>
              <w:jc w:val="both"/>
              <w:rPr>
                <w:szCs w:val="22"/>
                <w:rFonts w:ascii="Times New Roman" w:eastAsia="Times New Roman" w:hAnsi="Times New Roman" w:cs="Times New Roman"/>
              </w:rPr>
            </w:pPr>
            <w:r>
              <w:rPr>
                <w:sz w:val="24"/>
                <w:rFonts w:ascii="Times New Roman" w:hAnsi="Times New Roman"/>
              </w:rPr>
              <w:t xml:space="preserve">Saskaņā ar Regulas (ES) Nr. 575/2013 325.c panta 2. punkta b) apakšpunktu un trešās daļas IV sadaļas 1.a nodaļas 5. iedaļas 3. apakšiedaļu.</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Atlikušais risks</w:t>
            </w:r>
          </w:p>
          <w:p w14:paraId="3E3A6F03" w14:textId="754D8113" w:rsidR="06503780" w:rsidRPr="001F1865" w:rsidRDefault="06503780" w:rsidP="00DB0A49">
            <w:pPr>
              <w:spacing w:after="240"/>
              <w:rPr>
                <w:sz w:val="24"/>
                <w:rFonts w:ascii="Times New Roman" w:eastAsia="Times New Roman" w:hAnsi="Times New Roman" w:cs="Times New Roman"/>
              </w:rPr>
            </w:pPr>
            <w:r>
              <w:rPr>
                <w:sz w:val="24"/>
                <w:rFonts w:ascii="Times New Roman" w:hAnsi="Times New Roman"/>
              </w:rPr>
              <w:t xml:space="preserve">Regulas (ES) Nr. 575/2013 trešās daļas IV sadaļas 1.a nodaļas 4. iedaļa.</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szCs w:val="22"/>
                <w:rFonts w:ascii="Times New Roman" w:eastAsia="Times New Roman" w:hAnsi="Times New Roman" w:cs="Times New Roman"/>
              </w:rPr>
            </w:pPr>
            <w:r>
              <w:rPr>
                <w:rFonts w:ascii="Times New Roman" w:hAnsi="Times New Roman"/>
              </w:rPr>
              <w:t xml:space="preserve">EU 11.a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Eksotiski pamatā esošie riska darījumi</w:t>
            </w:r>
          </w:p>
          <w:p w14:paraId="7ED02FAC" w14:textId="7DFCBC6E" w:rsidR="06503780" w:rsidRPr="001F1865" w:rsidRDefault="06503780" w:rsidP="00DB0A49">
            <w:pPr>
              <w:spacing w:before="120" w:after="120"/>
              <w:rPr>
                <w:sz w:val="24"/>
                <w:rFonts w:ascii="Times New Roman" w:eastAsia="Times New Roman" w:hAnsi="Times New Roman" w:cs="Times New Roman"/>
              </w:rPr>
            </w:pPr>
            <w:r>
              <w:rPr>
                <w:sz w:val="24"/>
                <w:rFonts w:ascii="Times New Roman" w:hAnsi="Times New Roman"/>
              </w:rPr>
              <w:t xml:space="preserve">Saskaņā ar Regulas (ES) Nr. 575/2013 325.c panta 2. punkta c) apakšpunktu un 325.u panta 2. punkta a) apakšpunktu.</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szCs w:val="22"/>
                <w:rFonts w:ascii="Times New Roman" w:eastAsia="Times New Roman" w:hAnsi="Times New Roman" w:cs="Times New Roman"/>
              </w:rPr>
            </w:pPr>
            <w:r>
              <w:rPr>
                <w:rFonts w:ascii="Times New Roman" w:hAnsi="Times New Roman"/>
              </w:rPr>
              <w:t xml:space="preserve">EU 11.b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Citi atlikušie riski</w:t>
            </w:r>
          </w:p>
          <w:p w14:paraId="5E46032C" w14:textId="013FBB68" w:rsidR="06503780" w:rsidRPr="001F1865" w:rsidRDefault="06503780" w:rsidP="00DB0A49">
            <w:pPr>
              <w:spacing w:before="120" w:after="120"/>
              <w:rPr>
                <w:sz w:val="24"/>
                <w:rFonts w:ascii="Times New Roman" w:eastAsia="Times New Roman" w:hAnsi="Times New Roman" w:cs="Times New Roman"/>
              </w:rPr>
            </w:pPr>
            <w:r>
              <w:rPr>
                <w:sz w:val="24"/>
                <w:rFonts w:ascii="Times New Roman" w:hAnsi="Times New Roman"/>
              </w:rPr>
              <w:t xml:space="preserve">Saskaņā ar Regulas (ES) Nr. 575/2013 325.c panta 2. punkta c) apakšpunktu un 325.u panta 2. punkta b) apakšpunktu.</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Kopējās pašu kapitāla prasības (</w:t>
            </w:r>
            <w:r>
              <w:rPr>
                <w:b/>
                <w:sz w:val="24"/>
                <w:u w:val="single"/>
                <w:i/>
                <w:rFonts w:ascii="Times New Roman" w:hAnsi="Times New Roman"/>
              </w:rPr>
              <w:t xml:space="preserve">OFR</w:t>
            </w:r>
            <w:r>
              <w:rPr>
                <w:b/>
                <w:sz w:val="24"/>
                <w:u w:val="single"/>
                <w:rFonts w:ascii="Times New Roman" w:hAnsi="Times New Roman"/>
              </w:rPr>
              <w:t xml:space="preserve">)</w:t>
            </w:r>
          </w:p>
          <w:p w14:paraId="3AEB87FA" w14:textId="63F7CC8B" w:rsidR="06503780" w:rsidRDefault="002A353C" w:rsidP="06503780">
            <w:pPr>
              <w:spacing w:after="120" w:line="257" w:lineRule="auto"/>
              <w:rPr>
                <w:sz w:val="24"/>
                <w:rFonts w:ascii="Times New Roman" w:eastAsia="Times New Roman" w:hAnsi="Times New Roman" w:cs="Times New Roman"/>
              </w:rPr>
            </w:pPr>
            <w:r>
              <w:rPr>
                <w:sz w:val="24"/>
                <w:rFonts w:ascii="Times New Roman" w:hAnsi="Times New Roman"/>
              </w:rPr>
              <w:t xml:space="preserve">1.–EU 11.b rindas summa.</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Ailes burts</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Paskaidrojums</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Kopējās pašu kapitāla prasības (</w:t>
            </w:r>
            <w:r>
              <w:rPr>
                <w:b/>
                <w:sz w:val="24"/>
                <w:u w:val="single"/>
                <w:i/>
                <w:rFonts w:ascii="Times New Roman" w:hAnsi="Times New Roman"/>
              </w:rPr>
              <w:t xml:space="preserve">OFR</w:t>
            </w:r>
            <w:r>
              <w:rPr>
                <w:b/>
                <w:sz w:val="24"/>
                <w:u w:val="single"/>
                <w:rFonts w:ascii="Times New Roman" w:hAnsi="Times New Roman"/>
              </w:rPr>
              <w:t xml:space="preserve">)</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sz w:val="24"/>
                <w:rFonts w:ascii="Times New Roman" w:eastAsia="Times New Roman" w:hAnsi="Times New Roman" w:cs="Times New Roman"/>
              </w:rPr>
            </w:pPr>
            <w:r>
              <w:rPr>
                <w:sz w:val="24"/>
                <w:rFonts w:ascii="Times New Roman" w:hAnsi="Times New Roman"/>
              </w:rPr>
              <w:t xml:space="preserve">Jāatklāj informācija par pašu kapitāla prasībām, kas minētas </w:t>
            </w:r>
            <w:r>
              <w:rPr>
                <w:sz w:val="24"/>
                <w:color w:val="000000" w:themeColor="text1"/>
                <w:rFonts w:ascii="Times New Roman" w:hAnsi="Times New Roman"/>
              </w:rPr>
              <w:t xml:space="preserve">Regulas (ES) Nr. 575/2013</w:t>
            </w:r>
            <w:r>
              <w:rPr>
                <w:sz w:val="24"/>
                <w:rFonts w:ascii="Times New Roman" w:hAnsi="Times New Roman"/>
              </w:rPr>
              <w:t xml:space="preserve"> 438. panta d) punktā un kas aprēķināta kā vienkārša iepriekš 1.–EU 11.b rindā minēto vērtību summa.</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b/>
          <w:bCs/>
          <w:sz w:val="24"/>
          <w:rFonts w:ascii="Times New Roman" w:hAnsi="Times New Roman" w:cs="Times New Roman"/>
        </w:rPr>
      </w:pPr>
      <w:r>
        <w:rPr>
          <w:sz w:val="24"/>
          <w:b/>
          <w:rFonts w:ascii="Times New Roman" w:hAnsi="Times New Roman"/>
        </w:rPr>
        <w:t xml:space="preserve">Tabula EU MRB –</w:t>
      </w:r>
      <w:r>
        <w:rPr>
          <w:sz w:val="24"/>
          <w:b/>
          <w:rFonts w:ascii="Times New Roman" w:hAnsi="Times New Roman"/>
        </w:rPr>
        <w:t xml:space="preserve"> </w:t>
      </w:r>
      <w:r>
        <w:rPr>
          <w:sz w:val="24"/>
          <w:b/>
          <w:rFonts w:ascii="Times New Roman" w:hAnsi="Times New Roman"/>
        </w:rPr>
        <w:t xml:space="preserve">Kvalitatīvās informācijas atklāšanas prasības iestādēm, kas izmanto alternatīvo iekšējā modeļa pieeju.</w:t>
      </w:r>
      <w:r>
        <w:rPr>
          <w:sz w:val="24"/>
          <w:rFonts w:ascii="Times New Roman" w:hAnsi="Times New Roman"/>
        </w:rPr>
        <w:t xml:space="preserve"> </w:t>
      </w:r>
      <w:r>
        <w:rPr>
          <w:sz w:val="24"/>
          <w:rFonts w:ascii="Times New Roman" w:hAnsi="Times New Roman"/>
        </w:rPr>
        <w:t xml:space="preserve">Brīvteksta formāts.</w:t>
      </w:r>
    </w:p>
    <w:p w14:paraId="32EDF34C" w14:textId="442D1C01" w:rsidR="00931C32" w:rsidRPr="001F1865" w:rsidRDefault="00931C32" w:rsidP="00DB0A49">
      <w:pPr>
        <w:pStyle w:val="Titlelevel2"/>
        <w:numPr>
          <w:ilvl w:val="0"/>
          <w:numId w:val="4"/>
        </w:numPr>
        <w:spacing w:before="0"/>
        <w:ind w:left="284" w:hanging="284"/>
        <w:jc w:val="both"/>
        <w:rPr>
          <w:b/>
          <w:sz w:val="24"/>
          <w:rFonts w:ascii="Times New Roman" w:hAnsi="Times New Roman" w:cs="Times New Roman"/>
        </w:rPr>
      </w:pPr>
      <w:r>
        <w:rPr>
          <w:color w:val="000000" w:themeColor="text1"/>
          <w:sz w:val="24"/>
          <w:rFonts w:ascii="Times New Roman" w:hAnsi="Times New Roman"/>
        </w:rPr>
        <w:t xml:space="preserve">Iestādes atklāj Regulas (ES) Nr. 575/2013 455. panta a)–f) punktā minēto informāciju, ievērojot turpmāk šajā pielikumā sniegtos norādījumus, lai aizpildītu XXIX pielikumā ietverto tabulu EU MRB.</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Rindas numurs</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Paskaidrojums</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sz w:val="24"/>
                <w:rFonts w:ascii="Times New Roman" w:eastAsia="Times New Roman" w:hAnsi="Times New Roman" w:cs="Times New Roman"/>
              </w:rPr>
            </w:pPr>
            <w:r>
              <w:rPr>
                <w:sz w:val="24"/>
                <w:rFonts w:ascii="Times New Roman" w:hAnsi="Times New Roman"/>
              </w:rPr>
              <w:t xml:space="preserve">Atklājot Regulas (ES) Nr. 575/2013 455. panta 1.a punktā minēto informāciju par alternatīviem tirgus riska iekšējiem modeļiem, iestādes apraksta:</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sz w:val="24"/>
                <w:rFonts w:ascii="Times New Roman" w:hAnsi="Times New Roman" w:cs="Times New Roman"/>
              </w:rPr>
            </w:pPr>
            <w:r>
              <w:rPr>
                <w:sz w:val="24"/>
                <w:rFonts w:ascii="Times New Roman" w:hAnsi="Times New Roman"/>
              </w:rPr>
              <w:t xml:space="preserve">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sz w:val="24"/>
                <w:rFonts w:ascii="Times New Roman" w:eastAsia="Times New Roman" w:hAnsi="Times New Roman" w:cs="Times New Roman"/>
              </w:rPr>
            </w:pPr>
            <w:r>
              <w:rPr>
                <w:color w:val="000000" w:themeColor="text1"/>
                <w:sz w:val="24"/>
                <w:rFonts w:ascii="Times New Roman" w:hAnsi="Times New Roman"/>
              </w:rPr>
              <w:t xml:space="preserve">vadības mērķus attiecībā uz tirdzniecības darbībām, kā arī īstenotos procesus, ar kuriem nosaka, novērtē, uzrauga un kontrolē iestādes tirgus risku.</w:t>
            </w:r>
            <w:r>
              <w:rPr>
                <w:color w:val="000000" w:themeColor="text1"/>
                <w:sz w:val="24"/>
                <w:rFonts w:ascii="Times New Roman" w:hAnsi="Times New Roman"/>
              </w:rPr>
              <w:t xml:space="preserve"> </w:t>
            </w:r>
            <w:r>
              <w:rPr>
                <w:color w:val="000000" w:themeColor="text1"/>
                <w:sz w:val="24"/>
                <w:rFonts w:ascii="Times New Roman" w:hAnsi="Times New Roman"/>
              </w:rPr>
              <w:t xml:space="preserve">Šo informāciju var sniegt, sniedzot mijnorādes uz tabulu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sz w:val="24"/>
                <w:rFonts w:ascii="Times New Roman" w:hAnsi="Times New Roman" w:cs="Times New Roman"/>
              </w:rPr>
            </w:pPr>
            <w:r>
              <w:rPr>
                <w:sz w:val="24"/>
                <w:rFonts w:ascii="Times New Roman" w:hAnsi="Times New Roman"/>
              </w:rPr>
              <w:t xml:space="preserve">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sz w:val="24"/>
                <w:rFonts w:ascii="Times New Roman" w:eastAsia="Times New Roman" w:hAnsi="Times New Roman" w:cs="Times New Roman"/>
              </w:rPr>
            </w:pPr>
            <w:r>
              <w:rPr>
                <w:color w:val="000000" w:themeColor="text1"/>
                <w:sz w:val="24"/>
                <w:rFonts w:ascii="Times New Roman" w:hAnsi="Times New Roman"/>
              </w:rPr>
              <w:t xml:space="preserve">politiku, kas minēta 104. panta 1. punktā, attiecībā uz to, kā noteikt, kura pozīcija jāiekļauj tirdzniecības portfelī.</w:t>
            </w:r>
            <w:r>
              <w:rPr>
                <w:color w:val="000000" w:themeColor="text1"/>
                <w:sz w:val="24"/>
                <w:rFonts w:ascii="Times New Roman" w:hAnsi="Times New Roman"/>
              </w:rPr>
              <w:t xml:space="preserve"> </w:t>
            </w:r>
            <w:r>
              <w:rPr>
                <w:color w:val="000000" w:themeColor="text1"/>
                <w:sz w:val="24"/>
                <w:rFonts w:ascii="Times New Roman" w:hAnsi="Times New Roman"/>
              </w:rPr>
              <w:t xml:space="preserve">Šo informāciju var sniegt, sniedzot mijnorādes uz tabulu EU MRA;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sz w:val="24"/>
                <w:rFonts w:ascii="Times New Roman" w:hAnsi="Times New Roman" w:cs="Times New Roman"/>
              </w:rPr>
            </w:pPr>
            <w:r>
              <w:rPr>
                <w:sz w:val="24"/>
                <w:rFonts w:ascii="Times New Roman" w:hAnsi="Times New Roman"/>
              </w:rPr>
              <w:t xml:space="preserve">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sz w:val="24"/>
                <w:rFonts w:ascii="Times New Roman" w:eastAsia="Times New Roman" w:hAnsi="Times New Roman" w:cs="Times New Roman"/>
              </w:rPr>
            </w:pPr>
            <w:r>
              <w:rPr>
                <w:color w:val="000000" w:themeColor="text1"/>
                <w:sz w:val="24"/>
                <w:rFonts w:ascii="Times New Roman" w:hAnsi="Times New Roman"/>
              </w:rPr>
              <w:t xml:space="preserve">tirgus riska pārvaldības funkcijas un pārvaldības struktūru un organizāciju;</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(A) (B) Vispārīgs apraksts par tirdzniecības nodaļas struktūru un </w:t>
            </w:r>
            <w:r>
              <w:rPr>
                <w:color w:val="000000" w:themeColor="text1"/>
                <w:sz w:val="24"/>
                <w:i/>
                <w:rFonts w:ascii="Times New Roman" w:hAnsi="Times New Roman"/>
              </w:rPr>
              <w:t xml:space="preserve">AIMA</w:t>
            </w:r>
            <w:r>
              <w:rPr>
                <w:color w:val="000000" w:themeColor="text1"/>
                <w:sz w:val="24"/>
                <w:rFonts w:ascii="Times New Roman" w:hAnsi="Times New Roman"/>
              </w:rPr>
              <w:t xml:space="preserve"> tirdzniecības nodaļā iekļauto instrumentu veidiem saskaņā ar Regulas (ES) Nr. 575/2013 455. panta 1. punkta c) un d) apakšpunktu.</w:t>
            </w:r>
            <w:r>
              <w:rPr>
                <w:color w:val="000000" w:themeColor="text1"/>
                <w:sz w:val="24"/>
                <w:rFonts w:ascii="Times New Roman" w:hAnsi="Times New Roman"/>
              </w:rPr>
              <w:t xml:space="preserve">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sz w:val="24"/>
                <w:rFonts w:ascii="Times New Roman" w:hAnsi="Times New Roman" w:cs="Times New Roman"/>
              </w:rPr>
            </w:pPr>
            <w:r>
              <w:rPr>
                <w:sz w:val="24"/>
                <w:rFonts w:ascii="Times New Roman" w:hAnsi="Times New Roman"/>
              </w:rPr>
              <w:t xml:space="preserve">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sz w:val="24"/>
                <w:rFonts w:ascii="Times New Roman" w:eastAsia="Times New Roman" w:hAnsi="Times New Roman" w:cs="Times New Roman"/>
              </w:rPr>
            </w:pPr>
            <w:r>
              <w:rPr>
                <w:color w:val="000000" w:themeColor="text1"/>
                <w:sz w:val="24"/>
                <w:rFonts w:ascii="Times New Roman" w:hAnsi="Times New Roman"/>
              </w:rPr>
              <w:t xml:space="preserve">Atklājot Regulas (ES) Nr. 575/2013 455. panta 1. punkta c) apakšpunktā minēto informāciju, iestādes sniedz vispārīgu aprakstu par to tirdzniecības nodaļu struktūru, uz kurām attiecas 325.az pantā minētie iekšējie modeļi, tajā skaitā par katru nodaļu – vispārīgu aprakstu par nodaļas darījumdarbības stratēģiju, tajā atļautajiem instrumentiem un galvenajiem riska veidiem saistībā ar minēto nodaļu.</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sz w:val="24"/>
                <w:rFonts w:ascii="Times New Roman" w:eastAsia="Times New Roman" w:hAnsi="Times New Roman" w:cs="Times New Roman"/>
              </w:rPr>
            </w:pPr>
            <w:r>
              <w:rPr>
                <w:color w:val="000000" w:themeColor="text1"/>
                <w:sz w:val="24"/>
                <w:rFonts w:ascii="Times New Roman" w:hAnsi="Times New Roman"/>
              </w:rPr>
              <w:t xml:space="preserve">Atklājot Regulas (ES) Nr. 575/2013 455. panta 1. punkta d) apakšpunktā minēto informāciju, iestādes sniedz vispārēju pārskatu par tirdzniecības portfeļa pozīcijām, uz kurām neattiecas 325.az pantā minētie iekšējie modeļi, tajā skaitā vispārīgu aprakstu par nodaļas struktūru un instrumentu veidiem, kas iekļauti nodaļās vai nodaļu kategorijās saskaņā ar 104.b pantu.</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B) C) E) Konsolidētā līmenī izmantoto modeļu galveno raksturlielumu apraksts, tajā skaitā modeļu un modelēšanas procesu validēšanā izmantotās pieejas.</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sz w:val="24"/>
                <w:rFonts w:ascii="Times New Roman" w:hAnsi="Times New Roman" w:cs="Times New Roman"/>
              </w:rPr>
            </w:pPr>
            <w:r>
              <w:rPr>
                <w:sz w:val="24"/>
                <w:rFonts w:ascii="Times New Roman" w:hAnsi="Times New Roman"/>
              </w:rPr>
              <w:t xml:space="preserve">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50F8DFA" w:rsidR="007E7D7A" w:rsidRPr="00DB0A49" w:rsidDel="00671C85" w:rsidRDefault="001D2F69" w:rsidP="0BE40342">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Atklājot Regulas (ES) Nr. 575/2013 455. panta 1. punkta f) apakšpunkta i) punktā minēto informāciju, iestādes sniedz:</w:t>
            </w:r>
            <w:r>
              <w:rPr>
                <w:color w:val="000000" w:themeColor="text1"/>
                <w:sz w:val="24"/>
                <w:rFonts w:ascii="Times New Roman" w:hAnsi="Times New Roman"/>
              </w:rPr>
              <w:t xml:space="preserve">  </w:t>
            </w:r>
            <w:r>
              <w:rPr>
                <w:color w:val="000000" w:themeColor="text1"/>
                <w:sz w:val="24"/>
                <w:rFonts w:ascii="Times New Roman" w:hAnsi="Times New Roman"/>
              </w:rPr>
              <w:t xml:space="preserve">aprakstu par dažādu Regulas (ES) Nr. 575/2013 325.az pantā minēto iekšējo modeļu darbības jomu, galvenās iezīmes un galvenās modelēšanas izvēles, ko izmanto, lai aprēķinātu riska darījumu vērtības galvenajiem konsolidētajā līmenī izmantotajiem modeļiem, un aprakstu par to, cik lielā mērā šie iekšējie modeļi atspoguļo visus konsolidētajā līmenī izmantotos modeļus, tajā skaitā attiecīgā gadījumā:</w:t>
            </w:r>
            <w:r>
              <w:rPr>
                <w:color w:val="000000" w:themeColor="text1"/>
                <w:sz w:val="24"/>
                <w:rFonts w:ascii="Times New Roman" w:hAnsi="Times New Roman"/>
              </w:rPr>
              <w:t xml:space="preserve"> </w:t>
            </w:r>
            <w:r>
              <w:rPr>
                <w:color w:val="000000" w:themeColor="text1"/>
                <w:sz w:val="24"/>
                <w:rFonts w:ascii="Times New Roman" w:hAnsi="Times New Roman"/>
              </w:rPr>
              <w:t xml:space="preserve">i) vispārīgu aprakstu par modelēšanas pieeju, ko izmanto, lai aprēķinātu </w:t>
            </w:r>
            <w:r>
              <w:rPr>
                <w:color w:val="000000" w:themeColor="text1"/>
                <w:sz w:val="24"/>
                <w:i/>
                <w:rFonts w:ascii="Times New Roman" w:hAnsi="Times New Roman"/>
              </w:rPr>
              <w:t xml:space="preserve">CRR</w:t>
            </w:r>
            <w:r>
              <w:rPr>
                <w:color w:val="000000" w:themeColor="text1"/>
                <w:sz w:val="24"/>
                <w:rFonts w:ascii="Times New Roman" w:hAnsi="Times New Roman"/>
              </w:rPr>
              <w:t xml:space="preserve"> 325.ba panta 1. punkta a) apakšpunktā minēto sagaidāmo iztrūkumu, tajā skaitā datu atjaunināšanas biežumu.</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sz w:val="24"/>
                <w:rFonts w:ascii="Times New Roman" w:hAnsi="Times New Roman" w:cs="Times New Roman"/>
              </w:rPr>
            </w:pPr>
            <w:r>
              <w:rPr>
                <w:sz w:val="24"/>
                <w:rFonts w:ascii="Times New Roman" w:hAnsi="Times New Roman"/>
              </w:rPr>
              <w:t xml:space="preserve">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Atklājot informāciju par riska darījumiem, kas minēti Regulas (ES) Nr. 575/2013 455. panta 1. punkta f) apakšpunkta ii) punktā, iestādes attiecīgā gadījumā sniedz:</w:t>
            </w:r>
            <w:r>
              <w:rPr>
                <w:color w:val="000000" w:themeColor="text1"/>
                <w:sz w:val="24"/>
                <w:rFonts w:ascii="Times New Roman" w:hAnsi="Times New Roman"/>
              </w:rPr>
              <w:t xml:space="preserve"> </w:t>
            </w:r>
            <w:r>
              <w:rPr>
                <w:color w:val="000000" w:themeColor="text1"/>
                <w:sz w:val="24"/>
                <w:rFonts w:ascii="Times New Roman" w:hAnsi="Times New Roman"/>
              </w:rPr>
              <w:t xml:space="preserve">vispārīgu aprakstu par Regulas (ES) Nr. 575/2013 325.ba panta 1. punkta b) apakšpunktā minētā stresa scenārija riska mēra aprēķināšanai izmantoto metodiku, izņemot Regulas (ES) Nr. 575/2013 325.bk panta 3. punktā minētās specifikācijas.</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D) Iekšējo modeļu apraksts saistību nepildīšanas riska kapitāla prasības aprēķināšanai</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sz w:val="24"/>
                <w:rFonts w:ascii="Times New Roman" w:hAnsi="Times New Roman"/>
              </w:rPr>
            </w:pPr>
            <w:r>
              <w:rPr>
                <w:sz w:val="24"/>
                <w:rFonts w:ascii="Times New Roman" w:hAnsi="Times New Roman"/>
              </w:rPr>
              <w:t xml:space="preserve">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Atklājot informāciju, kas minēta Regulas (ES) Nr. 575/2013 455. panta 1. punkta f) apakšpunkta iii) punktā, iestāde attiecīgā gadījumā iekļauj:</w:t>
            </w:r>
            <w:r>
              <w:rPr>
                <w:color w:val="000000" w:themeColor="text1"/>
                <w:sz w:val="24"/>
                <w:rFonts w:ascii="Times New Roman" w:hAnsi="Times New Roman"/>
              </w:rPr>
              <w:t xml:space="preserve"> </w:t>
            </w:r>
            <w:r>
              <w:rPr>
                <w:color w:val="000000" w:themeColor="text1"/>
                <w:sz w:val="24"/>
                <w:rFonts w:ascii="Times New Roman" w:hAnsi="Times New Roman"/>
              </w:rPr>
              <w:t xml:space="preserve">vispārīgu aprakstu par modelēšanas pieeju, ko izmanto, lai aprēķinātu Regulas (ES) Nr. 575/2013 325.ba panta 2. punktā minēto saistību nepildīšanas riska kapitāla prasību, tajā skaitā norādot datu atjaunināšanas biežumu.</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color w:val="auto"/>
          <w:sz w:val="24"/>
          <w:rFonts w:ascii="Times New Roman" w:hAnsi="Times New Roman" w:cs="Times New Roman"/>
        </w:rPr>
      </w:pPr>
      <w:r>
        <w:rPr>
          <w:color w:val="auto"/>
          <w:sz w:val="24"/>
          <w:b/>
          <w:rFonts w:ascii="Times New Roman" w:hAnsi="Times New Roman"/>
        </w:rPr>
        <w:t xml:space="preserve">Veidne EU MR2 – Tirgus risks atbilstoši alternatīvu iekšējo modeļu pieejai (</w:t>
      </w:r>
      <w:r>
        <w:rPr>
          <w:color w:val="auto"/>
          <w:sz w:val="24"/>
          <w:b/>
          <w:i/>
          <w:rFonts w:ascii="Times New Roman" w:hAnsi="Times New Roman"/>
        </w:rPr>
        <w:t xml:space="preserve">AIMA</w:t>
      </w:r>
      <w:r>
        <w:rPr>
          <w:color w:val="auto"/>
          <w:sz w:val="24"/>
          <w:b/>
          <w:rFonts w:ascii="Times New Roman" w:hAnsi="Times New Roman"/>
        </w:rPr>
        <w:t xml:space="preserve">).</w:t>
      </w:r>
      <w:r>
        <w:rPr>
          <w:color w:val="auto"/>
          <w:sz w:val="24"/>
          <w:rFonts w:ascii="Times New Roman" w:hAnsi="Times New Roman"/>
        </w:rPr>
        <w:t xml:space="preserve"> </w:t>
      </w:r>
      <w:r>
        <w:rPr>
          <w:color w:val="auto"/>
          <w:sz w:val="24"/>
          <w:rFonts w:ascii="Times New Roman" w:hAnsi="Times New Roman"/>
        </w:rPr>
        <w:t xml:space="preserve">Fiksēts formāts.</w:t>
      </w:r>
    </w:p>
    <w:p w14:paraId="2D64DF36" w14:textId="6604692C" w:rsidR="00931C32" w:rsidRPr="00DB0A49" w:rsidRDefault="00931C32" w:rsidP="00DB0A49">
      <w:pPr>
        <w:pStyle w:val="Titlelevel2"/>
        <w:numPr>
          <w:ilvl w:val="0"/>
          <w:numId w:val="4"/>
        </w:numPr>
        <w:spacing w:before="0"/>
        <w:ind w:left="284" w:hanging="284"/>
        <w:jc w:val="both"/>
        <w:rPr>
          <w:color w:val="auto"/>
          <w:sz w:val="24"/>
          <w:rFonts w:ascii="Times New Roman" w:eastAsiaTheme="minorEastAsia" w:hAnsi="Times New Roman" w:cs="Times New Roman"/>
        </w:rPr>
      </w:pPr>
      <w:r>
        <w:rPr>
          <w:sz w:val="24"/>
          <w:color w:val="000000" w:themeColor="text1"/>
          <w:rFonts w:ascii="Times New Roman" w:hAnsi="Times New Roman"/>
        </w:rPr>
        <w:t xml:space="preserve">Iestādes atklāj Regulas (ES) Nr. 575/2013 455. panta 2. punktā minēto informāciju, ievērojot turpmāk šajā pielikumā sniegtos norādījumus, lai aizpildītu veidni EU MR2, kas ietverta EBI IT risinājumu XXIX pielikumā.</w:t>
      </w:r>
      <w:r>
        <w:rPr>
          <w:sz w:val="24"/>
          <w:color w:val="000000" w:themeColor="text1"/>
          <w:rFonts w:ascii="Times New Roman" w:hAnsi="Times New Roman"/>
        </w:rPr>
        <w:t xml:space="preserve"> </w:t>
      </w:r>
      <w:r>
        <w:rPr>
          <w:sz w:val="24"/>
          <w:color w:val="auto"/>
          <w:rFonts w:ascii="Times New Roman" w:hAnsi="Times New Roman"/>
        </w:rPr>
        <w:t xml:space="preserve">Iestādes šajā veidnē nenorāda datus par savu iekšējo riska pārvešanas (</w:t>
      </w:r>
      <w:r>
        <w:rPr>
          <w:sz w:val="24"/>
          <w:color w:val="auto"/>
          <w:i/>
          <w:iCs/>
          <w:rFonts w:ascii="Times New Roman" w:hAnsi="Times New Roman"/>
        </w:rPr>
        <w:t xml:space="preserve">IRT</w:t>
      </w:r>
      <w:r>
        <w:rPr>
          <w:sz w:val="24"/>
          <w:color w:val="auto"/>
          <w:rFonts w:ascii="Times New Roman" w:hAnsi="Times New Roman"/>
        </w:rPr>
        <w:t xml:space="preserve">) nodaļu.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Rindas numurs</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Paskaidrojums</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sz w:val="24"/>
                <w:rFonts w:ascii="Times New Roman" w:eastAsia="Times New Roman" w:hAnsi="Times New Roman" w:cs="Times New Roman"/>
              </w:rPr>
            </w:pPr>
            <w:r>
              <w:rPr>
                <w:sz w:val="24"/>
                <w:rFonts w:ascii="Times New Roman" w:hAnsi="Times New Roman"/>
              </w:rPr>
              <w:t xml:space="preserve">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b/>
                <w:bCs/>
                <w:sz w:val="24"/>
                <w:rFonts w:ascii="Times New Roman" w:eastAsia="Times New Roman" w:hAnsi="Times New Roman" w:cs="Times New Roman"/>
              </w:rPr>
            </w:pPr>
            <w:r>
              <w:rPr>
                <w:b/>
                <w:sz w:val="24"/>
                <w:rFonts w:ascii="Times New Roman" w:hAnsi="Times New Roman"/>
              </w:rPr>
              <w:t xml:space="preserve">Neierobežotais sagaidāmā iztrūkuma mērs (</w:t>
            </w:r>
            <w:r>
              <w:rPr>
                <w:b/>
                <w:sz w:val="24"/>
                <w:i/>
                <w:rFonts w:ascii="Times New Roman" w:hAnsi="Times New Roman"/>
              </w:rPr>
              <w:t xml:space="preserve">UESt</w:t>
            </w:r>
            <w:r>
              <w:rPr>
                <w:b/>
                <w:sz w:val="24"/>
                <w:rFonts w:ascii="Times New Roman" w:hAnsi="Times New Roman"/>
              </w:rPr>
              <w:t xml:space="preserve">)</w:t>
            </w:r>
          </w:p>
          <w:p w14:paraId="1E53AB6F" w14:textId="2D37B3D8" w:rsidR="3E91330B" w:rsidRPr="00DB0A49" w:rsidRDefault="3BB31265" w:rsidP="140F9DE1">
            <w:pPr>
              <w:rPr>
                <w:sz w:val="24"/>
                <w:rFonts w:ascii="Times New Roman" w:eastAsia="Times New Roman" w:hAnsi="Times New Roman" w:cs="Times New Roman"/>
              </w:rPr>
            </w:pPr>
            <w:r>
              <w:rPr>
                <w:sz w:val="24"/>
                <w:rFonts w:ascii="Times New Roman" w:hAnsi="Times New Roman"/>
              </w:rPr>
              <w:t xml:space="preserve">Atklāto vērtību aprēķina kopējā portfeļa līmenī, nevis plašas riska kategorijas līmenī saskaņā ar Regulas (ES) Nr. 575/2013 325.bb un 325.bc pantu.</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sz w:val="24"/>
                <w:rFonts w:ascii="Times New Roman" w:eastAsia="Times New Roman" w:hAnsi="Times New Roman" w:cs="Times New Roman"/>
              </w:rPr>
            </w:pPr>
            <w:r>
              <w:rPr>
                <w:sz w:val="24"/>
                <w:rFonts w:ascii="Times New Roman" w:hAnsi="Times New Roman"/>
              </w:rPr>
              <w:t xml:space="preserve">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b/>
                <w:bCs/>
                <w:sz w:val="24"/>
                <w:rFonts w:ascii="Times New Roman" w:eastAsia="Times New Roman" w:hAnsi="Times New Roman" w:cs="Times New Roman"/>
              </w:rPr>
            </w:pPr>
            <w:r>
              <w:rPr>
                <w:b/>
                <w:sz w:val="24"/>
                <w:rFonts w:ascii="Times New Roman" w:hAnsi="Times New Roman"/>
              </w:rPr>
              <w:t xml:space="preserve">Neierobežotais sagaidāmā iztrūkuma mērs procentu likmes riska kategorijas riska faktoram</w:t>
            </w:r>
          </w:p>
          <w:p w14:paraId="39E48A15" w14:textId="5243BB2A" w:rsidR="40EE3118" w:rsidRPr="00DB0A49" w:rsidRDefault="749F8553" w:rsidP="0BE40342">
            <w:pPr>
              <w:rPr>
                <w:sz w:val="24"/>
                <w:rFonts w:ascii="Times New Roman" w:eastAsia="Times New Roman" w:hAnsi="Times New Roman" w:cs="Times New Roman"/>
              </w:rPr>
            </w:pPr>
            <w:r>
              <w:rPr>
                <w:sz w:val="24"/>
                <w:rFonts w:ascii="Times New Roman" w:hAnsi="Times New Roman"/>
              </w:rPr>
              <w:t xml:space="preserve">Procentu likmes riska kategorijas riska faktoru atklāto vērtību aprēķina saskaņā ar Regulas (ES) Nr. 575/2013 325.bb, 325.bc un 325.bd pantu.</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sz w:val="24"/>
                <w:rFonts w:ascii="Times New Roman" w:eastAsia="Times New Roman" w:hAnsi="Times New Roman" w:cs="Times New Roman"/>
              </w:rPr>
            </w:pPr>
            <w:r>
              <w:rPr>
                <w:sz w:val="24"/>
                <w:rFonts w:ascii="Times New Roman" w:hAnsi="Times New Roman"/>
              </w:rPr>
              <w:t xml:space="preserve">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32D0F810" w:rsidR="00234F41" w:rsidRPr="00AA44B0" w:rsidRDefault="471075D0" w:rsidP="140F9DE1">
            <w:pPr>
              <w:rPr>
                <w:b/>
                <w:bCs/>
                <w:sz w:val="24"/>
                <w:rFonts w:ascii="Times New Roman" w:eastAsia="Times New Roman" w:hAnsi="Times New Roman" w:cs="Times New Roman"/>
              </w:rPr>
            </w:pPr>
            <w:r>
              <w:rPr>
                <w:sz w:val="24"/>
                <w:b/>
                <w:rFonts w:ascii="Times New Roman" w:hAnsi="Times New Roman"/>
              </w:rPr>
              <w:t xml:space="preserve">Neierobežotais sagaidāmā iztrūkuma mērs kapitāla vērtspapīru riska kategorijas riska faktoram</w:t>
            </w:r>
            <w:r>
              <w:rPr>
                <w:sz w:val="24"/>
                <w:rFonts w:ascii="Times New Roman" w:hAnsi="Times New Roman"/>
              </w:rPr>
              <w:t xml:space="preserve">  </w:t>
            </w:r>
          </w:p>
          <w:p w14:paraId="4E1BA488" w14:textId="705548F0" w:rsidR="00234F41" w:rsidRPr="00DB0A49" w:rsidRDefault="7A25B94F" w:rsidP="140F9DE1">
            <w:pPr>
              <w:rPr>
                <w:b/>
                <w:bCs/>
                <w:color w:val="444444"/>
                <w:sz w:val="24"/>
                <w:rFonts w:ascii="Times New Roman" w:eastAsia="Times New Roman" w:hAnsi="Times New Roman" w:cs="Times New Roman"/>
              </w:rPr>
            </w:pPr>
            <w:r>
              <w:rPr>
                <w:sz w:val="24"/>
                <w:rFonts w:ascii="Times New Roman" w:hAnsi="Times New Roman"/>
              </w:rPr>
              <w:t xml:space="preserve">Kapitāla vērtspapīru riska kategorijas riska faktoru atklāto vērtību aprēķina saskaņā ar Regulas (ES) Nr. 575/2013 325.bb, 325.bc un 325.bd pantu.</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sz w:val="24"/>
                <w:rFonts w:ascii="Times New Roman" w:eastAsia="Times New Roman" w:hAnsi="Times New Roman" w:cs="Times New Roman"/>
              </w:rPr>
            </w:pPr>
            <w:r>
              <w:rPr>
                <w:sz w:val="24"/>
                <w:rFonts w:ascii="Times New Roman" w:hAnsi="Times New Roman"/>
              </w:rPr>
              <w:t xml:space="preserve">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sz w:val="24"/>
                <w:rFonts w:ascii="Times New Roman" w:eastAsia="Times New Roman" w:hAnsi="Times New Roman" w:cs="Times New Roman"/>
              </w:rPr>
            </w:pPr>
            <w:r>
              <w:rPr>
                <w:sz w:val="24"/>
                <w:b/>
                <w:rFonts w:ascii="Times New Roman" w:hAnsi="Times New Roman"/>
              </w:rPr>
              <w:t xml:space="preserve">Neierobežotais sagaidāmā iztrūkuma mērs preču riska kategorijas riska faktoram</w:t>
            </w:r>
            <w:r>
              <w:rPr>
                <w:sz w:val="24"/>
                <w:rFonts w:ascii="Times New Roman" w:hAnsi="Times New Roman"/>
              </w:rPr>
              <w:t xml:space="preserve"> </w:t>
            </w:r>
          </w:p>
          <w:p w14:paraId="70BA8462" w14:textId="47AECB7A" w:rsidR="00B86E1A" w:rsidRPr="00DB0A49" w:rsidRDefault="05EA5842" w:rsidP="140F9DE1">
            <w:pPr>
              <w:rPr>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Preču riska kategorijas riska faktoru atklāto vērtību aprēķina saskaņā ar Regulas (ES) Nr. 575/2013 325.bb, 325.bc un 325.bd pantu.</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sz w:val="24"/>
                <w:rFonts w:ascii="Times New Roman" w:eastAsia="Times New Roman" w:hAnsi="Times New Roman" w:cs="Times New Roman"/>
              </w:rPr>
            </w:pPr>
            <w:r>
              <w:rPr>
                <w:sz w:val="24"/>
                <w:rFonts w:ascii="Times New Roman" w:hAnsi="Times New Roman"/>
              </w:rPr>
              <w:t xml:space="preserve">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b/>
                <w:bCs/>
                <w:sz w:val="24"/>
                <w:rFonts w:ascii="Times New Roman" w:eastAsia="Times New Roman" w:hAnsi="Times New Roman" w:cs="Times New Roman"/>
              </w:rPr>
            </w:pPr>
            <w:r>
              <w:rPr>
                <w:b/>
                <w:sz w:val="24"/>
                <w:rFonts w:ascii="Times New Roman" w:hAnsi="Times New Roman"/>
              </w:rPr>
              <w:t xml:space="preserve">Neierobežotais sagaidāmā iztrūkuma mērs ārvalstu valūtas riska kategorijas riska faktoram</w:t>
            </w:r>
          </w:p>
          <w:p w14:paraId="1880B223" w14:textId="34F16589" w:rsidR="002F3022" w:rsidRPr="00DB0A49" w:rsidRDefault="1F3BA536" w:rsidP="140F9DE1">
            <w:pPr>
              <w:rPr>
                <w:sz w:val="24"/>
                <w:rFonts w:ascii="Times New Roman" w:eastAsia="Times New Roman" w:hAnsi="Times New Roman" w:cs="Times New Roman"/>
              </w:rPr>
            </w:pPr>
            <w:r>
              <w:rPr>
                <w:sz w:val="24"/>
                <w:b/>
                <w:color w:val="44444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Ārvalstu valūtas riska kategorijas riska faktoru atklāto vērtību aprēķina saskaņā ar Regulas (ES) Nr. 575/2013 325.bb, 325.bc un 325.bd pantu.</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sz w:val="24"/>
                <w:rFonts w:ascii="Times New Roman" w:eastAsia="Times New Roman" w:hAnsi="Times New Roman" w:cs="Times New Roman"/>
              </w:rPr>
            </w:pPr>
            <w:r>
              <w:rPr>
                <w:sz w:val="24"/>
                <w:rFonts w:ascii="Times New Roman" w:hAnsi="Times New Roman"/>
              </w:rPr>
              <w:t xml:space="preserve">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sz w:val="24"/>
                <w:rFonts w:ascii="Times New Roman" w:eastAsia="Times New Roman" w:hAnsi="Times New Roman" w:cs="Times New Roman"/>
              </w:rPr>
            </w:pPr>
            <w:r>
              <w:rPr>
                <w:b/>
                <w:sz w:val="24"/>
                <w:rFonts w:ascii="Times New Roman" w:hAnsi="Times New Roman"/>
              </w:rPr>
              <w:t xml:space="preserve">Neierobežotais sagaidāmā iztrūkuma mērs kredītriska starpības riska kategorijas riska faktoram</w:t>
            </w:r>
            <w:r>
              <w:rPr>
                <w:b/>
                <w:sz w:val="24"/>
                <w:rFonts w:ascii="Times New Roman" w:hAnsi="Times New Roman"/>
              </w:rPr>
              <w:t xml:space="preserve"> </w:t>
            </w:r>
          </w:p>
          <w:p w14:paraId="5C567B92" w14:textId="2263B6AC" w:rsidR="00234F41" w:rsidRPr="00DB0A49" w:rsidRDefault="79641B5E" w:rsidP="140F9DE1">
            <w:pPr>
              <w:rPr>
                <w:sz w:val="24"/>
                <w:rFonts w:ascii="Times New Roman" w:eastAsia="Times New Roman" w:hAnsi="Times New Roman" w:cs="Times New Roman"/>
              </w:rPr>
            </w:pPr>
            <w:r>
              <w:rPr>
                <w:sz w:val="24"/>
                <w:rFonts w:ascii="Times New Roman" w:hAnsi="Times New Roman"/>
              </w:rPr>
              <w:t xml:space="preserve">Kredītriska starpības riska kategorijas riska faktoru atklāto vērtību aprēķina saskaņā ar Regulas (ES) Nr. 575/2013 325.bb, 325.bc un 325.bd pantu.</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sz w:val="24"/>
                <w:rFonts w:ascii="Times New Roman" w:eastAsia="Times New Roman" w:hAnsi="Times New Roman" w:cs="Times New Roman"/>
              </w:rPr>
            </w:pPr>
            <w:r>
              <w:rPr>
                <w:sz w:val="24"/>
                <w:rFonts w:ascii="Times New Roman" w:hAnsi="Times New Roman"/>
              </w:rPr>
              <w:t xml:space="preserve">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sz w:val="24"/>
                <w:rFonts w:ascii="Times New Roman" w:eastAsia="Times New Roman" w:hAnsi="Times New Roman" w:cs="Times New Roman"/>
              </w:rPr>
            </w:pPr>
            <w:r>
              <w:rPr>
                <w:sz w:val="24"/>
                <w:b/>
                <w:rFonts w:ascii="Times New Roman" w:hAnsi="Times New Roman"/>
              </w:rPr>
              <w:t xml:space="preserve">Neierobežotā sagaidāmā iztrūkuma mēra summa vispārīgām riska faktoru kategorijām</w:t>
            </w:r>
            <w:r>
              <w:rPr>
                <w:sz w:val="24"/>
                <w:rFonts w:ascii="Times New Roman" w:hAnsi="Times New Roman"/>
              </w:rPr>
              <w:t xml:space="preserve"> (∑UES</w:t>
            </w:r>
            <w:r>
              <w:rPr>
                <w:sz w:val="24"/>
                <w:vertAlign w:val="superscript"/>
                <w:rFonts w:ascii="Times New Roman" w:hAnsi="Times New Roman"/>
              </w:rPr>
              <w:t xml:space="preserve">i</w:t>
            </w:r>
            <w:r>
              <w:rPr>
                <w:sz w:val="24"/>
                <w:vertAlign w:val="subscript"/>
                <w:rFonts w:ascii="Times New Roman" w:hAnsi="Times New Roman"/>
              </w:rPr>
              <w:t xml:space="preserve">t</w:t>
            </w:r>
            <w:r>
              <w:rPr>
                <w:sz w:val="24"/>
                <w:rFonts w:ascii="Times New Roman" w:hAnsi="Times New Roman"/>
              </w:rPr>
              <w:t xml:space="preserve">)</w:t>
            </w:r>
            <w:r>
              <w:rPr>
                <w:sz w:val="24"/>
                <w:rFonts w:ascii="Times New Roman" w:hAnsi="Times New Roman"/>
              </w:rPr>
              <w:t xml:space="preserve"> </w:t>
            </w:r>
          </w:p>
          <w:p w14:paraId="014CC777" w14:textId="17C0E236" w:rsidR="00234F41" w:rsidRPr="00AA44B0" w:rsidRDefault="00F80764" w:rsidP="140F9DE1">
            <w:pPr>
              <w:rPr>
                <w:sz w:val="24"/>
                <w:rFonts w:ascii="Times New Roman" w:eastAsia="Times New Roman" w:hAnsi="Times New Roman" w:cs="Times New Roman"/>
              </w:rPr>
            </w:pPr>
            <w:r>
              <w:rPr>
                <w:sz w:val="24"/>
                <w:rFonts w:ascii="Times New Roman" w:hAnsi="Times New Roman"/>
              </w:rPr>
              <w:t xml:space="preserve">2.–6. rindas summa.</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sz w:val="24"/>
                <w:rFonts w:ascii="Times New Roman" w:eastAsia="Times New Roman" w:hAnsi="Times New Roman" w:cs="Times New Roman"/>
              </w:rPr>
            </w:pPr>
            <w:r>
              <w:rPr>
                <w:sz w:val="24"/>
                <w:rFonts w:ascii="Times New Roman" w:hAnsi="Times New Roman"/>
              </w:rPr>
              <w:t xml:space="preserve">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b/>
                <w:bCs/>
                <w:sz w:val="24"/>
                <w:rFonts w:ascii="Times New Roman" w:eastAsia="Times New Roman" w:hAnsi="Times New Roman" w:cs="Times New Roman"/>
              </w:rPr>
            </w:pPr>
            <w:r>
              <w:rPr>
                <w:b/>
                <w:sz w:val="24"/>
                <w:rFonts w:ascii="Times New Roman" w:hAnsi="Times New Roman"/>
              </w:rPr>
              <w:t xml:space="preserve">Sagaidāmā iztrūkuma mērs (ES</w:t>
            </w:r>
            <w:r>
              <w:rPr>
                <w:b/>
                <w:sz w:val="24"/>
                <w:vertAlign w:val="subscript"/>
                <w:rFonts w:ascii="Times New Roman" w:hAnsi="Times New Roman"/>
              </w:rPr>
              <w:t xml:space="preserve">t</w:t>
            </w:r>
            <w:r>
              <w:rPr>
                <w:b/>
                <w:sz w:val="24"/>
                <w:rFonts w:ascii="Times New Roman" w:hAnsi="Times New Roman"/>
              </w:rPr>
              <w:t xml:space="preserve">)</w:t>
            </w:r>
          </w:p>
          <w:p w14:paraId="3985A7B9" w14:textId="37C4DB19" w:rsidR="00234F41" w:rsidRPr="00DB0A49" w:rsidRDefault="5D2FC7FD" w:rsidP="140F9DE1">
            <w:pPr>
              <w:rPr>
                <w:sz w:val="24"/>
                <w:rFonts w:ascii="Times New Roman" w:eastAsia="Times New Roman" w:hAnsi="Times New Roman" w:cs="Times New Roman"/>
              </w:rPr>
            </w:pPr>
            <w:r>
              <w:rPr>
                <w:sz w:val="24"/>
                <w:rFonts w:ascii="Times New Roman" w:hAnsi="Times New Roman"/>
              </w:rPr>
              <w:t xml:space="preserve">Sagaidāmā iztrūkuma riska mēru aprēķina saskaņā ar Regulas (ES) Nr. 575/2013 325.ba panta 1. punkta a) apakšpunkta i) punktu.</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b/>
                <w:bCs/>
                <w:sz w:val="24"/>
                <w:rFonts w:ascii="Times New Roman" w:eastAsia="Times New Roman" w:hAnsi="Times New Roman" w:cs="Times New Roman"/>
              </w:rPr>
            </w:pPr>
            <w:r>
              <w:rPr>
                <w:b/>
                <w:sz w:val="24"/>
                <w:rFonts w:ascii="Times New Roman" w:hAnsi="Times New Roman"/>
              </w:rPr>
              <w:t xml:space="preserve">Stresa scenārija riska mērs (SS</w:t>
            </w:r>
            <w:r>
              <w:rPr>
                <w:b/>
                <w:sz w:val="24"/>
                <w:vertAlign w:val="subscript"/>
                <w:rFonts w:ascii="Times New Roman" w:hAnsi="Times New Roman"/>
              </w:rPr>
              <w:t xml:space="preserve">t</w:t>
            </w:r>
            <w:r>
              <w:rPr>
                <w:b/>
                <w:sz w:val="24"/>
                <w:rFonts w:ascii="Times New Roman" w:hAnsi="Times New Roman"/>
              </w:rPr>
              <w:t xml:space="preserve">)</w:t>
            </w:r>
          </w:p>
          <w:p w14:paraId="1A984573" w14:textId="59113B26" w:rsidR="00234F41" w:rsidRPr="00DB0A49" w:rsidRDefault="060F6C17" w:rsidP="140F9DE1">
            <w:pPr>
              <w:rPr>
                <w:sz w:val="24"/>
                <w:rFonts w:ascii="Times New Roman" w:eastAsia="Times New Roman" w:hAnsi="Times New Roman" w:cs="Times New Roman"/>
              </w:rPr>
            </w:pPr>
            <w:r>
              <w:rPr>
                <w:sz w:val="24"/>
                <w:rFonts w:ascii="Times New Roman" w:hAnsi="Times New Roman"/>
              </w:rPr>
              <w:t xml:space="preserve">Stresa scenārija riska mēru aprēķina saskaņā ar Regulas (ES) Nr. 575/2013 325.ba panta 1. punkta a) apakšpunkta ii) punktu.</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b/>
                <w:bCs/>
                <w:sz w:val="24"/>
                <w:rFonts w:ascii="Times New Roman" w:eastAsia="Times New Roman" w:hAnsi="Times New Roman" w:cs="Times New Roman"/>
              </w:rPr>
            </w:pPr>
            <w:r>
              <w:rPr>
                <w:b/>
                <w:sz w:val="24"/>
                <w:rFonts w:ascii="Times New Roman" w:hAnsi="Times New Roman"/>
              </w:rPr>
              <w:t xml:space="preserve">Saistību nepildīšanas riska kapitāla prasība (DRC</w:t>
            </w:r>
            <w:r>
              <w:rPr>
                <w:b/>
                <w:sz w:val="24"/>
                <w:vertAlign w:val="subscript"/>
                <w:rFonts w:ascii="Times New Roman" w:hAnsi="Times New Roman"/>
              </w:rPr>
              <w:t xml:space="preserve">t</w:t>
            </w:r>
            <w:r>
              <w:rPr>
                <w:b/>
                <w:sz w:val="24"/>
                <w:rFonts w:ascii="Times New Roman" w:hAnsi="Times New Roman"/>
              </w:rPr>
              <w:t xml:space="preserve">)</w:t>
            </w:r>
          </w:p>
          <w:p w14:paraId="0AF5675B" w14:textId="1F8133B2" w:rsidR="00234F41" w:rsidRPr="00DB0A49" w:rsidRDefault="654BF7D8" w:rsidP="140F9DE1">
            <w:pPr>
              <w:rPr>
                <w:sz w:val="24"/>
                <w:rFonts w:ascii="Times New Roman" w:eastAsia="Times New Roman" w:hAnsi="Times New Roman" w:cs="Times New Roman"/>
              </w:rPr>
            </w:pPr>
            <w:r>
              <w:rPr>
                <w:sz w:val="24"/>
                <w:rFonts w:ascii="Times New Roman" w:hAnsi="Times New Roman"/>
              </w:rPr>
              <w:t xml:space="preserve">Saistību nepildīšanas riska kapitāla prasību aprēķina saskaņā ar Regulas (ES) Nr. 575/2013 325.ba panta 2. punkta a) apakšpunktu.</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b/>
                <w:bCs/>
                <w:sz w:val="24"/>
                <w:rFonts w:ascii="Times New Roman" w:eastAsia="Times New Roman" w:hAnsi="Times New Roman" w:cs="Times New Roman"/>
              </w:rPr>
            </w:pPr>
            <w:r>
              <w:rPr>
                <w:b/>
                <w:sz w:val="24"/>
                <w:rFonts w:ascii="Times New Roman" w:hAnsi="Times New Roman"/>
              </w:rPr>
              <w:t xml:space="preserve">Peļņas un zaudējumu attiecinājuma papildinājums </w:t>
            </w:r>
            <w:r>
              <w:rPr>
                <w:b/>
                <w:sz w:val="24"/>
                <w:i/>
                <w:rFonts w:ascii="Times New Roman" w:hAnsi="Times New Roman"/>
              </w:rPr>
              <w:t xml:space="preserve">PLAaddon</w:t>
            </w:r>
            <w:r>
              <w:rPr>
                <w:b/>
                <w:sz w:val="24"/>
                <w:rFonts w:ascii="Times New Roman" w:hAnsi="Times New Roman"/>
              </w:rPr>
              <w:t xml:space="preserve">)</w:t>
            </w:r>
          </w:p>
          <w:p w14:paraId="72CEFFB9" w14:textId="21DFFB57" w:rsidR="00234F41" w:rsidRPr="00DB0A49" w:rsidRDefault="471075D0" w:rsidP="140F9DE1">
            <w:pPr>
              <w:rPr>
                <w:sz w:val="24"/>
                <w:rFonts w:ascii="Times New Roman" w:eastAsia="Times New Roman" w:hAnsi="Times New Roman" w:cs="Times New Roman"/>
              </w:rPr>
            </w:pPr>
            <w:r>
              <w:rPr>
                <w:sz w:val="24"/>
                <w:rFonts w:ascii="Times New Roman" w:hAnsi="Times New Roman"/>
              </w:rPr>
              <w:t xml:space="preserve">Šo vērtību aprēķina saskaņā ar Regulas (ES) Nr. 575/2013 325.ba panta 3. punktu saistībā ar Regulas (ES) 2022/2059 10. panta 1. punktu.</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b/>
                <w:bCs/>
                <w:sz w:val="24"/>
                <w:rFonts w:ascii="Times New Roman" w:hAnsi="Times New Roman" w:cs="Times New Roman"/>
              </w:rPr>
            </w:pPr>
            <w:r>
              <w:rPr>
                <w:b/>
                <w:sz w:val="24"/>
                <w:rFonts w:ascii="Times New Roman" w:hAnsi="Times New Roman"/>
              </w:rPr>
              <w:t xml:space="preserve">Kopējās pašu kapitāla prasības (</w:t>
            </w:r>
            <w:r>
              <w:rPr>
                <w:b/>
                <w:sz w:val="24"/>
                <w:i/>
                <w:rFonts w:ascii="Times New Roman" w:hAnsi="Times New Roman"/>
              </w:rPr>
              <w:t xml:space="preserve">OFR</w:t>
            </w:r>
            <w:r>
              <w:rPr>
                <w:b/>
                <w:sz w:val="24"/>
                <w:rFonts w:ascii="Times New Roman" w:hAnsi="Times New Roman"/>
              </w:rPr>
              <w:t xml:space="preserve">) bilances un ārpusbilances darījumiem plus </w:t>
            </w:r>
            <w:r>
              <w:rPr>
                <w:b/>
                <w:sz w:val="24"/>
                <w:i/>
                <w:rFonts w:ascii="Times New Roman" w:hAnsi="Times New Roman"/>
              </w:rPr>
              <w:t xml:space="preserve">PLAaddon</w:t>
            </w:r>
            <w:r>
              <w:rPr>
                <w:b/>
                <w:sz w:val="24"/>
                <w:rFonts w:ascii="Times New Roman" w:hAnsi="Times New Roman"/>
              </w:rPr>
              <w:t xml:space="preserve"> (</w:t>
            </w:r>
            <w:r>
              <w:rPr>
                <w:b/>
                <w:sz w:val="24"/>
                <w:i/>
                <w:rFonts w:ascii="Times New Roman" w:hAnsi="Times New Roman"/>
              </w:rPr>
              <w:t xml:space="preserve">AIMA</w:t>
            </w:r>
            <w:r>
              <w:rPr>
                <w:b/>
                <w:sz w:val="24"/>
                <w:rFonts w:ascii="Times New Roman" w:hAnsi="Times New Roman"/>
              </w:rPr>
              <w:t xml:space="preserve"> + </w:t>
            </w:r>
            <w:r>
              <w:rPr>
                <w:b/>
                <w:sz w:val="24"/>
                <w:i/>
                <w:rFonts w:ascii="Times New Roman" w:hAnsi="Times New Roman"/>
              </w:rPr>
              <w:t xml:space="preserve">PLAaddon</w:t>
            </w:r>
            <w:r>
              <w:rPr>
                <w:b/>
                <w:sz w:val="24"/>
                <w:rFonts w:ascii="Times New Roman" w:hAnsi="Times New Roman"/>
              </w:rPr>
              <w:t xml:space="preserve">)</w:t>
            </w:r>
          </w:p>
          <w:p w14:paraId="595AB2F9" w14:textId="23FB87CE" w:rsidR="00234F41" w:rsidRPr="00DB0A49" w:rsidRDefault="00234F41" w:rsidP="00234F41">
            <w:pPr>
              <w:rPr>
                <w:sz w:val="24"/>
                <w:rFonts w:ascii="Times New Roman" w:eastAsia="Times New Roman" w:hAnsi="Times New Roman" w:cs="Times New Roman"/>
              </w:rPr>
            </w:pPr>
            <w:r>
              <w:rPr>
                <w:sz w:val="24"/>
                <w:rFonts w:ascii="Times New Roman" w:hAnsi="Times New Roman"/>
              </w:rPr>
              <w:t xml:space="preserve">Šo vērtību aprēķina saskaņā ar Regulas (ES) 2022/2059 10. panta 1. punktu.</w:t>
            </w:r>
            <w:r>
              <w:rPr>
                <w:sz w:val="24"/>
                <w:rFonts w:ascii="Times New Roman" w:hAnsi="Times New Roman"/>
              </w:rPr>
              <w:t xml:space="preserve"> </w:t>
            </w:r>
            <w:r>
              <w:rPr>
                <w:sz w:val="24"/>
                <w:rFonts w:ascii="Times New Roman" w:hAnsi="Times New Roman"/>
              </w:rPr>
              <w:t xml:space="preserve">Pievieno 11. rindas vērtību.</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sz w:val="24"/>
                <w:rFonts w:ascii="Times New Roman" w:eastAsia="Times New Roman" w:hAnsi="Times New Roman" w:cs="Times New Roman"/>
              </w:rPr>
            </w:pPr>
            <w:r>
              <w:rPr>
                <w:b/>
                <w:sz w:val="24"/>
                <w:rFonts w:ascii="Times New Roman" w:hAnsi="Times New Roman"/>
              </w:rPr>
              <w:t xml:space="preserve">Kopējās </w:t>
            </w:r>
            <w:r>
              <w:rPr>
                <w:b/>
                <w:sz w:val="24"/>
                <w:i/>
                <w:rFonts w:ascii="Times New Roman" w:hAnsi="Times New Roman"/>
              </w:rPr>
              <w:t xml:space="preserve">ASA OFR</w:t>
            </w:r>
            <w:r>
              <w:rPr>
                <w:b/>
                <w:sz w:val="24"/>
                <w:rFonts w:ascii="Times New Roman" w:hAnsi="Times New Roman"/>
              </w:rPr>
              <w:t xml:space="preserve"> tirdzniecības nodaļām, kas nav tiesīgas izmantot </w:t>
            </w:r>
            <w:r>
              <w:rPr>
                <w:b/>
                <w:sz w:val="24"/>
                <w:i/>
                <w:rFonts w:ascii="Times New Roman" w:hAnsi="Times New Roman"/>
              </w:rPr>
              <w:t xml:space="preserve">AIMA</w:t>
            </w:r>
            <w:r>
              <w:rPr>
                <w:b/>
                <w:sz w:val="24"/>
                <w:rFonts w:ascii="Times New Roman" w:hAnsi="Times New Roman"/>
              </w:rPr>
              <w:t xml:space="preserve"> (</w:t>
            </w:r>
            <w:r>
              <w:rPr>
                <w:b/>
                <w:sz w:val="24"/>
                <w:i/>
                <w:rFonts w:ascii="Times New Roman" w:hAnsi="Times New Roman"/>
              </w:rPr>
              <w:t xml:space="preserve">ASAnon-aima</w:t>
            </w:r>
            <w:r>
              <w:rPr>
                <w:b/>
                <w:sz w:val="24"/>
                <w:rFonts w:ascii="Times New Roman" w:hAnsi="Times New Roman"/>
              </w:rPr>
              <w:t xml:space="preserve">)</w:t>
            </w:r>
          </w:p>
          <w:p w14:paraId="010A62FB" w14:textId="286F0BA2" w:rsidR="00234F41" w:rsidRPr="00DB0A49" w:rsidRDefault="11B9774E" w:rsidP="140F9DE1">
            <w:pPr>
              <w:rPr>
                <w:color w:val="444444"/>
                <w:sz w:val="24"/>
                <w:rFonts w:ascii="Times New Roman" w:eastAsia="Times New Roman" w:hAnsi="Times New Roman" w:cs="Times New Roman"/>
              </w:rPr>
            </w:pPr>
            <w:r>
              <w:rPr>
                <w:sz w:val="24"/>
                <w:rFonts w:ascii="Times New Roman" w:hAnsi="Times New Roman"/>
              </w:rPr>
              <w:t xml:space="preserve">Šo vērtību aprēķina tā, kā minēts Regulas (ES) Nr. 575/2013 325.ba panta 3. punktā.</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b/>
                <w:bCs/>
                <w:sz w:val="24"/>
                <w:rFonts w:ascii="Times New Roman" w:eastAsia="Times New Roman" w:hAnsi="Times New Roman" w:cs="Times New Roman"/>
              </w:rPr>
            </w:pPr>
            <w:r>
              <w:rPr>
                <w:b/>
                <w:sz w:val="24"/>
                <w:i/>
                <w:rFonts w:ascii="Times New Roman" w:hAnsi="Times New Roman"/>
              </w:rPr>
              <w:t xml:space="preserve">AIMA</w:t>
            </w:r>
            <w:r>
              <w:rPr>
                <w:b/>
                <w:sz w:val="24"/>
                <w:rFonts w:ascii="Times New Roman" w:hAnsi="Times New Roman"/>
              </w:rPr>
              <w:t xml:space="preserve"> tirdzniecības nodaļu </w:t>
            </w:r>
            <w:r>
              <w:rPr>
                <w:b/>
                <w:sz w:val="24"/>
                <w:i/>
                <w:rFonts w:ascii="Times New Roman" w:hAnsi="Times New Roman"/>
              </w:rPr>
              <w:t xml:space="preserve">OFR</w:t>
            </w:r>
            <w:r>
              <w:rPr>
                <w:b/>
                <w:sz w:val="24"/>
                <w:rFonts w:ascii="Times New Roman" w:hAnsi="Times New Roman"/>
              </w:rPr>
              <w:t xml:space="preserve"> atšķirība atbilstīgi </w:t>
            </w:r>
            <w:r>
              <w:rPr>
                <w:b/>
                <w:sz w:val="24"/>
                <w:i/>
                <w:rFonts w:ascii="Times New Roman" w:hAnsi="Times New Roman"/>
              </w:rPr>
              <w:t xml:space="preserve">AIMA</w:t>
            </w:r>
            <w:r>
              <w:rPr>
                <w:b/>
                <w:sz w:val="24"/>
                <w:rFonts w:ascii="Times New Roman" w:hAnsi="Times New Roman"/>
              </w:rPr>
              <w:t xml:space="preserve"> un </w:t>
            </w:r>
            <w:r>
              <w:rPr>
                <w:b/>
                <w:sz w:val="24"/>
                <w:i/>
                <w:rFonts w:ascii="Times New Roman" w:hAnsi="Times New Roman"/>
              </w:rPr>
              <w:t xml:space="preserve">ASA</w:t>
            </w:r>
            <w:r>
              <w:rPr>
                <w:b/>
                <w:sz w:val="24"/>
                <w:rFonts w:ascii="Times New Roman" w:hAnsi="Times New Roman"/>
              </w:rPr>
              <w:t xml:space="preserve"> (</w:t>
            </w:r>
            <w:r>
              <w:rPr>
                <w:b/>
                <w:sz w:val="24"/>
                <w:i/>
                <w:rFonts w:ascii="Times New Roman" w:hAnsi="Times New Roman"/>
              </w:rPr>
              <w:t xml:space="preserve">AIMA-ASAaima</w:t>
            </w:r>
            <w:r>
              <w:rPr>
                <w:b/>
                <w:sz w:val="24"/>
                <w:rFonts w:ascii="Times New Roman" w:hAnsi="Times New Roman"/>
              </w:rPr>
              <w:t xml:space="preserve">)</w:t>
            </w:r>
          </w:p>
          <w:p w14:paraId="326E0483" w14:textId="73A09039" w:rsidR="00234F41" w:rsidRPr="00DB0A49" w:rsidRDefault="471075D0" w:rsidP="140F9DE1">
            <w:pPr>
              <w:rPr>
                <w:sz w:val="24"/>
                <w:rFonts w:ascii="Times New Roman" w:eastAsia="Times New Roman" w:hAnsi="Times New Roman" w:cs="Times New Roman"/>
              </w:rPr>
            </w:pPr>
            <w:r>
              <w:rPr>
                <w:sz w:val="24"/>
                <w:rFonts w:ascii="Times New Roman" w:hAnsi="Times New Roman"/>
              </w:rPr>
              <w:t xml:space="preserve">Šo vērtību aprēķina kā starpību starp </w:t>
            </w:r>
            <w:r>
              <w:rPr>
                <w:sz w:val="24"/>
                <w:i/>
                <w:rFonts w:ascii="Times New Roman" w:hAnsi="Times New Roman"/>
              </w:rPr>
              <w:t xml:space="preserve">AIMA</w:t>
            </w:r>
            <w:r>
              <w:rPr>
                <w:sz w:val="24"/>
                <w:rFonts w:ascii="Times New Roman" w:hAnsi="Times New Roman"/>
              </w:rPr>
              <w:t xml:space="preserve"> pašu kapitāla prasībām </w:t>
            </w:r>
            <w:r>
              <w:rPr>
                <w:sz w:val="24"/>
                <w:i/>
                <w:rFonts w:ascii="Times New Roman" w:hAnsi="Times New Roman"/>
              </w:rPr>
              <w:t xml:space="preserve">AIMA</w:t>
            </w:r>
            <w:r>
              <w:rPr>
                <w:sz w:val="24"/>
                <w:rFonts w:ascii="Times New Roman" w:hAnsi="Times New Roman"/>
              </w:rPr>
              <w:t xml:space="preserve"> nodaļām (Regulas (ES) 2022/2059 10. panta 1. punkts) un </w:t>
            </w:r>
            <w:r>
              <w:rPr>
                <w:sz w:val="24"/>
                <w:i/>
                <w:rFonts w:ascii="Times New Roman" w:hAnsi="Times New Roman"/>
              </w:rPr>
              <w:t xml:space="preserve">ASA</w:t>
            </w:r>
            <w:r>
              <w:rPr>
                <w:sz w:val="24"/>
                <w:rFonts w:ascii="Times New Roman" w:hAnsi="Times New Roman"/>
              </w:rPr>
              <w:t xml:space="preserve"> pašu kapitāla prasību vērtību visām </w:t>
            </w:r>
            <w:r>
              <w:rPr>
                <w:sz w:val="24"/>
                <w:i/>
                <w:rFonts w:ascii="Times New Roman" w:hAnsi="Times New Roman"/>
              </w:rPr>
              <w:t xml:space="preserve">AIMA</w:t>
            </w:r>
            <w:r>
              <w:rPr>
                <w:sz w:val="24"/>
                <w:rFonts w:ascii="Times New Roman" w:hAnsi="Times New Roman"/>
              </w:rPr>
              <w:t xml:space="preserve"> nodaļām (portfeļa līmenī) (Regulas (ES) 2022/2059 10. panta 1. punkts).</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sz w:val="24"/>
                <w:rFonts w:ascii="Times New Roman" w:eastAsia="Times New Roman" w:hAnsi="Times New Roman" w:cs="Times New Roman"/>
              </w:rPr>
            </w:pPr>
            <w:r>
              <w:rPr>
                <w:b/>
                <w:sz w:val="24"/>
                <w:i/>
                <w:rFonts w:ascii="Times New Roman" w:hAnsi="Times New Roman"/>
              </w:rPr>
              <w:t xml:space="preserve">ASA OFR</w:t>
            </w:r>
            <w:r>
              <w:rPr>
                <w:b/>
                <w:sz w:val="24"/>
                <w:rFonts w:ascii="Times New Roman" w:hAnsi="Times New Roman"/>
              </w:rPr>
              <w:t xml:space="preserve"> visām tirdzniecības nodaļām (arī tām, uz kurām attiecas </w:t>
            </w:r>
            <w:r>
              <w:rPr>
                <w:b/>
                <w:sz w:val="24"/>
                <w:i/>
                <w:rFonts w:ascii="Times New Roman" w:hAnsi="Times New Roman"/>
              </w:rPr>
              <w:t xml:space="preserve">AIMA</w:t>
            </w:r>
            <w:r>
              <w:rPr>
                <w:b/>
                <w:sz w:val="24"/>
                <w:rFonts w:ascii="Times New Roman" w:hAnsi="Times New Roman"/>
              </w:rPr>
              <w:t xml:space="preserve">) (</w:t>
            </w:r>
            <w:r>
              <w:rPr>
                <w:b/>
                <w:sz w:val="24"/>
                <w:i/>
                <w:rFonts w:ascii="Times New Roman" w:hAnsi="Times New Roman"/>
              </w:rPr>
              <w:t xml:space="preserve">ASAall</w:t>
            </w:r>
            <w:r>
              <w:rPr>
                <w:b/>
                <w:sz w:val="24"/>
                <w:rFonts w:ascii="Times New Roman" w:hAnsi="Times New Roman"/>
              </w:rPr>
              <w:t xml:space="preserve"> portfelis)</w:t>
            </w:r>
          </w:p>
          <w:p w14:paraId="7232E72B" w14:textId="0064FE14" w:rsidR="00234F41" w:rsidRPr="00DB0A49" w:rsidRDefault="3A829CD0" w:rsidP="140F9DE1">
            <w:pPr>
              <w:rPr>
                <w:color w:val="444444"/>
                <w:sz w:val="24"/>
                <w:rFonts w:ascii="Times New Roman" w:eastAsia="Times New Roman" w:hAnsi="Times New Roman" w:cs="Times New Roman"/>
              </w:rPr>
            </w:pPr>
            <w:r>
              <w:rPr>
                <w:sz w:val="24"/>
                <w:rFonts w:ascii="Times New Roman" w:hAnsi="Times New Roman"/>
              </w:rPr>
              <w:t xml:space="preserve">Šo vērtību aprēķina tā, kā minēts Regulas (ES) Nr. 575/2013 325.ba panta 3. punktā.</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b/>
                <w:bCs/>
                <w:sz w:val="24"/>
                <w:rFonts w:ascii="Times New Roman" w:eastAsia="Times New Roman" w:hAnsi="Times New Roman" w:cs="Times New Roman"/>
              </w:rPr>
            </w:pPr>
            <w:r>
              <w:rPr>
                <w:b/>
                <w:sz w:val="24"/>
                <w:rFonts w:ascii="Times New Roman" w:hAnsi="Times New Roman"/>
              </w:rPr>
              <w:t xml:space="preserve">Kopējās pašu kapitāla prasības </w:t>
            </w:r>
            <w:r>
              <w:rPr>
                <w:b/>
                <w:sz w:val="24"/>
                <w:i/>
                <w:rFonts w:ascii="Times New Roman" w:hAnsi="Times New Roman"/>
              </w:rPr>
              <w:t xml:space="preserve">AIMA</w:t>
            </w:r>
            <w:r>
              <w:rPr>
                <w:b/>
                <w:sz w:val="24"/>
                <w:rFonts w:ascii="Times New Roman" w:hAnsi="Times New Roman"/>
              </w:rPr>
              <w:t xml:space="preserve"> (</w:t>
            </w:r>
            <w:r>
              <w:rPr>
                <w:b/>
                <w:sz w:val="24"/>
                <w:i/>
                <w:rFonts w:ascii="Times New Roman" w:hAnsi="Times New Roman"/>
              </w:rPr>
              <w:t xml:space="preserve">TotalAIMA</w:t>
            </w:r>
            <w:r>
              <w:rPr>
                <w:b/>
                <w:sz w:val="24"/>
                <w:rFonts w:ascii="Times New Roman" w:hAnsi="Times New Roman"/>
              </w:rPr>
              <w:t xml:space="preserve">)</w:t>
            </w:r>
          </w:p>
          <w:p w14:paraId="11A40A93" w14:textId="2A4DA65C" w:rsidR="00234F41" w:rsidRPr="00DB0A49" w:rsidRDefault="7D4B7A18" w:rsidP="3821DFBC">
            <w:pPr>
              <w:rPr>
                <w:color w:val="444444"/>
                <w:sz w:val="24"/>
                <w:rFonts w:ascii="Times New Roman" w:eastAsia="Times New Roman" w:hAnsi="Times New Roman" w:cs="Times New Roman"/>
              </w:rPr>
            </w:pPr>
            <w:r>
              <w:rPr>
                <w:sz w:val="24"/>
                <w:rFonts w:ascii="Times New Roman" w:hAnsi="Times New Roman"/>
              </w:rPr>
              <w:t xml:space="preserve">Šo vērtību aprēķina tā, kā minēts Regulas (ES) Nr. 575/2013 325.ba panta 3. punktā.</w:t>
            </w:r>
            <w:r>
              <w:rPr>
                <w:sz w:val="24"/>
                <w:rFonts w:ascii="Times New Roman" w:hAnsi="Times New Roman"/>
              </w:rPr>
              <w:t xml:space="preserve">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b/>
                <w:sz w:val="24"/>
                <w:rFonts w:ascii="Times New Roman" w:hAnsi="Times New Roman" w:cs="Times New Roman"/>
              </w:rPr>
            </w:pPr>
            <w:r>
              <w:rPr>
                <w:b/>
                <w:sz w:val="24"/>
                <w:rFonts w:ascii="Times New Roman" w:hAnsi="Times New Roman"/>
              </w:rPr>
              <w:t xml:space="preserve">Ailes burts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b/>
                <w:sz w:val="24"/>
                <w:rFonts w:ascii="Times New Roman" w:hAnsi="Times New Roman" w:cs="Times New Roman"/>
              </w:rPr>
            </w:pPr>
            <w:r>
              <w:rPr>
                <w:b/>
                <w:sz w:val="24"/>
                <w:rFonts w:ascii="Times New Roman" w:hAnsi="Times New Roman"/>
              </w:rPr>
              <w:t xml:space="preserve">Paskaidrojums</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sz w:val="24"/>
                <w:rFonts w:ascii="Times New Roman" w:hAnsi="Times New Roman" w:cs="Times New Roman"/>
              </w:rPr>
            </w:pPr>
            <w:r>
              <w:rPr>
                <w:sz w:val="24"/>
                <w:rFonts w:ascii="Times New Roman" w:hAnsi="Times New Roman"/>
              </w:rPr>
              <w:t xml:space="preserve">Informācijas atklāšana par jaunāko aprēķināto riska mēru [1.–10. rinda] vai pašu kapitāla prasībām [11.–16. rinda] kārtējā ceturksnī.</w:t>
            </w:r>
            <w:r>
              <w:rPr>
                <w:sz w:val="24"/>
                <w:rFonts w:ascii="Times New Roman" w:hAnsi="Times New Roman"/>
              </w:rPr>
              <w:t xml:space="preserve">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sz w:val="24"/>
                <w:rFonts w:ascii="Times New Roman" w:hAnsi="Times New Roman" w:cs="Times New Roman"/>
              </w:rPr>
            </w:pPr>
            <w:r>
              <w:rPr>
                <w:sz w:val="24"/>
                <w:rFonts w:ascii="Times New Roman" w:hAnsi="Times New Roman"/>
              </w:rPr>
              <w:t xml:space="preserve">Riska mēra vidējā vērtība [1.–10. rinda] iepriekšējo 60 darbdienu laikā [1.–9. rinda] vai iepriekšējo 12 nedēļu laikā [10. rinda] kārtējā ceturksnī.</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sz w:val="24"/>
                <w:rFonts w:ascii="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sz w:val="24"/>
                <w:rFonts w:ascii="Times New Roman" w:hAnsi="Times New Roman" w:cs="Times New Roman"/>
              </w:rPr>
            </w:pPr>
            <w:r>
              <w:rPr>
                <w:sz w:val="24"/>
                <w:rFonts w:ascii="Times New Roman" w:hAnsi="Times New Roman"/>
              </w:rPr>
              <w:t xml:space="preserve">Lielākā riska mērs iepriekšējo 60 darbdienu laikā [1.–6. rinda] kārtējā ceturksnī.</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sz w:val="24"/>
                <w:rFonts w:ascii="Times New Roman" w:hAnsi="Times New Roman" w:cs="Times New Roman"/>
              </w:rPr>
            </w:pPr>
            <w:r>
              <w:rPr>
                <w:sz w:val="24"/>
                <w:rFonts w:ascii="Times New Roman" w:hAnsi="Times New Roman"/>
              </w:rPr>
              <w:t xml:space="preserve">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sz w:val="24"/>
                <w:rFonts w:ascii="Times New Roman" w:hAnsi="Times New Roman" w:cs="Times New Roman"/>
              </w:rPr>
            </w:pPr>
            <w:r>
              <w:rPr>
                <w:sz w:val="24"/>
                <w:rFonts w:ascii="Times New Roman" w:hAnsi="Times New Roman"/>
              </w:rPr>
              <w:t xml:space="preserve">Zemākā riska mērs iepriekšējo 60 darbdienu laikā [1.–6. rinda] kārtējā ceturksnī.</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sz w:val="24"/>
                <w:rFonts w:ascii="Times New Roman" w:hAnsi="Times New Roman" w:cs="Times New Roman"/>
              </w:rPr>
            </w:pPr>
            <w:r>
              <w:rPr>
                <w:sz w:val="24"/>
                <w:rFonts w:ascii="Times New Roman" w:hAnsi="Times New Roman"/>
              </w:rPr>
              <w:t xml:space="preserve">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sz w:val="24"/>
                <w:rFonts w:ascii="Times New Roman" w:eastAsia="Times New Roman" w:hAnsi="Times New Roman" w:cs="Times New Roman"/>
              </w:rPr>
            </w:pPr>
            <w:r>
              <w:rPr>
                <w:sz w:val="24"/>
                <w:rFonts w:ascii="Times New Roman" w:hAnsi="Times New Roman"/>
              </w:rPr>
              <w:t xml:space="preserve">Atpakaļejošās pārbaudēs noteikto pārsniegumu skaits [1. rinda]</w:t>
            </w:r>
          </w:p>
          <w:p w14:paraId="486CF129" w14:textId="49048050" w:rsidR="00234F41" w:rsidRPr="00445013" w:rsidRDefault="51A69309" w:rsidP="0BE40342">
            <w:pPr>
              <w:rPr>
                <w:sz w:val="24"/>
                <w:rFonts w:ascii="Times New Roman" w:eastAsia="Times New Roman" w:hAnsi="Times New Roman" w:cs="Times New Roman"/>
              </w:rPr>
            </w:pPr>
            <w:r>
              <w:rPr>
                <w:sz w:val="24"/>
                <w:rFonts w:ascii="Times New Roman" w:hAnsi="Times New Roman"/>
              </w:rPr>
              <w:t xml:space="preserve">Šajā šūnā ziņotais pārsniegumu skaits ir skaits, kas izmantots palielinājuma noteikšanā saskaņā ar Regulas (ES) Nr. 575/2013 325.bf panta 6. punkta b) apakšpunktā sniegto 3. tabulu.</w:t>
            </w:r>
            <w:r>
              <w:rPr>
                <w:sz w:val="24"/>
                <w:rFonts w:ascii="Times New Roman" w:hAnsi="Times New Roman"/>
              </w:rPr>
              <w:t xml:space="preserve"> </w:t>
            </w:r>
            <w:r>
              <w:rPr>
                <w:sz w:val="24"/>
                <w:rFonts w:ascii="Times New Roman" w:hAnsi="Times New Roman"/>
              </w:rPr>
              <w:t xml:space="preserve">Neiekļauj pārsniegumus, kas ir izslēgti ar kompetentās iestādes atļauju.</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sz w:val="24"/>
                <w:rFonts w:ascii="Times New Roman" w:hAnsi="Times New Roman" w:cs="Times New Roman"/>
              </w:rPr>
            </w:pPr>
            <w:r>
              <w:rPr>
                <w:sz w:val="24"/>
                <w:rFonts w:ascii="Times New Roman" w:hAnsi="Times New Roman"/>
              </w:rPr>
              <w:t xml:space="preserve">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sz w:val="24"/>
                <w:rFonts w:ascii="Times New Roman" w:hAnsi="Times New Roman" w:cs="Times New Roman"/>
              </w:rPr>
            </w:pPr>
            <w:r>
              <w:rPr>
                <w:sz w:val="24"/>
                <w:rFonts w:ascii="Times New Roman" w:hAnsi="Times New Roman"/>
              </w:rPr>
              <w:t xml:space="preserve">Jaunākais aprēķinātais riska mērs [1.–10. rinda] vai pašu kapitāla prasības [11.–16. rinda] iepriekšējā ceturksnī.</w:t>
            </w:r>
            <w:r>
              <w:rPr>
                <w:sz w:val="24"/>
                <w:rFonts w:ascii="Times New Roman" w:hAnsi="Times New Roman"/>
              </w:rPr>
              <w:t xml:space="preserve">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sz w:val="24"/>
                <w:rFonts w:ascii="Times New Roman" w:hAnsi="Times New Roman" w:cs="Times New Roman"/>
              </w:rPr>
            </w:pPr>
            <w:r>
              <w:rPr>
                <w:sz w:val="24"/>
                <w:rFonts w:ascii="Times New Roman" w:hAnsi="Times New Roman"/>
              </w:rPr>
              <w:t xml:space="preserve">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sz w:val="24"/>
                <w:rFonts w:ascii="Times New Roman" w:hAnsi="Times New Roman" w:cs="Times New Roman"/>
              </w:rPr>
            </w:pPr>
            <w:r>
              <w:rPr>
                <w:sz w:val="24"/>
                <w:rFonts w:ascii="Times New Roman" w:hAnsi="Times New Roman"/>
              </w:rPr>
              <w:t xml:space="preserve">Riska mēra vidējā vērtība [1.–10. rinda] iepriekšējo 60 darbdienu laikā [1.–9. rinda] vai iepriekšējo 12 nedēļu laikā [10. rinda] iepriekšējā ceturksnī.</w:t>
            </w:r>
          </w:p>
        </w:tc>
      </w:tr>
    </w:tbl>
    <w:p w14:paraId="60061E4C" w14:textId="6CE0B0D3" w:rsidR="00AA4A0F" w:rsidRPr="001F1865" w:rsidRDefault="00AA4A0F" w:rsidP="00931C32">
      <w:pPr>
        <w:pStyle w:val="Titlelevel2"/>
        <w:spacing w:before="0"/>
        <w:rPr>
          <w:rFonts w:ascii="Times New Roman" w:hAnsi="Times New Roman" w:cs="Times New Roman"/>
          <w:b/>
          <w:color w:val="auto"/>
          <w:sz w:val="24"/>
          <w:lang w:val="en-GB"/>
        </w:rPr>
      </w:pPr>
    </w:p>
    <w:p w14:paraId="7EADC0A6" w14:textId="5B12A297" w:rsidR="00AA4A0F" w:rsidRPr="001F1865" w:rsidRDefault="00AA4A0F" w:rsidP="140F9DE1">
      <w:pPr>
        <w:pStyle w:val="Titlelevel2"/>
        <w:spacing w:before="0"/>
        <w:rPr>
          <w:color w:val="auto"/>
          <w:sz w:val="24"/>
          <w:rFonts w:ascii="Times New Roman" w:hAnsi="Times New Roman" w:cs="Times New Roman"/>
        </w:rPr>
      </w:pPr>
      <w:r>
        <w:rPr>
          <w:color w:val="auto"/>
          <w:sz w:val="24"/>
          <w:b/>
          <w:rFonts w:ascii="Times New Roman" w:hAnsi="Times New Roman"/>
        </w:rPr>
        <w:t xml:space="preserve">Veidne EU MR3 – Tirgus risks saskaņā ar vienkāršotu standartizēto pieeju (</w:t>
      </w:r>
      <w:r>
        <w:rPr>
          <w:color w:val="auto"/>
          <w:sz w:val="24"/>
          <w:b/>
          <w:i/>
          <w:rFonts w:ascii="Times New Roman" w:hAnsi="Times New Roman"/>
        </w:rPr>
        <w:t xml:space="preserve">SSA</w:t>
      </w:r>
      <w:r>
        <w:rPr>
          <w:color w:val="auto"/>
          <w:sz w:val="24"/>
          <w:b/>
          <w:rFonts w:ascii="Times New Roman" w:hAnsi="Times New Roman"/>
        </w:rPr>
        <w:t xml:space="preserve">).</w:t>
      </w:r>
      <w:r>
        <w:rPr>
          <w:color w:val="auto"/>
          <w:sz w:val="24"/>
          <w:rFonts w:ascii="Times New Roman" w:hAnsi="Times New Roman"/>
        </w:rPr>
        <w:t xml:space="preserve"> </w:t>
      </w:r>
      <w:r>
        <w:rPr>
          <w:color w:val="auto"/>
          <w:sz w:val="24"/>
          <w:rFonts w:ascii="Times New Roman" w:hAnsi="Times New Roman"/>
        </w:rPr>
        <w:t xml:space="preserve">Fiksēts formāts.</w:t>
      </w:r>
    </w:p>
    <w:p w14:paraId="6AC491D2" w14:textId="6E61C37E" w:rsidR="00AA4A0F" w:rsidRPr="001F1865" w:rsidRDefault="00AA4A0F" w:rsidP="00DB0A49">
      <w:pPr>
        <w:pStyle w:val="Titlelevel2"/>
        <w:numPr>
          <w:ilvl w:val="0"/>
          <w:numId w:val="5"/>
        </w:numPr>
        <w:spacing w:before="0"/>
        <w:ind w:left="284" w:hanging="284"/>
        <w:jc w:val="both"/>
        <w:rPr>
          <w:b/>
          <w:color w:val="auto"/>
          <w:sz w:val="24"/>
          <w:rFonts w:ascii="Times New Roman" w:hAnsi="Times New Roman" w:cs="Times New Roman"/>
        </w:rPr>
      </w:pPr>
      <w:r>
        <w:rPr>
          <w:color w:val="000000" w:themeColor="text1"/>
          <w:sz w:val="24"/>
          <w:rFonts w:ascii="Times New Roman" w:hAnsi="Times New Roman"/>
        </w:rPr>
        <w:t xml:space="preserve">Iestādes atklāj Regulas (ES) Nr. 575/2013 445. pantā minēto informāciju, ievērojot turpmāk šajā pielikumā sniegtos norādījumus, lai aizpildītu veidni EU MR3, kas ietverta EBI IT risinājumu XXIX pielikumā.</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Rindas numurs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Paskaidrojums</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sz w:val="24"/>
                <w:rFonts w:ascii="Times New Roman" w:hAnsi="Times New Roman" w:cs="Times New Roman"/>
              </w:rPr>
            </w:pPr>
            <w:r>
              <w:rPr>
                <w:sz w:val="24"/>
                <w:rFonts w:ascii="Times New Roman" w:hAnsi="Times New Roman"/>
              </w:rPr>
              <w:t xml:space="preserve">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Procentu likmju risks (vispārējais un specifiskais)</w:t>
            </w:r>
            <w:r>
              <w:rPr>
                <w:b/>
                <w:sz w:val="24"/>
                <w:rFonts w:ascii="Times New Roman" w:hAnsi="Times New Roman"/>
              </w:rPr>
              <w:t xml:space="preserve"> </w:t>
            </w:r>
          </w:p>
          <w:p w14:paraId="53976F70" w14:textId="7239AE46" w:rsidR="00AA4A0F" w:rsidRPr="001F1865" w:rsidRDefault="00AA4A0F" w:rsidP="0BE40342">
            <w:pPr>
              <w:autoSpaceDE w:val="0"/>
              <w:autoSpaceDN w:val="0"/>
              <w:adjustRightInd w:val="0"/>
              <w:spacing w:after="240"/>
              <w:jc w:val="both"/>
              <w:rPr>
                <w:sz w:val="24"/>
                <w:rFonts w:ascii="Times New Roman" w:hAnsi="Times New Roman" w:cs="Times New Roman"/>
              </w:rPr>
            </w:pPr>
            <w:r>
              <w:rPr>
                <w:sz w:val="24"/>
                <w:rFonts w:ascii="Times New Roman" w:hAnsi="Times New Roman"/>
              </w:rPr>
              <w:t xml:space="preserve">Tirdzniecības portfelī ietilpstošo tirgoto parāda instrumentu pozīciju vispārējais un specifiskais risks saskaņā ar Regulas (ES) Nr. 575/2013 trešās daļas IV sadaļas 2. nodaļu, izņemot specifisko risku, kas saistīts ar vērtspapīrošanu.</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b/>
                <w:sz w:val="24"/>
                <w:rFonts w:ascii="Times New Roman" w:hAnsi="Times New Roman" w:cs="Times New Roman"/>
              </w:rPr>
            </w:pPr>
            <w:r>
              <w:rPr>
                <w:sz w:val="24"/>
                <w:rFonts w:ascii="Times New Roman" w:hAnsi="Times New Roman"/>
              </w:rPr>
              <w:t xml:space="preserve">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Kapitāla vērtspapīru risks (vispārējais un specifiskais)</w:t>
            </w:r>
          </w:p>
          <w:p w14:paraId="7CB149BE" w14:textId="7EC2652A" w:rsidR="00AA4A0F" w:rsidRPr="001F1865" w:rsidRDefault="00AA4A0F" w:rsidP="0BE40342">
            <w:pPr>
              <w:spacing w:after="240"/>
              <w:jc w:val="both"/>
              <w:rPr>
                <w:sz w:val="24"/>
                <w:rFonts w:ascii="Times New Roman" w:hAnsi="Times New Roman" w:cs="Times New Roman"/>
              </w:rPr>
            </w:pPr>
            <w:r>
              <w:rPr>
                <w:sz w:val="24"/>
                <w:rFonts w:ascii="Times New Roman" w:hAnsi="Times New Roman"/>
              </w:rPr>
              <w:t xml:space="preserve">Tirdzniecības portfelī ietilpstošo kapitāla vērtspapīru pozīciju vispārējais un specifiskais risks saskaņā ar Regulas (ES) Nr. 575/2013 trešās daļas IV sadaļas 2. nodaļu.</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sz w:val="24"/>
                <w:rFonts w:ascii="Times New Roman" w:hAnsi="Times New Roman" w:cs="Times New Roman"/>
              </w:rPr>
            </w:pPr>
            <w:r>
              <w:rPr>
                <w:sz w:val="24"/>
                <w:rFonts w:ascii="Times New Roman" w:hAnsi="Times New Roman"/>
              </w:rPr>
              <w:t xml:space="preserve">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Preču risks</w:t>
            </w:r>
          </w:p>
          <w:p w14:paraId="63B3CA85" w14:textId="0B927E14" w:rsidR="00AA4A0F" w:rsidRPr="001F1865" w:rsidRDefault="00AA4A0F" w:rsidP="0BE40342">
            <w:pPr>
              <w:spacing w:after="240"/>
              <w:rPr>
                <w:sz w:val="24"/>
                <w:rFonts w:ascii="Times New Roman" w:hAnsi="Times New Roman" w:cs="Times New Roman"/>
              </w:rPr>
            </w:pPr>
            <w:r>
              <w:rPr>
                <w:sz w:val="24"/>
                <w:rFonts w:ascii="Times New Roman" w:hAnsi="Times New Roman"/>
              </w:rPr>
              <w:t xml:space="preserve">Preču pozīciju risks saskaņā ar Regulas (ES) Nr. 575/2013 trešās daļas IV sadaļas 4. nodaļu.</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b/>
                <w:sz w:val="24"/>
                <w:rFonts w:ascii="Times New Roman" w:hAnsi="Times New Roman" w:cs="Times New Roman"/>
              </w:rPr>
            </w:pPr>
            <w:r>
              <w:rPr>
                <w:sz w:val="24"/>
                <w:rFonts w:ascii="Times New Roman" w:hAnsi="Times New Roman"/>
              </w:rPr>
              <w:t xml:space="preserve">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Ārvalstu valūtas risks</w:t>
            </w:r>
          </w:p>
          <w:p w14:paraId="0EF57964" w14:textId="5BB6583A" w:rsidR="00AA4A0F" w:rsidRPr="001F1865" w:rsidRDefault="00AA4A0F" w:rsidP="0BE40342">
            <w:pPr>
              <w:spacing w:after="240"/>
              <w:jc w:val="both"/>
              <w:rPr>
                <w:sz w:val="24"/>
                <w:rFonts w:ascii="Times New Roman" w:hAnsi="Times New Roman" w:cs="Times New Roman"/>
              </w:rPr>
            </w:pPr>
            <w:r>
              <w:rPr>
                <w:sz w:val="24"/>
                <w:rFonts w:ascii="Times New Roman" w:hAnsi="Times New Roman"/>
              </w:rPr>
              <w:t xml:space="preserve">Ārvalstu valūtas pozīciju risks saskaņā ar Regulas (ES) Nr. 575/2013 trešās daļas IV sadaļas 3. nodaļu.</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sz w:val="24"/>
                <w:rFonts w:ascii="Times New Roman" w:hAnsi="Times New Roman" w:cs="Times New Roman"/>
              </w:rPr>
            </w:pPr>
            <w:r>
              <w:rPr>
                <w:sz w:val="24"/>
                <w:rFonts w:ascii="Times New Roman" w:hAnsi="Times New Roman"/>
              </w:rPr>
              <w:t xml:space="preserve">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Vērtspapīrošana (specifiskais risks)</w:t>
            </w:r>
          </w:p>
          <w:p w14:paraId="20BB6B2F" w14:textId="370CD600" w:rsidR="00AA4A0F" w:rsidRPr="00DE72D6" w:rsidRDefault="00AA4A0F" w:rsidP="00DE090B">
            <w:pPr>
              <w:rPr>
                <w:rFonts w:ascii="Times New Roman" w:hAnsi="Times New Roman" w:cs="Times New Roman"/>
              </w:rPr>
            </w:pPr>
            <w:r>
              <w:rPr>
                <w:sz w:val="24"/>
                <w:rFonts w:ascii="Times New Roman" w:hAnsi="Times New Roman"/>
              </w:rPr>
              <w:t xml:space="preserve">Tirdzniecības portfelī ietverto vērtspapīrošanas pozīciju specifiskais risks saskaņā ar Regulas (ES) Nr. 575/2013 trešās daļas IV sadaļas 2. nodaļas 337. un 338. pantu.</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sz w:val="24"/>
                <w:rFonts w:ascii="Times New Roman" w:hAnsi="Times New Roman" w:cs="Times New Roman"/>
              </w:rPr>
            </w:pPr>
            <w:r>
              <w:rPr>
                <w:sz w:val="24"/>
                <w:rFonts w:ascii="Times New Roman" w:hAnsi="Times New Roman"/>
              </w:rPr>
              <w:t xml:space="preserve">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Kopējās </w:t>
            </w:r>
            <w:r>
              <w:rPr>
                <w:b/>
                <w:sz w:val="24"/>
                <w:i/>
                <w:rFonts w:ascii="Times New Roman" w:hAnsi="Times New Roman"/>
              </w:rPr>
              <w:t xml:space="preserve">OFR S-SA</w:t>
            </w:r>
            <w:r>
              <w:rPr>
                <w:b/>
                <w:sz w:val="24"/>
                <w:rFonts w:ascii="Times New Roman" w:hAnsi="Times New Roman"/>
              </w:rPr>
              <w:t xml:space="preserve"> </w:t>
            </w:r>
          </w:p>
          <w:p w14:paraId="5DD2D55D" w14:textId="027A9E83" w:rsidR="00AA4A0F" w:rsidRPr="001F1865" w:rsidRDefault="00AA4A0F" w:rsidP="00DE090B">
            <w:pPr>
              <w:rPr>
                <w:sz w:val="24"/>
                <w:rFonts w:ascii="Times New Roman" w:eastAsia="Times New Roman" w:hAnsi="Times New Roman" w:cs="Times New Roman"/>
              </w:rPr>
            </w:pPr>
            <w:r>
              <w:rPr>
                <w:sz w:val="24"/>
                <w:rFonts w:ascii="Times New Roman" w:hAnsi="Times New Roman"/>
              </w:rPr>
              <w:t xml:space="preserve">Informācijas atklāšana par Regulas (ES) Nr. 575/2013 438. panta d) punktā minētajām pašu kapitāla prasībām, ko aprēķina kā iepriekš a ailes 1.–5. rindā norādīto vērtību vienkāršu summu un aprēķina kā b, c un d ailes 1.–4. rindā norādīto vērtību vienkāršu summu.</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Ailes burts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b/>
                <w:sz w:val="24"/>
                <w:rFonts w:ascii="Times New Roman" w:hAnsi="Times New Roman" w:cs="Times New Roman"/>
              </w:rPr>
            </w:pPr>
            <w:r>
              <w:rPr>
                <w:b/>
                <w:sz w:val="24"/>
                <w:rFonts w:ascii="Times New Roman" w:hAnsi="Times New Roman"/>
              </w:rPr>
              <w:t xml:space="preserve">Paskaidrojums</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Tiešie produkti</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sz w:val="24"/>
                <w:rFonts w:ascii="Times New Roman" w:eastAsia="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szCs w:val="22"/>
                <w:rFonts w:ascii="Times New Roman" w:eastAsia="Calibri" w:hAnsi="Times New Roman" w:cs="Times New Roman"/>
              </w:rPr>
            </w:pPr>
            <w:r>
              <w:rPr>
                <w:sz w:val="24"/>
                <w:rFonts w:ascii="Times New Roman" w:hAnsi="Times New Roman"/>
              </w:rPr>
              <w:t xml:space="preserve">Pozīcijas produktos, kas nav saistīti ar iespējām un nav iekļauti RTS pieejās iespējas līgumu riskiem, kas nav delta riski saskaņā ar standartizēto tirgus riska pieeju</w:t>
            </w:r>
            <w:r w:rsidRPr="00DB0A49">
              <w:rPr>
                <w:rFonts w:ascii="Times New Roman" w:eastAsia="Calibri" w:hAnsi="Times New Roman" w:cs="Times New Roman"/>
                <w:szCs w:val="22"/>
                <w:vertAlign w:val="superscript"/>
              </w:rPr>
              <w:footnoteReference w:id="3"/>
            </w:r>
            <w:r>
              <w:rPr>
                <w:sz w:val="24"/>
                <w:rFonts w:ascii="Times New Roman" w:hAnsi="Times New Roman"/>
              </w:rPr>
              <w:t xml:space="preserve">.</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Iespējas līgumi</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b/>
                <w:bCs/>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b/>
                <w:sz w:val="24"/>
                <w:rFonts w:ascii="Times New Roman" w:hAnsi="Times New Roman" w:cs="Times New Roman"/>
              </w:rPr>
            </w:pPr>
            <w:r>
              <w:rPr>
                <w:b/>
                <w:sz w:val="24"/>
                <w:rFonts w:ascii="Times New Roman" w:hAnsi="Times New Roman"/>
              </w:rPr>
              <w:t xml:space="preserve">Vienkāršotā pieeja</w:t>
            </w:r>
          </w:p>
          <w:p w14:paraId="71365A3F" w14:textId="32ACEA9A" w:rsidR="00AA4A0F" w:rsidRPr="001F1865" w:rsidRDefault="00AA4A0F" w:rsidP="0BE40342">
            <w:pPr>
              <w:spacing w:after="240"/>
              <w:jc w:val="both"/>
              <w:rPr>
                <w:b/>
                <w:bCs/>
                <w:sz w:val="24"/>
                <w:rFonts w:ascii="Times New Roman" w:hAnsi="Times New Roman" w:cs="Times New Roman"/>
              </w:rPr>
            </w:pPr>
            <w:r>
              <w:rPr>
                <w:sz w:val="24"/>
                <w:rFonts w:ascii="Times New Roman" w:hAnsi="Times New Roman"/>
              </w:rPr>
              <w:t xml:space="preserve">Iespējas līgumi vai garantijas, kā definēts Regulas (ES) Nr. 575/2013 trešās daļas IV sadaļas 2. nodaļas 329. panta 3. punktā, attiecībā uz kuriem iestādes aprēķina pašu kapitāla prasības saistībā ar risku, kas nav delta risks, izmantojot vienkāršoto pieeju</w:t>
            </w:r>
            <w:r w:rsidRPr="00DB0A49">
              <w:rPr>
                <w:rStyle w:val="FootnoteReference"/>
                <w:rFonts w:ascii="Times New Roman" w:eastAsia="Times New Roman" w:hAnsi="Times New Roman" w:cs="Times New Roman"/>
              </w:rPr>
              <w:footnoteReference w:id="4"/>
            </w:r>
            <w:r>
              <w:rPr>
                <w:sz w:val="24"/>
                <w:rFonts w:ascii="Times New Roman" w:hAnsi="Times New Roman"/>
              </w:rPr>
              <w:t xml:space="preserve">.</w:t>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sz w:val="24"/>
                <w:rFonts w:ascii="Times New Roman" w:eastAsia="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b/>
                <w:sz w:val="24"/>
                <w:rFonts w:ascii="Times New Roman" w:hAnsi="Times New Roman" w:cs="Times New Roman"/>
              </w:rPr>
            </w:pPr>
            <w:r>
              <w:rPr>
                <w:b/>
                <w:sz w:val="24"/>
                <w:rFonts w:ascii="Times New Roman" w:hAnsi="Times New Roman"/>
              </w:rPr>
              <w:t xml:space="preserve">Delta plus pieeja</w:t>
            </w:r>
          </w:p>
          <w:p w14:paraId="4982FF4D" w14:textId="11E24DA9" w:rsidR="00AA4A0F" w:rsidRPr="001F1865" w:rsidRDefault="00AA4A0F" w:rsidP="0BE40342">
            <w:pPr>
              <w:spacing w:after="240"/>
              <w:jc w:val="both"/>
              <w:rPr>
                <w:b/>
                <w:bCs/>
                <w:sz w:val="24"/>
                <w:rFonts w:ascii="Times New Roman" w:hAnsi="Times New Roman" w:cs="Times New Roman"/>
              </w:rPr>
            </w:pPr>
            <w:r>
              <w:rPr>
                <w:sz w:val="24"/>
                <w:rFonts w:ascii="Times New Roman" w:hAnsi="Times New Roman"/>
              </w:rPr>
              <w:t xml:space="preserve">Iespējas līgumi vai garantijas tirdzniecības portfelī, kā definēts Regulas (ES) Nr. 575/2013 trešās daļas IV sadaļas 2. nodaļas 329. panta 3. punktā, attiecībā uz kuriem iestādes aprēķina pašu kapitāla prasības saistībā ar risku, kas nav delta risks, izmantojot delta plus pieeju</w:t>
            </w:r>
            <w:r w:rsidRPr="00DB0A49">
              <w:rPr>
                <w:rStyle w:val="FootnoteReference"/>
                <w:rFonts w:ascii="Times New Roman" w:eastAsia="Times New Roman" w:hAnsi="Times New Roman" w:cs="Times New Roman"/>
              </w:rPr>
              <w:footnoteReference w:id="5"/>
            </w:r>
            <w:r>
              <w:rPr>
                <w:sz w:val="24"/>
                <w:rFonts w:ascii="Times New Roman" w:hAnsi="Times New Roman"/>
              </w:rPr>
              <w:t xml:space="preserve">.</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b/>
                <w:bCs/>
                <w:sz w:val="24"/>
                <w:rFonts w:ascii="Times New Roman" w:hAnsi="Times New Roman" w:cs="Times New Roman"/>
              </w:rPr>
            </w:pPr>
            <w:r>
              <w:rPr>
                <w:sz w:val="24"/>
                <w:rFonts w:ascii="Times New Roman" w:hAnsi="Times New Roman"/>
              </w:rPr>
              <w:t xml:space="preserve">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b/>
                <w:sz w:val="24"/>
                <w:rFonts w:ascii="Times New Roman" w:hAnsi="Times New Roman" w:cs="Times New Roman"/>
              </w:rPr>
            </w:pPr>
            <w:r>
              <w:rPr>
                <w:b/>
                <w:sz w:val="24"/>
                <w:rFonts w:ascii="Times New Roman" w:hAnsi="Times New Roman"/>
              </w:rPr>
              <w:t xml:space="preserve">Scenāriju pieeja</w:t>
            </w:r>
          </w:p>
          <w:p w14:paraId="2B78A76A" w14:textId="583FBB66" w:rsidR="00AA4A0F" w:rsidRPr="001F1865" w:rsidRDefault="00AA4A0F" w:rsidP="0BE40342">
            <w:pPr>
              <w:spacing w:after="240"/>
              <w:jc w:val="both"/>
              <w:rPr>
                <w:b/>
                <w:bCs/>
                <w:sz w:val="24"/>
                <w:rFonts w:ascii="Times New Roman" w:hAnsi="Times New Roman" w:cs="Times New Roman"/>
              </w:rPr>
            </w:pPr>
            <w:r>
              <w:rPr>
                <w:sz w:val="24"/>
                <w:rFonts w:ascii="Times New Roman" w:hAnsi="Times New Roman"/>
              </w:rPr>
              <w:t xml:space="preserve">Iespējas līgumi vai garantijas tirdzniecības portfelī, kā definēts Regulas (ES) Nr. 575/2013 trešās daļas IV sadaļas 2. nodaļas 329. panta 3. punktā, attiecībā uz kuriem iestādes aprēķina pašu kapitāla prasības saistībā ar risku, kas nav delta risks, izmantojot scenāriju pieeju</w:t>
            </w:r>
            <w:r w:rsidRPr="00DB0A49">
              <w:rPr>
                <w:rStyle w:val="FootnoteReference"/>
                <w:rFonts w:ascii="Times New Roman" w:eastAsia="Times New Roman" w:hAnsi="Times New Roman" w:cs="Times New Roman"/>
              </w:rPr>
              <w:footnoteReference w:id="6"/>
            </w:r>
            <w:r>
              <w:rPr>
                <w:sz w:val="24"/>
                <w:rFonts w:ascii="Times New Roman" w:hAnsi="Times New Roman"/>
              </w:rPr>
              <w:t xml:space="preserve">.</w:t>
            </w:r>
          </w:p>
        </w:tc>
      </w:tr>
    </w:tbl>
    <w:p w14:paraId="79592B57" w14:textId="77777777" w:rsidR="00931C32" w:rsidRPr="001F1865" w:rsidRDefault="00931C32" w:rsidP="00931C32">
      <w:pPr>
        <w:pStyle w:val="Titlelevel2"/>
        <w:spacing w:before="0"/>
        <w:rPr>
          <w:rFonts w:ascii="Times New Roman" w:hAnsi="Times New Roman" w:cs="Times New Roman"/>
          <w:b/>
          <w:color w:val="auto"/>
          <w:sz w:val="24"/>
          <w:lang w:val="en-GB"/>
        </w:rPr>
      </w:pPr>
    </w:p>
    <w:sectPr w:rsidR="00931C32" w:rsidRPr="001F1865">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rsidR="006E3585">
          <w:t>14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rStyle w:val="Hyperlink"/>
            <w:color w:val="800080"/>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footnote>
  <w:footnote w:id="3">
    <w:p w14:paraId="6651B5AC" w14:textId="77777777" w:rsidR="00AA4A0F" w:rsidRPr="008158FF" w:rsidRDefault="00AA4A0F" w:rsidP="00AA4A0F">
      <w:pPr>
        <w:pStyle w:val="FootnoteText"/>
      </w:pPr>
      <w:r>
        <w:footnoteRef/>
      </w:r>
      <w:r>
        <w:t xml:space="preserve"> </w:t>
      </w:r>
      <w:r>
        <w:tab/>
      </w:r>
      <w:r>
        <w:t xml:space="preserve">Kā definēts KOMISIJAS DELEĢĒTAJĀ REGULĀ (ES) Nr. 528/2014 (2014. gada 12. marts), ar ko papildina Eiropas Parlamenta un Padomes Regulu (ES) Nr. 575/2013 attiecībā uz regulatīviem tehniskajiem standartiem par iespējas līgumu riskiem, kuri nav delta riski, saskaņā ar standartizēto tirgus riska pieeju (OV L 148, 20.5.2014., 29. lpp.).</w:t>
      </w:r>
    </w:p>
  </w:footnote>
  <w:footnote w:id="4">
    <w:p w14:paraId="67B37F98" w14:textId="77777777" w:rsidR="00AA4A0F" w:rsidRPr="00222AAB" w:rsidRDefault="00AA4A0F" w:rsidP="00AA4A0F">
      <w:pPr>
        <w:pStyle w:val="FootnoteText"/>
      </w:pPr>
      <w:r>
        <w:rPr>
          <w:rStyle w:val="FootnoteReference"/>
          <w:rFonts w:cstheme="minorHAnsi"/>
        </w:rPr>
        <w:footnoteRef/>
      </w:r>
      <w:r>
        <w:t xml:space="preserve"> </w:t>
      </w:r>
      <w:r>
        <w:tab/>
      </w:r>
      <w:r>
        <w:t xml:space="preserve">Kā definēts KOMISIJAS DELEĢĒTAJĀ REGULĀ (ES) Nr. 528/2014 (2014. gada 12. marts), ar ko papildina Eiropas Parlamenta un Padomes Regulu (ES) Nr. 575/2013 attiecībā uz regulatīviem tehniskajiem standartiem par iespējas līgumu riskiem, kuri nav delta riski, saskaņā ar standartizēto tirgus riska pieeju (OV L 148, 20.5.2014., 29. lpp.).</w:t>
      </w:r>
    </w:p>
  </w:footnote>
  <w:footnote w:id="5">
    <w:p w14:paraId="6C32CA93" w14:textId="77777777" w:rsidR="00AA4A0F" w:rsidRPr="00222AAB" w:rsidRDefault="00AA4A0F" w:rsidP="00AA4A0F">
      <w:pPr>
        <w:pStyle w:val="FootnoteText"/>
      </w:pPr>
      <w:r>
        <w:rPr>
          <w:rStyle w:val="FootnoteReference"/>
          <w:rFonts w:cstheme="minorHAnsi"/>
        </w:rPr>
        <w:footnoteRef/>
      </w:r>
      <w:r>
        <w:t xml:space="preserve"> </w:t>
      </w:r>
      <w:r>
        <w:tab/>
      </w:r>
      <w:r>
        <w:t xml:space="preserve">Kā definēts KOMISIJAS DELEĢĒTAJĀ REGULĀ (ES) Nr. 528/2014 (2014. gada 12. marts), ar ko papildina Eiropas Parlamenta un Padomes Regulu (ES) Nr. 575/2013 attiecībā uz regulatīviem tehniskajiem standartiem par iespējas līgumu riskiem, kuri nav delta riski, saskaņā ar standartizēto tirgus riska pieeju (OV L 148, 20.5.2014., 29. lpp.).</w:t>
      </w:r>
    </w:p>
  </w:footnote>
  <w:footnote w:id="6">
    <w:p w14:paraId="739259DE" w14:textId="77777777" w:rsidR="00AA4A0F" w:rsidRPr="00222AAB" w:rsidRDefault="00AA4A0F" w:rsidP="00AA4A0F">
      <w:pPr>
        <w:pStyle w:val="FootnoteText"/>
      </w:pPr>
      <w:r>
        <w:rPr>
          <w:rStyle w:val="FootnoteReference"/>
          <w:rFonts w:cstheme="minorHAnsi"/>
        </w:rPr>
        <w:footnoteRef/>
      </w:r>
      <w:r>
        <w:t xml:space="preserve"> </w:t>
      </w:r>
      <w:r>
        <w:tab/>
      </w:r>
      <w:r>
        <w:t xml:space="preserve">Kā definēts KOMISIJAS DELEĢĒTAJĀ REGULĀ (ES) Nr. 528/2014 (2014. gada 12. marts), ar ko papildina Eiropas Parlamenta un Padomes Regulu (ES) Nr. 575/2013 attiecībā uz regulatīviem tehniskajiem standartiem par iespējas līgumu riskiem, kuri nav delta riski, saskaņā ar standartizēto tirgus riska pieeju (OV L 148, 20.5.2014., 29.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8BE4FF"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7F8E82E"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864388"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0" w:nlCheck="1" w:checkStyle="0"/>
  <w:activeWritingStyle w:appName="MSWord" w:lang="en-US" w:vendorID="64" w:dllVersion="0" w:nlCheck="1" w:checkStyle="0"/>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lang w:val="lv-LV"/>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lang w:val="lv-LV"/>
    </w:rPr>
  </w:style>
  <w:style w:type="character" w:customStyle="1" w:styleId="FootnoteTextChar">
    <w:name w:val="Footnote Text Char"/>
    <w:basedOn w:val="DefaultParagraphFont"/>
    <w:link w:val="FootnoteText"/>
    <w:rsid w:val="007F0B68"/>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23504C1D-8FC9-4D10-A15E-D4A0800B63AD}"/>
</file>

<file path=customXml/itemProps3.xml><?xml version="1.0" encoding="utf-8"?>
<ds:datastoreItem xmlns:ds="http://schemas.openxmlformats.org/officeDocument/2006/customXml" ds:itemID="{13597881-39A9-48B7-AE8C-D8FCFDB50429}"/>
</file>

<file path=customXml/itemProps4.xml><?xml version="1.0" encoding="utf-8"?>
<ds:datastoreItem xmlns:ds="http://schemas.openxmlformats.org/officeDocument/2006/customXml" ds:itemID="{8E3019BE-34A1-434C-A673-24467EB619C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2826</Words>
  <Characters>15011</Characters>
  <Application>Microsoft Office Word</Application>
  <DocSecurity>0</DocSecurity>
  <Lines>428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17590</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2024-09-26T14:32:00Z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