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DE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ANHANG XLIV</w:t>
      </w:r>
    </w:p>
    <w:p w14:paraId="327777EC" w14:textId="412B4B5A" w:rsidR="002648B0" w:rsidRPr="002A677E" w:rsidRDefault="00D03B1B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Erläuterungen zur Offenlegung von Risikopositionen in Kryptowerten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2" w:name="_Toc163551527"/>
      <w:bookmarkEnd w:id="0"/>
      <w:bookmarkEnd w:id="1"/>
      <w:r>
        <w:rPr>
          <w:b/>
          <w:sz w:val="24"/>
          <w:u w:val="none"/>
          <w:rFonts w:ascii="Times New Roman" w:hAnsi="Times New Roman"/>
        </w:rPr>
        <w:t xml:space="preserve">Meldebogen EU CAE 1 – Meldebogen für Kryptowerte</w:t>
      </w:r>
      <w:bookmarkEnd w:id="2"/>
      <w:r>
        <w:rPr>
          <w:sz w:val="24"/>
          <w:u w:val="none"/>
          <w:b/>
          <w:rFonts w:ascii="Times New Roman" w:hAnsi="Times New Roman"/>
        </w:rPr>
        <w:t xml:space="preserve">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Format: Unveränderlich.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Die Institute füllen den Meldebogen EU CAE1 in Anhang XLIII der IT-Lösungen der EBA gemäß den nachstehenden Erläuterungen aus, um Informationen über die risikogewichteten Positionsbeträge und die Eigenmittelanforderungen für die in Artikel 501d Absatz 2 der Verordnung (EU) Nr. 575/2013</w:t>
      </w:r>
      <w:r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 genannten Arten von Risikopositionen in Kryptowerten offenzulegen.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 xml:space="preserve">Rechtsgrundlagen und Erläuterungen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Spalte</w:t>
            </w:r>
            <w:r>
              <w:t xml:space="preserve">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 xml:space="preserve">Erläuterung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 xml:space="preserve"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Risikopositionswert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Wert der Risikopositionen in Kryptowerten für die verschiedenen Arten von Kryptowerten gemäß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 501d Absatz 2 der </w:t>
            </w:r>
            <w:r>
              <w:t xml:space="preserve">Verordnung (EU) Nr. 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 xml:space="preserve"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Risikogewichtete Positionsbeträge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 501d Absatz 2 der</w:t>
            </w:r>
            <w:r>
              <w:t xml:space="preserve"> Verordnung (EU) Nr. 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Risikogewichtete Positionsbeträge für die verschiedenen Arten von Risikopositionen in Kryptowerten, berechnet gemäß Artikel 501d Absatz 2 Buchstabe f der </w:t>
            </w:r>
            <w:r>
              <w:t xml:space="preserve">Verordnung (EU) Nr.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 xml:space="preserve"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Eigenmittelanforderungen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 501d Absatz 2 der</w:t>
            </w:r>
            <w:r>
              <w:t xml:space="preserve"> Verordnung (EU) Nr. 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Den risikogewichteten Positionsbeträgen für die verschiedenen Arten von Kryptowerten entsprechenden Eigenmittelanforderungen.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 xml:space="preserve">Rechtsgrundlagen und Erläuterungen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 xml:space="preserve">Zeile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 xml:space="preserve">Erläuterung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 xml:space="preserve"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rFonts w:ascii="Times New Roman" w:hAnsi="Times New Roman"/>
              </w:rPr>
              <w:t xml:space="preserve">Tokenisierte traditionelle Vermögenswerte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 501d Absatz 2 Buchstabe a der </w:t>
            </w:r>
            <w:r>
              <w:t xml:space="preserve">Verordnung (EU) Nr.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 xml:space="preserve"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Vermögenswertereferenzierte Token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t xml:space="preserve">Artikel 501d Absatz 2 Buchstabe b der Verordnung (EU) Nr.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 xml:space="preserve"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Risikopositionen in anderen Kryptowerten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 501d Absatz 2 Buchstabe c der </w:t>
            </w:r>
            <w:r>
              <w:t xml:space="preserve">Verordnung (EU) Nr.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Andere als die in Artikel 501d Absatz 2 Buchstaben a und b der </w:t>
            </w:r>
            <w:r>
              <w:t xml:space="preserve">Verordnung (EU) Nr. 575/2013 genannten Risikopositionen in Kryptowerten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 xml:space="preserve"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Gesamt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Gesamtwerte aus der Summe der Zeilen 1, 2 und 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Die Gesamtrisikobeträge entsprechen dem in Zeile EU24a Spalte a des Meldebogens EU OV1 angegebenen Betrag.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Die Gesamt-Eigenmittelanforderungen entsprechen dem in Zeile EU 24a Spalte c des Meldebogens EU OV1 angegebenen Betrag.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Nachrichtlicher Ausweis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 xml:space="preserve"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Risikopositionen in anderen Kryptowerten, ausgedrückt in Prozent des Kernkapitals des Instituts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 501d Absatz 3 der</w:t>
            </w:r>
            <w:r>
              <w:t xml:space="preserve"> Verordnung (EU) Nr.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sz w:val="20"/>
          <w:szCs w:val="20"/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 xml:space="preserve"> </w:t>
      </w:r>
      <w:r>
        <w:tab/>
      </w:r>
      <w:r>
        <w:rPr>
          <w:sz w:val="18"/>
        </w:rPr>
        <w:t xml:space="preserve">Verordnung (EU) Nr. 575/2013 des Europäischen Parlaments und des Rates vom 26. Juni 2013 über Aufsichtsanforderungen an Kreditinstitute und zur Änderung der Verordnung (EU) Nr. 648/2012, geändert durch Verordnung (EU) Nr. 2024/1623</w:t>
      </w:r>
      <w:r>
        <w:t xml:space="preserve">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ABl. L 176 vom 27.6.2013, S.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Verordnung (EU) 2024/1623 – DE –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de-DE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de-D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de-D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de-D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de-D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de-D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de-D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de-D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de-D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de-D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de-DE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de-D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de-DE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de-D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de-DE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de-DE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de-D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de-DE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de-D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de-DE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de-D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de-D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de-D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de-D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de-DE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de-DE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de-DE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de-DE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de-DE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de-DE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de-DE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de-DE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e-DE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de-DE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de-DE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de-DE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de-DE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de-DE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de-DE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de-DE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e-D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de-DE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de-DE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de-DE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e-DE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e-DE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e-DE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e-DE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DE/TXT/?uri=OJ:L_202401623" TargetMode="External"/><Relationship Id="rId1" Type="http://schemas.openxmlformats.org/officeDocument/2006/relationships/hyperlink" Target="https://eur-lex.europa.eu/legal-content/DE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63B517-6A9A-450A-BF8E-DB2910B68D32}"/>
</file>

<file path=customXml/itemProps3.xml><?xml version="1.0" encoding="utf-8"?>
<ds:datastoreItem xmlns:ds="http://schemas.openxmlformats.org/officeDocument/2006/customXml" ds:itemID="{AFF95D27-B685-413C-B949-CC64BEE9A811}"/>
</file>

<file path=customXml/itemProps4.xml><?xml version="1.0" encoding="utf-8"?>
<ds:datastoreItem xmlns:ds="http://schemas.openxmlformats.org/officeDocument/2006/customXml" ds:itemID="{4C60B22B-7257-4D0C-93AF-359FC9BDF7B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