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PRILOGA XX – Navodila v zvezi z razkritjem uporabe standardiziranega pristopa za kreditno tveganje (brez kreditnega tveganja nasprotne stranke in pozicij v listinjenju)</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Instrumenti, za katere velja poglavje 6 naslova II dela 3 Uredbe (EU) št. 575/2013 (izpostavljenosti do CCR)</w:t>
      </w:r>
      <w:r>
        <w:rPr>
          <w:rStyle w:val="FootnoteReference"/>
          <w:rFonts w:ascii="Times New Roman" w:hAnsi="Times New Roman"/>
        </w:rPr>
        <w:footnoteReference w:id="2"/>
      </w:r>
      <w:r>
        <w:rPr>
          <w:rFonts w:ascii="Times New Roman" w:hAnsi="Times New Roman"/>
          <w:sz w:val="24"/>
        </w:rPr>
        <w:t>, in instrumenti, za katere se uporabljajo zahteve iz poglavja 5 naslova II dela 3 Uredbe (EU) št. 575/2013 (izpostavljenosti v listinjenju), niso zajeti v predlogah, ki jih obravnavajo navodila v tej prilogi.</w:t>
      </w:r>
    </w:p>
    <w:p w14:paraId="137E3946" w14:textId="77777777" w:rsidR="0005278F" w:rsidRPr="00BC439A" w:rsidRDefault="0005278F" w:rsidP="0005278F">
      <w:pPr>
        <w:spacing w:after="120"/>
        <w:rPr>
          <w:rFonts w:ascii="Times New Roman" w:hAnsi="Times New Roman" w:cs="Times New Roman"/>
          <w:b/>
          <w:sz w:val="24"/>
        </w:rPr>
      </w:pPr>
      <w:r>
        <w:rPr>
          <w:rFonts w:ascii="Times New Roman" w:hAnsi="Times New Roman"/>
          <w:b/>
          <w:sz w:val="24"/>
        </w:rPr>
        <w:t xml:space="preserve">Razpredelnica EU CRD – Zahteve po kvalitativnih razkritjih v zvezi s standardiziranim pristopom. </w:t>
      </w:r>
      <w:r>
        <w:rPr>
          <w:rFonts w:ascii="Times New Roman" w:hAnsi="Times New Roman"/>
          <w:sz w:val="24"/>
        </w:rPr>
        <w:t>Prilagodljiva oblika.</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Institucije razkrijejo informacije iz člena 444, točke (a) do (d), Uredbe (EU) št. 575/2013 ob upoštevanju navodil iz te priloge za izpolnjevanje razpredelnice EU CRD iz Priloge XIX k rešitvam IT EBA.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 </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Pravna podlaga in navodila</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Pojasnilo</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(a)</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Člen 444, točka (a), CRR.</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 xml:space="preserve">Institucije razkrijejo imena imenovanih zunanjih bonitetnih institucij (ECAI) in izvoznih agencij (ECA), ki jih uporabljajo, ter razloge za kakršne koli spremembe pri imenovanjih v obdobju razkritja.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(b)</w:t>
            </w:r>
          </w:p>
        </w:tc>
        <w:tc>
          <w:tcPr>
            <w:tcW w:w="3118" w:type="dxa"/>
          </w:tcPr>
          <w:p w14:paraId="137E3954"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Člen 444, točka (b), CRR.</w:t>
            </w:r>
          </w:p>
        </w:tc>
        <w:tc>
          <w:tcPr>
            <w:tcW w:w="4546" w:type="dxa"/>
          </w:tcPr>
          <w:p w14:paraId="137E3955" w14:textId="116E6D70"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Institucije navedejo kategorije izpostavljenosti iz člena 112 Uredbe (EU) št. 575/2013, za katere izračunajo zneske tveganju prilagojenih izpostavljenosti v skladu s poglavjem 2 naslova II dela 3 Uredbe (EU) št. 575/2013 ob uporabi bonitetne ocene imenovane ECAI ali ECA.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Pr>
                <w:rFonts w:ascii="Times New Roman" w:hAnsi="Times New Roman"/>
              </w:rPr>
              <w:t>(c)</w:t>
            </w:r>
          </w:p>
        </w:tc>
        <w:tc>
          <w:tcPr>
            <w:tcW w:w="3118" w:type="dxa"/>
          </w:tcPr>
          <w:p w14:paraId="137E3958"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Člen 444, točka (c), CRR.</w:t>
            </w:r>
          </w:p>
        </w:tc>
        <w:tc>
          <w:tcPr>
            <w:tcW w:w="4546" w:type="dxa"/>
          </w:tcPr>
          <w:p w14:paraId="137E3959" w14:textId="5469201A" w:rsidR="0005278F" w:rsidRPr="00BC439A" w:rsidDel="00915DC9" w:rsidRDefault="0005278F" w:rsidP="004F3087">
            <w:pPr>
              <w:spacing w:after="120"/>
              <w:jc w:val="both"/>
              <w:rPr>
                <w:rFonts w:ascii="Times New Roman" w:hAnsi="Times New Roman" w:cs="Times New Roman"/>
                <w:sz w:val="24"/>
              </w:rPr>
            </w:pPr>
            <w:r>
              <w:rPr>
                <w:rFonts w:ascii="Times New Roman" w:hAnsi="Times New Roman"/>
                <w:sz w:val="24"/>
              </w:rPr>
              <w:t>Če se za določanje uteži tveganja, ki se dodeli izpostavljenosti, ki ni vključena v trgovalno knjigo, uporabi bonitetna ocena izdajatelja ali izdaje v skladu s členom 139 poglavja 2 naslova II dela 3 Uredbe (EU) št. 575/2013, institucije opišejo postopek, ki ga uporabijo.</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(d)</w:t>
            </w:r>
          </w:p>
        </w:tc>
        <w:tc>
          <w:tcPr>
            <w:tcW w:w="3118" w:type="dxa"/>
          </w:tcPr>
          <w:p w14:paraId="137E395C"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Člen 444(d) CRR.</w:t>
            </w:r>
          </w:p>
        </w:tc>
        <w:tc>
          <w:tcPr>
            <w:tcW w:w="4546" w:type="dxa"/>
          </w:tcPr>
          <w:p w14:paraId="137E395D" w14:textId="60016B0C"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Institucije za vsako kategorijo izpostavljenosti iz člena 112 Uredbe (EU) št. 575/2013 navedejo alfanumerično lestvico vsake imenovane ECAI/ECA (kot so navedene v vrstici (a) te predloge) z utežmi tveganja, ki ustrezajo stopnjam kreditne kakovosti iz poglavja 2 naslova II dela 3 </w:t>
            </w:r>
            <w:r>
              <w:rPr>
                <w:rFonts w:ascii="Times New Roman" w:hAnsi="Times New Roman"/>
                <w:color w:val="000000" w:themeColor="text1"/>
                <w:sz w:val="24"/>
              </w:rPr>
              <w:t>Uredbe (EU) št. 575/2013</w:t>
            </w:r>
            <w:r>
              <w:rPr>
                <w:rFonts w:ascii="Times New Roman" w:hAnsi="Times New Roman"/>
                <w:sz w:val="24"/>
              </w:rPr>
              <w:t xml:space="preserve">, razen kadar institucija upošteva standardno shemo vzporeditve, ki jo objavi EBA.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Predloga EU CR4 – Izpostavljenost kreditnemu tveganju in učinki CRM.</w:t>
      </w:r>
      <w:r>
        <w:rPr>
          <w:rFonts w:ascii="Times New Roman" w:hAnsi="Times New Roman"/>
          <w:sz w:val="24"/>
        </w:rPr>
        <w:t xml:space="preserve"> Fiksna oblika.</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 xml:space="preserve">Institucije, ki izračunavajo zneske tveganju prilagojenih izpostavljenosti za kreditno tveganje v skladu s poglavjem 2 naslova II dela 3 </w:t>
      </w:r>
      <w:r>
        <w:rPr>
          <w:rFonts w:ascii="Times New Roman" w:hAnsi="Times New Roman"/>
          <w:color w:val="000000" w:themeColor="text1"/>
          <w:sz w:val="24"/>
        </w:rPr>
        <w:t>Uredbe (EU) št. 575/2013</w:t>
      </w:r>
      <w:r>
        <w:rPr>
          <w:rFonts w:ascii="Times New Roman" w:hAnsi="Times New Roman"/>
          <w:sz w:val="24"/>
        </w:rPr>
        <w:t xml:space="preserve">, razkrijejo informacije iz člena 453, točke (g), (h) in (i), </w:t>
      </w:r>
      <w:r>
        <w:rPr>
          <w:rFonts w:ascii="Times New Roman" w:hAnsi="Times New Roman"/>
          <w:color w:val="000000" w:themeColor="text1"/>
          <w:sz w:val="24"/>
        </w:rPr>
        <w:t>Uredbe (EU) št. 575/2013</w:t>
      </w:r>
      <w:r>
        <w:rPr>
          <w:rFonts w:ascii="Times New Roman" w:hAnsi="Times New Roman"/>
          <w:sz w:val="24"/>
        </w:rPr>
        <w:t xml:space="preserve"> ter člena 444, točka (e), </w:t>
      </w:r>
      <w:r>
        <w:rPr>
          <w:rFonts w:ascii="Times New Roman" w:hAnsi="Times New Roman"/>
          <w:color w:val="000000" w:themeColor="text1"/>
          <w:sz w:val="24"/>
        </w:rPr>
        <w:t>Uredbe (EU) št. 575/2013</w:t>
      </w:r>
      <w:r>
        <w:rPr>
          <w:rFonts w:ascii="Times New Roman" w:hAnsi="Times New Roman"/>
          <w:sz w:val="24"/>
        </w:rPr>
        <w:t xml:space="preserve"> ob upoštevanju navodil iz te priloge za izpolnjevanje predloge EU CR4 iz Priloge XIX k rešitvam IT EBA.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Pravna podlaga in navodila</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Pojasnilo</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Izpostavljenosti pred CCF in pred CRM – bilančne izpostavljenosti: </w:t>
            </w:r>
          </w:p>
          <w:p w14:paraId="137E396B" w14:textId="7053939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Institucije razkrijejo bilančno izpostavljenost v okviru obsega bonitetne konsolidacije v skladu s členom 111 </w:t>
            </w:r>
            <w:r>
              <w:rPr>
                <w:rFonts w:ascii="Times New Roman" w:hAnsi="Times New Roman"/>
                <w:color w:val="000000" w:themeColor="text1"/>
                <w:sz w:val="24"/>
              </w:rPr>
              <w:t>Uredbe (EU) št. 575/2013</w:t>
            </w:r>
            <w:r>
              <w:rPr>
                <w:rFonts w:ascii="Times New Roman" w:hAnsi="Times New Roman"/>
                <w:sz w:val="24"/>
              </w:rPr>
              <w:t xml:space="preserve"> po posebnih popravkih zaradi kreditnega tveganja v skladu s členom 110 </w:t>
            </w:r>
            <w:r>
              <w:rPr>
                <w:rFonts w:ascii="Times New Roman" w:hAnsi="Times New Roman"/>
                <w:color w:val="000000" w:themeColor="text1"/>
                <w:sz w:val="24"/>
              </w:rPr>
              <w:t>Uredbe (EU) št. 575/2013</w:t>
            </w:r>
            <w:r>
              <w:rPr>
                <w:rFonts w:ascii="Times New Roman" w:hAnsi="Times New Roman"/>
                <w:sz w:val="24"/>
              </w:rPr>
              <w:t xml:space="preserve">, dodatnih prilagoditvah vrednosti v skladu s členoma 34 in 105 </w:t>
            </w:r>
            <w:r>
              <w:rPr>
                <w:rFonts w:ascii="Times New Roman" w:hAnsi="Times New Roman"/>
                <w:color w:val="000000" w:themeColor="text1"/>
                <w:sz w:val="24"/>
              </w:rPr>
              <w:t>Uredbe (EU) št. 575/2013</w:t>
            </w:r>
            <w:r>
              <w:rPr>
                <w:rFonts w:ascii="Times New Roman" w:hAnsi="Times New Roman"/>
                <w:sz w:val="24"/>
              </w:rPr>
              <w:t xml:space="preserve">, odbitih zneskih v skladu s členom 36(1), točka (m), </w:t>
            </w:r>
            <w:r>
              <w:rPr>
                <w:rFonts w:ascii="Times New Roman" w:hAnsi="Times New Roman"/>
                <w:color w:val="000000" w:themeColor="text1"/>
                <w:sz w:val="24"/>
              </w:rPr>
              <w:t>Uredbe (EU) št. 575/2013</w:t>
            </w:r>
            <w:r>
              <w:rPr>
                <w:rFonts w:ascii="Times New Roman" w:hAnsi="Times New Roman"/>
                <w:sz w:val="24"/>
              </w:rPr>
              <w:t xml:space="preserve">, drugih zmanjšanjih kapitala in odpisih (kot so opredeljeni v veljavnem računovodskem okviru), vendar pred (i) uporabo kreditnih konverzijskih faktorjev (CCF), ko so določeni v istem členu, in (ii) uporabo tehnik CRM, določenih v poglavju 4 naslova II dela 3 Uredbe (EU) št. 575/2013. Za vrednosti izpostavljenosti iz naslova zakupa se uporablja člen 134(7) </w:t>
            </w:r>
            <w:r>
              <w:rPr>
                <w:rFonts w:ascii="Times New Roman" w:hAnsi="Times New Roman"/>
                <w:color w:val="000000" w:themeColor="text1"/>
                <w:sz w:val="24"/>
              </w:rPr>
              <w:t>Uredbe (EU) št. 575/2013</w:t>
            </w:r>
            <w:r>
              <w:rPr>
                <w:rFonts w:ascii="Times New Roman" w:hAnsi="Times New Roman"/>
                <w:sz w:val="24"/>
              </w:rPr>
              <w:t>.</w:t>
            </w:r>
            <w:r>
              <w:rPr>
                <w:rFonts w:ascii="Times New Roman" w:hAnsi="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Izpostavljenosti pred CCF in pred CRM – zunajbilančne izpostavljenosti:</w:t>
            </w:r>
          </w:p>
          <w:p w14:paraId="137E396F" w14:textId="70A24ABD"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Institucije razkrijejo zunajbilančno izpostavljenost v okviru obsega bonitetne konsolidacije po posebnih popravkih zaradi kreditnega tveganja in odbitih zneskih v skladu s členom 36(1), točka (m), Uredbe (EU) št. 575/2013, vendar pred uporabo kreditnih konverzijskih faktorjev v skladu s členom 111 Uredbe (EU) št. 575/2013 in pred učinkom tehnik CRM (ob upoštevanju poglavja 4 naslova II dela 3 Uredbe (EU) št. 575/2013).</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Izpostavljenosti po CCF in po CRM – bilančne izpostavljenosti: </w:t>
            </w:r>
          </w:p>
          <w:p w14:paraId="137E3973" w14:textId="3965907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Institucije razkrijejo znesek bilančne izpostavljenosti v okviru obsega bonitetne konsolidacije v skladu s členom 111 Uredbe (EU) št. 575/2013 po posebnih popravkih zaradi kreditnega tveganja v skladu s členom 110 Uredbe (EU) št. 575/2013, dodatnih prilagoditvah vrednosti v skladu s členoma 34 in 105 Uredbe (EU) št. 575/2013, odbitih zneskih v skladu s členom 36(1), točka (m), Uredbe (EU) št. 575/2013, drugih zmanjšanjih kapitala in odpisih, kot so opredeljeni v veljavnem računovodskem okviru, ter po uporabi vseh tehnik za zmanjševanje kreditnega tveganja in kreditnih konverzijskih faktorjev. To je znesek, za katerega se uporabljajo uteži tveganja (v skladu s členom 113 Uredbe (EU) št. 575/2013 in oddelkom 2 poglavja 2 naslova II dela 3 Uredbe (EU) št. 575/2013). Po uporabi tehnik za zmanjševanje kreditnega tveganja in kreditnih konverzijskih faktorjev je to neto enakovredni kreditni znesek.</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Izpostavljenosti po CCF in po CRM – zunajbilančne izpostavljenosti: </w:t>
            </w:r>
          </w:p>
          <w:p w14:paraId="137E3977" w14:textId="3A31757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Institucije razkrijejo znesek zunajbilančne izpostavljenosti po upoštevanju posebnih popravkov zaradi kreditnega tveganja, kot so opredeljeni v Delegirani uredbi (EU) št. 183/2014</w:t>
            </w:r>
            <w:r>
              <w:rPr>
                <w:rStyle w:val="FootnoteReference"/>
                <w:rFonts w:ascii="Times New Roman" w:eastAsia="Times New Roman" w:hAnsi="Times New Roman" w:cs="Times New Roman"/>
              </w:rPr>
              <w:footnoteReference w:id="3"/>
            </w:r>
            <w:r>
              <w:rPr>
                <w:rFonts w:ascii="Times New Roman" w:hAnsi="Times New Roman"/>
                <w:sz w:val="24"/>
              </w:rPr>
              <w:t>, dodatnih prilagoditev vrednosti in drugih zmanjšanj kapitala ter po uporabi vseh tehnik za zmanjševanje kreditnega tveganja in kreditnih konverzijskih faktorjev. To je znesek, za katerega se uporabljajo uteži tveganja (v skladu s členom 113 Uredbe (EU) št. 575/2013 in oddelkom 2 poglavja 2 naslova II dela 3 CRR). Po uporabi tehnik za zmanjševanje kreditnega tveganja in kreditnih konverzijskih faktorjev je to neto enakovredni kreditni znesek.</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RWEA</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Zneski tveganju prilagojenih izpostavljenosti (RWEA), izračunani v skladu z oddelkom 2 poglavja 2 naslova II dela 3 Uredbe (EU) št. 575/2013.</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Gostota RWEA</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(stolpec e/stolpca (c+d) te predloge)</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Količnik se izračuna tako, da se RWEA zadevne kategorije izpostavljenosti (stolpec e te predloge) deli z zneskom zadevnih izpostavljenosti po upoštevanju vseh tehnik za zmanjševanje kreditnega tveganja in kreditnih konverzijskih faktorjev (vsota zneskov v stolpcih c in d te predloge).</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Pr>
                <w:rFonts w:ascii="Times New Roman" w:hAnsi="Times New Roman"/>
                <w:b/>
                <w:sz w:val="24"/>
              </w:rPr>
              <w:t>Pravna podlaga in navodila</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 xml:space="preserve">1, EU 2a, EU2b, 3, EU 3a, 4, 5, 6, EU 7a, EU 7b, 8, 9, 10, EU 10a, EU 10b, EU 10c </w:t>
            </w:r>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Pr>
                <w:rFonts w:ascii="Times New Roman" w:hAnsi="Times New Roman"/>
                <w:sz w:val="24"/>
              </w:rPr>
              <w:t xml:space="preserve">Kategorije izpostavljenosti, kot so opredeljene v skladu s členom 112 Uredbe (EU) št. 575/2013. </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Pr>
                <w:rFonts w:ascii="Times New Roman" w:hAnsi="Times New Roman"/>
                <w:sz w:val="24"/>
              </w:rPr>
              <w:t>Izpostavljenosti, razvrščene v kategorijo „postavke iz naslova pozicij v listinjenju“ iz člena 112, točka (m), Uredbe (EU) št. 575/2013, se ne vključijo.</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Pr>
                <w:rFonts w:ascii="Times New Roman" w:hAnsi="Times New Roman"/>
                <w:b/>
                <w:sz w:val="24"/>
              </w:rPr>
              <w:t>Subjekti javnega sektorja, ki niso enote centralne ravni države</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Vsota izpostavljenosti v vrsticah EU 2a in EU 2b.</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Enote regionalne ali lokalne ravni držav</w:t>
            </w:r>
          </w:p>
          <w:p w14:paraId="788C221F" w14:textId="388C84C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Izpostavljenosti, kot so opredeljene v členu 112, točka (b), Uredbe (EU) št. 575/2013 ter členu 115(-1), (1), (3), (4) in (5) Uredbe (EU) št. 575/2013, za izpostavljenosti na podlagi standardiziranega pristopa.</w:t>
            </w:r>
            <w:r>
              <w:rPr>
                <w:rFonts w:ascii="Times New Roman" w:hAnsi="Times New Roman"/>
              </w:rPr>
              <w:t xml:space="preserve">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0E9CAEB2" w14:textId="076DA4A8" w:rsidR="00FF5357" w:rsidRDefault="5682D6C4" w:rsidP="5A0D947F">
            <w:pPr>
              <w:spacing w:after="120"/>
              <w:jc w:val="both"/>
              <w:rPr>
                <w:rFonts w:ascii="Times New Roman" w:hAnsi="Times New Roman" w:cs="Times New Roman"/>
                <w:sz w:val="24"/>
              </w:rPr>
            </w:pPr>
            <w:r>
              <w:rPr>
                <w:rFonts w:ascii="Times New Roman" w:hAnsi="Times New Roman"/>
                <w:b/>
                <w:sz w:val="24"/>
              </w:rPr>
              <w:t>Subjekti javnega sektorja</w:t>
            </w:r>
            <w:r>
              <w:rPr>
                <w:rFonts w:ascii="Times New Roman" w:hAnsi="Times New Roman"/>
                <w:sz w:val="24"/>
              </w:rPr>
              <w:t xml:space="preserve"> </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lastRenderedPageBreak/>
              <w:t>Izpostavljenosti, kot so opredeljene v členu 4(1), točka 8, Uredbe (EU) št. 575/2013 in členu 112, točka (c), ter členu 116(1), (2), (3), (4) in (5) Uredbe (EU) št. 575/2013, za izpostavljenosti na podlagi standardiziranega pristopa.</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6</w:t>
            </w:r>
          </w:p>
        </w:tc>
        <w:tc>
          <w:tcPr>
            <w:tcW w:w="7654" w:type="dxa"/>
            <w:shd w:val="clear" w:color="auto" w:fill="auto"/>
          </w:tcPr>
          <w:p w14:paraId="78704303" w14:textId="1DA2D51A" w:rsidR="00FF5357" w:rsidRDefault="5682D6C4" w:rsidP="5A0D947F">
            <w:pPr>
              <w:spacing w:after="120"/>
              <w:jc w:val="both"/>
              <w:rPr>
                <w:rFonts w:ascii="Times New Roman" w:hAnsi="Times New Roman" w:cs="Times New Roman"/>
                <w:sz w:val="24"/>
              </w:rPr>
            </w:pPr>
            <w:r>
              <w:rPr>
                <w:rFonts w:ascii="Times New Roman" w:hAnsi="Times New Roman"/>
                <w:b/>
                <w:sz w:val="24"/>
              </w:rPr>
              <w:t>Izpostavljenosti do podjetij</w:t>
            </w:r>
            <w:r>
              <w:rPr>
                <w:rFonts w:ascii="Times New Roman" w:hAnsi="Times New Roman"/>
                <w:sz w:val="24"/>
              </w:rPr>
              <w:t xml:space="preserve"> </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Izpostavljenosti, kot so opredeljene v členu 112, točka (g), in členu 122 Uredbe (EU) št. 575/2013.</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Od tega: posebni kreditni aranžmaji</w:t>
            </w:r>
          </w:p>
          <w:p w14:paraId="4606DB92" w14:textId="6A3BD835"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Izpostavljenosti, kot so opredeljene v členu 122a Uredbe (EU) št. 575/2013.</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Izpostavljenosti iz naslova podrejenega dolga in lastniški instrumenti</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Vsota izpostavljenosti v vrsticah EU 7a in EU 7b.</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Izpostavljenosti iz naslova podrejenega dolga</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Izpostavljenosti, kot so opredeljene v členu 112, točka (k), Uredbe (EU) št. 575/2013 in členu 128 Uredbe (EU) št. 575/2013.</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Lastniški instrumenti</w:t>
            </w:r>
          </w:p>
          <w:p w14:paraId="31034ED0" w14:textId="7C726DCB"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Izpostavljenosti, kot so opredeljene v členu 112, točka (p), Uredbe (EU) št. 575/2013 in členu 133(1) Uredbe (EU) št. 575/2013.</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Zavarovane s hipotekami na nepremičnine in izpostavljenosti ADC</w:t>
            </w:r>
          </w:p>
          <w:p w14:paraId="01108BAD" w14:textId="7A881266"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 xml:space="preserve">Tukaj se poročajo izpostavljenosti, zavarovane z nepremičninami, kot so opredeljene v členu 4(1), točke 75 do 75f, Uredbe (EU) št. 575/2013, in izpostavljenosti, kot so opredeljene v členu 4(1), točka 78a, Uredbe (EU) št. 575/2013. </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Pr>
                <w:rFonts w:ascii="Times New Roman" w:hAnsi="Times New Roman"/>
                <w:sz w:val="24"/>
              </w:rPr>
              <w:t xml:space="preserve">Ta vrstica je vsota vrstic 9.1; 9.2; 9.3; 9.4; 9.5.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767946BA" w14:textId="417EA438"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Zavarovane s hipotekami na stanovanjske nepremičnine – izpostavljenosti, ki niso IPRE</w:t>
            </w:r>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Tukaj se poročajo izpostavljenosti, obravnavane v skladu s členom 125(1) Uredbe (EU) št. 575/2013.</w:t>
            </w:r>
          </w:p>
          <w:p w14:paraId="39BC2BE6" w14:textId="40A39FE4" w:rsidR="00FD6952" w:rsidRPr="00FB64CF" w:rsidRDefault="00FD6952" w:rsidP="00FB64CF">
            <w:pPr>
              <w:spacing w:after="120"/>
              <w:jc w:val="both"/>
              <w:rPr>
                <w:rFonts w:eastAsiaTheme="minorHAnsi"/>
              </w:rPr>
            </w:pPr>
            <w:r>
              <w:rPr>
                <w:rFonts w:ascii="Times New Roman" w:hAnsi="Times New Roman"/>
                <w:sz w:val="24"/>
              </w:rPr>
              <w:t>V tej vrstici se razkrijejo tudi: druge izpostavljenosti, zavarovane s hipotekami na stanovanjske nepremičnine – izpostavljenosti, ki niso IPRE, ki ne izpolnjujejo pogojev iz člena 124(3), ali kateri koli del izpostavljenosti, ki ni ADC, ki presega nominalni znesek zastavne pravice na nepremičnini, iz člena 124(1), točka (a), Uredbe (EU) št. 575/2013.</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Zavarovane s hipotekami na stanovanjske nepremičnine – izpostavljenosti IPRE</w:t>
            </w:r>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Tukaj se poročajo samo izpostavljenosti, ki ustrezajo opredelitvi iz člena 4(1), točka 75b, Uredbe (EU) št. 575/2013, kar vključuje izpostavljenosti IPRE, ki izpolnjujejo kateri koli pogoj iz člena 124(2), točka (a)(ii), podtočke 1 do 4, Uredbe (EU) št. 575/2013; izpostavljenosti IPRE, pri katerih se uporablja odstopanje iz člena 125(2) Uredbe (EU) št. 575/2013.</w:t>
            </w:r>
          </w:p>
          <w:p w14:paraId="752E3912" w14:textId="33220D5C" w:rsidR="00900E99" w:rsidRPr="00BC439A" w:rsidRDefault="00900E99" w:rsidP="5A0D947F">
            <w:pPr>
              <w:spacing w:after="120"/>
              <w:jc w:val="both"/>
              <w:rPr>
                <w:rFonts w:ascii="Times New Roman" w:hAnsi="Times New Roman" w:cs="Times New Roman"/>
                <w:sz w:val="24"/>
              </w:rPr>
            </w:pPr>
            <w:r>
              <w:rPr>
                <w:rFonts w:ascii="Times New Roman" w:hAnsi="Times New Roman"/>
                <w:sz w:val="24"/>
              </w:rPr>
              <w:t xml:space="preserve">V tej vrstici se razkrijejo tudi druge izpostavljenosti, zavarovane s hipotekami na stanovanjske nepremičnine – izpostavljenosti IPRE, ki ne izpolnjujejo pogojev iz člena 124(3), ali kateri koli del izpostavljenosti, ki ni ADC, ki </w:t>
            </w:r>
            <w:r>
              <w:rPr>
                <w:rFonts w:ascii="Times New Roman" w:hAnsi="Times New Roman"/>
                <w:sz w:val="24"/>
              </w:rPr>
              <w:lastRenderedPageBreak/>
              <w:t>presega nominalni znesek zastavne pravice na nepremičnini, iz člena 124(1), točka (b), Uredbe (EU) št. 575/2013.</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9.3</w:t>
            </w:r>
          </w:p>
        </w:tc>
        <w:tc>
          <w:tcPr>
            <w:tcW w:w="7654"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Zavarovane s hipotekami na poslovne nepremičnine – izpostavljenosti, ki niso IPRE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Tukaj se poročajo izpostavljenosti, obravnavane v skladu s členom 126(1) Uredbe (EU) št. 575/2013.</w:t>
            </w:r>
          </w:p>
          <w:p w14:paraId="56DF61DF" w14:textId="3ED6FADA" w:rsidR="00A93447" w:rsidRPr="00FB64CF" w:rsidRDefault="00A93447" w:rsidP="00900E99">
            <w:pPr>
              <w:spacing w:after="120"/>
              <w:jc w:val="both"/>
              <w:rPr>
                <w:rFonts w:ascii="Times New Roman" w:eastAsiaTheme="minorHAnsi" w:hAnsi="Times New Roman"/>
                <w:sz w:val="24"/>
              </w:rPr>
            </w:pPr>
            <w:r>
              <w:rPr>
                <w:rFonts w:ascii="Times New Roman" w:hAnsi="Times New Roman"/>
                <w:sz w:val="24"/>
              </w:rPr>
              <w:t>V tej vrstici se razkrijejo tudi: druge izpostavljenosti, zavarovane s hipotekami na poslovne nepremičnine – izpostavljenosti, ki niso IPRE, ki ne izpolnjujejo pogojev iz člena 124(3), ali kateri koli del izpostavljenosti, ki ni ADC, ki presega nominalni znesek zastavne pravice na nepremičnini, iz člena 124(1), točka (a), Uredbe (EU) št. 575/2013.</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Pr>
                <w:rFonts w:ascii="Times New Roman" w:hAnsi="Times New Roman"/>
                <w:b/>
                <w:sz w:val="24"/>
              </w:rPr>
              <w:t>Zavarovane s hipotekami na poslovne nepremičnine – izpostavljenosti IPRE</w:t>
            </w:r>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sz w:val="24"/>
              </w:rPr>
              <w:t>Tukaj se poročajo izpostavljenosti, ki ustrezajo opredelitvi iz člena 4(1), točka 75b, in člena 124(2), točka (b)(ii), Uredbe (EU) št. 575/2013, vključno z izpostavljenostmi IPRE, pri katerih se uporablja odstopanje iz člena 126(2) Uredbe (EU) št. 575/2013.</w:t>
            </w:r>
          </w:p>
          <w:p w14:paraId="17723425" w14:textId="4CA6C755" w:rsidR="00900E99" w:rsidRPr="00166E0C" w:rsidRDefault="00900E99" w:rsidP="5A0D947F">
            <w:pPr>
              <w:spacing w:after="120"/>
              <w:jc w:val="both"/>
              <w:rPr>
                <w:rFonts w:ascii="Times New Roman" w:hAnsi="Times New Roman" w:cs="Times New Roman"/>
                <w:sz w:val="24"/>
              </w:rPr>
            </w:pPr>
            <w:r>
              <w:rPr>
                <w:rFonts w:ascii="Times New Roman" w:hAnsi="Times New Roman"/>
                <w:sz w:val="24"/>
              </w:rPr>
              <w:t>V tej vrstici se razkrijejo tudi druge izpostavljenosti, zavarovane s hipotekami na poslovne nepremičnine – izpostavljenosti IPRE, ki ne izpolnjujejo pogojev iz člena 124(3), ali kateri koli del izpostavljenosti, ki ni ADC, ki presega nominalni znesek zastavne pravice na nepremičnini, iz člena 124(1), točka (b), Uredbe (EU) št. 575/2013.</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Ni relevantno.</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r>
              <w:rPr>
                <w:rFonts w:ascii="Times New Roman" w:hAnsi="Times New Roman"/>
                <w:sz w:val="24"/>
              </w:rPr>
              <w:t>12</w:t>
            </w:r>
          </w:p>
        </w:tc>
        <w:tc>
          <w:tcPr>
            <w:tcW w:w="7654" w:type="dxa"/>
          </w:tcPr>
          <w:p w14:paraId="132C0D24" w14:textId="77777777" w:rsidR="00395831" w:rsidRPr="00FB64CF" w:rsidRDefault="00395831" w:rsidP="00926A01">
            <w:pPr>
              <w:spacing w:after="120"/>
              <w:jc w:val="both"/>
              <w:rPr>
                <w:rFonts w:ascii="Times New Roman" w:hAnsi="Times New Roman" w:cs="Times New Roman"/>
                <w:b/>
                <w:bCs/>
                <w:sz w:val="24"/>
              </w:rPr>
            </w:pPr>
            <w:r>
              <w:rPr>
                <w:rFonts w:ascii="Times New Roman" w:hAnsi="Times New Roman"/>
                <w:b/>
                <w:sz w:val="24"/>
              </w:rPr>
              <w:t xml:space="preserve">„Skupaj“ </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Vsota izpostavljenosti v vrsticah 1, 2, 3, EU 3a, 4, 5, 6, 7, 8, 9, 10, EU 10a, EU 10b in EU 10c zgoraj.</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Predloga EU CR5 – Standardizirani pristop.</w:t>
      </w:r>
      <w:r>
        <w:rPr>
          <w:rFonts w:ascii="Times New Roman" w:hAnsi="Times New Roman"/>
          <w:sz w:val="24"/>
        </w:rPr>
        <w:t xml:space="preserve"> Fiksna oblika.</w:t>
      </w:r>
    </w:p>
    <w:p w14:paraId="137E3994" w14:textId="0AE6830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color w:val="000000" w:themeColor="text1"/>
        </w:rPr>
        <w:t>Institucije razkrijejo informacije iz člena 444, točka (e), Uredbe (EU) št. 575/2013</w:t>
      </w:r>
      <w:r>
        <w:rPr>
          <w:rFonts w:ascii="Times New Roman" w:hAnsi="Times New Roman"/>
          <w:sz w:val="24"/>
        </w:rPr>
        <w:t xml:space="preserve"> ob upoštevanju navodil iz te priloge za izpolnjevanje predloge EU CR5 iz Priloge XIX k rešitvam IT EBA.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Pravna podlaga in navodila</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Pojasnilo</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a–y</w:t>
            </w:r>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Utež tveganja: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Institucije razkrijejo informacije o dodelitvi uteži tveganja v zadevni kategoriji izpostavljenosti v skladu z oddelkom 2 poglavja 2 naslova II dela 3 Uredbe (EU) št. 575/2013.</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z</w:t>
            </w:r>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Skupaj: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Skupni znesek bilančnih in zunajbilančnih izpostavljenosti v okviru obsega bonitetne konsolidacije: </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 xml:space="preserve">– po posebnih popravkih zaradi kreditnega tveganja v skladu s členom 110 </w:t>
            </w:r>
            <w:r>
              <w:rPr>
                <w:rFonts w:ascii="Times New Roman" w:hAnsi="Times New Roman"/>
                <w:color w:val="000000" w:themeColor="text1"/>
                <w:sz w:val="24"/>
              </w:rPr>
              <w:t>Uredbe (EU) št. 575/2013</w:t>
            </w:r>
            <w:r>
              <w:rPr>
                <w:rFonts w:ascii="Times New Roman" w:hAnsi="Times New Roman"/>
                <w:sz w:val="24"/>
              </w:rPr>
              <w:t xml:space="preserve">, dodatnih prilagoditvah vrednosti v skladu s členoma 34 in 105 </w:t>
            </w:r>
            <w:r>
              <w:rPr>
                <w:rFonts w:ascii="Times New Roman" w:hAnsi="Times New Roman"/>
                <w:color w:val="000000" w:themeColor="text1"/>
                <w:sz w:val="24"/>
              </w:rPr>
              <w:t>Uredbe (EU) št. 575/2013</w:t>
            </w:r>
            <w:r>
              <w:rPr>
                <w:rFonts w:ascii="Times New Roman" w:hAnsi="Times New Roman"/>
                <w:sz w:val="24"/>
              </w:rPr>
              <w:t xml:space="preserve">, odbitih zneskih v skladu s členom 36(1), točka (m), </w:t>
            </w:r>
            <w:r>
              <w:rPr>
                <w:rFonts w:ascii="Times New Roman" w:hAnsi="Times New Roman"/>
                <w:color w:val="000000" w:themeColor="text1"/>
                <w:sz w:val="24"/>
              </w:rPr>
              <w:t>Uredbe (EU) št. 575/2013</w:t>
            </w:r>
            <w:r>
              <w:rPr>
                <w:rFonts w:ascii="Times New Roman" w:hAnsi="Times New Roman"/>
                <w:sz w:val="24"/>
              </w:rPr>
              <w:t xml:space="preserve">, drugih zmanjšanjih kapitala in odpisih (kot so opredeljeni v veljavnem računovodskem okviru) za bilančne izpostavljenosti v skladu s členom 111 </w:t>
            </w:r>
            <w:r>
              <w:rPr>
                <w:rFonts w:ascii="Times New Roman" w:hAnsi="Times New Roman"/>
                <w:color w:val="000000" w:themeColor="text1"/>
                <w:sz w:val="24"/>
              </w:rPr>
              <w:t>Uredbe (EU) št. 575/2013</w:t>
            </w:r>
            <w:r>
              <w:rPr>
                <w:rFonts w:ascii="Times New Roman" w:hAnsi="Times New Roman"/>
                <w:sz w:val="24"/>
              </w:rPr>
              <w:t>,</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po zmanjšanju za posebne popravke zaradi kreditnega tveganja in odbite zneske v skladu s členom 36(1), točka (m), </w:t>
            </w:r>
            <w:r>
              <w:rPr>
                <w:rFonts w:ascii="Times New Roman" w:hAnsi="Times New Roman"/>
                <w:color w:val="000000" w:themeColor="text1"/>
                <w:sz w:val="24"/>
              </w:rPr>
              <w:t>Uredbe (EU) št. 575/2013</w:t>
            </w:r>
            <w:r>
              <w:rPr>
                <w:rFonts w:ascii="Times New Roman" w:hAnsi="Times New Roman"/>
                <w:sz w:val="24"/>
              </w:rPr>
              <w:t xml:space="preserve"> za zunajbilančne izpostavljenosti v skladu s členom 111 </w:t>
            </w:r>
            <w:r>
              <w:rPr>
                <w:rFonts w:ascii="Times New Roman" w:hAnsi="Times New Roman"/>
                <w:color w:val="000000" w:themeColor="text1"/>
                <w:sz w:val="24"/>
              </w:rPr>
              <w:t>Uredbe (EU) št. 575/2013</w:t>
            </w:r>
            <w:r>
              <w:rPr>
                <w:rFonts w:ascii="Times New Roman" w:hAnsi="Times New Roman"/>
                <w:sz w:val="24"/>
              </w:rPr>
              <w:t>,</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po (i) uporabi konverzijskih faktorjev, kot so določeni v istem členu, in (ii) uporabi tehnik CRM, določenih v poglavju 4 naslova II dela 3 uredbe CRR, za bilančne in zunajbilančne izpostavljenosti.</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aa</w:t>
            </w:r>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Od tega neocenjene:</w:t>
            </w:r>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Izpostavljenosti, za katere ni na voljo bonitetna ocena imenovane ECAI in ki so jim dodeljene posebne uteži tveganja glede na njihovo kategorijo, kot je določeno v členih 113 do 134 </w:t>
            </w:r>
            <w:r>
              <w:rPr>
                <w:rFonts w:ascii="Times New Roman" w:hAnsi="Times New Roman"/>
                <w:color w:val="000000" w:themeColor="text1"/>
                <w:sz w:val="24"/>
              </w:rPr>
              <w:t>Uredbe (EU) št. 575/2013</w:t>
            </w:r>
            <w:r>
              <w:rPr>
                <w:rFonts w:ascii="Times New Roman" w:hAnsi="Times New Roman"/>
                <w:sz w:val="24"/>
              </w:rPr>
              <w:t>.</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Pr>
                <w:rFonts w:ascii="Times New Roman" w:hAnsi="Times New Roman"/>
                <w:b/>
                <w:sz w:val="24"/>
              </w:rPr>
              <w:t>Pravna podlaga in navodila</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EU2a, EU 2b, 3, EU 3a, 4, 5, 6, EU 7a, EU 7b, 8, 9, 10, EU 10a, EU 10b, EU 10c</w:t>
            </w:r>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Pr>
                <w:rFonts w:ascii="Times New Roman" w:hAnsi="Times New Roman"/>
                <w:sz w:val="24"/>
              </w:rPr>
              <w:t xml:space="preserve">Kategorije izpostavljenosti v skladu s členom 112 Uredbe (EU) št. 575/2013. </w:t>
            </w:r>
          </w:p>
          <w:p w14:paraId="418D4291" w14:textId="757AEF54"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xml:space="preserve">Izpostavljenosti, razvrščene v kategorijo „postavke iz naslova pozicij v listinjenju“ iz člena 112, točka (m), </w:t>
            </w:r>
            <w:r>
              <w:rPr>
                <w:rFonts w:ascii="Times New Roman" w:hAnsi="Times New Roman"/>
                <w:color w:val="000000" w:themeColor="text1"/>
                <w:sz w:val="24"/>
              </w:rPr>
              <w:t>Uredbe (EU) št. 575/2013</w:t>
            </w:r>
            <w:r>
              <w:rPr>
                <w:rFonts w:ascii="Times New Roman" w:hAnsi="Times New Roman"/>
                <w:sz w:val="24"/>
              </w:rPr>
              <w:t>, se ne vključijo.</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79E951C7" w14:textId="311E1895" w:rsidR="00F26067" w:rsidRPr="00FB64CF" w:rsidRDefault="009B6905" w:rsidP="00AB03E9">
            <w:pPr>
              <w:spacing w:after="120"/>
              <w:jc w:val="both"/>
              <w:rPr>
                <w:rFonts w:ascii="Times New Roman" w:eastAsiaTheme="minorHAnsi" w:hAnsi="Times New Roman" w:cs="Times New Roman"/>
                <w:b/>
                <w:bCs/>
                <w:sz w:val="24"/>
              </w:rPr>
            </w:pPr>
            <w:r>
              <w:rPr>
                <w:rFonts w:ascii="Times New Roman" w:hAnsi="Times New Roman"/>
                <w:b/>
                <w:sz w:val="24"/>
              </w:rPr>
              <w:t xml:space="preserve">Subjekti javnega sektorja, ki niso enote centralne ravni države </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hAnsi="Times New Roman"/>
                <w:sz w:val="24"/>
              </w:rPr>
              <w:t>Vsota izpostavljenosti v vrsticah EU 2a in EU 2b.</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Enote regionalne ali lokalne ravni držav</w:t>
            </w:r>
          </w:p>
          <w:p w14:paraId="0F0B69B5" w14:textId="1A951C0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Izpostavljenosti, kot so opredeljene v členu 112, točka (b), </w:t>
            </w:r>
            <w:r>
              <w:rPr>
                <w:rFonts w:ascii="Times New Roman" w:hAnsi="Times New Roman"/>
                <w:color w:val="000000" w:themeColor="text1"/>
                <w:sz w:val="24"/>
              </w:rPr>
              <w:t>Uredbe (EU) št. 575/2013</w:t>
            </w:r>
            <w:r>
              <w:rPr>
                <w:rFonts w:ascii="Times New Roman" w:hAnsi="Times New Roman"/>
                <w:sz w:val="24"/>
              </w:rPr>
              <w:t xml:space="preserve"> in členu 115(-1), (1), (3), (4) in (5) </w:t>
            </w:r>
            <w:r>
              <w:rPr>
                <w:rFonts w:ascii="Times New Roman" w:hAnsi="Times New Roman"/>
                <w:color w:val="000000" w:themeColor="text1"/>
                <w:sz w:val="24"/>
              </w:rPr>
              <w:t>Uredbe (EU) št. 575/2013</w:t>
            </w:r>
            <w:r>
              <w:rPr>
                <w:rFonts w:ascii="Times New Roman" w:hAnsi="Times New Roman"/>
                <w:sz w:val="24"/>
              </w:rPr>
              <w:t xml:space="preserve"> za izpostavljenosti na podlagi standardiziranega pristopa</w:t>
            </w:r>
            <w:r>
              <w:rPr>
                <w:rFonts w:ascii="Times New Roman" w:hAnsi="Times New Roman"/>
              </w:rPr>
              <w:t>.</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Subjekti javnega sektorja</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Izpostavljenosti, kot so opredeljene v členu 4(1), točka 8, </w:t>
            </w:r>
            <w:r>
              <w:rPr>
                <w:rFonts w:ascii="Times New Roman" w:hAnsi="Times New Roman"/>
                <w:color w:val="000000" w:themeColor="text1"/>
                <w:sz w:val="24"/>
              </w:rPr>
              <w:t>Uredbe (EU) št. 575/2013</w:t>
            </w:r>
            <w:r>
              <w:rPr>
                <w:rFonts w:ascii="Times New Roman" w:hAnsi="Times New Roman"/>
                <w:sz w:val="24"/>
              </w:rPr>
              <w:t xml:space="preserve"> ter členu 112, točka (c), in členu 116(1), (2), (3), (4) in (5) </w:t>
            </w:r>
            <w:r>
              <w:rPr>
                <w:rFonts w:ascii="Times New Roman" w:hAnsi="Times New Roman"/>
                <w:color w:val="000000" w:themeColor="text1"/>
                <w:sz w:val="24"/>
              </w:rPr>
              <w:t>Uredbe (EU) št. 575/2013</w:t>
            </w:r>
            <w:r>
              <w:rPr>
                <w:rFonts w:ascii="Times New Roman" w:hAnsi="Times New Roman"/>
                <w:sz w:val="24"/>
              </w:rPr>
              <w:t xml:space="preserve"> za izpostavljenosti na podlagi standardiziranega pristopa.</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Izpostavljenosti do podjetij</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Izpostavljenosti, kot so opredeljene v členu 112, točka (g), in členu 122 </w:t>
            </w:r>
            <w:r>
              <w:rPr>
                <w:rFonts w:ascii="Times New Roman" w:hAnsi="Times New Roman"/>
                <w:color w:val="000000" w:themeColor="text1"/>
                <w:sz w:val="24"/>
              </w:rPr>
              <w:t>Uredbe (EU) št. 575/2013</w:t>
            </w:r>
            <w:r>
              <w:rPr>
                <w:rFonts w:ascii="Times New Roman" w:hAnsi="Times New Roman"/>
                <w:sz w:val="24"/>
              </w:rPr>
              <w:t>.</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7434934B" w14:textId="62424925" w:rsidR="00F26067" w:rsidRPr="00FB64CF" w:rsidRDefault="00F2606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Od tega: posebni kreditni aranžmaji</w:t>
            </w:r>
          </w:p>
          <w:p w14:paraId="24C0DA08" w14:textId="36A32BF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lastRenderedPageBreak/>
              <w:t xml:space="preserve">Izpostavljenosti, kot so opredeljene v členu 122a </w:t>
            </w:r>
            <w:r>
              <w:rPr>
                <w:rFonts w:ascii="Times New Roman" w:hAnsi="Times New Roman"/>
                <w:color w:val="000000" w:themeColor="text1"/>
                <w:sz w:val="24"/>
              </w:rPr>
              <w:t>Uredbe (EU) št. 575/2013</w:t>
            </w:r>
            <w:r>
              <w:rPr>
                <w:rFonts w:ascii="Times New Roman" w:hAnsi="Times New Roman"/>
                <w:sz w:val="24"/>
              </w:rPr>
              <w:t xml:space="preserve">.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7</w:t>
            </w:r>
          </w:p>
        </w:tc>
        <w:tc>
          <w:tcPr>
            <w:tcW w:w="7654"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Izpostavljenosti iz naslova podrejenega dolga in lastniški instrumenti</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hAnsi="Times New Roman"/>
                <w:sz w:val="24"/>
              </w:rPr>
              <w:t>Vsota spodaj določenih vrstic (EU 7a in EU 7b).</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Izpostavljenosti iz naslova podrejenega dolga</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Izpostavljenosti, kot so opredeljene v členu 112, točka (k), </w:t>
            </w:r>
            <w:r>
              <w:rPr>
                <w:rFonts w:ascii="Times New Roman" w:hAnsi="Times New Roman"/>
                <w:color w:val="000000" w:themeColor="text1"/>
                <w:sz w:val="24"/>
              </w:rPr>
              <w:t>Uredbe (EU) št. 575/2013</w:t>
            </w:r>
            <w:r>
              <w:rPr>
                <w:rFonts w:ascii="Times New Roman" w:hAnsi="Times New Roman"/>
                <w:sz w:val="24"/>
              </w:rPr>
              <w:t xml:space="preserve"> in členu 128 </w:t>
            </w:r>
            <w:r>
              <w:rPr>
                <w:rFonts w:ascii="Times New Roman" w:hAnsi="Times New Roman"/>
                <w:color w:val="000000" w:themeColor="text1"/>
                <w:sz w:val="24"/>
              </w:rPr>
              <w:t>Uredbe (EU) št. 575/2013</w:t>
            </w:r>
            <w:r>
              <w:rPr>
                <w:rFonts w:ascii="Times New Roman" w:hAnsi="Times New Roman"/>
                <w:sz w:val="24"/>
              </w:rPr>
              <w:t>.</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Lastniški instrumenti</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Izpostavljenosti, kot so opredeljene v členu 112, točka (p), </w:t>
            </w:r>
            <w:r>
              <w:rPr>
                <w:rFonts w:ascii="Times New Roman" w:hAnsi="Times New Roman"/>
                <w:color w:val="000000" w:themeColor="text1"/>
                <w:sz w:val="24"/>
              </w:rPr>
              <w:t>Uredbe (EU) št. 575/2013</w:t>
            </w:r>
            <w:r>
              <w:rPr>
                <w:rFonts w:ascii="Times New Roman" w:hAnsi="Times New Roman"/>
                <w:sz w:val="24"/>
              </w:rPr>
              <w:t xml:space="preserve"> in členu 133(1) </w:t>
            </w:r>
            <w:r>
              <w:rPr>
                <w:rFonts w:ascii="Times New Roman" w:hAnsi="Times New Roman"/>
                <w:color w:val="000000" w:themeColor="text1"/>
                <w:sz w:val="24"/>
              </w:rPr>
              <w:t>Uredbe (EU) št. 575/2013</w:t>
            </w:r>
            <w:r>
              <w:rPr>
                <w:rFonts w:ascii="Times New Roman" w:hAnsi="Times New Roman"/>
                <w:sz w:val="24"/>
              </w:rPr>
              <w:t>.</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Zavarovane s hipotekami na nepremičnine in izpostavljenosti ADC</w:t>
            </w:r>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sz w:val="24"/>
              </w:rPr>
              <w:t xml:space="preserve">Tukaj se poročajo izpostavljenosti, zavarovane z nepremičninami, kot so opredeljene v členu 4(1), točke 75 do 75f, </w:t>
            </w:r>
            <w:r>
              <w:rPr>
                <w:rFonts w:ascii="Times New Roman" w:hAnsi="Times New Roman"/>
                <w:color w:val="000000" w:themeColor="text1"/>
                <w:sz w:val="24"/>
              </w:rPr>
              <w:t>Uredbe (EU) št. 575/2013</w:t>
            </w:r>
            <w:r>
              <w:rPr>
                <w:rFonts w:ascii="Times New Roman" w:hAnsi="Times New Roman"/>
                <w:sz w:val="24"/>
              </w:rPr>
              <w:t xml:space="preserve">, in izpostavljenosti, kot so opredeljene v členu 4(1), točka 78(a), </w:t>
            </w:r>
            <w:r>
              <w:rPr>
                <w:rFonts w:ascii="Times New Roman" w:hAnsi="Times New Roman"/>
                <w:color w:val="000000" w:themeColor="text1"/>
                <w:sz w:val="24"/>
              </w:rPr>
              <w:t>Uredbe (EU) št. 575/2013</w:t>
            </w:r>
            <w:r>
              <w:rPr>
                <w:rFonts w:ascii="Times New Roman" w:hAnsi="Times New Roman"/>
                <w:sz w:val="24"/>
              </w:rPr>
              <w:t>.</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Pr>
                <w:rFonts w:ascii="Times New Roman" w:hAnsi="Times New Roman"/>
                <w:sz w:val="24"/>
              </w:rPr>
              <w:t>Ta vrstica je vsota vrstic 9.1; 9.2; 9.3; 9.4; 9.5.</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0DE2BD5F" w14:textId="7880F40C" w:rsidR="00F26067" w:rsidRPr="00FB64CF" w:rsidRDefault="00B731E6" w:rsidP="007750BC">
            <w:pPr>
              <w:spacing w:after="120"/>
              <w:jc w:val="both"/>
              <w:rPr>
                <w:rFonts w:ascii="Times New Roman" w:eastAsiaTheme="minorHAnsi" w:hAnsi="Times New Roman" w:cs="Times New Roman"/>
                <w:b/>
                <w:bCs/>
                <w:sz w:val="24"/>
              </w:rPr>
            </w:pPr>
            <w:r>
              <w:rPr>
                <w:rFonts w:ascii="Times New Roman" w:hAnsi="Times New Roman"/>
                <w:b/>
                <w:sz w:val="24"/>
              </w:rPr>
              <w:t>Zavarovane s hipotekami na stanovanjske nepremičnine – izpostavljenosti, ki niso IPRE</w:t>
            </w:r>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sz w:val="24"/>
              </w:rPr>
              <w:t>Tukaj se poročajo izpostavljenosti, razkrite v skladu s členom 125(1) Uredbe (EU) št. 575/2013.</w:t>
            </w:r>
          </w:p>
          <w:p w14:paraId="739769BE" w14:textId="77777777" w:rsidR="00FB64CF" w:rsidRDefault="007750BC" w:rsidP="007750BC">
            <w:pPr>
              <w:spacing w:after="120"/>
              <w:jc w:val="both"/>
              <w:rPr>
                <w:rFonts w:ascii="Times New Roman" w:eastAsiaTheme="minorHAnsi" w:hAnsi="Times New Roman"/>
                <w:sz w:val="24"/>
              </w:rPr>
            </w:pPr>
            <w:r>
              <w:t xml:space="preserve"> </w:t>
            </w:r>
            <w:r>
              <w:br/>
            </w:r>
            <w:r>
              <w:rPr>
                <w:rFonts w:ascii="Times New Roman" w:hAnsi="Times New Roman"/>
                <w:sz w:val="24"/>
              </w:rPr>
              <w:t>V tej vrstici se razkrijejo tudi: druge izpostavljenosti, zavarovane s hipotekami na stanovanjske nepremičnine – izpostavljenosti, ki niso IPRE, ki ne izpolnjujejo pogojev iz člena 124(3), ali kateri koli del izpostavljenosti, ki ni ADC, ki presega nominalni znesek zastavne pravice na nepremičnini, iz člena 124(1), točka (a), Uredbe (EU) št. 575/2013.</w:t>
            </w:r>
          </w:p>
          <w:p w14:paraId="432D1633" w14:textId="5C6396A7" w:rsidR="004E3D87" w:rsidRPr="00166E0C" w:rsidRDefault="004E3D87" w:rsidP="007750BC">
            <w:pPr>
              <w:spacing w:after="120"/>
              <w:jc w:val="both"/>
              <w:rPr>
                <w:rFonts w:ascii="Times New Roman" w:hAnsi="Times New Roman" w:cs="Times New Roman"/>
                <w:bCs/>
                <w:sz w:val="24"/>
              </w:rPr>
            </w:pPr>
            <w:r>
              <w:rPr>
                <w:rFonts w:ascii="Times New Roman" w:hAnsi="Times New Roman"/>
                <w:sz w:val="24"/>
              </w:rPr>
              <w:t>Ta vrstica je vsota vrstic 9.1.1, 9.1.2 in 9.1.3.</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9.1.1</w:t>
            </w:r>
          </w:p>
        </w:tc>
        <w:tc>
          <w:tcPr>
            <w:tcW w:w="7654"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Pr>
                <w:rFonts w:ascii="Times New Roman" w:hAnsi="Times New Roman"/>
                <w:b/>
                <w:sz w:val="24"/>
              </w:rPr>
              <w:t>Brez delitve kredita</w:t>
            </w:r>
          </w:p>
          <w:p w14:paraId="02E8C845" w14:textId="57A0B1B1" w:rsidR="00B731E6" w:rsidRPr="00166E0C" w:rsidRDefault="00F26067" w:rsidP="00B731E6">
            <w:pPr>
              <w:spacing w:after="120"/>
              <w:jc w:val="both"/>
              <w:rPr>
                <w:rFonts w:ascii="Times New Roman" w:eastAsiaTheme="minorHAnsi" w:hAnsi="Times New Roman" w:cs="Times New Roman"/>
                <w:sz w:val="24"/>
              </w:rPr>
            </w:pPr>
            <w:r>
              <w:rPr>
                <w:rFonts w:ascii="Times New Roman" w:hAnsi="Times New Roman"/>
                <w:sz w:val="24"/>
              </w:rPr>
              <w:t xml:space="preserve">Izpostavljenosti, zavarovane s hipotekami na stanovanjske nepremičnine – izpostavljenosti, ki niso IPRE, za katere se ne uporablja pristop delitve kreditov, kot je opisan v členu 125(1) Uredbe (EU) št. 575/2013.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9.1.2</w:t>
            </w:r>
          </w:p>
        </w:tc>
        <w:tc>
          <w:tcPr>
            <w:tcW w:w="7654"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Z delitvijo kredita (zavarovano)</w:t>
            </w:r>
          </w:p>
          <w:p w14:paraId="28B98A7E" w14:textId="6E936DED"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Zavarovani del izpostavljenosti, zavarovanih s hipotekami na stanovanjske nepremičnine, za katere se uporablja pristop delitve kreditov, kot je opisan v členu 125(1), točka (a), </w:t>
            </w:r>
            <w:r>
              <w:rPr>
                <w:rFonts w:ascii="Times New Roman" w:hAnsi="Times New Roman"/>
                <w:color w:val="000000" w:themeColor="text1"/>
                <w:sz w:val="24"/>
              </w:rPr>
              <w:t>Uredbe (EU) št. 575/2013</w:t>
            </w:r>
            <w:r>
              <w:rPr>
                <w:rFonts w:ascii="Times New Roman" w:hAnsi="Times New Roman"/>
                <w:sz w:val="24"/>
              </w:rPr>
              <w:t>.</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9.1.3</w:t>
            </w:r>
          </w:p>
        </w:tc>
        <w:tc>
          <w:tcPr>
            <w:tcW w:w="7654"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Z delitvijo kredita (nezavarovano)</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Preostali del izpostavljenosti, zavarovanih s hipotekami na stanovanjske nepremičnine, za katere se uporablja pristop delitve kreditov, kot je opisan v členu 125(1) </w:t>
            </w:r>
            <w:r>
              <w:rPr>
                <w:rFonts w:ascii="Times New Roman" w:hAnsi="Times New Roman"/>
                <w:color w:val="000000" w:themeColor="text1"/>
                <w:sz w:val="24"/>
              </w:rPr>
              <w:t>Uredbe (EU) št. 575/2013</w:t>
            </w:r>
            <w:r>
              <w:rPr>
                <w:rFonts w:ascii="Times New Roman" w:hAnsi="Times New Roman"/>
                <w:sz w:val="24"/>
              </w:rPr>
              <w:t xml:space="preserve">.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Zavarovane s hipotekami na stanovanjske nepremičnine – izpostavljenosti IPRE</w:t>
            </w:r>
          </w:p>
          <w:p w14:paraId="4E83C986" w14:textId="06AEEF5B"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lastRenderedPageBreak/>
              <w:t xml:space="preserve">Tukaj se poročajo izpostavljenosti, ki ustrezajo opredelitvi iz člena 4(1), točka 75b, </w:t>
            </w:r>
            <w:r>
              <w:rPr>
                <w:rFonts w:ascii="Times New Roman" w:hAnsi="Times New Roman"/>
                <w:color w:val="000000" w:themeColor="text1"/>
                <w:sz w:val="24"/>
              </w:rPr>
              <w:t>Uredbe (EU) št. 575/2013</w:t>
            </w:r>
            <w:r>
              <w:rPr>
                <w:rFonts w:ascii="Times New Roman" w:hAnsi="Times New Roman"/>
                <w:sz w:val="24"/>
              </w:rPr>
              <w:t>.</w:t>
            </w:r>
          </w:p>
          <w:p w14:paraId="46AB10B2" w14:textId="77777777" w:rsidR="008D77B1" w:rsidRPr="00166E0C" w:rsidRDefault="00BC2787" w:rsidP="5A0D947F">
            <w:pPr>
              <w:spacing w:after="120"/>
              <w:jc w:val="both"/>
              <w:rPr>
                <w:rFonts w:ascii="Times New Roman" w:hAnsi="Times New Roman" w:cs="Times New Roman"/>
                <w:sz w:val="24"/>
              </w:rPr>
            </w:pPr>
            <w:r>
              <w:rPr>
                <w:rFonts w:ascii="Times New Roman" w:hAnsi="Times New Roman"/>
                <w:sz w:val="24"/>
              </w:rPr>
              <w:t xml:space="preserve">V tej vrstici se razkrijejo tudi: </w:t>
            </w:r>
          </w:p>
          <w:p w14:paraId="56D10EDE" w14:textId="53C433B5"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druge izpostavljenosti, zavarovane s hipotekami na stanovanjske nepremičnine – izpostavljenosti IPRE, ki ne izpolnjujejo pogojev iz člena 124(3), ali kateri koli del izpostavljenosti, ki ni ADC, ki presega nominalni znesek zastavne pravice na nepremičnini, iz člena 124(1), točka (b), Uredbe (EU) št. 575/2013;</w:t>
            </w:r>
          </w:p>
          <w:p w14:paraId="54B1CD31" w14:textId="77777777" w:rsidR="00DE1541" w:rsidRDefault="008D77B1" w:rsidP="5A0D947F">
            <w:pPr>
              <w:spacing w:after="120"/>
              <w:jc w:val="both"/>
              <w:rPr>
                <w:rFonts w:ascii="Times New Roman" w:hAnsi="Times New Roman" w:cs="Times New Roman"/>
                <w:bCs/>
                <w:sz w:val="24"/>
              </w:rPr>
            </w:pPr>
            <w:r>
              <w:rPr>
                <w:rFonts w:ascii="Times New Roman" w:hAnsi="Times New Roman"/>
                <w:sz w:val="24"/>
              </w:rPr>
              <w:t xml:space="preserve">– izpostavljenosti IPRE, ki izpolnjujejo kateri koli pogoj iz člena 124(2), točka (a)(ii), podtočke 1 do 4, Uredbe (EU) št. 575/2013; </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sz w:val="24"/>
              </w:rPr>
              <w:t>– izpostavljenosti IPRE, pri katerih se uporablja odstopanje iz člena 125(2) Uredbe (EU) št. 575/2013.</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9.3</w:t>
            </w:r>
          </w:p>
        </w:tc>
        <w:tc>
          <w:tcPr>
            <w:tcW w:w="7654"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Zavarovane s hipotekami na poslovne nepremičnine – izpostavljenosti, ki niso IPRE</w:t>
            </w:r>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sz w:val="24"/>
              </w:rPr>
              <w:t>Tukaj se poročajo izpostavljenosti, razkrite v skladu s členom 126(1) Uredbe (EU) št. 575/2013.</w:t>
            </w:r>
          </w:p>
          <w:p w14:paraId="7E6B1435" w14:textId="2E512A61" w:rsidR="00DA7EF5" w:rsidRPr="00166E0C" w:rsidRDefault="0033556A" w:rsidP="00B731E6">
            <w:pPr>
              <w:spacing w:after="120"/>
              <w:jc w:val="both"/>
              <w:rPr>
                <w:rFonts w:ascii="Times New Roman" w:hAnsi="Times New Roman" w:cs="Times New Roman"/>
                <w:bCs/>
                <w:sz w:val="24"/>
              </w:rPr>
            </w:pPr>
            <w:r>
              <w:rPr>
                <w:rFonts w:ascii="Times New Roman" w:hAnsi="Times New Roman"/>
                <w:sz w:val="24"/>
              </w:rPr>
              <w:t>V tej vrstici se razkrijejo tudi: druge izpostavljenosti, zavarovane s hipotekami na stanovanjske nepremičnine – izpostavljenosti, ki niso IPRE, ki ne izpolnjujejo pogojev iz člena 124(3), ali kateri koli del izpostavljenosti, ki ni ADC, ki presega nominalni znesek zastavne pravice na nepremičnini, iz člena 124(1), točka (a), Uredbe (EU) št. 575/2013.</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Pr>
                <w:rFonts w:ascii="Times New Roman" w:hAnsi="Times New Roman"/>
                <w:sz w:val="24"/>
              </w:rPr>
              <w:t>Ta vrstica je vsota vrstic 9.3.1, 9.3.2 in 9.3.3.</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9.3.1</w:t>
            </w:r>
          </w:p>
        </w:tc>
        <w:tc>
          <w:tcPr>
            <w:tcW w:w="7654"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Brez delitve kredita</w:t>
            </w:r>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Izpostavljenosti, zavarovane s hipotekami na poslovne nepremičnine, za katere se ne uporablja pristop delitve kreditov, kot je opisan v členu 126(1) </w:t>
            </w:r>
            <w:r>
              <w:rPr>
                <w:rFonts w:ascii="Times New Roman" w:hAnsi="Times New Roman"/>
                <w:color w:val="000000" w:themeColor="text1"/>
                <w:sz w:val="24"/>
              </w:rPr>
              <w:t>Uredbe (EU) št. 575/2013</w:t>
            </w:r>
            <w:r>
              <w:rPr>
                <w:rFonts w:ascii="Times New Roman" w:hAnsi="Times New Roman"/>
                <w:sz w:val="24"/>
              </w:rPr>
              <w:t>.</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9.3.2</w:t>
            </w:r>
          </w:p>
        </w:tc>
        <w:tc>
          <w:tcPr>
            <w:tcW w:w="7654"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Z delitvijo kredita (zavarovano)</w:t>
            </w:r>
          </w:p>
          <w:p w14:paraId="295F988E" w14:textId="163AC5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 xml:space="preserve">Zavarovani del izpostavljenosti, zavarovanih s hipotekami na poslovne nepremičnine, za katere se uporablja pristop delitve kreditov, kot je opisan v členu 126(1) </w:t>
            </w:r>
            <w:r>
              <w:rPr>
                <w:rFonts w:ascii="Times New Roman" w:hAnsi="Times New Roman"/>
                <w:color w:val="000000" w:themeColor="text1"/>
                <w:sz w:val="24"/>
              </w:rPr>
              <w:t>Uredbe (EU) št. 575/2013</w:t>
            </w:r>
            <w:r>
              <w:rPr>
                <w:rFonts w:ascii="Times New Roman" w:hAnsi="Times New Roman"/>
                <w:sz w:val="24"/>
              </w:rPr>
              <w:t>.</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9.3.3</w:t>
            </w:r>
          </w:p>
        </w:tc>
        <w:tc>
          <w:tcPr>
            <w:tcW w:w="7654"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Z delitvijo kredita (nezavarovano)</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 xml:space="preserve">Preostali del izpostavljenosti, zavarovanih s hipotekami na poslovne nepremičnine, za katere se uporablja pristop delitve kreditov, kot je opisan v členu 126(1) </w:t>
            </w:r>
            <w:r>
              <w:rPr>
                <w:rFonts w:ascii="Times New Roman" w:hAnsi="Times New Roman"/>
                <w:color w:val="000000" w:themeColor="text1"/>
                <w:sz w:val="24"/>
              </w:rPr>
              <w:t>Uredbe (EU) št. 575/2013</w:t>
            </w:r>
            <w:r>
              <w:rPr>
                <w:rFonts w:ascii="Times New Roman" w:hAnsi="Times New Roman"/>
                <w:sz w:val="24"/>
              </w:rPr>
              <w:t>.</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Zavarovane s hipotekami na poslovne nepremičnine – izpostavljenosti IPRE</w:t>
            </w:r>
          </w:p>
          <w:p w14:paraId="6B5C20F3" w14:textId="231C48A9"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Tukaj se poročajo samo izpostavljenosti, ki ustrezajo opredelitvi iz člena 4(1), točka 75b, in člena 124(2), točka (b)(ii), </w:t>
            </w:r>
            <w:r>
              <w:rPr>
                <w:rFonts w:ascii="Times New Roman" w:hAnsi="Times New Roman"/>
                <w:color w:val="000000" w:themeColor="text1"/>
                <w:sz w:val="24"/>
              </w:rPr>
              <w:t>Uredbe (EU) št. 575/2013</w:t>
            </w:r>
            <w:r>
              <w:rPr>
                <w:rFonts w:ascii="Times New Roman" w:hAnsi="Times New Roman"/>
                <w:sz w:val="24"/>
              </w:rPr>
              <w:t xml:space="preserve">. </w:t>
            </w:r>
          </w:p>
          <w:p w14:paraId="753C2F57" w14:textId="77777777" w:rsidR="008D77B1" w:rsidRPr="00166E0C" w:rsidRDefault="00DA7EF5" w:rsidP="5A0D947F">
            <w:pPr>
              <w:spacing w:after="120"/>
              <w:jc w:val="both"/>
              <w:rPr>
                <w:rFonts w:ascii="Times New Roman" w:hAnsi="Times New Roman" w:cs="Times New Roman"/>
                <w:sz w:val="24"/>
              </w:rPr>
            </w:pPr>
            <w:r>
              <w:rPr>
                <w:rFonts w:ascii="Times New Roman" w:hAnsi="Times New Roman"/>
                <w:sz w:val="24"/>
              </w:rPr>
              <w:t>V tej vrstici se razkrijejo tudi:</w:t>
            </w:r>
          </w:p>
          <w:p w14:paraId="5FECF5F7" w14:textId="5AE5B58A"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xml:space="preserve">– druge izpostavljenosti, zavarovane s hipotekami na poslovne nepremičnine – izpostavljenosti IPRE, ki ne izpolnjujejo pogojev iz člena 124(3), ali kateri </w:t>
            </w:r>
            <w:r>
              <w:rPr>
                <w:rFonts w:ascii="Times New Roman" w:hAnsi="Times New Roman"/>
                <w:sz w:val="24"/>
              </w:rPr>
              <w:lastRenderedPageBreak/>
              <w:t>koli del izpostavljenosti, ki ni ADC, ki presega nominalni znesek zastavne pravice na nepremičnini, iz člena 124(1), točka (b), Uredbe (EU) št. 575/2013;</w:t>
            </w:r>
          </w:p>
          <w:p w14:paraId="7685605B" w14:textId="29DF1160" w:rsidR="00DA7EF5" w:rsidRPr="00166E0C" w:rsidRDefault="008D77B1" w:rsidP="5A0D947F">
            <w:pPr>
              <w:spacing w:after="120"/>
              <w:jc w:val="both"/>
              <w:rPr>
                <w:rFonts w:ascii="Times New Roman" w:hAnsi="Times New Roman" w:cs="Times New Roman"/>
                <w:bCs/>
                <w:sz w:val="24"/>
              </w:rPr>
            </w:pPr>
            <w:r>
              <w:rPr>
                <w:rFonts w:ascii="Times New Roman" w:hAnsi="Times New Roman"/>
                <w:sz w:val="24"/>
              </w:rPr>
              <w:t>– izpostavljenosti IPRE, pri katerih se uporablja odstopanje iz člena 126(2) Uredbe (EU) št. 575/2014.</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9.5</w:t>
            </w:r>
          </w:p>
        </w:tc>
        <w:tc>
          <w:tcPr>
            <w:tcW w:w="7654"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Pridobitev, razvoj in izgradnja (ADC)</w:t>
            </w:r>
          </w:p>
          <w:p w14:paraId="0F969F9F" w14:textId="52C7FD3B"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 xml:space="preserve">Tukaj se poročajo samo izpostavljenosti, ki ustrezajo opredelitvi iz člena 4(1), točka 78a, </w:t>
            </w:r>
            <w:r>
              <w:rPr>
                <w:rFonts w:ascii="Times New Roman" w:hAnsi="Times New Roman"/>
                <w:color w:val="000000" w:themeColor="text1"/>
                <w:sz w:val="24"/>
              </w:rPr>
              <w:t>Uredbe (EU) št. 575/2013</w:t>
            </w:r>
            <w:r>
              <w:rPr>
                <w:rFonts w:ascii="Times New Roman" w:hAnsi="Times New Roman"/>
                <w:sz w:val="24"/>
              </w:rPr>
              <w:t>.</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rFonts w:ascii="Times New Roman" w:eastAsia="Times New Roman" w:hAnsi="Times New Roman" w:cs="Times New Roman"/>
                <w:sz w:val="24"/>
              </w:rPr>
            </w:pPr>
            <w:r>
              <w:rPr>
                <w:rFonts w:ascii="Times New Roman" w:hAnsi="Times New Roman"/>
                <w:sz w:val="24"/>
              </w:rPr>
              <w:t>EU 10c</w:t>
            </w:r>
          </w:p>
        </w:tc>
        <w:tc>
          <w:tcPr>
            <w:tcW w:w="7654"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Druge postavke</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hAnsi="Times New Roman"/>
                <w:sz w:val="24"/>
              </w:rPr>
              <w:t>Kategorija izpostavljenosti se nanaša na:</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Pr>
                <w:rFonts w:ascii="Times New Roman" w:hAnsi="Times New Roman"/>
                <w:sz w:val="24"/>
              </w:rPr>
              <w:t xml:space="preserve">– sredstva, za katera se uporablja posebna utež tveganja, določena v členu 134 poglavja 4 naslova II dela 3 </w:t>
            </w:r>
            <w:r>
              <w:rPr>
                <w:rFonts w:ascii="Times New Roman" w:hAnsi="Times New Roman"/>
                <w:color w:val="000000" w:themeColor="text1"/>
                <w:sz w:val="24"/>
              </w:rPr>
              <w:t>Uredbe (EU) št. 575/2013</w:t>
            </w:r>
            <w:r>
              <w:rPr>
                <w:rFonts w:ascii="Times New Roman" w:hAnsi="Times New Roman"/>
                <w:sz w:val="24"/>
              </w:rPr>
              <w:t>,</w:t>
            </w:r>
          </w:p>
          <w:p w14:paraId="573636F2" w14:textId="044BB2FD"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xml:space="preserve">– sredstva, ki se ne odbijejo v skladu s členom 39 </w:t>
            </w:r>
            <w:r>
              <w:rPr>
                <w:rFonts w:ascii="Times New Roman" w:hAnsi="Times New Roman"/>
                <w:color w:val="000000" w:themeColor="text1"/>
                <w:sz w:val="24"/>
              </w:rPr>
              <w:t>Uredbe (EU) št. 575/2013</w:t>
            </w:r>
            <w:r>
              <w:rPr>
                <w:rFonts w:ascii="Times New Roman" w:hAnsi="Times New Roman"/>
                <w:sz w:val="24"/>
              </w:rPr>
              <w:t xml:space="preserve"> (preplačilo davka, prenos davčne izgube v predhodno obdobje in odložene terjatve za davek, ki se ne nanašajo na prihodnji dobiček), členom 41 </w:t>
            </w:r>
            <w:r>
              <w:rPr>
                <w:rFonts w:ascii="Times New Roman" w:hAnsi="Times New Roman"/>
                <w:color w:val="000000" w:themeColor="text1"/>
                <w:sz w:val="24"/>
              </w:rPr>
              <w:t>Uredbe (EU) št. 575/2013</w:t>
            </w:r>
            <w:r>
              <w:rPr>
                <w:rFonts w:ascii="Times New Roman" w:hAnsi="Times New Roman"/>
                <w:sz w:val="24"/>
              </w:rPr>
              <w:t xml:space="preserve"> (sredstva pokojninskega sklada z določenimi pravicami), členom 46 in členom 469 </w:t>
            </w:r>
            <w:r>
              <w:rPr>
                <w:rFonts w:ascii="Times New Roman" w:hAnsi="Times New Roman"/>
                <w:color w:val="000000" w:themeColor="text1"/>
                <w:sz w:val="24"/>
              </w:rPr>
              <w:t>Uredbe (EU) št. 575/2013</w:t>
            </w:r>
            <w:r>
              <w:rPr>
                <w:rFonts w:ascii="Times New Roman" w:hAnsi="Times New Roman"/>
                <w:sz w:val="24"/>
              </w:rPr>
              <w:t xml:space="preserve"> (nepomembne naložbe v navadni lastniški temeljni kapital subjektov finančnega sektorja), členom 49 in členom 471 </w:t>
            </w:r>
            <w:r>
              <w:rPr>
                <w:rFonts w:ascii="Times New Roman" w:hAnsi="Times New Roman"/>
                <w:color w:val="000000" w:themeColor="text1"/>
                <w:sz w:val="24"/>
              </w:rPr>
              <w:t>Uredbe (EU) št. 575/2013</w:t>
            </w:r>
            <w:r>
              <w:rPr>
                <w:rFonts w:ascii="Times New Roman" w:hAnsi="Times New Roman"/>
                <w:sz w:val="24"/>
              </w:rPr>
              <w:t xml:space="preserve"> (udeležbe v zavarovalnicah ne glede na to, ali se zavarovalnice nadzorujejo na podlagi direktive o konglomeratih), členom 60 in členom 475 </w:t>
            </w:r>
            <w:r>
              <w:rPr>
                <w:rFonts w:ascii="Times New Roman" w:hAnsi="Times New Roman"/>
                <w:color w:val="000000" w:themeColor="text1"/>
                <w:sz w:val="24"/>
              </w:rPr>
              <w:t>Uredbe (EU) št. 575/2013</w:t>
            </w:r>
            <w:r>
              <w:rPr>
                <w:rFonts w:ascii="Times New Roman" w:hAnsi="Times New Roman"/>
                <w:sz w:val="24"/>
              </w:rPr>
              <w:t xml:space="preserve"> (nepomembne in pomembne neposredne, posredne in sintetične naložbe v dodatni temeljni kapital subjektov finančnega sektorja), členom 70 in členom 477 </w:t>
            </w:r>
            <w:r>
              <w:rPr>
                <w:rFonts w:ascii="Times New Roman" w:hAnsi="Times New Roman"/>
                <w:color w:val="000000" w:themeColor="text1"/>
                <w:sz w:val="24"/>
              </w:rPr>
              <w:t>Uredbe (EU) št. 575/2013</w:t>
            </w:r>
            <w:r>
              <w:rPr>
                <w:rFonts w:ascii="Times New Roman" w:hAnsi="Times New Roman"/>
                <w:sz w:val="24"/>
              </w:rPr>
              <w:t xml:space="preserve"> (nepomembni in pomembni neposredni, posredni in sintetični deleži v instrumentih dodatnega kapitala, ki jih izdajo subjekti finančnega sektorja), kadar niso razporejena v druge kategorije izpostavljenosti, in na kvalificirane deleže zunaj finančnega sektorja, če jim ni dodeljena utež tveganja 1250 % (v skladu s členom 36(k) poglavja 1 naslova I dela 2 </w:t>
            </w:r>
            <w:r>
              <w:rPr>
                <w:rFonts w:ascii="Times New Roman" w:hAnsi="Times New Roman"/>
                <w:color w:val="000000" w:themeColor="text1"/>
                <w:sz w:val="24"/>
              </w:rPr>
              <w:t>Uredbe (EU) št. 575/2013</w:t>
            </w:r>
            <w:r>
              <w:rPr>
                <w:rFonts w:ascii="Times New Roman" w:hAnsi="Times New Roman"/>
                <w:sz w:val="24"/>
              </w:rPr>
              <w:t>).</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hAnsi="Times New Roman"/>
                <w:sz w:val="24"/>
              </w:rPr>
              <w:t>Ni relevantno</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rFonts w:ascii="Times New Roman" w:hAnsi="Times New Roman" w:cs="Times New Roman"/>
                <w:b/>
                <w:bCs/>
                <w:sz w:val="24"/>
              </w:rPr>
            </w:pPr>
            <w:r>
              <w:rPr>
                <w:rFonts w:ascii="Times New Roman" w:hAnsi="Times New Roman"/>
                <w:b/>
                <w:sz w:val="24"/>
              </w:rPr>
              <w:t>Skupaj</w:t>
            </w:r>
          </w:p>
          <w:p w14:paraId="463C4A08" w14:textId="7392B85F" w:rsidR="00B731E6" w:rsidRPr="00FB64CF" w:rsidRDefault="00AF5657" w:rsidP="00B731E6">
            <w:pPr>
              <w:spacing w:after="120"/>
              <w:jc w:val="both"/>
              <w:rPr>
                <w:rFonts w:ascii="Times New Roman" w:hAnsi="Times New Roman" w:cs="Times New Roman"/>
                <w:sz w:val="24"/>
              </w:rPr>
            </w:pPr>
            <w:r>
              <w:rPr>
                <w:rFonts w:ascii="Times New Roman" w:hAnsi="Times New Roman"/>
                <w:sz w:val="24"/>
              </w:rPr>
              <w:t>Vsota vrstic 1, 2, 3, EU 3a, 4, 5, 6, 7, 8, 9, 10, EU 10a, EU 10b in EU 10c zgoraj.</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 xml:space="preserve"> </w:t>
      </w:r>
      <w:r>
        <w:tab/>
        <w:t xml:space="preserve">Uredba (EU) št. 575/2013 Evropskega parlamenta in Sveta z dne 26. junija 2013 o bonitetnih zahtevah za kreditne institucije in o spremembi Uredbe (EU) št. 648/2012, kot je bila spremenjena z Uredbo (EU) 2024/1623 </w:t>
      </w:r>
      <w:r>
        <w:rPr>
          <w:color w:val="444444"/>
        </w:rPr>
        <w:t>(</w:t>
      </w:r>
      <w:hyperlink r:id="rId1" w:history="1">
        <w:r>
          <w:rPr>
            <w:rStyle w:val="Hyperlink"/>
            <w:color w:val="800080"/>
          </w:rPr>
          <w:t>UL L 176, 27.6.2013, str. 1</w:t>
        </w:r>
      </w:hyperlink>
      <w:r>
        <w:t>;</w:t>
      </w:r>
      <w:r>
        <w:rPr>
          <w:color w:val="800080"/>
          <w:u w:val="single"/>
        </w:rPr>
        <w:t xml:space="preserve"> </w:t>
      </w:r>
      <w:hyperlink r:id="rId2" w:history="1">
        <w:r>
          <w:rPr>
            <w:rStyle w:val="Hyperlink"/>
          </w:rPr>
          <w:t>Uredba - EU - 2024/1623 - SL - EUR-Lex (europa.eu)</w:t>
        </w:r>
      </w:hyperlink>
      <w:r>
        <w:rPr>
          <w:color w:val="444444"/>
        </w:rPr>
        <w:t>)</w:t>
      </w:r>
      <w:r>
        <w:t>.</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 xml:space="preserve"> </w:t>
      </w:r>
      <w:r>
        <w:tab/>
      </w:r>
      <w:r>
        <w:t>DELEGIRANA UREDBA KOMISIJE (EU) št. 183/2014 z dne 20. decembra 2013 o dopolnitvi Uredbe (EU) št. 575/2013 Evropskega parlamenta in Sveta o bonitetnih zahtevah za kreditne institucije in investicijska podjetja glede regulativnih tehničnih standardov za določitev izračuna posebnih in splošnih popravkov zaradi kreditnega tveganja (UL L 57, 27.2.2014, str.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C3247"/>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BE4CF948-7D92-4A28-95A5-5357351E6507}"/>
</file>

<file path=customXml/itemProps3.xml><?xml version="1.0" encoding="utf-8"?>
<ds:datastoreItem xmlns:ds="http://schemas.openxmlformats.org/officeDocument/2006/customXml" ds:itemID="{F9A8CC9D-CAB5-438D-AABE-3AFDD0D33F8E}"/>
</file>

<file path=customXml/itemProps4.xml><?xml version="1.0" encoding="utf-8"?>
<ds:datastoreItem xmlns:ds="http://schemas.openxmlformats.org/officeDocument/2006/customXml" ds:itemID="{D7E7369F-4E85-4F17-8E2E-F31C9EAC2D7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3024</Words>
  <Characters>17390</Characters>
  <Application>Microsoft Office Word</Application>
  <DocSecurity>0</DocSecurity>
  <Lines>434</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2024-10-16T15:11:00Z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