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XXXIV PRIEDAS. Informacijos apie atlygio nustatymo politiką atskleidimo formų nurodymai</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REMA lentelė. Atlygio nustatymo politika </w:t>
      </w:r>
      <w:r>
        <w:rPr>
          <w:rFonts w:ascii="Times New Roman" w:hAnsi="Times New Roman"/>
          <w:color w:val="auto"/>
          <w:sz w:val="24"/>
        </w:rPr>
        <w:t>(lankstusis formatas)</w:t>
      </w:r>
    </w:p>
    <w:p w14:paraId="6ACFB470" w14:textId="1A85C3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Pildydamos EBI IT sprendimų XXXIII priede pateiktą EU REMA lentelę įstaigos atskleidžia KRR</w:t>
      </w:r>
      <w:r>
        <w:rPr>
          <w:rStyle w:val="FootnoteReference"/>
          <w:rFonts w:ascii="Times New Roman" w:eastAsiaTheme="minorEastAsia" w:hAnsi="Times New Roman" w:cs="Times New Roman"/>
          <w:bCs w:val="0"/>
          <w:color w:val="auto"/>
          <w:sz w:val="24"/>
          <w:lang w:val="en-GB"/>
        </w:rPr>
        <w:footnoteReference w:id="1"/>
      </w:r>
      <w:r>
        <w:rPr>
          <w:rFonts w:ascii="Times New Roman" w:hAnsi="Times New Roman"/>
          <w:color w:val="auto"/>
          <w:sz w:val="24"/>
        </w:rPr>
        <w:t xml:space="preserve"> 450 straipsnio 1 dalies a, b, c, d, e, f, j ir k punktuose ir 2 dalyje nurodytą informaciją, vadovaudamosi toliau šiame priede pateiktais nurodymais.</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Ši lentelė yra lanksčiojo formato. Jei įstaigos taiko kitokį formatą, jos pateikia panašaus detalumo informaciją, palygintiną su šioje lentelėje prašoma pateikti informacija, įskaitant visą esminę prašomą informaciją.</w:t>
      </w:r>
    </w:p>
    <w:p w14:paraId="5ED60910"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Pildant šią lentelę ir šiame priede paaiškintas formas, skyrimas – kintamojo atlygio suteikimas už konkretų prieskaitos laikotarpį, nepriklausomai nuo faktinio momento, kai paskirta suma yra išmokama.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Pr>
                <w:rFonts w:ascii="Times New Roman" w:hAnsi="Times New Roman"/>
                <w:b/>
                <w:sz w:val="24"/>
              </w:rPr>
              <w:t>Nuorodos į teisės aktus ir nurodymai</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Su organais, vykdančiais atlygio politikos priežiūrą, susijusi informacija. Atskleidžiama tokia informacija:</w:t>
            </w:r>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pagrindinio organo, vykdančio atlygio politikos priežiūrą (valdymo organo ir atlygio komiteto, jei įsteigtas), pavadinimas, sudėtis ir įgaliojimai, taip pat finansiniais metais surengtų to pagrindinio organo susirinkimų skaičius;</w:t>
            </w:r>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išorės konsultantai, į kuriuos buvo kreiptasi, jų paslaugas užsakęs organas ir atlygio nustatymo sistemos sritys, dėl kurių teiktos tos konsultacijos;</w:t>
            </w:r>
          </w:p>
          <w:p w14:paraId="3CBC394C"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įstaigos atlygio nustatymo politikos taikymo srities aprašymas (pvz., pagal regionus, verslo linijas), nurodant mastą, kuriuo ši politika taikoma trečiosiose valstybėse įsikūrusioms patronuojamosioms įmonėms ir filialams;</w:t>
            </w:r>
          </w:p>
          <w:p w14:paraId="1BEEE20B" w14:textId="77777777" w:rsidR="00965CEB" w:rsidRPr="007F4CC8" w:rsidRDefault="00965CEB" w:rsidP="00965CEB">
            <w:pPr>
              <w:pStyle w:val="ListParagraph"/>
              <w:numPr>
                <w:ilvl w:val="0"/>
                <w:numId w:val="2"/>
              </w:numPr>
              <w:spacing w:before="60" w:after="120"/>
              <w:jc w:val="both"/>
              <w:rPr>
                <w:rFonts w:ascii="Times New Roman" w:hAnsi="Times New Roman"/>
                <w:sz w:val="24"/>
              </w:rPr>
            </w:pPr>
            <w:r>
              <w:rPr>
                <w:rFonts w:ascii="Times New Roman" w:hAnsi="Times New Roman"/>
                <w:sz w:val="24"/>
              </w:rPr>
              <w:t>darbuotojų arba tų kategorijų darbuotojų, kurių profesinė veikla turi reikšmingą poveikį įstaigų rizikos pobūdžiui (nustatytųjų darbuotojų), aprašymas.</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Informacija, susijusi su nustatytiesiems darbuotojams taikomos atlygio nustatymo sistemos modeliu ir struktūra. Atskleidžiama tokia informacija:</w:t>
            </w:r>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atlyginimų nustatymo politikos pagrindinių savybių ir tikslų apžvalga ir informacija apie sprendimų priėmimo procesą, kurio laikomasi nustatant atlygio nustatymo politiką, ir suinteresuotųjų subjektų (pvz., akcininkų susirinkimo) vaidmenį;</w:t>
            </w:r>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lastRenderedPageBreak/>
              <w:t xml:space="preserve">informacija apie kriterijus, taikomus veiklos rezultatams vertinti, ir </w:t>
            </w:r>
            <w:proofErr w:type="spellStart"/>
            <w:r>
              <w:rPr>
                <w:rFonts w:ascii="Times New Roman" w:hAnsi="Times New Roman"/>
                <w:i/>
                <w:iCs/>
                <w:sz w:val="24"/>
              </w:rPr>
              <w:t>ex</w:t>
            </w:r>
            <w:proofErr w:type="spellEnd"/>
            <w:r>
              <w:rPr>
                <w:rFonts w:ascii="Times New Roman" w:hAnsi="Times New Roman"/>
                <w:i/>
                <w:iCs/>
                <w:sz w:val="24"/>
              </w:rPr>
              <w:t> ante</w:t>
            </w:r>
            <w:r>
              <w:rPr>
                <w:rFonts w:ascii="Times New Roman" w:hAnsi="Times New Roman"/>
                <w:sz w:val="24"/>
              </w:rPr>
              <w:t xml:space="preserve"> bei </w:t>
            </w:r>
            <w:proofErr w:type="spellStart"/>
            <w:r>
              <w:rPr>
                <w:rFonts w:ascii="Times New Roman" w:hAnsi="Times New Roman"/>
                <w:i/>
                <w:iCs/>
                <w:sz w:val="24"/>
              </w:rPr>
              <w:t>ex</w:t>
            </w:r>
            <w:proofErr w:type="spellEnd"/>
            <w:r>
              <w:rPr>
                <w:rFonts w:ascii="Times New Roman" w:hAnsi="Times New Roman"/>
                <w:i/>
                <w:iCs/>
                <w:sz w:val="24"/>
              </w:rPr>
              <w:t> </w:t>
            </w:r>
            <w:proofErr w:type="spellStart"/>
            <w:r>
              <w:rPr>
                <w:rFonts w:ascii="Times New Roman" w:hAnsi="Times New Roman"/>
                <w:i/>
                <w:iCs/>
                <w:sz w:val="24"/>
              </w:rPr>
              <w:t>post</w:t>
            </w:r>
            <w:proofErr w:type="spellEnd"/>
            <w:r>
              <w:rPr>
                <w:rFonts w:ascii="Times New Roman" w:hAnsi="Times New Roman"/>
                <w:sz w:val="24"/>
              </w:rPr>
              <w:t xml:space="preserve"> rizikos koregavimą;</w:t>
            </w:r>
          </w:p>
          <w:p w14:paraId="486E0D69"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informacija, ar valdymo organas ir atlygio komitetas, jei įsteigtas, per pastaruosius metus yra peržiūrėję įstaigos atlygio nustatymo politiką ir, jei taip, visų atliktų pakeitimų, juos lėmusių priežasčių ir jų poveikio atlygiui apžvalga;</w:t>
            </w:r>
          </w:p>
          <w:p w14:paraId="410559C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informacija apie tai, kaip įstaiga užtikrina, kad vidaus kontrolės funkcijas vykdantiems darbuotojams atlygis būtų mokamas nepriklausomai nuo veiklos, kurią jie prižiūri;</w:t>
            </w:r>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garantuoto kintamojo atlygio ir išeitinių išmokų skyrimo politika ir kriterijai.</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2AE94EC0"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Aprašymas, kaip atlygio nustatymo procesuose atsižvelgiama į dabartinę ir būsimą riziką </w:t>
            </w:r>
          </w:p>
          <w:p w14:paraId="5A14C6D4"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Atskleidžiama pagrindinės rizikos, jos vertinimo ir jos poveikio atlygiui apžvalga.</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Fiksuotojo ir kintamojo atlygio santykiai, nustatyti pagal Direktyvos 2013/36/ES</w:t>
            </w:r>
            <w:r>
              <w:rPr>
                <w:rStyle w:val="FootnoteReference"/>
                <w:rFonts w:ascii="Times New Roman" w:hAnsi="Times New Roman"/>
                <w:sz w:val="24"/>
              </w:rPr>
              <w:footnoteReference w:id="2"/>
            </w:r>
            <w:r>
              <w:rPr>
                <w:rFonts w:ascii="Times New Roman" w:hAnsi="Times New Roman"/>
                <w:sz w:val="24"/>
              </w:rPr>
              <w:t xml:space="preserve"> (toliau – KRD) 94 straipsnio 1 dalies g punktą</w:t>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Aprašymas, kaip įstaiga siekia susieti veiklos rezultatus per veiklos rezultatų vertinimo laikotarpį su atlygio dydžiais</w:t>
            </w:r>
          </w:p>
          <w:p w14:paraId="2C4FFE4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Atskleidžiama tokia informacija:</w:t>
            </w:r>
          </w:p>
          <w:p w14:paraId="13DAA83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pagrindinių veiklos rezultatų kriterijų ir parametrų, taikomų įstaigai, verslo linijoms ir asmenims, apžvalga;</w:t>
            </w:r>
          </w:p>
          <w:p w14:paraId="4673DEDB"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atskiro kintamojo atlygio sumų ryšio su visos įstaigos ir asmens veiklos rezultatais apžvalga;</w:t>
            </w:r>
          </w:p>
          <w:p w14:paraId="66395D1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informacija apie kriterijus, naudojamus nustatant įvairių rūšių skirtų priemonių, įskaitant akcijas, lygiavertes nuosavybės teises, pasirinkimo sandorius ir kitas priemones, pusiausvyrą;</w:t>
            </w:r>
          </w:p>
          <w:p w14:paraId="41B4F38D" w14:textId="77777777" w:rsidR="00965CEB" w:rsidRPr="007F4CC8" w:rsidRDefault="00965CEB" w:rsidP="00965CEB">
            <w:pPr>
              <w:pStyle w:val="ListParagraph"/>
              <w:numPr>
                <w:ilvl w:val="0"/>
                <w:numId w:val="3"/>
              </w:numPr>
              <w:spacing w:before="60" w:after="120"/>
              <w:jc w:val="both"/>
              <w:rPr>
                <w:rFonts w:ascii="Times New Roman" w:hAnsi="Times New Roman"/>
                <w:sz w:val="24"/>
              </w:rPr>
            </w:pPr>
            <w:r>
              <w:rPr>
                <w:rFonts w:ascii="Times New Roman" w:hAnsi="Times New Roman"/>
                <w:sz w:val="24"/>
              </w:rPr>
              <w:t>informacija apie priemones, kurias įstaiga įgyvendins siekdama pakoreguoti kintamąjį atlygį, jeigu veiklos rezultatų rodikliai bus silpni, be kita ko, nurodant įstaigos kriterijus, pagal kuriuos nustatomi veiklos rezultatų rodikliai, kai veiklos rezultatų rodikliai laikomi silpnais. Remiantis KRD 94 straipsnio 1 dalies n punktu, kintamojo atlygio mokėjimas arba teisių į jį suteikimas turi būti grindžiamas įstaigos, verslo padalinio ir atitinkamo asmens veiklos rezultatais. Įstaigos paaiškina kriterijus / ribas, pagal kuriuos nustatoma, kad veiklos rezultatai yra silpni, todėl nėra pagrindo mokėti kintamojo atlygio arba suteikti teises į jį.</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Aprašymas, kaip įstaiga siekia koreguoti atlygį priklausomai nuo ilgalaikių veiklos rezultatų</w:t>
            </w:r>
          </w:p>
          <w:p w14:paraId="6FD7FDE9"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lastRenderedPageBreak/>
              <w:t>Atskleidžiama tokia informacija:</w:t>
            </w:r>
          </w:p>
          <w:p w14:paraId="4C34D32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įstaigos politikos, pagal kurią kintamasis atlygis yra atidedamas, išmokamas priemonėmis, nustatomi jo išlaikymo laikotarpiai ir suteikiamos teisės į jį, apžvalga, nurodant, ar ši politika skiriasi skirtingiems darbuotojams ar darbuotojų kategorijoms;</w:t>
            </w:r>
          </w:p>
          <w:p w14:paraId="21961ED2"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informacija apie įstaigos </w:t>
            </w:r>
            <w:proofErr w:type="spellStart"/>
            <w:r>
              <w:rPr>
                <w:rFonts w:ascii="Times New Roman" w:hAnsi="Times New Roman"/>
                <w:i/>
                <w:iCs/>
                <w:sz w:val="24"/>
              </w:rPr>
              <w:t>ex</w:t>
            </w:r>
            <w:proofErr w:type="spellEnd"/>
            <w:r>
              <w:rPr>
                <w:rFonts w:ascii="Times New Roman" w:hAnsi="Times New Roman"/>
                <w:i/>
                <w:iCs/>
                <w:sz w:val="24"/>
              </w:rPr>
              <w:t> </w:t>
            </w:r>
            <w:proofErr w:type="spellStart"/>
            <w:r>
              <w:rPr>
                <w:rFonts w:ascii="Times New Roman" w:hAnsi="Times New Roman"/>
                <w:i/>
                <w:iCs/>
                <w:sz w:val="24"/>
              </w:rPr>
              <w:t>post</w:t>
            </w:r>
            <w:proofErr w:type="spellEnd"/>
            <w:r>
              <w:rPr>
                <w:rFonts w:ascii="Times New Roman" w:hAnsi="Times New Roman"/>
                <w:sz w:val="24"/>
              </w:rPr>
              <w:t xml:space="preserve"> koregavimo kriterijus (sumažinimas atidėjimo laikotarpiu ir susigrąžinimas po teisių suteikimo, jeigu tai leidžiama pagal nacionalinę teisę);</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Pr>
                <w:rFonts w:ascii="Times New Roman" w:hAnsi="Times New Roman"/>
                <w:sz w:val="24"/>
              </w:rPr>
              <w:t>atitinkamais atvejais akcijų turėjimo reikalavimai, kurie gali būti taikomi nustatytiesiems darbuotojams.</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Pagrindinių kintamųjų atlygio dalių sistemos ir bet kokios kitos ne grynaisiais pinigais gaunamos naudos kriterijų ir priežasčių, kaip nurodyta KRR 450 straipsnio 1 dalies f punkte, aprašymas. Atskleidžiama tokia informacija:</w:t>
            </w:r>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informacija apie konkrečius rizikos / veiklos rezultatų rodiklius, pagal kuriuos nustatomos kintamosios atlygio dalys, ir kriterijus, pagal kuriuos nustatoma įvairių rūšių skirtų priemonių, įskaitant akcijas, lygiavertes nuosavybės teises, su akcijomis susijusias priemones, lygiavertes nepinigines priemones, pasirinkimo sandorius ir kitas priemones, pusiausvyra.</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Atitinkamos valstybės narės arba kompetentingos institucijos prašymu – visas kiekvieno valdymo organo ar vyresniosios vadovybės nario atlygis, kaip nurodyta KRR 450 straipsnio 1 dalies j punkte</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Informacija apie tai, ar įstaiga naudojasi KRD 94 straipsnio 3 dalyje nustatyta nukrypti leidžiančia nuostata, kaip nurodyta KRR 450 straipsnio 1 dalies k punkte</w:t>
            </w:r>
          </w:p>
          <w:p w14:paraId="43880B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Pildydamos šį punktą tokią nukrypti leidžiančią nuostatą taikančios įstaigos nurodo, ar ją taiko remdamosi KRD 94 straipsnio 3 dalies a ir (arba) b punktu. Jos taip pat nurodo, kuriam iš atlygio reikalavimų jos taiko nukrypti leidžiančią (-</w:t>
            </w:r>
            <w:proofErr w:type="spellStart"/>
            <w:r>
              <w:rPr>
                <w:rFonts w:ascii="Times New Roman" w:hAnsi="Times New Roman"/>
                <w:sz w:val="24"/>
              </w:rPr>
              <w:t>as</w:t>
            </w:r>
            <w:proofErr w:type="spellEnd"/>
            <w:r>
              <w:rPr>
                <w:rFonts w:ascii="Times New Roman" w:hAnsi="Times New Roman"/>
                <w:sz w:val="24"/>
              </w:rPr>
              <w:t>) nuostatą (-</w:t>
            </w:r>
            <w:proofErr w:type="spellStart"/>
            <w:r>
              <w:rPr>
                <w:rFonts w:ascii="Times New Roman" w:hAnsi="Times New Roman"/>
                <w:sz w:val="24"/>
              </w:rPr>
              <w:t>as</w:t>
            </w:r>
            <w:proofErr w:type="spellEnd"/>
            <w:r>
              <w:rPr>
                <w:rFonts w:ascii="Times New Roman" w:hAnsi="Times New Roman"/>
                <w:sz w:val="24"/>
              </w:rPr>
              <w:t>) (t. y. KRD 94 straipsnio 1 dalies l ir (arba) m ir (arba) o punktas), darbuotojų, kuriems taikoma (-</w:t>
            </w:r>
            <w:proofErr w:type="spellStart"/>
            <w:r>
              <w:rPr>
                <w:rFonts w:ascii="Times New Roman" w:hAnsi="Times New Roman"/>
                <w:sz w:val="24"/>
              </w:rPr>
              <w:t>os</w:t>
            </w:r>
            <w:proofErr w:type="spellEnd"/>
            <w:r>
              <w:rPr>
                <w:rFonts w:ascii="Times New Roman" w:hAnsi="Times New Roman"/>
                <w:sz w:val="24"/>
              </w:rPr>
              <w:t>) nukrypti leidžianti (-</w:t>
            </w:r>
            <w:proofErr w:type="spellStart"/>
            <w:r>
              <w:rPr>
                <w:rFonts w:ascii="Times New Roman" w:hAnsi="Times New Roman"/>
                <w:sz w:val="24"/>
              </w:rPr>
              <w:t>čios</w:t>
            </w:r>
            <w:proofErr w:type="spellEnd"/>
            <w:r>
              <w:rPr>
                <w:rFonts w:ascii="Times New Roman" w:hAnsi="Times New Roman"/>
                <w:sz w:val="24"/>
              </w:rPr>
              <w:t>) nuostata (-</w:t>
            </w:r>
            <w:proofErr w:type="spellStart"/>
            <w:r>
              <w:rPr>
                <w:rFonts w:ascii="Times New Roman" w:hAnsi="Times New Roman"/>
                <w:sz w:val="24"/>
              </w:rPr>
              <w:t>os</w:t>
            </w:r>
            <w:proofErr w:type="spellEnd"/>
            <w:r>
              <w:rPr>
                <w:rFonts w:ascii="Times New Roman" w:hAnsi="Times New Roman"/>
                <w:sz w:val="24"/>
              </w:rPr>
              <w:t>), skaičių ir visą jų atlygį, išskaidytą į fiksuotąjį ir kintamąjį atlygį.</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Didelės įstaigos atskleidžia kiekybinę informaciją apie savo kolektyvinio valdymo organo narių atlygį, atskirdamos vykdomuosius ir nevykdomuosius narius, kaip nurodyta KRR 450 straipsnio 2 dalyje.</w:t>
            </w:r>
          </w:p>
        </w:tc>
      </w:tr>
    </w:tbl>
    <w:p w14:paraId="253E4D29" w14:textId="77777777" w:rsidR="00965CEB" w:rsidRPr="0000786A" w:rsidRDefault="00965CEB" w:rsidP="00965CEB">
      <w:pPr>
        <w:pStyle w:val="Titlelevel2"/>
        <w:spacing w:before="120" w:after="120"/>
        <w:rPr>
          <w:rFonts w:ascii="Times New Roman" w:hAnsi="Times New Roman" w:cs="Times New Roman"/>
          <w:b/>
          <w:color w:val="auto"/>
          <w:sz w:val="24"/>
        </w:rPr>
      </w:pPr>
    </w:p>
    <w:p w14:paraId="6222D5CA" w14:textId="77777777" w:rsidR="00965CEB" w:rsidRDefault="00965CEB" w:rsidP="00965CEB">
      <w:pPr>
        <w:pStyle w:val="Titlelevel2"/>
        <w:spacing w:before="120" w:after="120"/>
        <w:rPr>
          <w:rFonts w:ascii="Times New Roman" w:hAnsi="Times New Roman" w:cs="Times New Roman"/>
          <w:b/>
          <w:color w:val="auto"/>
          <w:sz w:val="24"/>
        </w:rPr>
      </w:pPr>
    </w:p>
    <w:p w14:paraId="46AC4A08" w14:textId="77777777" w:rsidR="0000786A" w:rsidRDefault="0000786A" w:rsidP="00965CEB">
      <w:pPr>
        <w:pStyle w:val="Titlelevel2"/>
        <w:spacing w:before="120" w:after="120"/>
        <w:rPr>
          <w:rFonts w:ascii="Times New Roman" w:hAnsi="Times New Roman" w:cs="Times New Roman"/>
          <w:b/>
          <w:color w:val="auto"/>
          <w:sz w:val="24"/>
        </w:rPr>
      </w:pPr>
    </w:p>
    <w:p w14:paraId="691C7C44" w14:textId="77777777" w:rsidR="0000786A" w:rsidRPr="0000786A" w:rsidRDefault="0000786A" w:rsidP="00965CEB">
      <w:pPr>
        <w:pStyle w:val="Titlelevel2"/>
        <w:spacing w:before="120" w:after="120"/>
        <w:rPr>
          <w:rFonts w:ascii="Times New Roman" w:hAnsi="Times New Roman" w:cs="Times New Roman"/>
          <w:b/>
          <w:color w:val="auto"/>
          <w:sz w:val="24"/>
        </w:rPr>
      </w:pPr>
    </w:p>
    <w:p w14:paraId="6D70938D" w14:textId="77777777" w:rsidR="00965CEB" w:rsidRPr="0000786A" w:rsidRDefault="00965CEB" w:rsidP="00965CEB">
      <w:pPr>
        <w:pStyle w:val="Titlelevel2"/>
        <w:spacing w:before="120" w:after="120"/>
        <w:rPr>
          <w:rFonts w:ascii="Times New Roman" w:hAnsi="Times New Roman" w:cs="Times New Roman"/>
          <w:b/>
          <w:color w:val="auto"/>
          <w:sz w:val="24"/>
        </w:rPr>
      </w:pPr>
    </w:p>
    <w:p w14:paraId="12D97B04" w14:textId="77777777" w:rsidR="00965CEB" w:rsidRPr="0000786A" w:rsidRDefault="00965CEB" w:rsidP="00965CEB">
      <w:pPr>
        <w:pStyle w:val="Titlelevel2"/>
        <w:spacing w:before="120" w:after="120"/>
        <w:rPr>
          <w:rFonts w:ascii="Times New Roman" w:hAnsi="Times New Roman" w:cs="Times New Roman"/>
          <w:b/>
          <w:color w:val="auto"/>
          <w:sz w:val="24"/>
        </w:rPr>
      </w:pPr>
    </w:p>
    <w:p w14:paraId="3C51066B"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 xml:space="preserve">EU REM1 forma. Finansiniais metais skirtas atlygis </w:t>
      </w:r>
      <w:r>
        <w:rPr>
          <w:rFonts w:ascii="Times New Roman" w:hAnsi="Times New Roman"/>
          <w:color w:val="auto"/>
          <w:sz w:val="24"/>
        </w:rPr>
        <w:t>(nustatytasis formatas)</w:t>
      </w:r>
    </w:p>
    <w:p w14:paraId="0B701908"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Pagal KRR 450 straipsnio 1 dalies h punkto i–ii papunkčius pildydamos šio įgyvendinimo reglamento XXXIII priede pateiktą EU REM1 formą įstaigos vadovaujasi toliau šiame priede pateiktais nurodymais.</w:t>
      </w:r>
    </w:p>
    <w:p w14:paraId="667CF96F" w14:textId="77777777" w:rsidR="00965CEB" w:rsidRPr="0000786A" w:rsidRDefault="00965CEB" w:rsidP="00965CEB">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Pr>
                <w:rFonts w:ascii="Times New Roman" w:hAnsi="Times New Roman"/>
                <w:b/>
                <w:sz w:val="24"/>
              </w:rPr>
              <w:t>Nuorodos į teisės aktus ir nurodymai</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ir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Nustatytųjų darbuotojų skaičius</w:t>
            </w:r>
          </w:p>
          <w:p w14:paraId="23AE8698"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Darbuotojų, kurių profesinė veikla turi reikšmingą poveikį įstaigų rizikos pobūdžiui pagal KRD 92 straipsnį ir Komisijos deleguotąjį reglamentą dėl nustatytųjų darbuotojų</w:t>
            </w:r>
            <w:r>
              <w:rPr>
                <w:rStyle w:val="FootnoteReference"/>
                <w:rFonts w:ascii="Times New Roman" w:hAnsi="Times New Roman" w:cs="Times New Roman"/>
                <w:sz w:val="24"/>
              </w:rPr>
              <w:footnoteReference w:id="3"/>
            </w:r>
            <w:r>
              <w:rPr>
                <w:rFonts w:ascii="Times New Roman" w:hAnsi="Times New Roman"/>
                <w:sz w:val="24"/>
              </w:rPr>
              <w:t>, kuriuo įgyvendinama KRD 94 straipsnio 2 dalis (nustatytųjų darbuotojų), ir kuriems mokamos šioje formoje išvardytos atlygio dalys, skaičius. Vertė apskaičiuojama nustatytiesiems darbuotojams, išskyrus valdymo organo narius, kurių skaičius išreiškiamas asmenų skaičiumi, taikant etato ekvivalentų metodą.</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Bendras fiksuotasis atlygis</w:t>
            </w:r>
          </w:p>
          <w:p w14:paraId="03654C0F" w14:textId="04D82DC6"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Šios formos 3–7 eilučių verčių suma</w:t>
            </w:r>
            <w:r w:rsidR="0000786A">
              <w:rPr>
                <w:rFonts w:ascii="Times New Roman" w:hAnsi="Times New Roman"/>
                <w:sz w:val="24"/>
              </w:rPr>
              <w:t>.</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Iš jo: išreikšta pinigais</w:t>
            </w:r>
          </w:p>
          <w:p w14:paraId="1A2351D8" w14:textId="7460BC13"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Fiksuotojo atlygio, išreikšto pinigais, suma</w:t>
            </w:r>
            <w:r w:rsidR="0000786A">
              <w:rPr>
                <w:rFonts w:ascii="Times New Roman" w:hAnsi="Times New Roman"/>
                <w:sz w:val="24"/>
              </w:rPr>
              <w:t>.</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Iš jo: akcijos ar lygiavertės nuosavybės teisės</w:t>
            </w:r>
          </w:p>
          <w:p w14:paraId="14E3789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Fiksuotojo atlygio, išmokamo akcijomis ar, atsižvelgiant į atitinkamos įstaigos teisinę struktūrą, lygiavertėmis nuosavybės teisėmis, kaip nurodyta KRD 94 straipsnio 1 dalies l punkto i papunktyje, suma</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Iš jo: su akcijomis susijusios priemonės ar lygiavertės nepiniginės priemonės </w:t>
            </w:r>
          </w:p>
          <w:p w14:paraId="54EF89ED" w14:textId="3E1C191E"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Fiksuotojo atlygio, išmokamo su akcijomis susijusiomis priemonėmis ar, atsižvelgiant į atitinkamos įstaigos teisinę struktūrą, lygiavertėmis nepiniginėmis priemonėmis, kaip nurodyta KRD 94 straipsnio 1 dalies l punkto i papunktyje, suma</w:t>
            </w:r>
            <w:r w:rsidR="0000786A">
              <w:rPr>
                <w:rFonts w:ascii="Times New Roman" w:hAnsi="Times New Roman"/>
                <w:sz w:val="24"/>
              </w:rPr>
              <w:t>.</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Iš jo: kitos priemonės</w:t>
            </w:r>
          </w:p>
          <w:p w14:paraId="06C24EE7" w14:textId="56FC633F"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Fiksuotojo atlygio, išmokamo kitomis priemonėmis, kaip nurodyta KRD 94 straipsnio 1 dalies l punkto ii papunktyje, suma</w:t>
            </w:r>
            <w:r w:rsidR="0000786A">
              <w:rPr>
                <w:rFonts w:ascii="Times New Roman" w:hAnsi="Times New Roman"/>
                <w:sz w:val="24"/>
              </w:rPr>
              <w:t>.</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Iš jo: kitų formų išmokos</w:t>
            </w:r>
          </w:p>
          <w:p w14:paraId="35C192C0" w14:textId="2B784F70"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Finansiniais metais paskirto fiksuotojo atlygio sumos, kurios nėra atskleistos kitose eilutėse, einančiose po antraštės „Bendras fiksuotasis atlygis“</w:t>
            </w:r>
            <w:r w:rsidR="0000786A">
              <w:rPr>
                <w:rFonts w:ascii="Times New Roman" w:hAnsi="Times New Roman"/>
                <w:sz w:val="24"/>
              </w:rPr>
              <w:t>.</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Tai gali būti proporcingos reguliarios pensijų įmokos arba išmokos (kai jos nėra susijusios su jokiais veiklos rezultatais), nurodytos KRD 64 </w:t>
            </w:r>
            <w:r>
              <w:rPr>
                <w:rFonts w:ascii="Times New Roman" w:hAnsi="Times New Roman"/>
                <w:sz w:val="24"/>
              </w:rPr>
              <w:lastRenderedPageBreak/>
              <w:t>konstatuojamojoje dalyje, arba kitų formų atlygis kaip antai išmokos automobiliui.</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Bendras kintamasis atlygis</w:t>
            </w:r>
          </w:p>
          <w:p w14:paraId="00FC93B0" w14:textId="418C5693"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Šios formos 11, EU-13a, EU-13b, EU-14x ir 15 eilučių verčių suma</w:t>
            </w:r>
            <w:r w:rsidR="0000786A">
              <w:rPr>
                <w:rFonts w:ascii="Times New Roman" w:hAnsi="Times New Roman"/>
                <w:sz w:val="24"/>
              </w:rPr>
              <w:t>.</w:t>
            </w:r>
          </w:p>
          <w:p w14:paraId="74BA85CD" w14:textId="3FE22BE8"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Visų atlygio dalių, kurios nėra fiksuotasis atlygis, atskleistas šios formos 2 eilutėje, įskaitant tais metais paskirtą garantuotą kintamąjį atlygį ir išeitines išmokas, suma</w:t>
            </w:r>
            <w:r w:rsidR="0000786A">
              <w:rPr>
                <w:rFonts w:ascii="Times New Roman" w:hAnsi="Times New Roman"/>
                <w:sz w:val="24"/>
              </w:rPr>
              <w:t>.</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Iš jo: išreikšta pinigais</w:t>
            </w:r>
          </w:p>
          <w:p w14:paraId="2BEE787D" w14:textId="62BB2956"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Kintamojo atlygio, išreikšto pinigais, suma</w:t>
            </w:r>
            <w:r w:rsidR="0000786A">
              <w:rPr>
                <w:rFonts w:ascii="Times New Roman" w:hAnsi="Times New Roman"/>
                <w:sz w:val="24"/>
              </w:rPr>
              <w:t>.</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12, EU-14a, EU-14b, EU-14y ir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Iš jo: atidėtosios sumos</w:t>
            </w:r>
          </w:p>
          <w:p w14:paraId="151C1A05" w14:textId="412DC213"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Atidėtojo kintamojo atlygio, suskirstyto pagal dalies rūšį, sumos, nustatytos pagal KRD 94 straipsnį</w:t>
            </w:r>
            <w:r w:rsidR="0000786A">
              <w:rPr>
                <w:rFonts w:ascii="Times New Roman" w:hAnsi="Times New Roman"/>
                <w:sz w:val="24"/>
              </w:rPr>
              <w:t>.</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Iš jo: akcijos ar lygiavertės nuosavybės teisės</w:t>
            </w:r>
          </w:p>
          <w:p w14:paraId="4498A72C" w14:textId="137B3A15"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Kintamojo atlygio, išmokamo akcijomis ar, atsižvelgiant į atitinkamos įstaigos teisinę struktūrą, lygiavertėmis nuosavybės teisėmis, kaip nurodyta KRD 94 straipsnio 1 dalies l punkto i papunktyje, suma</w:t>
            </w:r>
            <w:r w:rsidR="0000786A">
              <w:rPr>
                <w:rFonts w:ascii="Times New Roman" w:hAnsi="Times New Roman"/>
                <w:sz w:val="24"/>
              </w:rPr>
              <w:t>.</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Iš jo: su akcijomis susijusios priemonės ar lygiavertės nepiniginės priemonės </w:t>
            </w:r>
          </w:p>
          <w:p w14:paraId="6FA62A3F" w14:textId="796FEFAC"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Kintamojo atlygio, išmokamo su akcijomis susijusiomis priemonėmis ar, atsižvelgiant į atitinkamos įstaigos teisinę struktūrą, lygiavertėmis nepiniginėmis priemonėmis, kaip nurodyta KRD 94 straipsnio 1 dalies l punkto i papunktyje, suma</w:t>
            </w:r>
            <w:r w:rsidR="0000786A">
              <w:rPr>
                <w:rFonts w:ascii="Times New Roman" w:hAnsi="Times New Roman"/>
                <w:sz w:val="24"/>
              </w:rPr>
              <w:t>.</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Iš jo: kitos priemonės</w:t>
            </w:r>
          </w:p>
          <w:p w14:paraId="4D8E1D04" w14:textId="564A9497" w:rsidR="00965CEB" w:rsidRPr="007F4CC8" w:rsidRDefault="00965CEB" w:rsidP="004F3087">
            <w:pPr>
              <w:autoSpaceDE w:val="0"/>
              <w:autoSpaceDN w:val="0"/>
              <w:adjustRightInd w:val="0"/>
              <w:spacing w:after="120"/>
              <w:jc w:val="both"/>
              <w:rPr>
                <w:rFonts w:ascii="Times New Roman" w:hAnsi="Times New Roman"/>
                <w:b/>
                <w:sz w:val="24"/>
              </w:rPr>
            </w:pPr>
            <w:r>
              <w:rPr>
                <w:rFonts w:ascii="Times New Roman" w:hAnsi="Times New Roman"/>
                <w:sz w:val="24"/>
              </w:rPr>
              <w:t>Kintamojo atlygio, išmokamo kitomis priemonėmis, kaip nurodyta KRD 94 straipsnio 1 dalies l punkto ii papunktyje, suma</w:t>
            </w:r>
            <w:r w:rsidR="0000786A">
              <w:rPr>
                <w:rFonts w:ascii="Times New Roman" w:hAnsi="Times New Roman"/>
                <w:sz w:val="24"/>
              </w:rPr>
              <w:t>.</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Iš jo: kitų formų išmokos</w:t>
            </w:r>
          </w:p>
          <w:p w14:paraId="236742B0" w14:textId="06334F7B"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Finansiniais metais paskirto kintamojo atlygio sumos, kurios nėra atskleistos kitose eilutėse, einančiose po antraštės „Bendras kintamasis atlygis“</w:t>
            </w:r>
            <w:r w:rsidR="0000786A">
              <w:rPr>
                <w:rFonts w:ascii="Times New Roman" w:hAnsi="Times New Roman"/>
                <w:sz w:val="24"/>
              </w:rPr>
              <w:t>.</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Bendras atlygis</w:t>
            </w:r>
          </w:p>
          <w:p w14:paraId="7D746BF1" w14:textId="797CE75D"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Šios formos 2 ir 10 eilučių verčių suma</w:t>
            </w:r>
            <w:r w:rsidR="0000786A">
              <w:rPr>
                <w:rFonts w:ascii="Times New Roman" w:hAnsi="Times New Roman"/>
                <w:sz w:val="24"/>
              </w:rPr>
              <w:t>.</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Paaiškinimas</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Valdymo organo priežiūros funkcija</w:t>
            </w:r>
          </w:p>
          <w:p w14:paraId="5B08524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Priežiūros funkciją vykdantis valdymo organas – valdymo organas, vykdantis vadovybės sprendimų priėmimo priežiūros ir stebėsenos funkciją, kaip apibrėžta KRD 3 straipsnio 1 dalies 8 punkte.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Įstaigos atskleidžia informaciją, išreikštą asmenų skaičiumi. </w:t>
            </w:r>
          </w:p>
          <w:p w14:paraId="45A26C8B"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Pagal KRR 13 straipsnį ES patronuojančiosios įstaigos atskleidžia šią informaciją remdamosi savo konsoliduota būkle, o didelės ES patronuojančiųjų įstaigų patronuojamosios įstaigos šią informaciją atskleidžia individualiu pagrindu arba atitinkamais atvejais iš dalies konsoliduotai pagal </w:t>
            </w:r>
            <w:r>
              <w:rPr>
                <w:rFonts w:ascii="Times New Roman" w:hAnsi="Times New Roman"/>
                <w:sz w:val="24"/>
              </w:rPr>
              <w:lastRenderedPageBreak/>
              <w:t>šį reglamentą ir KRD. Šioje skiltyje informaciją teikiantis subjektas pateikia informaciją apie savo valdymo organą. Jeigu remiantis KRR 6 ir 13 straipsniais informacija atskleidžiama konsoliduotai arba iš dalies konsoliduotai, informacija apie patronuojamųjų įstaigų valdymo organų nustatytuosius darbuotojus atskleidžiama pagal atitinkamą veiklos sritį.</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Valdymo organo valdymo funkcija </w:t>
            </w:r>
          </w:p>
          <w:p w14:paraId="286AC6E9" w14:textId="47C4D824"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Valdymo organo nariai, atsakingi už šio organo valdymo funkcijų vykdymą</w:t>
            </w:r>
            <w:r w:rsidR="0000786A">
              <w:rPr>
                <w:rFonts w:ascii="Times New Roman" w:hAnsi="Times New Roman"/>
                <w:sz w:val="24"/>
              </w:rPr>
              <w:t>.</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Įstaigos atskleidžia informaciją, išreikštą asmenų skaičiumi.</w:t>
            </w:r>
          </w:p>
          <w:p w14:paraId="5BD4796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Įstaigos atskleidžia informaciją, išreikštą asmenų skaičiumi. Pagal KRR 13 straipsnį. ES patronuojančiosios įstaigos atskleidžia šią informaciją remdamosi savo konsoliduota būkle, o didelės ES patronuojančiųjų įstaigų patronuojamosios įstaigos šią informaciją atskleidžia individualiu pagrindu arba atitinkamais atvejais iš dalies konsoliduotai pagal šį reglamentą ir KRD. Šioje skiltyje informaciją teikiantis subjektas pateikia informaciją apie savo valdymo organą. Jeigu remiantis KRR 6 ir 13 straipsniais informacija atskleidžiama konsoliduotai arba iš dalies konsoliduotai, informacija apie patronuojamųjų įstaigų valdymo organų nustatytuosius darbuotojus atskleidžiama pagal atitinkamą veiklos sritį.</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Kita vyresnioji vadovybė</w:t>
            </w:r>
          </w:p>
          <w:p w14:paraId="43B1CA89" w14:textId="65A4B292"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Vyresnioji vadovybė, kaip apibrėžta KRD 3 straipsnio 1 dalies 9 punkte</w:t>
            </w:r>
            <w:r w:rsidR="0000786A">
              <w:rPr>
                <w:rFonts w:ascii="Times New Roman" w:hAnsi="Times New Roman"/>
                <w:sz w:val="24"/>
              </w:rPr>
              <w:t>.</w:t>
            </w:r>
          </w:p>
          <w:p w14:paraId="16B3B8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Įstaigos atskleidžia vyresniųjų vadovų, informacija apie kuriuos nepateikta eilutėse „Valdymo organo valdymo funkcija“ ir „Kiti nustatytieji darbuotojai“, skaičių. Įstaigos atskleidžia informaciją, išreikštą etato ekvivalentais.</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Kiti nustatytieji darbuotojai</w:t>
            </w:r>
          </w:p>
          <w:p w14:paraId="6ECAE4F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Kiti darbuotojai, išskyrus nurodytuosius eilutėse „Valdymo organo priežiūros funkcija“ ar „Valdymo organo valdymo funkcija“ ir vyresniuosius vadovus, kurių profesinė veikla turi reikšmingą poveikį įstaigos rizikos pobūdžiui, remiantis kriterijais, nustatytais Komisijos deleguotajame reglamente dėl nustatytųjų darbuotojų, kuriuo įgyvendinama KRD 94 straipsnio 2 dalis, ir atitinkamais atvejais papildomai remiantis įstaigų kriterijais.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Šioje formoje įstaigos gali suskirstyti informaciją pagal verslo sritis, siūlomas EU REM5 formoje. Įstaigos atskleidžia informaciją, išreikštą etato ekvivalentais.</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REM2 forma. Specialūs mokėjimai darbuotojams, kurių profesinė veikla turi reikšmingą poveikį įstaigų rizikos pobūdžiui (nustatytiesiems darbuotojams). </w:t>
      </w:r>
      <w:r>
        <w:rPr>
          <w:rFonts w:ascii="Times New Roman" w:hAnsi="Times New Roman"/>
          <w:color w:val="auto"/>
          <w:sz w:val="24"/>
        </w:rPr>
        <w:t>(nustatytasis formatas)</w:t>
      </w:r>
    </w:p>
    <w:p w14:paraId="031B19E3" w14:textId="77777777" w:rsidR="00965CEB" w:rsidRPr="0000786A"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Pildydamos šio įgyvendinimo reglamento XXXIII priede pateiktą EU REM2 formą įstaigos atskleidžia KRR 450 straipsnio 1 dalies h punkto v–vii papunkčiuose nurodytą informaciją, vadovaudamosi toliau šiame priede pateiktais nurodymais.</w:t>
      </w:r>
    </w:p>
    <w:p w14:paraId="5394ACBA" w14:textId="77777777" w:rsidR="0000786A" w:rsidRPr="007F4CC8" w:rsidRDefault="0000786A" w:rsidP="0000786A">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Pr>
                <w:rFonts w:ascii="Times New Roman" w:hAnsi="Times New Roman"/>
                <w:b/>
                <w:sz w:val="24"/>
              </w:rPr>
              <w:lastRenderedPageBreak/>
              <w:t>Nuorodos į teisės aktus ir nurodymai</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1, 4 ir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Nustatytųjų darbuotojų skaičius</w:t>
            </w:r>
          </w:p>
          <w:p w14:paraId="50587A12" w14:textId="09B33A82"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Nustatytųjų darbuotojų, kurių profesinė veikla turi reikšmingą poveikį įstaigų rizikos pobūdžiui pagal KRD 92 straipsnį ir Komisijos deleguotąjį reglamentą dėl nustatytųjų darbuotojų, kuriuo įgyvendinama KRD 94 straipsnio 2 dalis, skaičius pagal kiekvieną konkrečią atlygio dalį</w:t>
            </w:r>
            <w:r w:rsidR="0000786A">
              <w:rPr>
                <w:rFonts w:ascii="Times New Roman" w:hAnsi="Times New Roman"/>
                <w:sz w:val="24"/>
              </w:rPr>
              <w:t>.</w:t>
            </w:r>
          </w:p>
          <w:p w14:paraId="6D4FEBDD"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Vertės šios formos a ir b skiltyse (valdymo organas) išreiškiamos asmenų skaičiumi. Vertės šios formos c ir d skiltyse apskaičiuojamos pagal etato ekvivalentų metodą.</w:t>
            </w:r>
          </w:p>
          <w:p w14:paraId="2E1869A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Šios formos 4 eilutėje nurodomos išeitinės išmokos, paskirtos ankstesniais laikotarpiais ir išmokėtos (einamaisiais) finansiniais metais, o šios formos 6 eilutėje – išeitinės išmokos, paskirtos (einamaisiais) finansiniais metais.</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Skirtas garantuotas kintamasis atlygis. Bendra suma</w:t>
            </w:r>
          </w:p>
          <w:p w14:paraId="6D0F7C1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Skirto garantuoto kintamojo atlygio, kaip nurodyta KRD 94 straipsnio 1 dalies e punkte, suma.</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Iš jos skirtos garantuoto kintamojo atlygio sumos, išmokėtos finansiniais metais, į kurias neatsižvelgta apskaičiuojant viršutinę premijų ribą</w:t>
            </w:r>
          </w:p>
          <w:p w14:paraId="35D0912A" w14:textId="3BD84606"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(Einamaisiais) finansiniais metais išmokėto skirto garantuoto kintamojo atlygio, kaip nurodyta KRD 94 straipsnio 1 dalies e punkte, sumos, į kurias neatsižvelgta apskaičiuojant viršutinę premijų ribą</w:t>
            </w:r>
            <w:r w:rsidR="0000786A">
              <w:rPr>
                <w:rFonts w:ascii="Times New Roman" w:hAnsi="Times New Roman"/>
                <w:sz w:val="24"/>
              </w:rPr>
              <w:t>.</w:t>
            </w:r>
          </w:p>
          <w:p w14:paraId="1D5DC4D6"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Kiek tai susiję su atskleidžiama informacija, nurodyta KRR 450 straipsnio 1 dalies g punkte ir h punkto v–vi papunkčiuose, įstaigos aiškiai nurodo, ar apibendrinta kiekybinė informacija apie atlygį, suskirstyta pagal verslo sritį, atspindi viršutinę premijų ribą, kai tai susiję su naujomis sudarytomis darbo sutartimis ir išeitinėmis išmokomis.</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Ankstesniais laikotarpiais skirtos išeitinės išmokos, išmokėtos finansiniais metais. Bendra suma</w:t>
            </w:r>
          </w:p>
          <w:p w14:paraId="6BDFFBCB" w14:textId="730321E1"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Ankstesniais laikotarpiais skirtų ir (einamaisiais) finansiniais metais išmokėtų išeitinių išmokų, kaip nurodyta KRD 94 straipsnio 1 dalies h punkte, suma</w:t>
            </w:r>
            <w:r w:rsidR="0000786A">
              <w:rPr>
                <w:rFonts w:ascii="Times New Roman" w:hAnsi="Times New Roman"/>
                <w:sz w:val="24"/>
              </w:rPr>
              <w:t>.</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Finansiniais metais skirtos išeitinės išmokos. Bendra suma</w:t>
            </w:r>
          </w:p>
          <w:p w14:paraId="370D85D3" w14:textId="5A379C70"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(Einamaisiais) finansiniais metais skirtų išeitinių išmokų, kaip nurodyta KRD 94 straipsnio 1 dalies h punkte, suma</w:t>
            </w:r>
            <w:r w:rsidR="0000786A">
              <w:rPr>
                <w:rFonts w:ascii="Times New Roman" w:hAnsi="Times New Roman"/>
                <w:sz w:val="24"/>
              </w:rPr>
              <w:t>.</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Iš jų finansiniais metais skirtos ir išmokėtos išeitinės išmokos</w:t>
            </w:r>
          </w:p>
          <w:p w14:paraId="75DA4E07" w14:textId="22795D84" w:rsidR="00965CEB" w:rsidRPr="007F4CC8" w:rsidRDefault="00965CEB" w:rsidP="004F3087">
            <w:pPr>
              <w:spacing w:before="60" w:after="120"/>
              <w:jc w:val="both"/>
              <w:rPr>
                <w:rFonts w:ascii="Times New Roman" w:hAnsi="Times New Roman"/>
                <w:sz w:val="24"/>
              </w:rPr>
            </w:pPr>
            <w:r>
              <w:rPr>
                <w:rFonts w:ascii="Times New Roman" w:hAnsi="Times New Roman"/>
                <w:sz w:val="24"/>
              </w:rPr>
              <w:t>Finansiniais metais skirtų ir išmokėtų išeitinių išmokų, kaip nurodyta KRD 94 straipsnio 1 dalies h punkte, suma</w:t>
            </w:r>
            <w:r w:rsidR="0000786A">
              <w:rPr>
                <w:rFonts w:ascii="Times New Roman" w:hAnsi="Times New Roman"/>
                <w:sz w:val="24"/>
              </w:rPr>
              <w:t>.</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Iš jų finansiniais metais skirtos ir atidėtos išeitinės išmokos</w:t>
            </w:r>
          </w:p>
          <w:p w14:paraId="2B8A3E35" w14:textId="250548DA"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Finansiniais metais skirtų ir atidėtų išeitinių išmokų, kaip nurodyta KRD 94 straipsnio 1 dalies h punkte, sumos, nustatytos pagal KRD 94 straipsnį</w:t>
            </w:r>
            <w:r w:rsidR="0000786A">
              <w:rPr>
                <w:rFonts w:ascii="Times New Roman" w:hAnsi="Times New Roman"/>
                <w:sz w:val="24"/>
              </w:rPr>
              <w:t>.</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lastRenderedPageBreak/>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Iš jų finansiniais metais išmokėtos išeitinės išmokos, į kurias neatsižvelgta apskaičiuojant viršutinę premijų ribą</w:t>
            </w:r>
          </w:p>
          <w:p w14:paraId="3020E32C" w14:textId="56C89A00"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Finansiniais metais išmokėtų išeitinių išmokų, kaip nurodyta KRD 94 straipsnio 1 dalies h punkte, sumos, į kurias neatsižvelgta apskaičiuojant viršutinę premijų ribą</w:t>
            </w:r>
            <w:r w:rsidR="0000786A">
              <w:rPr>
                <w:rFonts w:ascii="Times New Roman" w:hAnsi="Times New Roman"/>
                <w:sz w:val="24"/>
              </w:rPr>
              <w:t>.</w:t>
            </w:r>
          </w:p>
          <w:p w14:paraId="78B7D63D"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Kiek tai susiję su atskleidžiama informacija, nurodyta KRR 450 straipsnio 1 dalies g punkte ir h punkto v–vi papunkčiuose, įstaigos aiškiai nurodo, ar apibendrinta kiekybinė informacija apie atlygį, suskirstyta pagal verslo sritį, atspindi viršutinę premijų ribą, kai tai susiję su naujomis sudarytomis darbo sutartimis ir išeitinėmis išmokomis.</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Iš jų finansiniais metais skirtos išeitinės išmokos. Didžiausia vienam asmeniui skirta išmoka</w:t>
            </w:r>
          </w:p>
          <w:p w14:paraId="69C2783A" w14:textId="68C8E4CA" w:rsidR="00965CEB" w:rsidRPr="007F4CC8" w:rsidRDefault="00965CEB" w:rsidP="004F3087">
            <w:pPr>
              <w:spacing w:before="60" w:after="120"/>
              <w:jc w:val="both"/>
              <w:rPr>
                <w:rFonts w:ascii="Times New Roman" w:hAnsi="Times New Roman"/>
                <w:sz w:val="24"/>
              </w:rPr>
            </w:pPr>
            <w:r>
              <w:rPr>
                <w:rFonts w:ascii="Times New Roman" w:hAnsi="Times New Roman"/>
                <w:sz w:val="24"/>
              </w:rPr>
              <w:t>Didžiausios finansiniais metais vienam asmeniui skirtos išeitinės išmokos, kaip nurodyta KRD 94 straipsnio 1 dalies h punkte, suma</w:t>
            </w:r>
            <w:r w:rsidR="0000786A">
              <w:rPr>
                <w:rFonts w:ascii="Times New Roman" w:hAnsi="Times New Roman"/>
                <w:sz w:val="24"/>
              </w:rPr>
              <w:t>.</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Paaiškinimas</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Valdymo organo priežiūros funkcija</w:t>
            </w:r>
          </w:p>
          <w:p w14:paraId="3734590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Priežiūros funkciją vykdantis valdymo organas – valdymo organas, vykdantis vadovybės sprendimų priėmimo priežiūros ir stebėsenos funkciją, kaip apibrėžta KRD 3 straipsnio 1 dalies 8 punkte (asmenų skaičius).</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Valdymo organo valdymo funkcija</w:t>
            </w:r>
          </w:p>
          <w:p w14:paraId="1A03D44D" w14:textId="7DFDFDB5"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Valdymo organo nariai, atsakingi už šio organo valdymo funkcijų vykdymą (asmenų skaičius)</w:t>
            </w:r>
            <w:r w:rsidR="0000786A">
              <w:rPr>
                <w:rFonts w:ascii="Times New Roman" w:hAnsi="Times New Roman"/>
                <w:sz w:val="24"/>
              </w:rPr>
              <w:t>.</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Kita vyresnioji vadovybė</w:t>
            </w:r>
          </w:p>
          <w:p w14:paraId="1598A239" w14:textId="13FB114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Vyresnioji vadovybė, kaip apibrėžta KRD 3 straipsnio 1 dalies 9 punkte</w:t>
            </w:r>
            <w:r w:rsidR="0000786A">
              <w:rPr>
                <w:rFonts w:ascii="Times New Roman" w:hAnsi="Times New Roman"/>
                <w:sz w:val="24"/>
              </w:rPr>
              <w:t>.</w:t>
            </w:r>
          </w:p>
          <w:p w14:paraId="1B942BBE"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Įstaigos atskleidžia vyresniųjų vadovų, informacija apie kuriuos nepateikta eilutėse „Valdymo organo valdymo funkcija“ ir „Kiti nustatytieji darbuotojai“, skaičių (etato ekvivalentais).</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Kiti nustatytieji darbuotojai</w:t>
            </w:r>
          </w:p>
          <w:p w14:paraId="01528962"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Kiti darbuotojai, išskyrus nurodytuosius eilutėse „Valdymo organo priežiūros funkcija“ ar „Valdymo organo valdymo funkcija“ ir vyresniuosius vadovus, kurių profesinė veikla turi reikšmingą poveikį įstaigos rizikos pobūdžiui, remiantis kriterijais, nustatytais Komisijos deleguotajame reglamente dėl nustatytųjų darbuotojų, kuriuo įgyvendinama KRD 94 straipsnio 2 dalis, ir atitinkamais atvejais papildomai remiantis įstaigų kriterijais.</w:t>
            </w:r>
          </w:p>
          <w:p w14:paraId="566D1319"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Šioje formoje įstaigos gali suskirstyti informaciją (etato ekvivalentais) pagal verslo sritis, siūlomas EU REM5 formoje.</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3E41FD8" w14:textId="77777777" w:rsidR="0000786A" w:rsidRDefault="0000786A" w:rsidP="00965CEB">
      <w:pPr>
        <w:pStyle w:val="Titlelevel2"/>
        <w:spacing w:before="120" w:after="120"/>
        <w:rPr>
          <w:rFonts w:ascii="Times New Roman" w:hAnsi="Times New Roman"/>
          <w:b/>
          <w:color w:val="auto"/>
          <w:sz w:val="24"/>
        </w:rPr>
      </w:pPr>
    </w:p>
    <w:p w14:paraId="68573414" w14:textId="77777777" w:rsidR="0000786A" w:rsidRDefault="0000786A" w:rsidP="00965CEB">
      <w:pPr>
        <w:pStyle w:val="Titlelevel2"/>
        <w:spacing w:before="120" w:after="120"/>
        <w:rPr>
          <w:rFonts w:ascii="Times New Roman" w:hAnsi="Times New Roman"/>
          <w:b/>
          <w:color w:val="auto"/>
          <w:sz w:val="24"/>
        </w:rPr>
      </w:pPr>
    </w:p>
    <w:p w14:paraId="2C5AB76E" w14:textId="01A66AAE"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lastRenderedPageBreak/>
        <w:t xml:space="preserve">EU REM3 forma. Atidėtas atlygis. </w:t>
      </w:r>
      <w:r>
        <w:rPr>
          <w:rFonts w:ascii="Times New Roman" w:hAnsi="Times New Roman"/>
          <w:color w:val="auto"/>
          <w:sz w:val="24"/>
        </w:rPr>
        <w:t>(nustatytasis formatas)</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Pildydamos šio įgyvendinimo reglamento XXXIII priede pateiktą EU REM3 formą įstaigos atskleidžia KRR 450 straipsnio 1 dalies h punkto iii–iv papunkčiuose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Pr>
                <w:rFonts w:ascii="Times New Roman" w:hAnsi="Times New Roman"/>
                <w:b/>
                <w:sz w:val="24"/>
              </w:rPr>
              <w:t>Nuorodos į teisės aktus ir nurodymai</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Valdymo organo priežiūros funkcija</w:t>
            </w:r>
          </w:p>
          <w:p w14:paraId="42F62B7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Priežiūros funkciją vykdantis valdymo organas – valdymo organas, vykdantis vadovybės sprendimų priėmimo priežiūros ir stebėsenos funkciją, kaip apibrėžta KRD 3 straipsnio 1 dalies 8 punkte.</w:t>
            </w:r>
          </w:p>
          <w:p w14:paraId="78EE1100" w14:textId="7475DD2C" w:rsidR="00965CEB" w:rsidRPr="007F4CC8" w:rsidRDefault="00965CEB" w:rsidP="004F3087">
            <w:pPr>
              <w:spacing w:before="60" w:after="120"/>
              <w:jc w:val="both"/>
              <w:rPr>
                <w:rFonts w:ascii="Times New Roman" w:hAnsi="Times New Roman"/>
                <w:sz w:val="24"/>
              </w:rPr>
            </w:pPr>
            <w:r>
              <w:rPr>
                <w:rFonts w:ascii="Times New Roman" w:hAnsi="Times New Roman"/>
                <w:sz w:val="24"/>
              </w:rPr>
              <w:t>Šios formos 2, 3, 4, 5 ir 6 eilučių verčių suma</w:t>
            </w:r>
            <w:r w:rsidR="0000786A">
              <w:rPr>
                <w:rFonts w:ascii="Times New Roman" w:hAnsi="Times New Roman"/>
                <w:sz w:val="24"/>
              </w:rPr>
              <w:t>.</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2, 8, 14 ir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Išreikšta pinigais</w:t>
            </w:r>
          </w:p>
          <w:p w14:paraId="0BC40D8E" w14:textId="68B2DA9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Kintamojo atlygio, išreikšto pinigais, suma</w:t>
            </w:r>
            <w:r w:rsidR="0000786A">
              <w:rPr>
                <w:rFonts w:ascii="Times New Roman" w:hAnsi="Times New Roman"/>
                <w:sz w:val="24"/>
              </w:rPr>
              <w:t>.</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3, 9, 15 ir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Akcijos ar lygiavertės nuosavybės teisės </w:t>
            </w:r>
          </w:p>
          <w:p w14:paraId="4B63188A" w14:textId="3078CB91" w:rsidR="00965CEB" w:rsidRPr="007F4CC8" w:rsidRDefault="00965CEB" w:rsidP="004F3087">
            <w:pPr>
              <w:spacing w:before="60" w:after="120"/>
              <w:jc w:val="both"/>
              <w:rPr>
                <w:rFonts w:ascii="Times New Roman" w:hAnsi="Times New Roman"/>
                <w:b/>
                <w:sz w:val="24"/>
              </w:rPr>
            </w:pPr>
            <w:r>
              <w:rPr>
                <w:rFonts w:ascii="Times New Roman" w:hAnsi="Times New Roman"/>
                <w:sz w:val="24"/>
              </w:rPr>
              <w:t>Kintamojo atlygio, išmokamo akcijomis ar, atsižvelgiant į atitinkamos įstaigos teisinę struktūrą, lygiavertėmis nuosavybės teisėmis, kaip nurodyta KRD 94 straipsnio 1 dalies l punkto i papunktyje, suma</w:t>
            </w:r>
            <w:r w:rsidR="0000786A">
              <w:rPr>
                <w:rFonts w:ascii="Times New Roman" w:hAnsi="Times New Roman"/>
                <w:sz w:val="24"/>
              </w:rPr>
              <w:t>.</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4, 10, 16 ir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Su akcijomis susijusios priemonės ar lygiavertės nepiniginės priemonės </w:t>
            </w:r>
          </w:p>
          <w:p w14:paraId="362CEB2B" w14:textId="2526450E"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Kintamojo atlygio, išmokamo su akcijomis susijusiomis priemonėmis ar, atsižvelgiant į atitinkamos įstaigos teisinę struktūrą, lygiavertėmis nepiniginėmis priemonėmis, kaip nurodyta KRD 94 straipsnio 1 dalies l punkto i papunktyje, suma</w:t>
            </w:r>
            <w:r w:rsidR="0000786A">
              <w:rPr>
                <w:rFonts w:ascii="Times New Roman" w:hAnsi="Times New Roman"/>
                <w:sz w:val="24"/>
              </w:rPr>
              <w:t>.</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5, 11, 17 ir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Kitos priemonės</w:t>
            </w:r>
          </w:p>
          <w:p w14:paraId="4C0BEEE9" w14:textId="4833F996" w:rsidR="00965CEB" w:rsidRPr="007F4CC8" w:rsidRDefault="00965CEB" w:rsidP="004F3087">
            <w:pPr>
              <w:spacing w:before="60" w:after="120"/>
              <w:jc w:val="both"/>
              <w:rPr>
                <w:rFonts w:ascii="Times New Roman" w:hAnsi="Times New Roman"/>
                <w:sz w:val="24"/>
              </w:rPr>
            </w:pPr>
            <w:r>
              <w:rPr>
                <w:rFonts w:ascii="Times New Roman" w:hAnsi="Times New Roman"/>
                <w:sz w:val="24"/>
              </w:rPr>
              <w:t>Kintamojo atlygio, išmokamo kitomis priemonėmis, kaip nurodyta KRD 94 straipsnio 1 dalies l punkto ii papunktyje, suma</w:t>
            </w:r>
            <w:r w:rsidR="0000786A">
              <w:rPr>
                <w:rFonts w:ascii="Times New Roman" w:hAnsi="Times New Roman"/>
                <w:sz w:val="24"/>
              </w:rPr>
              <w:t>.</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6, 12, 18 ir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Kitų formų išmokos</w:t>
            </w:r>
          </w:p>
          <w:p w14:paraId="05DE9AE7" w14:textId="0CFABE9F"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Kintamojo atlygio, išskyrus atskleistąjį eilutėse „Išreikšta pinigais“, „Akcijos ar lygiavertės nuosavybės teisės“, atsižvelgiant į atitinkamos įstaigos teisinę struktūrą, arba eilutėse „Su akcijomis susijusios priemonės ar lygiavertės nepiniginės priemonės“ ir „Kitos priemonės“, sumos</w:t>
            </w:r>
            <w:r w:rsidR="0000786A">
              <w:rPr>
                <w:rFonts w:ascii="Times New Roman" w:hAnsi="Times New Roman"/>
                <w:sz w:val="24"/>
              </w:rPr>
              <w:t>.</w:t>
            </w:r>
          </w:p>
          <w:p w14:paraId="47E931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Tai gali būti proporcingos reguliarios pensijų įmokos arba išmokos (kai jos nėra susijusios su jokiais veiklos rezultatais), nurodytos KRD 64 konstatuojamojoje dalyje, arba kitų formų atlygis kaip antai išmokos automobiliui.</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Valdymo organo valdymo funkcija </w:t>
            </w:r>
          </w:p>
          <w:p w14:paraId="7D897A2D" w14:textId="0A6F860C"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Valdymo organo nariai, atsakingi už šio organo valdymo funkcijų vykdymą; šios formos 8, 9, 10, 11 ir 12 eilučių verčių suma</w:t>
            </w:r>
            <w:r w:rsidR="0000786A">
              <w:rPr>
                <w:rFonts w:ascii="Times New Roman" w:hAnsi="Times New Roman"/>
                <w:sz w:val="24"/>
              </w:rPr>
              <w:t>.</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Kita vyresnioji vadovybė</w:t>
            </w:r>
          </w:p>
          <w:p w14:paraId="015BE952" w14:textId="73763B3F"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Vyresnioji vadovybė, kaip apibrėžta KRD 3 straipsnio 1 dalies 9 punkte; šios formos 14, 15, 16, 17 ir 18 eilučių verčių suma</w:t>
            </w:r>
            <w:r w:rsidR="0000786A">
              <w:rPr>
                <w:rFonts w:ascii="Times New Roman" w:hAnsi="Times New Roman"/>
                <w:sz w:val="24"/>
              </w:rPr>
              <w:t>.</w:t>
            </w:r>
          </w:p>
          <w:p w14:paraId="3E12A111"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Įstaigos atskleidžia vyresniųjų vadovų, informacija apie kuriuos nepateikta eilutėse „Valdymo organo valdymo funkcija“ ir „Kiti nustatytieji darbuotojai“, skaičių.</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lastRenderedPageBreak/>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Kiti nustatytieji darbuotojai</w:t>
            </w:r>
          </w:p>
          <w:p w14:paraId="1561B753" w14:textId="19CBC544" w:rsidR="00965CEB" w:rsidRPr="007F4CC8" w:rsidRDefault="00965CEB" w:rsidP="004F3087">
            <w:pPr>
              <w:spacing w:before="60" w:after="120"/>
              <w:jc w:val="both"/>
              <w:rPr>
                <w:rFonts w:ascii="Times New Roman" w:hAnsi="Times New Roman"/>
                <w:sz w:val="24"/>
              </w:rPr>
            </w:pPr>
            <w:r>
              <w:rPr>
                <w:rFonts w:ascii="Times New Roman" w:hAnsi="Times New Roman"/>
                <w:sz w:val="24"/>
              </w:rPr>
              <w:t>Kiti darbuotojai, išskyrus nurodytuosius eilutėse „Valdymo organo priežiūros funkcija“ ar „Valdymo organo valdymo funkcija“ ir vyresniuosius vadovus, kurių profesinė veikla turi reikšmingą poveikį įstaigos rizikos pobūdžiui, remiantis kriterijais, nustatytais Komisijos deleguotajame reglamente dėl nustatytųjų darbuotojų, kuriuo įgyvendinama KRD 94 straipsnio 2 dalis, ir atitinkamais atvejais papildomai remiantis įstaigų kriterijais; šios formos 20, 21, 22, 23 ir 24 eilučių verčių suma</w:t>
            </w:r>
            <w:r w:rsidR="0000786A">
              <w:rPr>
                <w:rFonts w:ascii="Times New Roman" w:hAnsi="Times New Roman"/>
                <w:sz w:val="24"/>
              </w:rPr>
              <w:t>.</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Bendra suma</w:t>
            </w:r>
          </w:p>
          <w:p w14:paraId="70B531DE" w14:textId="395B926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Šios formos 1, 7, 13 ir 19 eilučių verčių suma</w:t>
            </w:r>
            <w:r w:rsidR="0000786A">
              <w:rPr>
                <w:rFonts w:ascii="Times New Roman" w:hAnsi="Times New Roman"/>
                <w:sz w:val="24"/>
              </w:rPr>
              <w:t>.</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Paaiškinimas</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Pr>
                <w:rFonts w:ascii="Times New Roman" w:hAnsi="Times New Roman"/>
                <w:b/>
                <w:sz w:val="24"/>
              </w:rPr>
              <w:t>Už ankstesnius veiklos vykdymo laikotarpius skirto atidėto atlygio bendra suma</w:t>
            </w:r>
          </w:p>
          <w:p w14:paraId="7D355FC1" w14:textId="090C44F3"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Už ankstesnius veiklos vykdymo laikotarpius skirto atidėto atlygio, kaip nustatyta pagal KRD 94 straipsnį, suma (šios formos b ir c skilčių verčių suma)</w:t>
            </w:r>
            <w:r w:rsidR="0000786A">
              <w:rPr>
                <w:rFonts w:ascii="Times New Roman" w:hAnsi="Times New Roman"/>
                <w:sz w:val="24"/>
              </w:rPr>
              <w:t>.</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Iš jos atlygis, į kurį numatyta suteikti teises finansiniais metais</w:t>
            </w:r>
          </w:p>
          <w:p w14:paraId="1877D636" w14:textId="36BDD55A"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Už ankstesnius veiklos vykdymo laikotarpius skirto atidėto atlygio, kaip nustatyta pagal KRD 94 straipsnį, į kurį numatyta suteikti teises finansiniais metais, suma</w:t>
            </w:r>
            <w:r w:rsidR="0000786A">
              <w:rPr>
                <w:rFonts w:ascii="Times New Roman" w:hAnsi="Times New Roman"/>
                <w:sz w:val="24"/>
              </w:rPr>
              <w:t>.</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Iš jos atlygis, į kurį numatyta suteikti teises vėlesniais finansiniais metais</w:t>
            </w:r>
          </w:p>
          <w:p w14:paraId="41D97AF8" w14:textId="2BAEA494"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Už ankstesnius veiklos vykdymo laikotarpius skirto atidėto atlygio, kaip nustatyta pagal KRD 94 straipsnį, į kurį numatyta suteikti teises vėlesniais finansiniais metais, suma</w:t>
            </w:r>
            <w:r w:rsidR="0000786A">
              <w:rPr>
                <w:rFonts w:ascii="Times New Roman" w:hAnsi="Times New Roman"/>
                <w:sz w:val="24"/>
              </w:rPr>
              <w:t>.</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Finansiniais metais atlikto atidėto atlygio koregavimo pagal veiklos rezultatus suma, kai teises į tą atidėtą atlygį buvo numatyta suteikti finansiniais metais</w:t>
            </w:r>
          </w:p>
          <w:p w14:paraId="1571AC97" w14:textId="65EC9529"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Finansiniais metais atlikto atidėto atlygio koregavimo pagal veiklos rezultatus, kaip nustatyta pagal KRD 94 straipsnį, suma, kai teises į tą atidėtą atlygį buvo numatyta suteikti finansiniais metais</w:t>
            </w:r>
            <w:r w:rsidR="0000786A">
              <w:rPr>
                <w:rFonts w:ascii="Times New Roman" w:hAnsi="Times New Roman"/>
                <w:sz w:val="24"/>
              </w:rPr>
              <w:t>.</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Finansiniais metais atlikto atidėto atlygio koregavimo pagal veiklos rezultatus suma, kai teises į tą atidėtą atlygį buvo numatyta suteikti būsimais finansiniais metais</w:t>
            </w:r>
          </w:p>
          <w:p w14:paraId="2D3814DB" w14:textId="4023261A"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Finansiniais metais atlikto atidėto atlygio koregavimo pagal veiklos rezultatus, kaip nustatyta pagal KRD 94 straipsnį, suma, kai teises į tą atidėtą atlygį buvo numatyta suteikti būsimais veiklos vykdymo metais</w:t>
            </w:r>
            <w:r w:rsidR="0000786A">
              <w:rPr>
                <w:rFonts w:ascii="Times New Roman" w:hAnsi="Times New Roman"/>
                <w:sz w:val="24"/>
              </w:rPr>
              <w:t>.</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 xml:space="preserve">Bendra koregavimų finansiniais metais suma, susidariusi dėl </w:t>
            </w:r>
            <w:proofErr w:type="spellStart"/>
            <w:r>
              <w:rPr>
                <w:rFonts w:ascii="Times New Roman" w:hAnsi="Times New Roman"/>
                <w:b/>
                <w:i/>
                <w:iCs/>
                <w:sz w:val="24"/>
              </w:rPr>
              <w:t>ex</w:t>
            </w:r>
            <w:proofErr w:type="spellEnd"/>
            <w:r>
              <w:rPr>
                <w:rFonts w:ascii="Times New Roman" w:hAnsi="Times New Roman"/>
                <w:b/>
                <w:i/>
                <w:iCs/>
                <w:sz w:val="24"/>
              </w:rPr>
              <w:t> </w:t>
            </w:r>
            <w:proofErr w:type="spellStart"/>
            <w:r>
              <w:rPr>
                <w:rFonts w:ascii="Times New Roman" w:hAnsi="Times New Roman"/>
                <w:b/>
                <w:i/>
                <w:iCs/>
                <w:sz w:val="24"/>
              </w:rPr>
              <w:t>post</w:t>
            </w:r>
            <w:proofErr w:type="spellEnd"/>
            <w:r>
              <w:rPr>
                <w:rFonts w:ascii="Times New Roman" w:hAnsi="Times New Roman"/>
                <w:b/>
                <w:sz w:val="24"/>
              </w:rPr>
              <w:t xml:space="preserve"> netiesioginių koregavimų finansiniais metais (t. y. atidėto atlygio vertės pokyčių dėl priemonių kainų pokyčių)</w:t>
            </w:r>
          </w:p>
          <w:p w14:paraId="6472C5F0" w14:textId="167B6C31"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 xml:space="preserve">Jei aktualu, vertės pokyčių suma finansiniais metais dėl </w:t>
            </w:r>
            <w:proofErr w:type="spellStart"/>
            <w:r>
              <w:rPr>
                <w:rFonts w:ascii="Times New Roman" w:hAnsi="Times New Roman"/>
                <w:i/>
                <w:iCs/>
                <w:sz w:val="24"/>
              </w:rPr>
              <w:t>ex</w:t>
            </w:r>
            <w:proofErr w:type="spellEnd"/>
            <w:r>
              <w:rPr>
                <w:rFonts w:ascii="Times New Roman" w:hAnsi="Times New Roman"/>
                <w:i/>
                <w:iCs/>
                <w:sz w:val="24"/>
              </w:rPr>
              <w:t> </w:t>
            </w:r>
            <w:proofErr w:type="spellStart"/>
            <w:r>
              <w:rPr>
                <w:rFonts w:ascii="Times New Roman" w:hAnsi="Times New Roman"/>
                <w:i/>
                <w:iCs/>
                <w:sz w:val="24"/>
              </w:rPr>
              <w:t>post</w:t>
            </w:r>
            <w:proofErr w:type="spellEnd"/>
            <w:r>
              <w:rPr>
                <w:rFonts w:ascii="Times New Roman" w:hAnsi="Times New Roman"/>
                <w:sz w:val="24"/>
              </w:rPr>
              <w:t xml:space="preserve"> netiesioginių koregavimų, pavyzdžiui, atidėto atlygio vertės pokyčių, kuriuos lėmė priemonių kainų pokyčiai, apskaičiuota dedant visas pastangas</w:t>
            </w:r>
            <w:r w:rsidR="0000786A">
              <w:rPr>
                <w:rFonts w:ascii="Times New Roman" w:hAnsi="Times New Roman"/>
                <w:sz w:val="24"/>
              </w:rPr>
              <w:t>.</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Iki finansinių metų skirto atidėto atlygio, faktiškai išmokėto finansiniais metais, bendra suma</w:t>
            </w:r>
          </w:p>
          <w:p w14:paraId="711625D8" w14:textId="17F25B83"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Finansiniais metais išmokėto atidėto atlygio, kaip nustatyta pagal KRD 94 straipsnį, suma</w:t>
            </w:r>
            <w:r w:rsidR="0000786A">
              <w:rPr>
                <w:rFonts w:ascii="Times New Roman" w:hAnsi="Times New Roman"/>
                <w:sz w:val="24"/>
              </w:rPr>
              <w:t>.</w:t>
            </w:r>
          </w:p>
          <w:p w14:paraId="79B6CE2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Kai tik suteikiama teisė į atidėtą atlygį, jis laikomas išmokėtu.</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Pr>
                <w:rFonts w:ascii="Times New Roman" w:hAnsi="Times New Roman"/>
                <w:b/>
                <w:sz w:val="24"/>
              </w:rPr>
              <w:t>Už ankstesnį veiklos vykdymo laikotarpį skirto atidėto atlygio, į kurį suteiktos teisės, bet kuriam taikomi išlaikymo laikotarpiai, bendra suma</w:t>
            </w:r>
          </w:p>
          <w:p w14:paraId="64A6D4B4" w14:textId="47AD5D8C"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Už ankstesnius veiklos vykdymo laikotarpius skirto atidėto atlygio, į kurį suteiktos teisės, bet kuriam taikomi išlaikymo laikotarpiai, kaip nustatyta pagal KRD 94 straipsnį, suma</w:t>
            </w:r>
            <w:r w:rsidR="0000786A">
              <w:rPr>
                <w:rFonts w:ascii="Times New Roman" w:hAnsi="Times New Roman"/>
                <w:sz w:val="24"/>
              </w:rPr>
              <w:t>.</w:t>
            </w:r>
          </w:p>
        </w:tc>
      </w:tr>
    </w:tbl>
    <w:p w14:paraId="407F372C" w14:textId="77777777" w:rsidR="00965CEB" w:rsidRPr="007F4CC8" w:rsidRDefault="00965CEB" w:rsidP="00965CEB">
      <w:pPr>
        <w:rPr>
          <w:rFonts w:ascii="Times New Roman" w:hAnsi="Times New Roman" w:cs="Times New Roman"/>
          <w:sz w:val="24"/>
        </w:rPr>
      </w:pPr>
    </w:p>
    <w:p w14:paraId="6B747669" w14:textId="60EA9D19"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REM4 forma. 1 mln. EUR per metus ar didesnis atlygis </w:t>
      </w:r>
      <w:r>
        <w:rPr>
          <w:rFonts w:ascii="Times New Roman" w:hAnsi="Times New Roman"/>
          <w:color w:val="auto"/>
          <w:sz w:val="24"/>
        </w:rPr>
        <w:t>(nustatytasis formatas)</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Pildydamos šio įgyvendinimo reglamento XXXIII priede pateiktą EU REM4 formą įstaigos atskleidžia KRR 450 straipsnio 1 dalies i punkte nurodytą informaciją, vadovaudamosi toliau šiame priede pateiktais nurodymais.</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Pateikiami finansinių metų pabaigos duomenys eurais. Visos vertės atskleidžiamos nesuapvalintomis sumomis eurais (pvz., 1 234 567 EUR, o ne 1,2 mln. EUR). Kai atlygis mokamas ne eurais, atskleistiniems konsoliduotiems skaičiams konvertuoti taikomas valiutos kursas, kurį Komisija taikė finansiniam programavimui ir biudžetui ataskaitinių metų gruodžio mėn.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Pr>
                <w:rFonts w:ascii="Times New Roman" w:hAnsi="Times New Roman"/>
                <w:b/>
                <w:sz w:val="24"/>
              </w:rPr>
              <w:t>Nuorodos į teisės aktus ir nurodymai</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Didesnis nei 1 mln. ir mažesnis nei 5 mln. EUR per finansinius metus atlygis, suskirstytas 500 000 EUR intervalais</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Didesnis nei 5 mln. EUR per finansinius metus atlygis, suskirstytas 1 mln. EUR intervalais</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Paaiškinimas</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Nustatytųjų darbuotojų, kuriems per finansinius metus išmokėtas 1 mln. EUR ar didesnis atlygis, skaičius</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Įstaigos atskleidžia informaciją, išreikštą asmenų skaičiumi.</w:t>
            </w:r>
          </w:p>
        </w:tc>
      </w:tr>
    </w:tbl>
    <w:p w14:paraId="65FA28BB" w14:textId="77777777" w:rsidR="00965CEB" w:rsidRPr="007F4CC8" w:rsidRDefault="00965CEB" w:rsidP="00965CEB">
      <w:pPr>
        <w:rPr>
          <w:rFonts w:ascii="Times New Roman" w:hAnsi="Times New Roman" w:cs="Times New Roman"/>
          <w:sz w:val="24"/>
        </w:rPr>
      </w:pPr>
    </w:p>
    <w:p w14:paraId="4A1CA679" w14:textId="77777777" w:rsidR="0000786A" w:rsidRDefault="0000786A" w:rsidP="00965CEB">
      <w:pPr>
        <w:pStyle w:val="Titlelevel2"/>
        <w:spacing w:before="120" w:after="120"/>
        <w:rPr>
          <w:rFonts w:ascii="Times New Roman" w:hAnsi="Times New Roman"/>
          <w:b/>
          <w:color w:val="auto"/>
          <w:sz w:val="24"/>
        </w:rPr>
      </w:pPr>
    </w:p>
    <w:p w14:paraId="41D75078" w14:textId="77777777" w:rsidR="0000786A" w:rsidRDefault="0000786A" w:rsidP="00965CEB">
      <w:pPr>
        <w:pStyle w:val="Titlelevel2"/>
        <w:spacing w:before="120" w:after="120"/>
        <w:rPr>
          <w:rFonts w:ascii="Times New Roman" w:hAnsi="Times New Roman"/>
          <w:b/>
          <w:color w:val="auto"/>
          <w:sz w:val="24"/>
        </w:rPr>
      </w:pPr>
    </w:p>
    <w:p w14:paraId="48F9714A" w14:textId="482B57E2"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 xml:space="preserve">EU REM5 forma. Informacija apie darbuotojus, kurių profesinė veikla turi reikšmingą poveikį įstaigų rizikos pobūdžiui (nustatytuosius darbuotojus) </w:t>
      </w:r>
      <w:r>
        <w:rPr>
          <w:rFonts w:ascii="Times New Roman" w:hAnsi="Times New Roman"/>
          <w:color w:val="auto"/>
          <w:sz w:val="24"/>
        </w:rPr>
        <w:t>(nustatytasis formatas)</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Pildydamos šio įgyvendinimo reglamento XXXIII priede pateiktą EU REM5 formą įstaigos atskleidžia KRR 450 straipsnio 1 dalies g punkte nurodytą informaciją, vadovaudamosi toliau šiame priede pateiktais nurodymais.</w:t>
      </w:r>
    </w:p>
    <w:p w14:paraId="42ECBD7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Kiek tai susiję su duomenų suskirstymu pagal verslo sritis, visos skolinimo sumos, įskaitant didmeninį skolinimą, įtraukiamos į mažmeninį skolinimą. Investicinės bankininkystės atveju įtraukiami įmonių finansai, prekyba ir pardavimai. Papildomus nurodymus, susijusius su veikla, įtraukta į šias verslo linijas, galima rasti KRR 317 straipsnyje pateiktoje lentelėje, kurioje verslo linijos apibrėžiamos pagal standartizuotą operacinės rizikos vertinimo metodą.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Pr>
                <w:rFonts w:ascii="Times New Roman" w:hAnsi="Times New Roman"/>
                <w:b/>
                <w:sz w:val="24"/>
              </w:rPr>
              <w:t>Nuorodos į teisės aktus ir nurodymai</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Nustatytųjų darbuotojų bendras skaičius</w:t>
            </w:r>
          </w:p>
          <w:p w14:paraId="2278F4D4" w14:textId="7C36DD7D"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ir jos patronuojamųjų įstaigų, įskaitant patronuojamąsias įstaigas, kurioms netaikoma KRD, ir visus jų atitinkamų valdymo organų narius, darbuotojai, kurių profesinė veikla turi reikšmingą poveikį įstaigų rizikos pobūdžiui (nustatytieji darbuotojai)</w:t>
            </w:r>
            <w:r w:rsidR="0000786A">
              <w:rPr>
                <w:rFonts w:ascii="Times New Roman" w:hAnsi="Times New Roman"/>
                <w:sz w:val="24"/>
              </w:rPr>
              <w:t>.</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Vertė atskleidžiama etato ekvivalentais.</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3B7A52EC"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Iš j</w:t>
            </w:r>
            <w:r w:rsidR="00874A28">
              <w:rPr>
                <w:rFonts w:ascii="Times New Roman" w:hAnsi="Times New Roman"/>
                <w:b/>
                <w:sz w:val="24"/>
              </w:rPr>
              <w:t>ų</w:t>
            </w:r>
            <w:r>
              <w:rPr>
                <w:rFonts w:ascii="Times New Roman" w:hAnsi="Times New Roman"/>
                <w:b/>
                <w:sz w:val="24"/>
              </w:rPr>
              <w:t>: valdymo organo nariai</w:t>
            </w:r>
          </w:p>
          <w:p w14:paraId="626C0F05" w14:textId="5FDBF2B4"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Priežiūros ir valdymo funkcijas vykdančių atitinkamo valdymo organo ir viso valdymo organo narių skaičius</w:t>
            </w:r>
            <w:r w:rsidR="0000786A">
              <w:rPr>
                <w:rFonts w:ascii="Times New Roman" w:hAnsi="Times New Roman"/>
                <w:sz w:val="24"/>
              </w:rPr>
              <w:t>.</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5450F6EF"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Iš j</w:t>
            </w:r>
            <w:r w:rsidR="00874A28">
              <w:rPr>
                <w:rFonts w:ascii="Times New Roman" w:hAnsi="Times New Roman"/>
                <w:b/>
                <w:sz w:val="24"/>
              </w:rPr>
              <w:t>ų</w:t>
            </w:r>
            <w:r>
              <w:rPr>
                <w:rFonts w:ascii="Times New Roman" w:hAnsi="Times New Roman"/>
                <w:b/>
                <w:sz w:val="24"/>
              </w:rPr>
              <w:t>: kita vyresnioji vadovybė</w:t>
            </w:r>
          </w:p>
          <w:p w14:paraId="1F28E03B" w14:textId="13FACB9E"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Darbuotojai, išskyrus valdymo organo narius, kurie sudaro vyresniąją vadovybę, kaip apibrėžta KRD 3 straipsnio 1 dalies 9 punkte</w:t>
            </w:r>
            <w:r w:rsidR="0000786A">
              <w:rPr>
                <w:rFonts w:ascii="Times New Roman" w:hAnsi="Times New Roman"/>
                <w:sz w:val="24"/>
              </w:rPr>
              <w:t>.</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Iš jų: kiti nustatytieji darbuotojai</w:t>
            </w:r>
          </w:p>
          <w:p w14:paraId="110712E4" w14:textId="0A524DC6"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Kiti darbuotojai, išskyrus valdymo organo ir vyresniosios vadovybės narius, kurių profesinė veikla turi reikšmingą poveikį įstaigos rizikos pobūdžiui, remiantis kriterijais, nustatytais Komisijos deleguotajame reglamente dėl nustatytųjų darbuotojų, kuriuo įgyvendinama KRD 94 straipsnio 2 dalis, ir atitinkamais atvejais papildomai remiantis įstaigų kriterijais</w:t>
            </w:r>
            <w:r w:rsidR="00BC54CA">
              <w:rPr>
                <w:rFonts w:ascii="Times New Roman" w:hAnsi="Times New Roman"/>
                <w:sz w:val="24"/>
              </w:rPr>
              <w:t>.</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Nustatytųjų darbuotojų bendras atlygis</w:t>
            </w:r>
          </w:p>
          <w:p w14:paraId="393FC23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Bendra atlygio suma – visų formų fiksuotasis ir kintamasis atlygis, apimantis piniginius ir nepiniginius mokėjimus ir išmokas, įstaigų arba jų vardu skirtus tiesiogiai darbuotojams už jų suteiktas specialistų paslaugas, priskaičiuotų palūkanų mokėjimus, kaip apibrėžta Direktyvos 2011/61/ES</w:t>
            </w:r>
            <w:r>
              <w:rPr>
                <w:rStyle w:val="FootnoteReference"/>
                <w:rFonts w:cs="Times New Roman"/>
              </w:rPr>
              <w:footnoteReference w:id="4"/>
            </w:r>
            <w:r>
              <w:rPr>
                <w:rFonts w:ascii="Times New Roman" w:hAnsi="Times New Roman"/>
                <w:sz w:val="24"/>
              </w:rPr>
              <w:t xml:space="preserve"> 4 straipsnio 1 dalies d punkte, ir kitus metodais ir priemonėmis atliktus mokėjimus, kurie, jei nebūtų laikomi atlygiu, leistų apeiti KRD nustatytus atlygio reikalavimus.</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3814155F"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Iš j</w:t>
            </w:r>
            <w:r w:rsidR="00874A28">
              <w:rPr>
                <w:rFonts w:ascii="Times New Roman" w:hAnsi="Times New Roman"/>
                <w:b/>
                <w:sz w:val="24"/>
              </w:rPr>
              <w:t>o</w:t>
            </w:r>
            <w:r>
              <w:rPr>
                <w:rFonts w:ascii="Times New Roman" w:hAnsi="Times New Roman"/>
                <w:b/>
                <w:sz w:val="24"/>
              </w:rPr>
              <w:t>: kintamasis atlygis</w:t>
            </w:r>
          </w:p>
          <w:p w14:paraId="4089EA4E" w14:textId="127E68F8"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Visų atlygio dalių, kurios nėra šios formos 7 eilutėje nurodytas fiksuotasis atlygis, suma</w:t>
            </w:r>
            <w:r w:rsidR="00BC54CA">
              <w:rPr>
                <w:rFonts w:ascii="Times New Roman" w:hAnsi="Times New Roman"/>
                <w:sz w:val="24"/>
              </w:rPr>
              <w:t>.</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D2D83E0"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Iš j</w:t>
            </w:r>
            <w:r w:rsidR="00874A28">
              <w:rPr>
                <w:rFonts w:ascii="Times New Roman" w:hAnsi="Times New Roman"/>
                <w:b/>
                <w:sz w:val="24"/>
              </w:rPr>
              <w:t>o</w:t>
            </w:r>
            <w:r>
              <w:rPr>
                <w:rFonts w:ascii="Times New Roman" w:hAnsi="Times New Roman"/>
                <w:b/>
                <w:sz w:val="24"/>
              </w:rPr>
              <w:t>: fiksuotasis atlygis</w:t>
            </w:r>
          </w:p>
          <w:p w14:paraId="6D2B67C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Įstaigos laiko atlygį fiksuotuoju, kai jo skyrimo ir dydžio sąlygos: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yra grindžiamos iš anksto nustatytais kriterijais;</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yra nediskriminacinės ir atitinka darbuotojų profesinės patirties lygį ir stažą;</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yra skaidrios, kiek tai susiję su atskiram darbuotojui skirta atskira suma;</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yra nuolatinės, t. y. nekinta su specialiu vaidmeniu ir organizacinėmis pareigomis susijusį laikotarpį;</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yra neatšaukiamos; nuolatinė suma yra keičiama tik surengus kolektyvines derybas arba pakartotines derybas pagal nacionalinius darbo užmokesčio nustatymo kriterijus;</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suma negali būti įstaigos sumažinta, laikinai nemokama ar atšaukta;</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neskatina prisiimti rizikos ir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nepriklauso nuo veiklos rezultatų.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Paaiškinimas</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a, b ir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Valdymo organas</w:t>
            </w:r>
          </w:p>
          <w:p w14:paraId="2D246C99" w14:textId="5629290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Įstaigos valdymo organas, atskiriant priežiūros funkciją ir valdymo funkciją vykdančius darbuotojus</w:t>
            </w:r>
            <w:r w:rsidR="00874A28">
              <w:rPr>
                <w:rFonts w:ascii="Times New Roman" w:hAnsi="Times New Roman"/>
                <w:sz w:val="24"/>
              </w:rPr>
              <w:t>.</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Įstaigos atskleidžia informaciją, išreikštą asmenų skaičiumi.</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Veiklos sritys</w:t>
            </w:r>
          </w:p>
          <w:p w14:paraId="3897E6F0" w14:textId="6ED357F1"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Pagrindinės įstaigos veiklos sritys: investicinė bankininkystė, mažmeninė bankininkystė, turto valdymas, įmonių funkcijos, nepriklausomos vidaus kontrolės funkcijos</w:t>
            </w:r>
            <w:r w:rsidR="00874A28">
              <w:rPr>
                <w:rFonts w:ascii="Times New Roman" w:hAnsi="Times New Roman"/>
                <w:sz w:val="24"/>
              </w:rPr>
              <w:t>.</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Duomenys atskleidžiami etato ekvivalentais.</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Visa kita</w:t>
            </w:r>
          </w:p>
          <w:p w14:paraId="73AEF5B7" w14:textId="3CE19ED4"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Visos kitos verslo sritys, neįtrauktos atskirai į pirmesnes skiltis</w:t>
            </w:r>
            <w:r w:rsidR="00874A28">
              <w:rPr>
                <w:rFonts w:ascii="Times New Roman" w:hAnsi="Times New Roman"/>
                <w:sz w:val="24"/>
              </w:rPr>
              <w:t>.</w:t>
            </w:r>
            <w:r>
              <w:rPr>
                <w:rFonts w:ascii="Times New Roman" w:hAnsi="Times New Roman"/>
                <w:sz w:val="24"/>
              </w:rPr>
              <w:t xml:space="preserve">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Duomenys atskleidžiami etato ekvivalentais.</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5A8C6" w14:textId="77777777" w:rsidR="000047BB" w:rsidRDefault="000047BB" w:rsidP="00965CEB">
      <w:r>
        <w:separator/>
      </w:r>
    </w:p>
  </w:endnote>
  <w:endnote w:type="continuationSeparator" w:id="0">
    <w:p w14:paraId="1ED5A904" w14:textId="77777777" w:rsidR="000047BB" w:rsidRDefault="000047BB"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w:t>
        </w:r>
        <w:r>
          <w:t>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A9B5C" w14:textId="77777777" w:rsidR="000047BB" w:rsidRDefault="000047BB" w:rsidP="00965CEB">
      <w:r>
        <w:separator/>
      </w:r>
    </w:p>
  </w:footnote>
  <w:footnote w:type="continuationSeparator" w:id="0">
    <w:p w14:paraId="35C9488B" w14:textId="77777777" w:rsidR="000047BB" w:rsidRDefault="000047BB"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t>.</w:t>
      </w:r>
      <w:r>
        <w:rPr>
          <w:color w:val="800080"/>
          <w:u w:val="single"/>
        </w:rPr>
        <w:t xml:space="preserve"> </w:t>
      </w:r>
      <w:hyperlink r:id="rId2" w:history="1">
        <w:r>
          <w:rPr>
            <w:rStyle w:val="Hyperlink"/>
          </w:rPr>
          <w:t>Reglamentas (ES) 2024/1623 - LT - EUR-</w:t>
        </w:r>
        <w:proofErr w:type="spellStart"/>
        <w:r>
          <w:rPr>
            <w:rStyle w:val="Hyperlink"/>
          </w:rPr>
          <w:t>Lex</w:t>
        </w:r>
        <w:proofErr w:type="spellEnd"/>
        <w:r>
          <w:rPr>
            <w:rStyle w:val="Hyperlink"/>
          </w:rPr>
          <w:t xml:space="preserve"> (europa.eu)</w:t>
        </w:r>
      </w:hyperlink>
      <w:r>
        <w:rPr>
          <w:color w:val="444444"/>
        </w:rPr>
        <w:t>)</w:t>
      </w:r>
      <w: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ab/>
      </w:r>
      <w:r>
        <w:t>2013 m. birželio 26 d. EUROPOS PARLAMENTO IR TARYBOS DIREKTYVA 2013/36/ES dėl galimybės verstis kredito įstaigų veikla ir dėl riziką ribojančios kredito įstaigų priežiūros, kuria iš dalies keičiama Direktyva 2002/87/EB ir panaikinamos direktyvos 2006/48/EB bei 2006/49/EB, (OL L 176, 2013 6 27, p.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ab/>
      </w:r>
      <w:r>
        <w:t>2014 m. kovo 4 d. KOMISIJOS DELEGUOTASIS REGLAMENTAS (ES) Nr. 604/2014, kuriuo papildomos Europos Parlamento ir Tarybos direktyvos 2013/36/ES nuostatos dėl techninių reguliavimo standartų, susijusių su kokybiniais ir atitinkamais kiekybiniais kriterijais, pagal kuriuos nustatomos darbuotojų, kurių profesinė veikla turi reikšmingą poveikį įstaigos rizikos pobūdžiui, kategorijos, (OL L 167, 2014 6 6, p. 30).</w:t>
      </w:r>
    </w:p>
  </w:footnote>
  <w:footnote w:id="4">
    <w:p w14:paraId="2890C799" w14:textId="77777777" w:rsidR="00965CEB" w:rsidRDefault="00965CEB" w:rsidP="00965CEB">
      <w:pPr>
        <w:pStyle w:val="FootnoteText"/>
      </w:pPr>
      <w:r>
        <w:rPr>
          <w:rStyle w:val="FootnoteReference"/>
        </w:rPr>
        <w:footnoteRef/>
      </w:r>
      <w:r>
        <w:tab/>
      </w:r>
      <w:r>
        <w:t>2011 m. birželio 8 d. Europos Parlamento ir Tarybos direktyva 2011/61/ES dėl alternatyvaus investavimo fondų valdytojų, kuria iš dalies keičiami direktyvos 2003/41/EB ir 2009/65/EB bei reglamentai (EB) Nr. 1060/2009 ir (ES) Nr. 1095/2010, (OL L 174, 2011 7 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A3600E4"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A9260E"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FC368C"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047BB"/>
    <w:rsid w:val="0000786A"/>
    <w:rsid w:val="00040252"/>
    <w:rsid w:val="005F1AA5"/>
    <w:rsid w:val="00874A28"/>
    <w:rsid w:val="0088399E"/>
    <w:rsid w:val="00965CEB"/>
    <w:rsid w:val="00993FC2"/>
    <w:rsid w:val="009E1CBE"/>
    <w:rsid w:val="00A9359E"/>
    <w:rsid w:val="00BC54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F34866-0D37-4D04-A47C-FD5CB7A6525E}"/>
</file>

<file path=customXml/itemProps2.xml><?xml version="1.0" encoding="utf-8"?>
<ds:datastoreItem xmlns:ds="http://schemas.openxmlformats.org/officeDocument/2006/customXml" ds:itemID="{6972B5C5-A452-4CA4-95B1-480CE1DFD0E3}"/>
</file>

<file path=customXml/itemProps3.xml><?xml version="1.0" encoding="utf-8"?>
<ds:datastoreItem xmlns:ds="http://schemas.openxmlformats.org/officeDocument/2006/customXml" ds:itemID="{AFCA6C15-4050-4688-8B01-927A23B86BD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13</Pages>
  <Words>3699</Words>
  <Characters>24896</Characters>
  <Application>Microsoft Office Word</Application>
  <DocSecurity>0</DocSecurity>
  <Lines>607</Lines>
  <Paragraphs>348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28247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MALAKAUSKIENE Inga (DGT)</cp:lastModifiedBy>
  <cp:revision>6</cp:revision>
  <dcterms:created xsi:type="dcterms:W3CDTF">2021-03-11T13:58:00Z</dcterms:created>
  <dcterms:modified xsi:type="dcterms:W3CDTF">2024-10-18T14:16:00Z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