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DA6" w14:textId="77777777" w:rsidR="00166FFE" w:rsidRPr="0031221C" w:rsidRDefault="00A1733E" w:rsidP="006A78BA">
      <w:pPr>
        <w:pStyle w:val="Annexetitre"/>
        <w:rPr>
          <w:sz w:val="28"/>
          <w:szCs w:val="28"/>
          <w:u w:val="none"/>
        </w:rPr>
      </w:pPr>
      <w:r>
        <w:rPr>
          <w:sz w:val="28"/>
          <w:u w:val="none"/>
        </w:rPr>
        <w:t>ALLEGATO II</w:t>
      </w:r>
    </w:p>
    <w:p w14:paraId="3EED48F6" w14:textId="158E69F5" w:rsidR="00A1733E" w:rsidRPr="0031221C" w:rsidRDefault="001F34C3" w:rsidP="006A78BA">
      <w:pPr>
        <w:pStyle w:val="Annexetitre"/>
        <w:rPr>
          <w:u w:val="none"/>
        </w:rPr>
      </w:pPr>
      <w:r>
        <w:rPr>
          <w:u w:val="none"/>
        </w:rPr>
        <w:t>"</w:t>
      </w:r>
      <w:r w:rsidR="00A1733E">
        <w:rPr>
          <w:u w:val="none"/>
        </w:rPr>
        <w:t>ALLEGATO XXXVIII</w:t>
      </w:r>
    </w:p>
    <w:p w14:paraId="77F10DF1" w14:textId="0369F52A" w:rsidR="006A78BA" w:rsidRPr="0031221C" w:rsidRDefault="0078309E" w:rsidP="006A78BA">
      <w:pPr>
        <w:pStyle w:val="Annexetitre"/>
        <w:rPr>
          <w:u w:val="none"/>
        </w:rPr>
      </w:pPr>
      <w:r>
        <w:rPr>
          <w:u w:val="none"/>
        </w:rPr>
        <w:t>Istruzioni per la compilazione dei modelli d</w:t>
      </w:r>
      <w:r w:rsidR="001F34C3">
        <w:rPr>
          <w:u w:val="none"/>
        </w:rPr>
        <w:t>'</w:t>
      </w:r>
      <w:r>
        <w:rPr>
          <w:u w:val="none"/>
        </w:rPr>
        <w:t>informativa relativa al rischio di tasso di interesse su posizioni non detenute nel portafoglio di negoziazione</w:t>
      </w:r>
    </w:p>
    <w:p w14:paraId="09721089" w14:textId="77777777" w:rsidR="006A78BA" w:rsidRPr="0031221C" w:rsidRDefault="006A78BA" w:rsidP="0054744B">
      <w:pPr>
        <w:jc w:val="both"/>
        <w:rPr>
          <w:rFonts w:ascii="Times New Roman" w:hAnsi="Times New Roman"/>
          <w:b/>
          <w:bCs/>
          <w:sz w:val="24"/>
        </w:rPr>
      </w:pPr>
    </w:p>
    <w:p w14:paraId="47A0C8EE" w14:textId="4A361F0F" w:rsidR="00CD3692" w:rsidRPr="0031221C" w:rsidRDefault="00166FFE" w:rsidP="00CD3692">
      <w:pPr>
        <w:rPr>
          <w:rFonts w:ascii="Times New Roman" w:hAnsi="Times New Roman"/>
          <w:bCs/>
          <w:sz w:val="24"/>
        </w:rPr>
      </w:pPr>
      <w:r>
        <w:rPr>
          <w:rFonts w:ascii="Times New Roman" w:hAnsi="Times New Roman"/>
          <w:b/>
          <w:sz w:val="24"/>
        </w:rPr>
        <w:t>Istruzioni per la compilazione del modello d</w:t>
      </w:r>
      <w:r w:rsidR="001F34C3">
        <w:rPr>
          <w:rFonts w:ascii="Times New Roman" w:hAnsi="Times New Roman"/>
          <w:b/>
          <w:sz w:val="24"/>
        </w:rPr>
        <w:t>'</w:t>
      </w:r>
      <w:r>
        <w:rPr>
          <w:rFonts w:ascii="Times New Roman" w:hAnsi="Times New Roman"/>
          <w:b/>
          <w:sz w:val="24"/>
        </w:rPr>
        <w:t xml:space="preserve">informativa EU IRRBBA </w:t>
      </w:r>
    </w:p>
    <w:p w14:paraId="7E4925DA" w14:textId="77777777" w:rsidR="00CD3692" w:rsidRPr="0031221C" w:rsidRDefault="00CD3692" w:rsidP="00CD3692">
      <w:pPr>
        <w:rPr>
          <w:rFonts w:ascii="Times New Roman" w:hAnsi="Times New Roman"/>
          <w:bCs/>
          <w:sz w:val="24"/>
        </w:rPr>
      </w:pPr>
    </w:p>
    <w:p w14:paraId="31D9779B" w14:textId="06A8A033" w:rsidR="00580D58" w:rsidRPr="0031221C" w:rsidRDefault="00580D58" w:rsidP="00470043">
      <w:pPr>
        <w:spacing w:after="120"/>
        <w:jc w:val="both"/>
        <w:rPr>
          <w:rFonts w:ascii="Calibri" w:eastAsia="Times New Roman" w:hAnsi="Calibri" w:cs="Times New Roman"/>
          <w:color w:val="000000"/>
          <w:szCs w:val="22"/>
        </w:rPr>
      </w:pPr>
      <w:r>
        <w:rPr>
          <w:rFonts w:ascii="Times New Roman" w:hAnsi="Times New Roman"/>
          <w:sz w:val="24"/>
        </w:rPr>
        <w:t>Gli enti sono tenuti a pubblicare le informazioni qualitative specificate di seguito sulla base della metodologia del proprio sistema interno di misurazione del rischio, della metodologia standardizzata o della metodologia standardizzata semplificata, se del caso, conformemente all</w:t>
      </w:r>
      <w:r w:rsidR="001F34C3">
        <w:rPr>
          <w:rFonts w:ascii="Times New Roman" w:hAnsi="Times New Roman"/>
          <w:sz w:val="24"/>
        </w:rPr>
        <w:t>'</w:t>
      </w:r>
      <w:r>
        <w:rPr>
          <w:rFonts w:ascii="Times New Roman" w:hAnsi="Times New Roman"/>
          <w:sz w:val="24"/>
        </w:rPr>
        <w:t xml:space="preserve">articolo </w:t>
      </w:r>
      <w:r w:rsidRPr="001F34C3">
        <w:rPr>
          <w:rFonts w:ascii="Times New Roman" w:hAnsi="Times New Roman"/>
          <w:sz w:val="24"/>
        </w:rPr>
        <w:t>84</w:t>
      </w:r>
      <w:r>
        <w:rPr>
          <w:rFonts w:ascii="Times New Roman" w:hAnsi="Times New Roman"/>
          <w:sz w:val="24"/>
        </w:rPr>
        <w:t xml:space="preserve"> della direttiva </w:t>
      </w:r>
      <w:r w:rsidRPr="001F34C3">
        <w:rPr>
          <w:rFonts w:ascii="Times New Roman" w:hAnsi="Times New Roman"/>
          <w:sz w:val="24"/>
        </w:rPr>
        <w:t>2013</w:t>
      </w:r>
      <w:r>
        <w:rPr>
          <w:rFonts w:ascii="Times New Roman" w:hAnsi="Times New Roman"/>
          <w:sz w:val="24"/>
        </w:rPr>
        <w:t>/</w:t>
      </w:r>
      <w:r w:rsidRPr="001F34C3">
        <w:rPr>
          <w:rFonts w:ascii="Times New Roman" w:hAnsi="Times New Roman"/>
          <w:sz w:val="24"/>
        </w:rPr>
        <w:t>36</w:t>
      </w:r>
      <w:r>
        <w:rPr>
          <w:rFonts w:ascii="Times New Roman" w:hAnsi="Times New Roman"/>
          <w:sz w:val="24"/>
        </w:rPr>
        <w:t>/UE.</w:t>
      </w:r>
    </w:p>
    <w:p w14:paraId="3D633743" w14:textId="0D0CA6CD" w:rsidR="00C07A00" w:rsidRDefault="0017255F" w:rsidP="000D6C4D">
      <w:pPr>
        <w:jc w:val="both"/>
        <w:rPr>
          <w:rFonts w:ascii="Times New Roman" w:hAnsi="Times New Roman" w:cs="Times New Roman"/>
          <w:sz w:val="24"/>
        </w:rPr>
      </w:pPr>
      <w:r>
        <w:rPr>
          <w:rFonts w:ascii="Times New Roman" w:hAnsi="Times New Roman"/>
          <w:sz w:val="24"/>
        </w:rPr>
        <w:t>Le presenti istruzioni sono state elaborate sulla base degli obblighi di cui all</w:t>
      </w:r>
      <w:r w:rsidR="001F34C3">
        <w:rPr>
          <w:rFonts w:ascii="Times New Roman" w:hAnsi="Times New Roman"/>
          <w:sz w:val="24"/>
        </w:rPr>
        <w:t>'</w:t>
      </w:r>
      <w:r>
        <w:rPr>
          <w:rFonts w:ascii="Times New Roman" w:hAnsi="Times New Roman"/>
          <w:sz w:val="24"/>
        </w:rPr>
        <w:t xml:space="preserve">articolo </w:t>
      </w:r>
      <w:r w:rsidRPr="001F34C3">
        <w:rPr>
          <w:rFonts w:ascii="Times New Roman" w:hAnsi="Times New Roman"/>
          <w:sz w:val="24"/>
        </w:rPr>
        <w:t>448</w:t>
      </w:r>
      <w:r>
        <w:rPr>
          <w:rFonts w:ascii="Times New Roman" w:hAnsi="Times New Roman"/>
          <w:sz w:val="24"/>
        </w:rPr>
        <w:t xml:space="preserve"> del regolamento (UE) n. </w:t>
      </w:r>
      <w:r w:rsidRPr="001F34C3">
        <w:rPr>
          <w:rFonts w:ascii="Times New Roman" w:hAnsi="Times New Roman"/>
          <w:sz w:val="24"/>
        </w:rPr>
        <w:t>575</w:t>
      </w:r>
      <w:r>
        <w:rPr>
          <w:rFonts w:ascii="Times New Roman" w:hAnsi="Times New Roman"/>
          <w:sz w:val="24"/>
        </w:rPr>
        <w:t>/</w:t>
      </w:r>
      <w:r w:rsidRPr="001F34C3">
        <w:rPr>
          <w:rFonts w:ascii="Times New Roman" w:hAnsi="Times New Roman"/>
          <w:sz w:val="24"/>
        </w:rPr>
        <w:t>2013</w:t>
      </w:r>
      <w:r>
        <w:rPr>
          <w:rFonts w:ascii="Times New Roman" w:hAnsi="Times New Roman"/>
          <w:sz w:val="24"/>
        </w:rPr>
        <w:t xml:space="preserve"> e in linea con la norma in materia di informativa del terzo pilastro di Basilea.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Riferimenti giuridici e istruzioni</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Numero di riga</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Spiegazione</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rPr>
            </w:pPr>
            <w:r>
              <w:rPr>
                <w:rFonts w:ascii="Times New Roman" w:hAnsi="Times New Roman"/>
                <w:color w:val="000000"/>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73A9CA65" w:rsidR="00FC2089" w:rsidRPr="0031221C" w:rsidRDefault="00465DF4"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Descrizione delle modalità secondo cui l</w:t>
            </w:r>
            <w:r w:rsidR="001F34C3">
              <w:rPr>
                <w:rFonts w:ascii="Times New Roman" w:hAnsi="Times New Roman"/>
                <w:b/>
                <w:color w:val="000000"/>
                <w:sz w:val="24"/>
              </w:rPr>
              <w:t>'</w:t>
            </w:r>
            <w:r>
              <w:rPr>
                <w:rFonts w:ascii="Times New Roman" w:hAnsi="Times New Roman"/>
                <w:b/>
                <w:color w:val="000000"/>
                <w:sz w:val="24"/>
              </w:rPr>
              <w:t>ente definisce l</w:t>
            </w:r>
            <w:r w:rsidR="001F34C3">
              <w:rPr>
                <w:rFonts w:ascii="Times New Roman" w:hAnsi="Times New Roman"/>
                <w:b/>
                <w:color w:val="000000"/>
                <w:sz w:val="24"/>
              </w:rPr>
              <w:t>'</w:t>
            </w:r>
            <w:r>
              <w:rPr>
                <w:rFonts w:ascii="Times New Roman" w:hAnsi="Times New Roman"/>
                <w:b/>
                <w:color w:val="000000"/>
                <w:sz w:val="24"/>
              </w:rPr>
              <w:t>IRRBB ai fini del controllo e della misurazione del rischio</w:t>
            </w:r>
          </w:p>
          <w:p w14:paraId="3FB34713" w14:textId="0F4C5B63" w:rsidR="00FC2089" w:rsidRPr="0031221C" w:rsidRDefault="00133E44"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lettera e),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gli enti sono tenuti a fornire una descrizione generale delle modalità secondo cui è definito, misurato, attenuato e controllato il rischio di tasso di interesse delle proprie attività esterne al portafoglio di negoziazione ai fini della revisione che le autorità competenti effettuano a norma dell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rPr>
            </w:pPr>
            <w:r>
              <w:rPr>
                <w:rFonts w:ascii="Times New Roman" w:hAnsi="Times New Roman"/>
                <w:color w:val="000000"/>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03F7855E" w:rsidR="00465DF4" w:rsidRPr="0031221C" w:rsidRDefault="00EA2452"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Descrizione delle strategie globali di gestione e attenuazione dell</w:t>
            </w:r>
            <w:r w:rsidR="001F34C3">
              <w:rPr>
                <w:rFonts w:ascii="Times New Roman" w:hAnsi="Times New Roman"/>
                <w:b/>
                <w:color w:val="000000"/>
                <w:sz w:val="24"/>
              </w:rPr>
              <w:t>'</w:t>
            </w:r>
            <w:r>
              <w:rPr>
                <w:rFonts w:ascii="Times New Roman" w:hAnsi="Times New Roman"/>
                <w:b/>
                <w:color w:val="000000"/>
                <w:sz w:val="24"/>
              </w:rPr>
              <w:t>IRRBB dell</w:t>
            </w:r>
            <w:r w:rsidR="001F34C3">
              <w:rPr>
                <w:rFonts w:ascii="Times New Roman" w:hAnsi="Times New Roman"/>
                <w:b/>
                <w:color w:val="000000"/>
                <w:sz w:val="24"/>
              </w:rPr>
              <w:t>'</w:t>
            </w:r>
            <w:r>
              <w:rPr>
                <w:rFonts w:ascii="Times New Roman" w:hAnsi="Times New Roman"/>
                <w:b/>
                <w:color w:val="000000"/>
                <w:sz w:val="24"/>
              </w:rPr>
              <w:t>ente</w:t>
            </w:r>
          </w:p>
          <w:p w14:paraId="204A9378" w14:textId="20011DAE" w:rsidR="005F58E6" w:rsidRPr="0031221C" w:rsidRDefault="005F58E6" w:rsidP="007012E2">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lettera f),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gli enti sono tenuti a fornire una descrizione generale delle strategie globali di gestione e attenuazione dell</w:t>
            </w:r>
            <w:r w:rsidR="001F34C3">
              <w:rPr>
                <w:rFonts w:ascii="Times New Roman" w:hAnsi="Times New Roman"/>
                <w:color w:val="000000"/>
              </w:rPr>
              <w:t>'</w:t>
            </w:r>
            <w:r>
              <w:rPr>
                <w:rFonts w:ascii="Times New Roman" w:hAnsi="Times New Roman"/>
                <w:color w:val="000000"/>
              </w:rPr>
              <w:t>IRRBB, tra cui: il monitoraggio del valore economico del capitale proprio e dei proventi netti da interessi in relazione ai limiti stabiliti, le pratiche di copertura, lo svolgimento di prove di stress, l</w:t>
            </w:r>
            <w:r w:rsidR="001F34C3">
              <w:rPr>
                <w:rFonts w:ascii="Times New Roman" w:hAnsi="Times New Roman"/>
                <w:color w:val="000000"/>
              </w:rPr>
              <w:t>'</w:t>
            </w:r>
            <w:r>
              <w:rPr>
                <w:rFonts w:ascii="Times New Roman" w:hAnsi="Times New Roman"/>
                <w:color w:val="000000"/>
              </w:rPr>
              <w:t>analisi dei risultati, il ruolo dell</w:t>
            </w:r>
            <w:r w:rsidR="001F34C3">
              <w:rPr>
                <w:rFonts w:ascii="Times New Roman" w:hAnsi="Times New Roman"/>
                <w:color w:val="000000"/>
              </w:rPr>
              <w:t>'</w:t>
            </w:r>
            <w:r>
              <w:rPr>
                <w:rFonts w:ascii="Times New Roman" w:hAnsi="Times New Roman"/>
                <w:color w:val="000000"/>
              </w:rPr>
              <w:t>audit indipendente, il ruolo e le prassi del comitato di gestione delle attività e passività, le prassi dell</w:t>
            </w:r>
            <w:r w:rsidR="001F34C3">
              <w:rPr>
                <w:rFonts w:ascii="Times New Roman" w:hAnsi="Times New Roman"/>
                <w:color w:val="000000"/>
              </w:rPr>
              <w:t>'</w:t>
            </w:r>
            <w:r>
              <w:rPr>
                <w:rFonts w:ascii="Times New Roman" w:hAnsi="Times New Roman"/>
                <w:color w:val="000000"/>
              </w:rPr>
              <w:t>ente volte a garantire l</w:t>
            </w:r>
            <w:r w:rsidR="001F34C3">
              <w:rPr>
                <w:rFonts w:ascii="Times New Roman" w:hAnsi="Times New Roman"/>
                <w:color w:val="000000"/>
              </w:rPr>
              <w:t>'</w:t>
            </w:r>
            <w:r>
              <w:rPr>
                <w:rFonts w:ascii="Times New Roman" w:hAnsi="Times New Roman"/>
                <w:color w:val="000000"/>
              </w:rPr>
              <w:t>idonea validazione del modello e l</w:t>
            </w:r>
            <w:r w:rsidR="001F34C3">
              <w:rPr>
                <w:rFonts w:ascii="Times New Roman" w:hAnsi="Times New Roman"/>
                <w:color w:val="000000"/>
              </w:rPr>
              <w:t>'</w:t>
            </w:r>
            <w:r>
              <w:rPr>
                <w:rFonts w:ascii="Times New Roman" w:hAnsi="Times New Roman"/>
                <w:color w:val="000000"/>
              </w:rPr>
              <w:t>aggiornamento tempestivo dei modelli in risposta al mutare delle condizioni di mercato.</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rPr>
            </w:pPr>
            <w:r>
              <w:rPr>
                <w:rFonts w:ascii="Times New Roman" w:hAnsi="Times New Roman"/>
                <w:color w:val="000000"/>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02F36151" w:rsidR="00716636" w:rsidRPr="0031221C" w:rsidRDefault="00716636"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Periodicità del calcolo delle misure dell</w:t>
            </w:r>
            <w:r w:rsidR="001F34C3">
              <w:rPr>
                <w:rFonts w:ascii="Times New Roman" w:hAnsi="Times New Roman"/>
                <w:b/>
                <w:color w:val="000000"/>
              </w:rPr>
              <w:t>'</w:t>
            </w:r>
            <w:r>
              <w:rPr>
                <w:rFonts w:ascii="Times New Roman" w:hAnsi="Times New Roman"/>
                <w:b/>
                <w:color w:val="000000"/>
              </w:rPr>
              <w:t>IRRBB dell</w:t>
            </w:r>
            <w:r w:rsidR="001F34C3">
              <w:rPr>
                <w:rFonts w:ascii="Times New Roman" w:hAnsi="Times New Roman"/>
                <w:b/>
                <w:color w:val="000000"/>
              </w:rPr>
              <w:t>'</w:t>
            </w:r>
            <w:r>
              <w:rPr>
                <w:rFonts w:ascii="Times New Roman" w:hAnsi="Times New Roman"/>
                <w:b/>
                <w:color w:val="000000"/>
              </w:rPr>
              <w:t>ente e descrizione delle misure specifiche che l</w:t>
            </w:r>
            <w:r w:rsidR="001F34C3">
              <w:rPr>
                <w:rFonts w:ascii="Times New Roman" w:hAnsi="Times New Roman"/>
                <w:b/>
                <w:color w:val="000000"/>
              </w:rPr>
              <w:t>'</w:t>
            </w:r>
            <w:r>
              <w:rPr>
                <w:rFonts w:ascii="Times New Roman" w:hAnsi="Times New Roman"/>
                <w:b/>
                <w:color w:val="000000"/>
              </w:rPr>
              <w:t>ente utilizza per determinare la sua sensibilità all</w:t>
            </w:r>
            <w:r w:rsidR="001F34C3">
              <w:rPr>
                <w:rFonts w:ascii="Times New Roman" w:hAnsi="Times New Roman"/>
                <w:b/>
                <w:color w:val="000000"/>
              </w:rPr>
              <w:t>'</w:t>
            </w:r>
            <w:r>
              <w:rPr>
                <w:rFonts w:ascii="Times New Roman" w:hAnsi="Times New Roman"/>
                <w:b/>
                <w:color w:val="000000"/>
              </w:rPr>
              <w:t>IRRBB</w:t>
            </w:r>
          </w:p>
          <w:p w14:paraId="6FC20A2F" w14:textId="00D0008E" w:rsidR="00EA2452" w:rsidRPr="0031221C" w:rsidRDefault="00716636"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articolo</w:t>
            </w:r>
            <w:r w:rsidR="001F34C3">
              <w:rPr>
                <w:rFonts w:ascii="Times New Roman" w:hAnsi="Times New Roman"/>
                <w:color w:val="000000"/>
              </w:rPr>
              <w:t> </w:t>
            </w:r>
            <w:r w:rsidRPr="001F34C3">
              <w:rPr>
                <w:rFonts w:ascii="Times New Roman" w:hAnsi="Times New Roman"/>
                <w:color w:val="000000"/>
              </w:rPr>
              <w:t>448</w:t>
            </w:r>
            <w:r>
              <w:rPr>
                <w:rFonts w:ascii="Times New Roman" w:hAnsi="Times New Roman"/>
                <w:color w:val="000000"/>
              </w:rPr>
              <w:t>, paragrafo</w:t>
            </w:r>
            <w:r w:rsidR="001F34C3">
              <w:rPr>
                <w:rFonts w:ascii="Times New Roman" w:hAnsi="Times New Roman"/>
                <w:color w:val="000000"/>
              </w:rPr>
              <w:t> </w:t>
            </w:r>
            <w:r w:rsidRPr="001F34C3">
              <w:rPr>
                <w:rFonts w:ascii="Times New Roman" w:hAnsi="Times New Roman"/>
                <w:color w:val="000000"/>
              </w:rPr>
              <w:t>1</w:t>
            </w:r>
            <w:r>
              <w:rPr>
                <w:rFonts w:ascii="Times New Roman" w:hAnsi="Times New Roman"/>
                <w:color w:val="000000"/>
              </w:rPr>
              <w:t>, lettera</w:t>
            </w:r>
            <w:r w:rsidR="001F34C3">
              <w:rPr>
                <w:rFonts w:ascii="Times New Roman" w:hAnsi="Times New Roman"/>
                <w:color w:val="000000"/>
              </w:rPr>
              <w:t> </w:t>
            </w:r>
            <w:r>
              <w:rPr>
                <w:rFonts w:ascii="Times New Roman" w:hAnsi="Times New Roman"/>
                <w:color w:val="000000"/>
              </w:rPr>
              <w:t>e), punti i) e v),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gli enti sono tenuti a fornire una descrizione generale delle specifiche misure del rischio applicate per stimare le variazioni del valore economico del capitale proprio e dei proventi da interessi netti nonché a indicare la periodicità della valutazione del rischio di tasso di interesse.</w:t>
            </w:r>
          </w:p>
          <w:p w14:paraId="3C576B31" w14:textId="553A4093"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lastRenderedPageBreak/>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2</w:t>
            </w:r>
            <w:r>
              <w:rPr>
                <w:rFonts w:ascii="Times New Roman" w:hAnsi="Times New Roman"/>
                <w:color w:val="000000"/>
              </w:rPr>
              <w:t>,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la descrizione delle misure di rischio specifiche utilizzate per determinare la sensibilità all</w:t>
            </w:r>
            <w:r w:rsidR="001F34C3">
              <w:rPr>
                <w:rFonts w:ascii="Times New Roman" w:hAnsi="Times New Roman"/>
                <w:color w:val="000000"/>
              </w:rPr>
              <w:t>'</w:t>
            </w:r>
            <w:r>
              <w:rPr>
                <w:rFonts w:ascii="Times New Roman" w:hAnsi="Times New Roman"/>
                <w:color w:val="000000"/>
              </w:rPr>
              <w:t>IRRBB non si applica agli enti che utilizzano la metodologia standardizzata o la metodologia standardizzata semplificata di cui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53B90FF0" w:rsidR="00716636" w:rsidRPr="0031221C" w:rsidRDefault="00716636" w:rsidP="00716636">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Descrizione degli scenari di shock e di stress relativi ai tassi di interesse che l</w:t>
            </w:r>
            <w:r w:rsidR="001F34C3">
              <w:rPr>
                <w:rFonts w:ascii="Times New Roman" w:hAnsi="Times New Roman"/>
                <w:b/>
                <w:color w:val="000000"/>
                <w:sz w:val="24"/>
              </w:rPr>
              <w:t>'</w:t>
            </w:r>
            <w:r>
              <w:rPr>
                <w:rFonts w:ascii="Times New Roman" w:hAnsi="Times New Roman"/>
                <w:b/>
                <w:color w:val="000000"/>
                <w:sz w:val="24"/>
              </w:rPr>
              <w:t>ente utilizza per stimare le variazioni del valore economico e dei proventi da interessi netti (se del caso)</w:t>
            </w:r>
          </w:p>
          <w:p w14:paraId="24AB856B" w14:textId="4C54427E" w:rsidR="00716636" w:rsidRPr="0031221C" w:rsidRDefault="00716636" w:rsidP="00226654">
            <w:pPr>
              <w:spacing w:before="120" w:after="120"/>
              <w:jc w:val="both"/>
              <w:rPr>
                <w:rFonts w:ascii="Times New Roman" w:eastAsia="Times New Roman" w:hAnsi="Times New Roman" w:cs="Times New Roman"/>
                <w:color w:val="000000"/>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lettera e), punto iii),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gli enti sono tenuti a fornire una descrizione generale degli scenari di shock relativi ai tassi di interesse utilizzati per stimare il rischio di tasso di interesse.</w:t>
            </w:r>
          </w:p>
          <w:p w14:paraId="05DE1832" w14:textId="6FC5D429" w:rsidR="0013410F" w:rsidRPr="0031221C" w:rsidRDefault="0013410F" w:rsidP="00721ADE">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2</w:t>
            </w:r>
            <w:r>
              <w:rPr>
                <w:rFonts w:ascii="Times New Roman" w:hAnsi="Times New Roman"/>
                <w:color w:val="000000"/>
              </w:rPr>
              <w:t>,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tali obblighi di informativa non si applicano agli enti che utilizzano la metodologia standardizzata o la metodologia standardizzata semplificata di cui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44FB6E96" w:rsidR="0094340A" w:rsidRPr="0031221C" w:rsidRDefault="0094340A"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Descrizione delle principali ipotesi di modellizzazione e parametriche diverse da quelle utilizzate per l</w:t>
            </w:r>
            <w:r w:rsidR="001F34C3">
              <w:rPr>
                <w:rFonts w:ascii="Times New Roman" w:hAnsi="Times New Roman"/>
                <w:b/>
                <w:color w:val="000000"/>
                <w:sz w:val="24"/>
              </w:rPr>
              <w:t>'</w:t>
            </w:r>
            <w:r>
              <w:rPr>
                <w:rFonts w:ascii="Times New Roman" w:hAnsi="Times New Roman"/>
                <w:b/>
                <w:color w:val="000000"/>
                <w:sz w:val="24"/>
              </w:rPr>
              <w:t>informativa di cui al modello EU IRRBB</w:t>
            </w:r>
            <w:r w:rsidRPr="001F34C3">
              <w:rPr>
                <w:rFonts w:ascii="Times New Roman" w:hAnsi="Times New Roman"/>
                <w:b/>
                <w:color w:val="000000"/>
                <w:sz w:val="24"/>
              </w:rPr>
              <w:t>1</w:t>
            </w:r>
            <w:r>
              <w:rPr>
                <w:rFonts w:ascii="Times New Roman" w:hAnsi="Times New Roman"/>
                <w:b/>
                <w:color w:val="000000"/>
                <w:sz w:val="24"/>
              </w:rPr>
              <w:t xml:space="preserve"> (se del caso)</w:t>
            </w:r>
          </w:p>
          <w:p w14:paraId="15A00557" w14:textId="5BDE7F24" w:rsidR="00716636" w:rsidRPr="001F34C3" w:rsidRDefault="0094340A" w:rsidP="0094340A">
            <w:pPr>
              <w:spacing w:before="120" w:after="120"/>
              <w:jc w:val="both"/>
              <w:rPr>
                <w:rFonts w:ascii="Times New Roman" w:eastAsia="Times New Roman" w:hAnsi="Times New Roman" w:cs="Times New Roman"/>
                <w:color w:val="000000"/>
                <w:spacing w:val="2"/>
                <w:szCs w:val="22"/>
              </w:rPr>
            </w:pPr>
            <w:r w:rsidRPr="001F34C3">
              <w:rPr>
                <w:rFonts w:ascii="Times New Roman" w:hAnsi="Times New Roman"/>
                <w:color w:val="000000"/>
                <w:spacing w:val="2"/>
              </w:rPr>
              <w:t>Conformemente all</w:t>
            </w:r>
            <w:r w:rsidR="001F34C3">
              <w:rPr>
                <w:rFonts w:ascii="Times New Roman" w:hAnsi="Times New Roman"/>
                <w:color w:val="000000"/>
                <w:spacing w:val="2"/>
              </w:rPr>
              <w:t>'</w:t>
            </w:r>
            <w:r w:rsidRPr="001F34C3">
              <w:rPr>
                <w:rFonts w:ascii="Times New Roman" w:hAnsi="Times New Roman"/>
                <w:color w:val="000000"/>
                <w:spacing w:val="2"/>
              </w:rPr>
              <w:t>articolo 448, paragrafo 1, lettera e), punto ii), del regolamento (UE) n. 575/2013, laddove le principali ipotesi di modellizzazione e parametriche utilizzate nei sistemi interni di misurazione dell</w:t>
            </w:r>
            <w:r w:rsidR="001F34C3">
              <w:rPr>
                <w:rFonts w:ascii="Times New Roman" w:hAnsi="Times New Roman"/>
                <w:color w:val="000000"/>
                <w:spacing w:val="2"/>
              </w:rPr>
              <w:t>'</w:t>
            </w:r>
            <w:r w:rsidRPr="001F34C3">
              <w:rPr>
                <w:rFonts w:ascii="Times New Roman" w:hAnsi="Times New Roman"/>
                <w:color w:val="000000"/>
                <w:spacing w:val="2"/>
              </w:rPr>
              <w:t>ente differiscono da quelle di cui all</w:t>
            </w:r>
            <w:r w:rsidR="001F34C3">
              <w:rPr>
                <w:rFonts w:ascii="Times New Roman" w:hAnsi="Times New Roman"/>
                <w:color w:val="000000"/>
                <w:spacing w:val="2"/>
              </w:rPr>
              <w:t>'</w:t>
            </w:r>
            <w:r w:rsidRPr="001F34C3">
              <w:rPr>
                <w:rFonts w:ascii="Times New Roman" w:hAnsi="Times New Roman"/>
                <w:color w:val="000000"/>
                <w:spacing w:val="2"/>
              </w:rPr>
              <w:t>articolo</w:t>
            </w:r>
            <w:r w:rsidR="001F34C3" w:rsidRPr="001F34C3">
              <w:rPr>
                <w:rFonts w:ascii="Times New Roman" w:hAnsi="Times New Roman"/>
                <w:color w:val="000000"/>
                <w:spacing w:val="2"/>
              </w:rPr>
              <w:t> </w:t>
            </w:r>
            <w:r w:rsidRPr="001F34C3">
              <w:rPr>
                <w:rFonts w:ascii="Times New Roman" w:hAnsi="Times New Roman"/>
                <w:color w:val="000000"/>
                <w:spacing w:val="2"/>
              </w:rPr>
              <w:t>98, paragrafo</w:t>
            </w:r>
            <w:r w:rsidR="001F34C3" w:rsidRPr="001F34C3">
              <w:rPr>
                <w:rFonts w:ascii="Times New Roman" w:hAnsi="Times New Roman"/>
                <w:color w:val="000000"/>
                <w:spacing w:val="2"/>
              </w:rPr>
              <w:t> </w:t>
            </w:r>
            <w:r w:rsidRPr="001F34C3">
              <w:rPr>
                <w:rFonts w:ascii="Times New Roman" w:hAnsi="Times New Roman"/>
                <w:color w:val="000000"/>
                <w:spacing w:val="2"/>
              </w:rPr>
              <w:t>5</w:t>
            </w:r>
            <w:r w:rsidR="001F34C3" w:rsidRPr="001F34C3">
              <w:rPr>
                <w:rFonts w:ascii="Times New Roman" w:hAnsi="Times New Roman"/>
                <w:color w:val="000000"/>
                <w:spacing w:val="2"/>
              </w:rPr>
              <w:t> </w:t>
            </w:r>
            <w:r w:rsidRPr="001F34C3">
              <w:rPr>
                <w:rFonts w:ascii="Times New Roman" w:hAnsi="Times New Roman"/>
                <w:color w:val="000000"/>
                <w:spacing w:val="2"/>
              </w:rPr>
              <w:t>bis, della direttiva</w:t>
            </w:r>
            <w:r w:rsidR="001F34C3" w:rsidRPr="001F34C3">
              <w:rPr>
                <w:rFonts w:ascii="Times New Roman" w:hAnsi="Times New Roman"/>
                <w:color w:val="000000"/>
                <w:spacing w:val="2"/>
              </w:rPr>
              <w:t> </w:t>
            </w:r>
            <w:r w:rsidRPr="001F34C3">
              <w:rPr>
                <w:rFonts w:ascii="Times New Roman" w:hAnsi="Times New Roman"/>
                <w:color w:val="000000"/>
                <w:spacing w:val="2"/>
              </w:rPr>
              <w:t>2013/36/UE utilizzate per l</w:t>
            </w:r>
            <w:r w:rsidR="001F34C3">
              <w:rPr>
                <w:rFonts w:ascii="Times New Roman" w:hAnsi="Times New Roman"/>
                <w:color w:val="000000"/>
                <w:spacing w:val="2"/>
              </w:rPr>
              <w:t>'</w:t>
            </w:r>
            <w:r w:rsidRPr="001F34C3">
              <w:rPr>
                <w:rFonts w:ascii="Times New Roman" w:hAnsi="Times New Roman"/>
                <w:color w:val="000000"/>
                <w:spacing w:val="2"/>
              </w:rPr>
              <w:t>informativa di cui al modello EU IRRBB1, l</w:t>
            </w:r>
            <w:r w:rsidR="001F34C3">
              <w:rPr>
                <w:rFonts w:ascii="Times New Roman" w:hAnsi="Times New Roman"/>
                <w:color w:val="000000"/>
                <w:spacing w:val="2"/>
              </w:rPr>
              <w:t>'</w:t>
            </w:r>
            <w:r w:rsidRPr="001F34C3">
              <w:rPr>
                <w:rFonts w:ascii="Times New Roman" w:hAnsi="Times New Roman"/>
                <w:color w:val="000000"/>
                <w:spacing w:val="2"/>
              </w:rPr>
              <w:t>ente è tenuto a fornire una descrizione generale di tali ipotesi, comprese le motivazioni di tali differenze (ad esempio dati storici, ricerche pubblicate, giudizio e analisi della dirigenza ecc.).</w:t>
            </w:r>
          </w:p>
          <w:p w14:paraId="3FF39A57" w14:textId="051AF639" w:rsidR="003B1160" w:rsidRPr="0031221C" w:rsidRDefault="0013410F"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2</w:t>
            </w:r>
            <w:r>
              <w:rPr>
                <w:rFonts w:ascii="Times New Roman" w:hAnsi="Times New Roman"/>
                <w:color w:val="000000"/>
              </w:rPr>
              <w:t>,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tali obblighi di informativa non si applicano agli enti che utilizzano la metodologia standardizzata o la metodologia standardizzata semplificata di cui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rPr>
            </w:pPr>
            <w:r>
              <w:rPr>
                <w:rFonts w:ascii="Times New Roman" w:hAnsi="Times New Roman"/>
                <w:color w:val="000000"/>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56F1A211" w:rsidR="0094340A" w:rsidRPr="0031221C" w:rsidRDefault="001A6E70"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Descrizione ad alto livello delle modalità di copertura dell</w:t>
            </w:r>
            <w:r w:rsidR="001F34C3">
              <w:rPr>
                <w:rFonts w:ascii="Times New Roman" w:hAnsi="Times New Roman"/>
                <w:b/>
                <w:color w:val="000000"/>
              </w:rPr>
              <w:t>'</w:t>
            </w:r>
            <w:r>
              <w:rPr>
                <w:rFonts w:ascii="Times New Roman" w:hAnsi="Times New Roman"/>
                <w:b/>
                <w:color w:val="000000"/>
              </w:rPr>
              <w:t>IRRBB da parte dell</w:t>
            </w:r>
            <w:r w:rsidR="001F34C3">
              <w:rPr>
                <w:rFonts w:ascii="Times New Roman" w:hAnsi="Times New Roman"/>
                <w:b/>
                <w:color w:val="000000"/>
              </w:rPr>
              <w:t>'</w:t>
            </w:r>
            <w:r>
              <w:rPr>
                <w:rFonts w:ascii="Times New Roman" w:hAnsi="Times New Roman"/>
                <w:b/>
                <w:color w:val="000000"/>
              </w:rPr>
              <w:t>ente nonché del trattamento contabile correlato (se del caso)</w:t>
            </w:r>
          </w:p>
          <w:p w14:paraId="70B99ACF" w14:textId="26A9DD07" w:rsidR="0094340A" w:rsidRPr="0031221C" w:rsidRDefault="001A6E70"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In particolare, 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lettera e), punto iv),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gli enti sono tenuti a individuare l</w:t>
            </w:r>
            <w:r w:rsidR="001F34C3">
              <w:rPr>
                <w:rFonts w:ascii="Times New Roman" w:hAnsi="Times New Roman"/>
                <w:color w:val="000000"/>
              </w:rPr>
              <w:t>'</w:t>
            </w:r>
            <w:r>
              <w:rPr>
                <w:rFonts w:ascii="Times New Roman" w:hAnsi="Times New Roman"/>
                <w:color w:val="000000"/>
              </w:rPr>
              <w:t>effetto delle coperture a fronte dei loro rischi di tasso di interesse, comprese le coperture interne che soddisfano le prescrizioni di cui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106</w:t>
            </w:r>
            <w:r>
              <w:rPr>
                <w:rFonts w:ascii="Times New Roman" w:hAnsi="Times New Roman"/>
                <w:color w:val="000000"/>
              </w:rPr>
              <w:t xml:space="preserve">, paragrafo </w:t>
            </w:r>
            <w:r w:rsidRPr="001F34C3">
              <w:rPr>
                <w:rFonts w:ascii="Times New Roman" w:hAnsi="Times New Roman"/>
                <w:color w:val="000000"/>
              </w:rPr>
              <w:t>3</w:t>
            </w:r>
            <w:r>
              <w:rPr>
                <w:rFonts w:ascii="Times New Roman" w:hAnsi="Times New Roman"/>
                <w:color w:val="000000"/>
              </w:rPr>
              <w:t>,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w:t>
            </w:r>
          </w:p>
          <w:p w14:paraId="4C51BA8A" w14:textId="0DB75731"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2</w:t>
            </w:r>
            <w:r>
              <w:rPr>
                <w:rFonts w:ascii="Times New Roman" w:hAnsi="Times New Roman"/>
                <w:color w:val="000000"/>
              </w:rPr>
              <w:t>,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tali obblighi di informativa non si applicano agli enti che utilizzano la metodologia standardizzata o la metodologia standardizzata semplificata di cui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rPr>
            </w:pPr>
            <w:r>
              <w:rPr>
                <w:rFonts w:ascii="Times New Roman" w:hAnsi="Times New Roman"/>
                <w:color w:val="000000"/>
              </w:rPr>
              <w:t>g)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726F57A3" w:rsidR="00CD3692" w:rsidRPr="0031221C" w:rsidRDefault="00EA1CF8" w:rsidP="00B650A9">
            <w:pPr>
              <w:spacing w:before="120" w:after="120"/>
              <w:jc w:val="both"/>
              <w:rPr>
                <w:rFonts w:ascii="Times New Roman" w:eastAsia="Times New Roman" w:hAnsi="Times New Roman" w:cs="Times New Roman"/>
                <w:color w:val="000000"/>
                <w:sz w:val="24"/>
                <w:szCs w:val="22"/>
              </w:rPr>
            </w:pPr>
            <w:r>
              <w:rPr>
                <w:rFonts w:ascii="Times New Roman" w:hAnsi="Times New Roman"/>
                <w:b/>
                <w:color w:val="000000"/>
                <w:sz w:val="24"/>
              </w:rPr>
              <w:t>Descrizione delle principali ipotesi di modellizzazione e parametriche utilizzate per le misure dell</w:t>
            </w:r>
            <w:r w:rsidR="001F34C3">
              <w:rPr>
                <w:rFonts w:ascii="Times New Roman" w:hAnsi="Times New Roman"/>
                <w:b/>
                <w:color w:val="000000"/>
                <w:sz w:val="24"/>
              </w:rPr>
              <w:t>'</w:t>
            </w:r>
            <w:r>
              <w:rPr>
                <w:rFonts w:ascii="Times New Roman" w:hAnsi="Times New Roman"/>
                <w:b/>
                <w:color w:val="000000"/>
                <w:sz w:val="24"/>
              </w:rPr>
              <w:t>IRRBB nel modello EU IRRBB</w:t>
            </w:r>
            <w:r w:rsidRPr="001F34C3">
              <w:rPr>
                <w:rFonts w:ascii="Times New Roman" w:hAnsi="Times New Roman"/>
                <w:b/>
                <w:color w:val="000000"/>
                <w:sz w:val="24"/>
              </w:rPr>
              <w:t>1</w:t>
            </w:r>
            <w:r>
              <w:rPr>
                <w:rFonts w:ascii="Times New Roman" w:hAnsi="Times New Roman"/>
                <w:b/>
                <w:color w:val="000000"/>
                <w:sz w:val="24"/>
              </w:rPr>
              <w:t xml:space="preserve"> (se del caso)</w:t>
            </w:r>
          </w:p>
          <w:p w14:paraId="083A4172" w14:textId="2901AD39" w:rsidR="00CD3692" w:rsidRPr="0031221C" w:rsidRDefault="00133E44" w:rsidP="00B650A9">
            <w:pPr>
              <w:jc w:val="both"/>
              <w:rPr>
                <w:rFonts w:ascii="Times New Roman" w:eastAsia="Times New Roman" w:hAnsi="Times New Roman" w:cs="Times New Roman"/>
                <w:color w:val="000000"/>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lettera c),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xml:space="preserve">, gli enti sono tenuti a fornire una descrizione generale delle principali </w:t>
            </w:r>
            <w:r>
              <w:rPr>
                <w:rFonts w:ascii="Times New Roman" w:hAnsi="Times New Roman"/>
                <w:color w:val="000000"/>
              </w:rPr>
              <w:lastRenderedPageBreak/>
              <w:t>ipotesi di modellizzazione e parametriche, diverse da quelle di cui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98</w:t>
            </w:r>
            <w:r>
              <w:rPr>
                <w:rFonts w:ascii="Times New Roman" w:hAnsi="Times New Roman"/>
                <w:color w:val="000000"/>
              </w:rPr>
              <w:t xml:space="preserve">, paragrafo </w:t>
            </w:r>
            <w:r w:rsidRPr="001F34C3">
              <w:rPr>
                <w:rFonts w:ascii="Times New Roman" w:hAnsi="Times New Roman"/>
                <w:color w:val="000000"/>
              </w:rPr>
              <w:t>5</w:t>
            </w:r>
            <w:r>
              <w:rPr>
                <w:rFonts w:ascii="Times New Roman" w:hAnsi="Times New Roman"/>
                <w:color w:val="000000"/>
              </w:rPr>
              <w:t xml:space="preserve"> bis, lettere b) e c),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 utilizzate ai fini del calcolo delle variazioni del valore economico del capitale proprio e dei proventi da interessi netti nel modello EU IRRBB</w:t>
            </w:r>
            <w:r w:rsidRPr="001F34C3">
              <w:rPr>
                <w:rFonts w:ascii="Times New Roman" w:hAnsi="Times New Roman"/>
                <w:color w:val="000000"/>
              </w:rPr>
              <w:t>1</w:t>
            </w:r>
            <w:r>
              <w:rPr>
                <w:rFonts w:ascii="Times New Roman" w:hAnsi="Times New Roman"/>
                <w:color w:val="000000"/>
              </w:rPr>
              <w:t>. Tale descrizione generale deve concernere almeno:</w:t>
            </w:r>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le modalità di determinazione della data di scadenza media per la revisione delle condizioni dei depositi non vincolati, comprese eventuali caratteristiche uniche del prodotto che incidono sulla data di revisione comportamentale ipotizzata;</w:t>
            </w:r>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la metodologia utilizzata per stimare i tassi di rimborso anticipato dei prestiti e/o i tassi di ritiro anticipato per i depositi a tempo determinato e altre ipotesi significative;</w:t>
            </w:r>
          </w:p>
          <w:p w14:paraId="1BD4D78B" w14:textId="1E5C1178"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ogni altra ipotesi, anche per gli strumenti con opzionalità comportamentali, che abbia incidenza rilevante sulle misure dell</w:t>
            </w:r>
            <w:r w:rsidR="001F34C3">
              <w:rPr>
                <w:rFonts w:ascii="Times New Roman" w:hAnsi="Times New Roman"/>
                <w:color w:val="000000"/>
              </w:rPr>
              <w:t>'</w:t>
            </w:r>
            <w:r>
              <w:rPr>
                <w:rFonts w:ascii="Times New Roman" w:hAnsi="Times New Roman"/>
                <w:color w:val="000000"/>
              </w:rPr>
              <w:t>IRRBB riportate nel modello EU IRRBB</w:t>
            </w:r>
            <w:r w:rsidRPr="001F34C3">
              <w:rPr>
                <w:rFonts w:ascii="Times New Roman" w:hAnsi="Times New Roman"/>
                <w:color w:val="000000"/>
              </w:rPr>
              <w:t>1</w:t>
            </w:r>
            <w:r>
              <w:rPr>
                <w:rFonts w:ascii="Times New Roman" w:hAnsi="Times New Roman"/>
                <w:color w:val="000000"/>
              </w:rPr>
              <w:t>, compresa una spiegazione della rilevanza.</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319A4BD4" w:rsidR="005E2B3A" w:rsidRPr="0031221C" w:rsidRDefault="005E2B3A" w:rsidP="00721ADE">
            <w:pPr>
              <w:jc w:val="both"/>
              <w:rPr>
                <w:rFonts w:ascii="Times New Roman" w:eastAsia="Times New Roman" w:hAnsi="Times New Roman" w:cs="Times New Roman"/>
                <w:color w:val="000000"/>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2</w:t>
            </w:r>
            <w:r>
              <w:rPr>
                <w:rFonts w:ascii="Times New Roman" w:hAnsi="Times New Roman"/>
                <w:color w:val="000000"/>
              </w:rPr>
              <w:t>,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tali obblighi di informativa non si applicano agli enti che utilizzano la metodologia standardizzata o la metodologia standardizzata semplificata di cui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h)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5F9DEAA" w:rsidR="003C310D" w:rsidRPr="0031221C" w:rsidRDefault="003C310D"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Spiegazione della rilevanza delle misure dell</w:t>
            </w:r>
            <w:r w:rsidR="001F34C3">
              <w:rPr>
                <w:rFonts w:ascii="Times New Roman" w:hAnsi="Times New Roman"/>
                <w:b/>
                <w:color w:val="000000"/>
                <w:sz w:val="24"/>
              </w:rPr>
              <w:t>'</w:t>
            </w:r>
            <w:r>
              <w:rPr>
                <w:rFonts w:ascii="Times New Roman" w:hAnsi="Times New Roman"/>
                <w:b/>
                <w:color w:val="000000"/>
                <w:sz w:val="24"/>
              </w:rPr>
              <w:t>IRRBB e delle loro variazioni significative rispetto alle informative precedenti</w:t>
            </w:r>
          </w:p>
          <w:p w14:paraId="79D598A4" w14:textId="60832F46" w:rsidR="00CD3692" w:rsidRPr="0031221C" w:rsidRDefault="00133E44" w:rsidP="00942E61">
            <w:pPr>
              <w:spacing w:after="120"/>
              <w:jc w:val="both"/>
              <w:rPr>
                <w:rFonts w:ascii="Times New Roman" w:eastAsia="Times New Roman" w:hAnsi="Times New Roman" w:cs="Times New Roman"/>
                <w:color w:val="000000"/>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lettera d),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gli enti sono tenuti a fornire una spiegazione generale della rilevanza delle misure dell</w:t>
            </w:r>
            <w:r w:rsidR="001F34C3">
              <w:rPr>
                <w:rFonts w:ascii="Times New Roman" w:hAnsi="Times New Roman"/>
                <w:color w:val="000000"/>
              </w:rPr>
              <w:t>'</w:t>
            </w:r>
            <w:r>
              <w:rPr>
                <w:rFonts w:ascii="Times New Roman" w:hAnsi="Times New Roman"/>
                <w:color w:val="000000"/>
              </w:rPr>
              <w:t>IRRBB riportate nel modello EU IRRBB</w:t>
            </w:r>
            <w:r w:rsidRPr="001F34C3">
              <w:rPr>
                <w:rFonts w:ascii="Times New Roman" w:hAnsi="Times New Roman"/>
                <w:color w:val="000000"/>
              </w:rPr>
              <w:t>1</w:t>
            </w:r>
            <w:r>
              <w:rPr>
                <w:rFonts w:ascii="Times New Roman" w:hAnsi="Times New Roman"/>
                <w:color w:val="000000"/>
              </w:rPr>
              <w:t xml:space="preserve"> e delle eventuali variazioni significative di tali misure dell</w:t>
            </w:r>
            <w:r w:rsidR="001F34C3">
              <w:rPr>
                <w:rFonts w:ascii="Times New Roman" w:hAnsi="Times New Roman"/>
                <w:color w:val="000000"/>
              </w:rPr>
              <w:t>'</w:t>
            </w:r>
            <w:r>
              <w:rPr>
                <w:rFonts w:ascii="Times New Roman" w:hAnsi="Times New Roman"/>
                <w:color w:val="000000"/>
              </w:rPr>
              <w:t>IRRBB dalla precedente data di riferimento per l</w:t>
            </w:r>
            <w:r w:rsidR="001F34C3">
              <w:rPr>
                <w:rFonts w:ascii="Times New Roman" w:hAnsi="Times New Roman"/>
                <w:color w:val="000000"/>
              </w:rPr>
              <w:t>'</w:t>
            </w:r>
            <w:r>
              <w:rPr>
                <w:rFonts w:ascii="Times New Roman" w:hAnsi="Times New Roman"/>
                <w:color w:val="000000"/>
              </w:rPr>
              <w:t>informativa.</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rPr>
            </w:pPr>
            <w:r>
              <w:rPr>
                <w:rFonts w:ascii="Times New Roman" w:hAnsi="Times New Roman"/>
                <w:color w:val="000000"/>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1C5C7D29" w:rsidR="007573CB" w:rsidRPr="0031221C" w:rsidRDefault="007573CB"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Ogni altra informazione pertinente relativa alle misure dell</w:t>
            </w:r>
            <w:r w:rsidR="001F34C3">
              <w:rPr>
                <w:rFonts w:ascii="Times New Roman" w:hAnsi="Times New Roman"/>
                <w:b/>
                <w:color w:val="000000"/>
                <w:sz w:val="24"/>
              </w:rPr>
              <w:t>'</w:t>
            </w:r>
            <w:r>
              <w:rPr>
                <w:rFonts w:ascii="Times New Roman" w:hAnsi="Times New Roman"/>
                <w:b/>
                <w:color w:val="000000"/>
                <w:sz w:val="24"/>
              </w:rPr>
              <w:t>IRRBB riportate nel modello EU IRRBB</w:t>
            </w:r>
            <w:r w:rsidRPr="001F34C3">
              <w:rPr>
                <w:rFonts w:ascii="Times New Roman" w:hAnsi="Times New Roman"/>
                <w:b/>
                <w:color w:val="000000"/>
                <w:sz w:val="24"/>
              </w:rPr>
              <w:t>1</w:t>
            </w:r>
            <w:r>
              <w:rPr>
                <w:rFonts w:ascii="Times New Roman" w:hAnsi="Times New Roman"/>
                <w:b/>
                <w:color w:val="000000"/>
                <w:sz w:val="24"/>
              </w:rPr>
              <w:t xml:space="preserve"> (facoltativo)</w:t>
            </w:r>
          </w:p>
          <w:p w14:paraId="4A261DD1" w14:textId="10FE1C3E" w:rsidR="007F15BF" w:rsidRPr="0031221C" w:rsidRDefault="007573CB"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Ogni altra informazione pertinente che gli enti desiderano comunicare in merito alle misure dell</w:t>
            </w:r>
            <w:r w:rsidR="001F34C3">
              <w:rPr>
                <w:rFonts w:ascii="Times New Roman" w:hAnsi="Times New Roman"/>
                <w:color w:val="000000"/>
              </w:rPr>
              <w:t>'</w:t>
            </w:r>
            <w:r>
              <w:rPr>
                <w:rFonts w:ascii="Times New Roman" w:hAnsi="Times New Roman"/>
                <w:color w:val="000000"/>
              </w:rPr>
              <w:t>IRRBB riportate nel modello EU IRRBB</w:t>
            </w:r>
            <w:r w:rsidRPr="001F34C3">
              <w:rPr>
                <w:rFonts w:ascii="Times New Roman" w:hAnsi="Times New Roman"/>
                <w:color w:val="000000"/>
              </w:rPr>
              <w:t>1</w:t>
            </w:r>
            <w:r>
              <w:rPr>
                <w:rFonts w:ascii="Times New Roman" w:hAnsi="Times New Roman"/>
                <w:color w:val="000000"/>
              </w:rPr>
              <w:t xml:space="preserve">. </w:t>
            </w:r>
          </w:p>
          <w:p w14:paraId="10A0910D" w14:textId="78E1FCDC" w:rsidR="007573CB" w:rsidRPr="0031221C" w:rsidRDefault="002B630E" w:rsidP="002B630E">
            <w:pPr>
              <w:spacing w:after="120"/>
              <w:jc w:val="both"/>
              <w:rPr>
                <w:rFonts w:ascii="Times New Roman" w:eastAsia="Times New Roman" w:hAnsi="Times New Roman" w:cs="Times New Roman"/>
                <w:color w:val="000000"/>
                <w:szCs w:val="22"/>
              </w:rPr>
            </w:pPr>
            <w:r>
              <w:rPr>
                <w:rFonts w:ascii="Times New Roman" w:hAnsi="Times New Roman"/>
                <w:color w:val="000000"/>
              </w:rPr>
              <w:t>Fino a quando saranno applicabili i criteri degli orientamenti specificati all</w:t>
            </w:r>
            <w:r w:rsidR="001F34C3">
              <w:rPr>
                <w:rFonts w:ascii="Times New Roman" w:hAnsi="Times New Roman"/>
                <w:color w:val="000000"/>
              </w:rPr>
              <w:t>'</w:t>
            </w:r>
            <w:r>
              <w:rPr>
                <w:rFonts w:ascii="Times New Roman" w:hAnsi="Times New Roman"/>
                <w:color w:val="000000"/>
              </w:rPr>
              <w:t>articolo</w:t>
            </w:r>
            <w:r w:rsidR="001F34C3">
              <w:rPr>
                <w:rFonts w:ascii="Times New Roman" w:hAnsi="Times New Roman"/>
                <w:color w:val="000000"/>
              </w:rPr>
              <w:t>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6</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 e gli ulteriori elementi elencati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98</w:t>
            </w:r>
            <w:r>
              <w:rPr>
                <w:rFonts w:ascii="Times New Roman" w:hAnsi="Times New Roman"/>
                <w:color w:val="000000"/>
              </w:rPr>
              <w:t xml:space="preserve">, paragrafo </w:t>
            </w:r>
            <w:r w:rsidRPr="001F34C3">
              <w:rPr>
                <w:rFonts w:ascii="Times New Roman" w:hAnsi="Times New Roman"/>
                <w:color w:val="000000"/>
              </w:rPr>
              <w:t>5</w:t>
            </w:r>
            <w:r>
              <w:rPr>
                <w:rFonts w:ascii="Times New Roman" w:hAnsi="Times New Roman"/>
                <w:color w:val="000000"/>
              </w:rPr>
              <w:t xml:space="preserve"> bis, della medesima direttiva, gli enti sono tenuti a pubblicare i parametri utilizzati per gli scenari prudenziali di shock, la definizione di proventi da interessi netti che utilizzano e ogni altra informazione pertinente per comprendere le modalità di calcolo delle variazioni dei proventi da interessi netti nel modello EU IRRBB</w:t>
            </w:r>
            <w:r w:rsidRPr="001F34C3">
              <w:rPr>
                <w:rFonts w:ascii="Times New Roman" w:hAnsi="Times New Roman"/>
                <w:color w:val="000000"/>
              </w:rPr>
              <w:t>1</w:t>
            </w:r>
            <w:r>
              <w:rPr>
                <w:rFonts w:ascii="Times New Roman" w:hAnsi="Times New Roman"/>
                <w:color w:val="000000"/>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rPr>
            </w:pPr>
            <w:r w:rsidRPr="001F34C3">
              <w:rPr>
                <w:rFonts w:ascii="Times New Roman" w:hAnsi="Times New Roman"/>
                <w:color w:val="000000"/>
              </w:rPr>
              <w:t>1</w:t>
            </w:r>
            <w:r>
              <w:rPr>
                <w:rFonts w:ascii="Times New Roman" w:hAnsi="Times New Roman"/>
                <w:color w:val="000000"/>
              </w:rPr>
              <w:t xml:space="preserve">), </w:t>
            </w:r>
            <w:r w:rsidRPr="001F34C3">
              <w:rPr>
                <w:rFonts w:ascii="Times New Roman" w:hAnsi="Times New Roman"/>
                <w:color w:val="000000"/>
              </w:rPr>
              <w:t>2</w:t>
            </w:r>
            <w:r>
              <w:rPr>
                <w:rFonts w:ascii="Times New Roman" w:hAnsi="Times New Roman"/>
                <w:color w:val="000000"/>
              </w:rPr>
              <w:t>)</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Pubblicazione della data di scadenza media e massima per la revisione delle condizioni assegnata ai depositi non vincolati</w:t>
            </w:r>
          </w:p>
          <w:p w14:paraId="48FA0E44" w14:textId="4C5A8E50" w:rsidR="004F5466" w:rsidRPr="0031221C" w:rsidRDefault="00065C44" w:rsidP="00942E61">
            <w:pPr>
              <w:spacing w:after="120"/>
              <w:jc w:val="both"/>
              <w:rPr>
                <w:rFonts w:ascii="Times New Roman" w:eastAsia="Times New Roman" w:hAnsi="Times New Roman" w:cs="Times New Roman"/>
                <w:b/>
                <w:color w:val="000000"/>
                <w:sz w:val="24"/>
                <w:szCs w:val="22"/>
              </w:rPr>
            </w:pPr>
            <w:r>
              <w:rPr>
                <w:rFonts w:ascii="Times New Roman" w:hAnsi="Times New Roman"/>
                <w:color w:val="000000"/>
              </w:rPr>
              <w:t>Conformemente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448</w:t>
            </w:r>
            <w:r>
              <w:rPr>
                <w:rFonts w:ascii="Times New Roman" w:hAnsi="Times New Roman"/>
                <w:color w:val="000000"/>
              </w:rPr>
              <w:t xml:space="preserve">, paragrafo </w:t>
            </w:r>
            <w:r w:rsidRPr="001F34C3">
              <w:rPr>
                <w:rFonts w:ascii="Times New Roman" w:hAnsi="Times New Roman"/>
                <w:color w:val="000000"/>
              </w:rPr>
              <w:t>1</w:t>
            </w:r>
            <w:r>
              <w:rPr>
                <w:rFonts w:ascii="Times New Roman" w:hAnsi="Times New Roman"/>
                <w:color w:val="000000"/>
              </w:rPr>
              <w:t>, lettera g), del regolamento (UE) n. </w:t>
            </w:r>
            <w:r w:rsidRPr="001F34C3">
              <w:rPr>
                <w:rFonts w:ascii="Times New Roman" w:hAnsi="Times New Roman"/>
                <w:color w:val="000000"/>
              </w:rPr>
              <w:t>575</w:t>
            </w:r>
            <w:r>
              <w:rPr>
                <w:rFonts w:ascii="Times New Roman" w:hAnsi="Times New Roman"/>
                <w:color w:val="000000"/>
              </w:rPr>
              <w:t>/</w:t>
            </w:r>
            <w:r w:rsidRPr="001F34C3">
              <w:rPr>
                <w:rFonts w:ascii="Times New Roman" w:hAnsi="Times New Roman"/>
                <w:color w:val="000000"/>
              </w:rPr>
              <w:t>2013</w:t>
            </w:r>
            <w:r>
              <w:rPr>
                <w:rFonts w:ascii="Times New Roman" w:hAnsi="Times New Roman"/>
                <w:color w:val="000000"/>
              </w:rPr>
              <w:t>, gli enti sono tenuti a pubblicare la data di scadenza media e massima per la revisione delle condizioni assegnata ai depositi non vincolati di controparti al dettaglio e controparti all</w:t>
            </w:r>
            <w:r w:rsidR="001F34C3">
              <w:rPr>
                <w:rFonts w:ascii="Times New Roman" w:hAnsi="Times New Roman"/>
                <w:color w:val="000000"/>
              </w:rPr>
              <w:t>'</w:t>
            </w:r>
            <w:r>
              <w:rPr>
                <w:rFonts w:ascii="Times New Roman" w:hAnsi="Times New Roman"/>
                <w:color w:val="000000"/>
              </w:rPr>
              <w:t>ingrosso non finanziarie. La pubblicazione riguarda separatamente la parte fissa (</w:t>
            </w:r>
            <w:r w:rsidR="001F34C3">
              <w:rPr>
                <w:rFonts w:ascii="Times New Roman" w:hAnsi="Times New Roman"/>
                <w:color w:val="000000"/>
              </w:rPr>
              <w:t>"</w:t>
            </w:r>
            <w:r>
              <w:rPr>
                <w:rFonts w:ascii="Times New Roman" w:hAnsi="Times New Roman"/>
                <w:i/>
                <w:color w:val="000000"/>
              </w:rPr>
              <w:t>core</w:t>
            </w:r>
            <w:r w:rsidR="001F34C3">
              <w:rPr>
                <w:rFonts w:ascii="Times New Roman" w:hAnsi="Times New Roman"/>
                <w:color w:val="000000"/>
              </w:rPr>
              <w:t>"</w:t>
            </w:r>
            <w:r>
              <w:rPr>
                <w:rFonts w:ascii="Times New Roman" w:hAnsi="Times New Roman"/>
                <w:color w:val="000000"/>
              </w:rPr>
              <w:t>) e l</w:t>
            </w:r>
            <w:r w:rsidR="001F34C3">
              <w:rPr>
                <w:rFonts w:ascii="Times New Roman" w:hAnsi="Times New Roman"/>
                <w:color w:val="000000"/>
              </w:rPr>
              <w:t>'</w:t>
            </w:r>
            <w:r>
              <w:rPr>
                <w:rFonts w:ascii="Times New Roman" w:hAnsi="Times New Roman"/>
                <w:color w:val="000000"/>
              </w:rPr>
              <w:t>intero importo dei depositi non vincolati di controparti al dettaglio e controparti all</w:t>
            </w:r>
            <w:r w:rsidR="001F34C3">
              <w:rPr>
                <w:rFonts w:ascii="Times New Roman" w:hAnsi="Times New Roman"/>
                <w:color w:val="000000"/>
              </w:rPr>
              <w:t>'</w:t>
            </w:r>
            <w:r>
              <w:rPr>
                <w:rFonts w:ascii="Times New Roman" w:hAnsi="Times New Roman"/>
                <w:color w:val="000000"/>
              </w:rPr>
              <w:t>ingrosso non finanziarie.</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287F28AF" w14:textId="70FAEE93" w:rsidR="0054744B" w:rsidRPr="0031221C" w:rsidRDefault="00906CCA" w:rsidP="0054744B">
      <w:pPr>
        <w:jc w:val="both"/>
        <w:rPr>
          <w:rFonts w:ascii="Times New Roman" w:hAnsi="Times New Roman"/>
          <w:bCs/>
          <w:sz w:val="24"/>
        </w:rPr>
      </w:pPr>
      <w:r>
        <w:rPr>
          <w:rFonts w:ascii="Times New Roman" w:hAnsi="Times New Roman"/>
          <w:b/>
          <w:sz w:val="24"/>
        </w:rPr>
        <w:lastRenderedPageBreak/>
        <w:t>Istruzioni per la compilazione del modello d</w:t>
      </w:r>
      <w:r w:rsidR="001F34C3">
        <w:rPr>
          <w:rFonts w:ascii="Times New Roman" w:hAnsi="Times New Roman"/>
          <w:b/>
          <w:sz w:val="24"/>
        </w:rPr>
        <w:t>'</w:t>
      </w:r>
      <w:r>
        <w:rPr>
          <w:rFonts w:ascii="Times New Roman" w:hAnsi="Times New Roman"/>
          <w:b/>
          <w:sz w:val="24"/>
        </w:rPr>
        <w:t>informativa EU IRRBB</w:t>
      </w:r>
      <w:r w:rsidRPr="001F34C3">
        <w:rPr>
          <w:rFonts w:ascii="Times New Roman" w:hAnsi="Times New Roman"/>
          <w:b/>
          <w:sz w:val="24"/>
        </w:rPr>
        <w:t>1</w:t>
      </w:r>
      <w:r>
        <w:rPr>
          <w:rFonts w:ascii="Times New Roman" w:hAnsi="Times New Roman"/>
          <w:b/>
          <w:sz w:val="24"/>
        </w:rPr>
        <w:t xml:space="preserve">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09FFE378" w:rsidR="00AC7CEB" w:rsidRPr="0031221C" w:rsidRDefault="00580D58" w:rsidP="0064406C">
      <w:pPr>
        <w:numPr>
          <w:ilvl w:val="0"/>
          <w:numId w:val="9"/>
        </w:numPr>
        <w:jc w:val="both"/>
        <w:rPr>
          <w:rFonts w:ascii="Times New Roman" w:hAnsi="Times New Roman"/>
          <w:bCs/>
          <w:sz w:val="24"/>
        </w:rPr>
      </w:pPr>
      <w:r>
        <w:rPr>
          <w:rFonts w:ascii="Times New Roman" w:hAnsi="Times New Roman"/>
          <w:sz w:val="24"/>
        </w:rPr>
        <w:t xml:space="preserve">Gli enti sono tenuti a valutare il rischio di tasso di interesse delle attività esterne al portafoglio di negoziazione sulla base della metodologia del proprio sistema interno di misurazione del rischio, </w:t>
      </w:r>
      <w:r>
        <w:rPr>
          <w:rFonts w:ascii="Times New Roman" w:hAnsi="Times New Roman"/>
          <w:color w:val="000000"/>
          <w:sz w:val="24"/>
        </w:rPr>
        <w:t>della metodologia standardizzata o della metodologia standardizzata semplificata</w:t>
      </w:r>
      <w:r>
        <w:rPr>
          <w:rFonts w:ascii="Times New Roman" w:hAnsi="Times New Roman"/>
        </w:rPr>
        <w:t xml:space="preserve">, </w:t>
      </w:r>
      <w:r>
        <w:rPr>
          <w:rFonts w:ascii="Times New Roman" w:hAnsi="Times New Roman"/>
          <w:sz w:val="24"/>
        </w:rPr>
        <w:t>quando applicabile</w:t>
      </w:r>
      <w:r>
        <w:rPr>
          <w:rFonts w:ascii="Times New Roman" w:hAnsi="Times New Roman"/>
          <w:color w:val="000000"/>
        </w:rPr>
        <w:t>,</w:t>
      </w:r>
      <w:r>
        <w:rPr>
          <w:rFonts w:ascii="Times New Roman" w:hAnsi="Times New Roman"/>
          <w:sz w:val="24"/>
        </w:rPr>
        <w:t xml:space="preserve"> ai sensi dell</w:t>
      </w:r>
      <w:r w:rsidR="001F34C3">
        <w:rPr>
          <w:rFonts w:ascii="Times New Roman" w:hAnsi="Times New Roman"/>
          <w:sz w:val="24"/>
        </w:rPr>
        <w:t>'</w:t>
      </w:r>
      <w:r>
        <w:rPr>
          <w:rFonts w:ascii="Times New Roman" w:hAnsi="Times New Roman"/>
          <w:sz w:val="24"/>
        </w:rPr>
        <w:t xml:space="preserve">articolo </w:t>
      </w:r>
      <w:r w:rsidRPr="001F34C3">
        <w:rPr>
          <w:rFonts w:ascii="Times New Roman" w:hAnsi="Times New Roman"/>
          <w:sz w:val="24"/>
        </w:rPr>
        <w:t>84</w:t>
      </w:r>
      <w:r>
        <w:rPr>
          <w:rFonts w:ascii="Times New Roman" w:hAnsi="Times New Roman"/>
          <w:sz w:val="24"/>
        </w:rPr>
        <w:t xml:space="preserve"> della direttiva </w:t>
      </w:r>
      <w:r w:rsidRPr="001F34C3">
        <w:rPr>
          <w:rFonts w:ascii="Times New Roman" w:hAnsi="Times New Roman"/>
          <w:sz w:val="24"/>
        </w:rPr>
        <w:t>2013</w:t>
      </w:r>
      <w:r>
        <w:rPr>
          <w:rFonts w:ascii="Times New Roman" w:hAnsi="Times New Roman"/>
          <w:sz w:val="24"/>
        </w:rPr>
        <w:t>/</w:t>
      </w:r>
      <w:r w:rsidRPr="001F34C3">
        <w:rPr>
          <w:rFonts w:ascii="Times New Roman" w:hAnsi="Times New Roman"/>
          <w:sz w:val="24"/>
        </w:rPr>
        <w:t>36</w:t>
      </w:r>
      <w:r>
        <w:rPr>
          <w:rFonts w:ascii="Times New Roman" w:hAnsi="Times New Roman"/>
          <w:sz w:val="24"/>
        </w:rPr>
        <w:t>/UE, dati gli scenari prudenziali di shock e le ipotesi di modellizzazione e parametriche comuni di cui all</w:t>
      </w:r>
      <w:r w:rsidR="001F34C3">
        <w:rPr>
          <w:rFonts w:ascii="Times New Roman" w:hAnsi="Times New Roman"/>
          <w:sz w:val="24"/>
        </w:rPr>
        <w:t>'</w:t>
      </w:r>
      <w:r>
        <w:rPr>
          <w:rFonts w:ascii="Times New Roman" w:hAnsi="Times New Roman"/>
          <w:sz w:val="24"/>
        </w:rPr>
        <w:t xml:space="preserve">articolo </w:t>
      </w:r>
      <w:r w:rsidRPr="001F34C3">
        <w:rPr>
          <w:rFonts w:ascii="Times New Roman" w:hAnsi="Times New Roman"/>
          <w:sz w:val="24"/>
        </w:rPr>
        <w:t>98</w:t>
      </w:r>
      <w:r>
        <w:rPr>
          <w:rFonts w:ascii="Times New Roman" w:hAnsi="Times New Roman"/>
          <w:sz w:val="24"/>
        </w:rPr>
        <w:t xml:space="preserve">, paragrafo </w:t>
      </w:r>
      <w:r w:rsidRPr="001F34C3">
        <w:rPr>
          <w:rFonts w:ascii="Times New Roman" w:hAnsi="Times New Roman"/>
          <w:sz w:val="24"/>
        </w:rPr>
        <w:t>5</w:t>
      </w:r>
      <w:r>
        <w:rPr>
          <w:rFonts w:ascii="Times New Roman" w:hAnsi="Times New Roman"/>
          <w:sz w:val="24"/>
        </w:rPr>
        <w:t xml:space="preserve"> bis, della direttiva </w:t>
      </w:r>
      <w:r w:rsidRPr="001F34C3">
        <w:rPr>
          <w:rFonts w:ascii="Times New Roman" w:hAnsi="Times New Roman"/>
          <w:sz w:val="24"/>
        </w:rPr>
        <w:t>2013</w:t>
      </w:r>
      <w:r>
        <w:rPr>
          <w:rFonts w:ascii="Times New Roman" w:hAnsi="Times New Roman"/>
          <w:sz w:val="24"/>
        </w:rPr>
        <w:t>/</w:t>
      </w:r>
      <w:r w:rsidRPr="001F34C3">
        <w:rPr>
          <w:rFonts w:ascii="Times New Roman" w:hAnsi="Times New Roman"/>
          <w:sz w:val="24"/>
        </w:rPr>
        <w:t>36</w:t>
      </w:r>
      <w:r>
        <w:rPr>
          <w:rFonts w:ascii="Times New Roman" w:hAnsi="Times New Roman"/>
          <w:sz w:val="24"/>
        </w:rPr>
        <w:t>/UE.</w:t>
      </w:r>
    </w:p>
    <w:p w14:paraId="18595772" w14:textId="50D032F2" w:rsidR="00580D58" w:rsidRPr="0031221C" w:rsidRDefault="00580D58" w:rsidP="000D6C4D">
      <w:pPr>
        <w:ind w:left="360"/>
        <w:jc w:val="both"/>
        <w:rPr>
          <w:rFonts w:ascii="Times New Roman" w:hAnsi="Times New Roman"/>
          <w:bCs/>
          <w:sz w:val="24"/>
        </w:rPr>
      </w:pPr>
    </w:p>
    <w:p w14:paraId="5E3F5B28" w14:textId="232B43AC" w:rsidR="00AC7CEB" w:rsidRPr="0031221C" w:rsidRDefault="00AC7CEB" w:rsidP="0064406C">
      <w:pPr>
        <w:numPr>
          <w:ilvl w:val="0"/>
          <w:numId w:val="9"/>
        </w:numPr>
        <w:jc w:val="both"/>
        <w:rPr>
          <w:rFonts w:ascii="Times New Roman" w:hAnsi="Times New Roman"/>
          <w:bCs/>
          <w:sz w:val="24"/>
        </w:rPr>
      </w:pPr>
      <w:r>
        <w:rPr>
          <w:rFonts w:ascii="Times New Roman" w:hAnsi="Times New Roman"/>
          <w:sz w:val="24"/>
        </w:rPr>
        <w:t>Le presenti istruzioni sono state elaborate sulla base degli obblighi di cui all</w:t>
      </w:r>
      <w:r w:rsidR="001F34C3">
        <w:rPr>
          <w:rFonts w:ascii="Times New Roman" w:hAnsi="Times New Roman"/>
          <w:sz w:val="24"/>
        </w:rPr>
        <w:t>'</w:t>
      </w:r>
      <w:r>
        <w:rPr>
          <w:rFonts w:ascii="Times New Roman" w:hAnsi="Times New Roman"/>
          <w:sz w:val="24"/>
        </w:rPr>
        <w:t xml:space="preserve">articolo </w:t>
      </w:r>
      <w:r w:rsidRPr="001F34C3">
        <w:rPr>
          <w:rFonts w:ascii="Times New Roman" w:hAnsi="Times New Roman"/>
          <w:sz w:val="24"/>
        </w:rPr>
        <w:t>448</w:t>
      </w:r>
      <w:r>
        <w:rPr>
          <w:rFonts w:ascii="Times New Roman" w:hAnsi="Times New Roman"/>
          <w:sz w:val="24"/>
        </w:rPr>
        <w:t xml:space="preserve"> del regolamento (UE) n. </w:t>
      </w:r>
      <w:r w:rsidRPr="001F34C3">
        <w:rPr>
          <w:rFonts w:ascii="Times New Roman" w:hAnsi="Times New Roman"/>
          <w:sz w:val="24"/>
        </w:rPr>
        <w:t>575</w:t>
      </w:r>
      <w:r>
        <w:rPr>
          <w:rFonts w:ascii="Times New Roman" w:hAnsi="Times New Roman"/>
          <w:sz w:val="24"/>
        </w:rPr>
        <w:t>/</w:t>
      </w:r>
      <w:r w:rsidRPr="001F34C3">
        <w:rPr>
          <w:rFonts w:ascii="Times New Roman" w:hAnsi="Times New Roman"/>
          <w:sz w:val="24"/>
        </w:rPr>
        <w:t>2013</w:t>
      </w:r>
      <w:r>
        <w:rPr>
          <w:rFonts w:ascii="Times New Roman" w:hAnsi="Times New Roman"/>
          <w:sz w:val="24"/>
        </w:rPr>
        <w:t xml:space="preserve"> e in linea con la norma in materia di informativa del terzo pilastro di Basilea.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Pr>
          <w:rFonts w:ascii="Times New Roman" w:hAnsi="Times New Roman"/>
          <w:sz w:val="24"/>
        </w:rPr>
        <w:t>Nella prima informativa gli enti non sono tenuti a fornire le informazioni relative al periodo precedente.</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3B61BE94" w:rsidR="0054744B" w:rsidRPr="0031221C" w:rsidRDefault="0054744B" w:rsidP="0054744B">
            <w:pPr>
              <w:pStyle w:val="TableTitle"/>
              <w:jc w:val="left"/>
              <w:rPr>
                <w:rFonts w:ascii="Times New Roman" w:hAnsi="Times New Roman"/>
                <w:noProof w:val="0"/>
                <w:sz w:val="24"/>
              </w:rPr>
            </w:pPr>
            <w:r>
              <w:rPr>
                <w:rFonts w:ascii="Times New Roman" w:hAnsi="Times New Roman"/>
              </w:rPr>
              <w:t>Istruzioni per la compilazione del modello d</w:t>
            </w:r>
            <w:r w:rsidR="001F34C3">
              <w:rPr>
                <w:rFonts w:ascii="Times New Roman" w:hAnsi="Times New Roman"/>
              </w:rPr>
              <w:t>'</w:t>
            </w:r>
            <w:r>
              <w:rPr>
                <w:rFonts w:ascii="Times New Roman" w:hAnsi="Times New Roman"/>
              </w:rPr>
              <w:t>informativa EU IRRBB</w:t>
            </w:r>
            <w:r w:rsidRPr="001F34C3">
              <w:rPr>
                <w:rFonts w:ascii="Times New Roman" w:hAnsi="Times New Roman"/>
              </w:rPr>
              <w:t>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Pr>
                <w:rFonts w:ascii="Times New Roman" w:hAnsi="Times New Roman"/>
                <w:b/>
              </w:rPr>
              <w:t>Colonna</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Pr>
                <w:rFonts w:ascii="Times New Roman" w:hAnsi="Times New Roman"/>
                <w:b/>
              </w:rPr>
              <w:t>Spiegazione</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Pr>
                <w:rFonts w:ascii="Times New Roman" w:hAnsi="Times New Roman"/>
                <w:b/>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Pr>
                <w:rFonts w:ascii="Times New Roman" w:hAnsi="Times New Roman"/>
                <w:b/>
              </w:rPr>
              <w:t>Variazioni del valore economico del capitale proprio</w:t>
            </w:r>
          </w:p>
          <w:p w14:paraId="7E84F9AE" w14:textId="3C5E67A3" w:rsidR="002F2E04" w:rsidRPr="0031221C" w:rsidRDefault="009C3247" w:rsidP="009C3247">
            <w:pPr>
              <w:spacing w:before="60" w:after="120"/>
              <w:jc w:val="both"/>
              <w:rPr>
                <w:rFonts w:ascii="Times New Roman" w:hAnsi="Times New Roman" w:cs="Times New Roman"/>
                <w:szCs w:val="22"/>
              </w:rPr>
            </w:pPr>
            <w:r>
              <w:rPr>
                <w:rFonts w:ascii="Times New Roman" w:hAnsi="Times New Roman"/>
              </w:rPr>
              <w:t xml:space="preserve">Articolo </w:t>
            </w:r>
            <w:r w:rsidRPr="001F34C3">
              <w:rPr>
                <w:rFonts w:ascii="Times New Roman" w:hAnsi="Times New Roman"/>
              </w:rPr>
              <w:t>448</w:t>
            </w:r>
            <w:r>
              <w:rPr>
                <w:rFonts w:ascii="Times New Roman" w:hAnsi="Times New Roman"/>
              </w:rPr>
              <w:t xml:space="preserve">, paragrafo </w:t>
            </w:r>
            <w:r w:rsidRPr="001F34C3">
              <w:rPr>
                <w:rFonts w:ascii="Times New Roman" w:hAnsi="Times New Roman"/>
              </w:rPr>
              <w:t>1</w:t>
            </w:r>
            <w:r>
              <w:rPr>
                <w:rFonts w:ascii="Times New Roman" w:hAnsi="Times New Roman"/>
              </w:rPr>
              <w:t>, lettera a), del regolamento (UE) n. </w:t>
            </w:r>
            <w:r w:rsidRPr="001F34C3">
              <w:rPr>
                <w:rFonts w:ascii="Times New Roman" w:hAnsi="Times New Roman"/>
              </w:rPr>
              <w:t>575</w:t>
            </w:r>
            <w:r>
              <w:rPr>
                <w:rFonts w:ascii="Times New Roman" w:hAnsi="Times New Roman"/>
              </w:rPr>
              <w:t>/</w:t>
            </w:r>
            <w:r w:rsidRPr="001F34C3">
              <w:rPr>
                <w:rFonts w:ascii="Times New Roman" w:hAnsi="Times New Roman"/>
              </w:rPr>
              <w:t>2013</w:t>
            </w:r>
            <w:r>
              <w:rPr>
                <w:rFonts w:ascii="Times New Roman" w:hAnsi="Times New Roman"/>
              </w:rPr>
              <w:t xml:space="preserve">. </w:t>
            </w:r>
          </w:p>
          <w:p w14:paraId="4C9FBFE2" w14:textId="7DACAA43" w:rsidR="009C2377" w:rsidRPr="0031221C" w:rsidRDefault="009C3247" w:rsidP="009C3247">
            <w:pPr>
              <w:spacing w:before="60" w:after="120"/>
              <w:jc w:val="both"/>
              <w:rPr>
                <w:rFonts w:ascii="Times New Roman" w:hAnsi="Times New Roman" w:cs="Times New Roman"/>
                <w:szCs w:val="22"/>
              </w:rPr>
            </w:pPr>
            <w:r>
              <w:rPr>
                <w:rFonts w:ascii="Times New Roman" w:hAnsi="Times New Roman"/>
              </w:rPr>
              <w:t>Gli enti segnalano le variazioni del valore economico del capitale proprio in base a ciascuno scenario prudenziale di shock relativo ai tassi di interesse, per il periodo corrente e quello precedente, conformemente alle prescrizioni di cui all</w:t>
            </w:r>
            <w:r w:rsidR="001F34C3">
              <w:rPr>
                <w:rFonts w:ascii="Times New Roman" w:hAnsi="Times New Roman"/>
              </w:rPr>
              <w:t>'</w:t>
            </w:r>
            <w:r>
              <w:rPr>
                <w:rFonts w:ascii="Times New Roman" w:hAnsi="Times New Roman"/>
              </w:rPr>
              <w:t xml:space="preserve">articolo </w:t>
            </w:r>
            <w:r w:rsidRPr="001F34C3">
              <w:rPr>
                <w:rFonts w:ascii="Times New Roman" w:hAnsi="Times New Roman"/>
              </w:rPr>
              <w:t>84</w:t>
            </w:r>
            <w:r>
              <w:rPr>
                <w:rFonts w:ascii="Times New Roman" w:hAnsi="Times New Roman"/>
              </w:rPr>
              <w:t xml:space="preserve"> e all</w:t>
            </w:r>
            <w:r w:rsidR="001F34C3">
              <w:rPr>
                <w:rFonts w:ascii="Times New Roman" w:hAnsi="Times New Roman"/>
              </w:rPr>
              <w:t>'</w:t>
            </w:r>
            <w:r>
              <w:rPr>
                <w:rFonts w:ascii="Times New Roman" w:hAnsi="Times New Roman"/>
              </w:rPr>
              <w:t xml:space="preserve">articolo </w:t>
            </w:r>
            <w:r w:rsidRPr="001F34C3">
              <w:rPr>
                <w:rFonts w:ascii="Times New Roman" w:hAnsi="Times New Roman"/>
              </w:rPr>
              <w:t>98</w:t>
            </w:r>
            <w:r>
              <w:rPr>
                <w:rFonts w:ascii="Times New Roman" w:hAnsi="Times New Roman"/>
              </w:rPr>
              <w:t xml:space="preserve">, paragrafo </w:t>
            </w:r>
            <w:r w:rsidRPr="001F34C3">
              <w:rPr>
                <w:rFonts w:ascii="Times New Roman" w:hAnsi="Times New Roman"/>
              </w:rPr>
              <w:t>5</w:t>
            </w:r>
            <w:r>
              <w:rPr>
                <w:rFonts w:ascii="Times New Roman" w:hAnsi="Times New Roman"/>
              </w:rPr>
              <w:t xml:space="preserve">, della direttiva </w:t>
            </w:r>
            <w:r w:rsidRPr="001F34C3">
              <w:rPr>
                <w:rFonts w:ascii="Times New Roman" w:hAnsi="Times New Roman"/>
              </w:rPr>
              <w:t>2013</w:t>
            </w:r>
            <w:r>
              <w:rPr>
                <w:rFonts w:ascii="Times New Roman" w:hAnsi="Times New Roman"/>
              </w:rPr>
              <w:t>/</w:t>
            </w:r>
            <w:r w:rsidRPr="001F34C3">
              <w:rPr>
                <w:rFonts w:ascii="Times New Roman" w:hAnsi="Times New Roman"/>
              </w:rPr>
              <w:t>36</w:t>
            </w:r>
            <w:r>
              <w:rPr>
                <w:rFonts w:ascii="Times New Roman" w:hAnsi="Times New Roman"/>
              </w:rPr>
              <w:t>/UE.</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c, 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Pr>
                <w:rFonts w:ascii="Times New Roman" w:hAnsi="Times New Roman"/>
                <w:b/>
              </w:rPr>
              <w:t>Variazioni dei proventi da interessi netti</w:t>
            </w:r>
          </w:p>
          <w:p w14:paraId="0ED8B6C6" w14:textId="07EE573D" w:rsidR="002F2E04"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Articolo </w:t>
            </w:r>
            <w:r w:rsidRPr="001F34C3">
              <w:rPr>
                <w:rFonts w:ascii="Times New Roman" w:hAnsi="Times New Roman"/>
              </w:rPr>
              <w:t>448</w:t>
            </w:r>
            <w:r>
              <w:rPr>
                <w:rFonts w:ascii="Times New Roman" w:hAnsi="Times New Roman"/>
              </w:rPr>
              <w:t xml:space="preserve">, paragrafo </w:t>
            </w:r>
            <w:r w:rsidRPr="001F34C3">
              <w:rPr>
                <w:rFonts w:ascii="Times New Roman" w:hAnsi="Times New Roman"/>
              </w:rPr>
              <w:t>1</w:t>
            </w:r>
            <w:r>
              <w:rPr>
                <w:rFonts w:ascii="Times New Roman" w:hAnsi="Times New Roman"/>
              </w:rPr>
              <w:t>, lettera b), del regolamento (UE) n. </w:t>
            </w:r>
            <w:r w:rsidRPr="001F34C3">
              <w:rPr>
                <w:rFonts w:ascii="Times New Roman" w:hAnsi="Times New Roman"/>
              </w:rPr>
              <w:t>575</w:t>
            </w:r>
            <w:r>
              <w:rPr>
                <w:rFonts w:ascii="Times New Roman" w:hAnsi="Times New Roman"/>
              </w:rPr>
              <w:t>/</w:t>
            </w:r>
            <w:r w:rsidRPr="001F34C3">
              <w:rPr>
                <w:rFonts w:ascii="Times New Roman" w:hAnsi="Times New Roman"/>
              </w:rPr>
              <w:t>2013</w:t>
            </w:r>
            <w:r>
              <w:rPr>
                <w:rFonts w:ascii="Times New Roman" w:hAnsi="Times New Roman"/>
              </w:rPr>
              <w:t>.</w:t>
            </w:r>
          </w:p>
          <w:p w14:paraId="629DC825" w14:textId="23CFA237" w:rsidR="008E005A" w:rsidRPr="0031221C" w:rsidRDefault="00CE0D17" w:rsidP="00B81100">
            <w:pPr>
              <w:spacing w:before="60" w:after="120"/>
              <w:jc w:val="both"/>
              <w:rPr>
                <w:rFonts w:ascii="Times New Roman" w:hAnsi="Times New Roman" w:cs="Times New Roman"/>
                <w:szCs w:val="22"/>
              </w:rPr>
            </w:pPr>
            <w:r>
              <w:rPr>
                <w:rFonts w:ascii="Times New Roman" w:hAnsi="Times New Roman"/>
              </w:rPr>
              <w:t>Gli enti segnalano le variazioni dei proventi da interessi netti in base ai due scenari prudenziali di shock relativo ai tassi di interesse previsti nel modello per il periodo corrente e quello precedente, conformemente alle prescrizioni di cui all</w:t>
            </w:r>
            <w:r w:rsidR="001F34C3">
              <w:rPr>
                <w:rFonts w:ascii="Times New Roman" w:hAnsi="Times New Roman"/>
              </w:rPr>
              <w:t>'</w:t>
            </w:r>
            <w:r>
              <w:rPr>
                <w:rFonts w:ascii="Times New Roman" w:hAnsi="Times New Roman"/>
              </w:rPr>
              <w:t xml:space="preserve">articolo </w:t>
            </w:r>
            <w:r w:rsidRPr="001F34C3">
              <w:rPr>
                <w:rFonts w:ascii="Times New Roman" w:hAnsi="Times New Roman"/>
              </w:rPr>
              <w:t>84</w:t>
            </w:r>
            <w:r>
              <w:rPr>
                <w:rFonts w:ascii="Times New Roman" w:hAnsi="Times New Roman"/>
              </w:rPr>
              <w:t xml:space="preserve"> e all</w:t>
            </w:r>
            <w:r w:rsidR="001F34C3">
              <w:rPr>
                <w:rFonts w:ascii="Times New Roman" w:hAnsi="Times New Roman"/>
              </w:rPr>
              <w:t>'</w:t>
            </w:r>
            <w:r>
              <w:rPr>
                <w:rFonts w:ascii="Times New Roman" w:hAnsi="Times New Roman"/>
              </w:rPr>
              <w:t xml:space="preserve">articolo </w:t>
            </w:r>
            <w:r w:rsidRPr="001F34C3">
              <w:rPr>
                <w:rFonts w:ascii="Times New Roman" w:hAnsi="Times New Roman"/>
              </w:rPr>
              <w:t>98</w:t>
            </w:r>
            <w:r>
              <w:rPr>
                <w:rFonts w:ascii="Times New Roman" w:hAnsi="Times New Roman"/>
              </w:rPr>
              <w:t xml:space="preserve">, paragrafo </w:t>
            </w:r>
            <w:r w:rsidRPr="001F34C3">
              <w:rPr>
                <w:rFonts w:ascii="Times New Roman" w:hAnsi="Times New Roman"/>
              </w:rPr>
              <w:t>5</w:t>
            </w:r>
            <w:r>
              <w:rPr>
                <w:rFonts w:ascii="Times New Roman" w:hAnsi="Times New Roman"/>
              </w:rPr>
              <w:t xml:space="preserve">, della direttiva </w:t>
            </w:r>
            <w:r w:rsidRPr="001F34C3">
              <w:rPr>
                <w:rFonts w:ascii="Times New Roman" w:hAnsi="Times New Roman"/>
              </w:rPr>
              <w:t>2013</w:t>
            </w:r>
            <w:r>
              <w:rPr>
                <w:rFonts w:ascii="Times New Roman" w:hAnsi="Times New Roman"/>
              </w:rPr>
              <w:t>/</w:t>
            </w:r>
            <w:r w:rsidRPr="001F34C3">
              <w:rPr>
                <w:rFonts w:ascii="Times New Roman" w:hAnsi="Times New Roman"/>
              </w:rPr>
              <w:t>36</w:t>
            </w:r>
            <w:r>
              <w:rPr>
                <w:rFonts w:ascii="Times New Roman" w:hAnsi="Times New Roman"/>
              </w:rPr>
              <w:t xml:space="preserve">/UE. </w:t>
            </w:r>
          </w:p>
          <w:p w14:paraId="2D49064E" w14:textId="2D7F79E7" w:rsidR="00C41D59"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Fino a quando saranno applicabili gli orientamenti specificati all</w:t>
            </w:r>
            <w:r w:rsidR="001F34C3">
              <w:rPr>
                <w:rFonts w:ascii="Times New Roman" w:hAnsi="Times New Roman"/>
                <w:color w:val="000000"/>
              </w:rPr>
              <w:t>'</w:t>
            </w:r>
            <w:r>
              <w:rPr>
                <w:rFonts w:ascii="Times New Roman" w:hAnsi="Times New Roman"/>
                <w:color w:val="000000"/>
              </w:rPr>
              <w:t>articolo</w:t>
            </w:r>
            <w:r w:rsidR="001F34C3">
              <w:rPr>
                <w:rFonts w:ascii="Times New Roman" w:hAnsi="Times New Roman"/>
                <w:color w:val="000000"/>
              </w:rPr>
              <w:t> </w:t>
            </w:r>
            <w:r w:rsidRPr="001F34C3">
              <w:rPr>
                <w:rFonts w:ascii="Times New Roman" w:hAnsi="Times New Roman"/>
                <w:color w:val="000000"/>
              </w:rPr>
              <w:t>84</w:t>
            </w:r>
            <w:r>
              <w:rPr>
                <w:rFonts w:ascii="Times New Roman" w:hAnsi="Times New Roman"/>
                <w:color w:val="000000"/>
              </w:rPr>
              <w:t>, paragrafo</w:t>
            </w:r>
            <w:r w:rsidR="001F34C3">
              <w:rPr>
                <w:rFonts w:ascii="Times New Roman" w:hAnsi="Times New Roman"/>
                <w:color w:val="000000"/>
              </w:rPr>
              <w:t> </w:t>
            </w:r>
            <w:r w:rsidRPr="001F34C3">
              <w:rPr>
                <w:rFonts w:ascii="Times New Roman" w:hAnsi="Times New Roman"/>
                <w:color w:val="000000"/>
              </w:rPr>
              <w:t>6</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 e gli ulteriori elementi elencati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98</w:t>
            </w:r>
            <w:r>
              <w:rPr>
                <w:rFonts w:ascii="Times New Roman" w:hAnsi="Times New Roman"/>
                <w:color w:val="000000"/>
              </w:rPr>
              <w:t xml:space="preserve">, paragrafo </w:t>
            </w:r>
            <w:r w:rsidRPr="001F34C3">
              <w:rPr>
                <w:rFonts w:ascii="Times New Roman" w:hAnsi="Times New Roman"/>
                <w:color w:val="000000"/>
              </w:rPr>
              <w:t>5</w:t>
            </w:r>
            <w:r>
              <w:rPr>
                <w:rFonts w:ascii="Times New Roman" w:hAnsi="Times New Roman"/>
                <w:color w:val="000000"/>
              </w:rPr>
              <w:t xml:space="preserve"> bis,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 xml:space="preserve">/UE, </w:t>
            </w:r>
            <w:r>
              <w:rPr>
                <w:rFonts w:ascii="Times New Roman" w:hAnsi="Times New Roman"/>
              </w:rPr>
              <w:t xml:space="preserve">gli enti descrivono la definizione e le caratteristiche principali (scenari, ipotesi e </w:t>
            </w:r>
            <w:r>
              <w:rPr>
                <w:rFonts w:ascii="Times New Roman" w:hAnsi="Times New Roman"/>
                <w:color w:val="000000"/>
              </w:rPr>
              <w:t>orizzonti</w:t>
            </w:r>
            <w:r>
              <w:rPr>
                <w:rFonts w:ascii="Times New Roman" w:hAnsi="Times New Roman"/>
              </w:rPr>
              <w:t xml:space="preserve">) dei proventi da interessi netti che utilizzano al punto i) della tabella EU IRRBBA oppure, se lasciano vuote tali colonne, riportano i motivi di tale scelta al punto i) della tabella EU IRRBBA.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Pr>
                <w:rFonts w:ascii="Times New Roman" w:hAnsi="Times New Roman"/>
                <w:b/>
              </w:rPr>
              <w:t xml:space="preserve">Riga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Pr>
                <w:rFonts w:ascii="Times New Roman" w:hAnsi="Times New Roman"/>
                <w:b/>
              </w:rPr>
              <w:t>Spiegazione</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1F34C3">
              <w:rPr>
                <w:rFonts w:ascii="Times New Roman" w:hAnsi="Times New Roman"/>
                <w: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1ED715B1"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Parallelo verso l</w:t>
            </w:r>
            <w:r w:rsidR="001F34C3">
              <w:rPr>
                <w:rFonts w:ascii="Times New Roman" w:hAnsi="Times New Roman"/>
                <w:b/>
              </w:rPr>
              <w:t>'</w:t>
            </w:r>
            <w:r>
              <w:rPr>
                <w:rFonts w:ascii="Times New Roman" w:hAnsi="Times New Roman"/>
                <w:b/>
              </w:rPr>
              <w:t>alto (Parallel up)</w:t>
            </w:r>
          </w:p>
          <w:p w14:paraId="460792B5" w14:textId="79E73771" w:rsidR="0080384B" w:rsidRPr="0031221C" w:rsidRDefault="00615DB8" w:rsidP="00B9107D">
            <w:pPr>
              <w:spacing w:before="60" w:after="120"/>
              <w:jc w:val="both"/>
              <w:rPr>
                <w:rFonts w:ascii="Times New Roman" w:hAnsi="Times New Roman" w:cs="Times New Roman"/>
                <w:szCs w:val="22"/>
              </w:rPr>
            </w:pPr>
            <w:r>
              <w:rPr>
                <w:rFonts w:ascii="Times New Roman" w:hAnsi="Times New Roman"/>
              </w:rPr>
              <w:t>Gli enti sono tenuti a pubblicare le variazioni del valore economico del capitale proprio e le variazioni dei proventi da interessi netti in uno scenario in cui la curva di rendimento subisce uno shock verso l</w:t>
            </w:r>
            <w:r w:rsidR="001F34C3">
              <w:rPr>
                <w:rFonts w:ascii="Times New Roman" w:hAnsi="Times New Roman"/>
              </w:rPr>
              <w:t>'</w:t>
            </w:r>
            <w:r>
              <w:rPr>
                <w:rFonts w:ascii="Times New Roman" w:hAnsi="Times New Roman"/>
              </w:rPr>
              <w:t xml:space="preserve">alto costante e parallelo. </w:t>
            </w:r>
          </w:p>
          <w:p w14:paraId="2AA6B7BB" w14:textId="74F9BB0B" w:rsidR="0084271D"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Fino a quando saranno applicabili i criteri degli orientamenti specificati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6</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 e gli ulteriori elementi elencati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98</w:t>
            </w:r>
            <w:r>
              <w:rPr>
                <w:rFonts w:ascii="Times New Roman" w:hAnsi="Times New Roman"/>
                <w:color w:val="000000"/>
              </w:rPr>
              <w:t xml:space="preserve">, </w:t>
            </w:r>
            <w:r>
              <w:rPr>
                <w:rFonts w:ascii="Times New Roman" w:hAnsi="Times New Roman"/>
                <w:color w:val="000000"/>
              </w:rPr>
              <w:lastRenderedPageBreak/>
              <w:t xml:space="preserve">paragrafo </w:t>
            </w:r>
            <w:r w:rsidRPr="001F34C3">
              <w:rPr>
                <w:rFonts w:ascii="Times New Roman" w:hAnsi="Times New Roman"/>
                <w:color w:val="000000"/>
              </w:rPr>
              <w:t>5</w:t>
            </w:r>
            <w:r>
              <w:rPr>
                <w:rFonts w:ascii="Times New Roman" w:hAnsi="Times New Roman"/>
                <w:color w:val="000000"/>
              </w:rPr>
              <w:t xml:space="preserve"> bis,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r>
              <w:rPr>
                <w:rFonts w:ascii="Times New Roman" w:hAnsi="Times New Roman"/>
              </w:rPr>
              <w:t xml:space="preserve"> i parametri utilizzati per questo scenario sono descritti al punto i) della tabella EU IRRBBA.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1F34C3">
              <w:rPr>
                <w:rFonts w:ascii="Times New Roman" w:hAnsi="Times New Roman"/>
                <w:b/>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Parallelo verso il basso (Parallel down)</w:t>
            </w:r>
          </w:p>
          <w:p w14:paraId="1C16CAC1" w14:textId="764F4FC2" w:rsidR="0080384B" w:rsidRPr="0031221C" w:rsidRDefault="0084271D" w:rsidP="00B9107D">
            <w:pPr>
              <w:spacing w:before="60" w:after="120"/>
              <w:jc w:val="both"/>
              <w:rPr>
                <w:rFonts w:ascii="Times New Roman" w:hAnsi="Times New Roman" w:cs="Times New Roman"/>
                <w:szCs w:val="22"/>
              </w:rPr>
            </w:pPr>
            <w:r>
              <w:rPr>
                <w:rFonts w:ascii="Times New Roman" w:hAnsi="Times New Roman"/>
              </w:rPr>
              <w:t xml:space="preserve">Gli enti sono tenuti a pubblicare le variazioni del valore economico del capitale proprio e le variazioni dei proventi da interessi netti in uno scenario in cui la curva di rendimento subisce uno shock verso il basso costante e parallelo. </w:t>
            </w:r>
          </w:p>
          <w:p w14:paraId="3D14716A" w14:textId="07C963FB" w:rsidR="0084271D"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Fino a quando saranno applicabili i criteri degli orientamenti specificati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6</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 e gli ulteriori elementi elencati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98</w:t>
            </w:r>
            <w:r>
              <w:rPr>
                <w:rFonts w:ascii="Times New Roman" w:hAnsi="Times New Roman"/>
                <w:color w:val="000000"/>
              </w:rPr>
              <w:t xml:space="preserve">, paragrafo </w:t>
            </w:r>
            <w:r w:rsidRPr="001F34C3">
              <w:rPr>
                <w:rFonts w:ascii="Times New Roman" w:hAnsi="Times New Roman"/>
                <w:color w:val="000000"/>
              </w:rPr>
              <w:t>5</w:t>
            </w:r>
            <w:r>
              <w:rPr>
                <w:rFonts w:ascii="Times New Roman" w:hAnsi="Times New Roman"/>
                <w:color w:val="000000"/>
              </w:rPr>
              <w:t xml:space="preserve"> bis,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r>
              <w:rPr>
                <w:rFonts w:ascii="Times New Roman" w:hAnsi="Times New Roman"/>
              </w:rPr>
              <w:t xml:space="preserve"> i parametri utilizzati per questo scenario sono descritti al punto i) della tabella EU IRRBBA.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1F34C3">
              <w:rPr>
                <w:rFonts w:ascii="Times New Roman" w:hAnsi="Times New Roman"/>
                <w:b/>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Incremento della pendenza della curva (Steepener)</w:t>
            </w:r>
          </w:p>
          <w:p w14:paraId="1FAE89D5" w14:textId="27B90C73" w:rsidR="0080384B" w:rsidRPr="0031221C" w:rsidRDefault="003F5907" w:rsidP="00B9107D">
            <w:pPr>
              <w:spacing w:before="60" w:after="120"/>
              <w:jc w:val="both"/>
              <w:rPr>
                <w:rFonts w:ascii="Times New Roman" w:eastAsia="Times New Roman" w:hAnsi="Times New Roman" w:cs="Times New Roman"/>
                <w:szCs w:val="22"/>
              </w:rPr>
            </w:pPr>
            <w:r>
              <w:rPr>
                <w:rFonts w:ascii="Times New Roman" w:hAnsi="Times New Roman"/>
              </w:rPr>
              <w:t xml:space="preserve">Gli enti sono tenuti a pubblicare le variazioni del valore economico del capitale proprio in uno scenario in cui la curva di rendimento subisce un ribasso dei tassi a breve e un rialzo dei tassi a lungo. </w:t>
            </w:r>
          </w:p>
          <w:p w14:paraId="2B14043C" w14:textId="1B590641" w:rsidR="0084271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color w:val="000000"/>
              </w:rPr>
              <w:t>Fino a quando saranno applicabili i criteri degli orientamenti specificati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6</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 e gli ulteriori elementi elencati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98</w:t>
            </w:r>
            <w:r>
              <w:rPr>
                <w:rFonts w:ascii="Times New Roman" w:hAnsi="Times New Roman"/>
                <w:color w:val="000000"/>
              </w:rPr>
              <w:t xml:space="preserve">, paragrafo </w:t>
            </w:r>
            <w:r w:rsidRPr="001F34C3">
              <w:rPr>
                <w:rFonts w:ascii="Times New Roman" w:hAnsi="Times New Roman"/>
                <w:color w:val="000000"/>
              </w:rPr>
              <w:t>5</w:t>
            </w:r>
            <w:r>
              <w:rPr>
                <w:rFonts w:ascii="Times New Roman" w:hAnsi="Times New Roman"/>
                <w:color w:val="000000"/>
              </w:rPr>
              <w:t xml:space="preserve"> bis,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r>
              <w:rPr>
                <w:rFonts w:ascii="Times New Roman" w:hAnsi="Times New Roman"/>
              </w:rPr>
              <w:t xml:space="preserve"> i parametri utilizzati per questo scenario sono descritti al punto i) della tabella EU IRRBBA.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1F34C3">
              <w:rPr>
                <w:rFonts w:ascii="Times New Roman" w:hAnsi="Times New Roman"/>
                <w: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Appiattimento della curva (Flattener)</w:t>
            </w:r>
          </w:p>
          <w:p w14:paraId="3D4F63A7" w14:textId="2CC94F2B"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Gli enti sono tenuti a pubblicare le variazioni del valore economico del capitale proprio in uno scenario in cui la curva di rendimento subisce un rialzo dei tassi a breve e un ribasso dei tassi a lungo. </w:t>
            </w:r>
          </w:p>
          <w:p w14:paraId="68AA63EC" w14:textId="768A0CBA" w:rsidR="003C7BC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color w:val="000000"/>
              </w:rPr>
              <w:t>Fino a quando saranno applicabili i criteri degli orientamenti specificati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6</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 e gli ulteriori elementi elencati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98</w:t>
            </w:r>
            <w:r>
              <w:rPr>
                <w:rFonts w:ascii="Times New Roman" w:hAnsi="Times New Roman"/>
                <w:color w:val="000000"/>
              </w:rPr>
              <w:t xml:space="preserve">, paragrafo </w:t>
            </w:r>
            <w:r w:rsidRPr="001F34C3">
              <w:rPr>
                <w:rFonts w:ascii="Times New Roman" w:hAnsi="Times New Roman"/>
                <w:color w:val="000000"/>
              </w:rPr>
              <w:t>5</w:t>
            </w:r>
            <w:r>
              <w:rPr>
                <w:rFonts w:ascii="Times New Roman" w:hAnsi="Times New Roman"/>
                <w:color w:val="000000"/>
              </w:rPr>
              <w:t xml:space="preserve"> bis,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r>
              <w:rPr>
                <w:rFonts w:ascii="Times New Roman" w:hAnsi="Times New Roman"/>
              </w:rPr>
              <w:t xml:space="preserve"> i parametri utilizzati per questo scenario sono descritti al punto i) della tabella EU IRRBBA.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1F34C3">
              <w:rPr>
                <w:rFonts w:ascii="Times New Roman" w:hAnsi="Times New Roman"/>
                <w: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Rialzo dei tassi a breve (Short rates up)</w:t>
            </w:r>
          </w:p>
          <w:p w14:paraId="68A86533" w14:textId="7377DB6E"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Gli enti sono tenuti a pubblicare le variazioni del valore economico del capitale proprio in uno scenario in cui la curva di rendimento subisce un rialzo dei tassi a breve. </w:t>
            </w:r>
          </w:p>
          <w:p w14:paraId="6A69073C" w14:textId="52589D5D"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color w:val="000000"/>
              </w:rPr>
              <w:t>Fino a quando saranno applicabili i criteri degli orientamenti specificati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6</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 e gli ulteriori elementi elencati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98</w:t>
            </w:r>
            <w:r>
              <w:rPr>
                <w:rFonts w:ascii="Times New Roman" w:hAnsi="Times New Roman"/>
                <w:color w:val="000000"/>
              </w:rPr>
              <w:t xml:space="preserve">, paragrafo </w:t>
            </w:r>
            <w:r w:rsidRPr="001F34C3">
              <w:rPr>
                <w:rFonts w:ascii="Times New Roman" w:hAnsi="Times New Roman"/>
                <w:color w:val="000000"/>
              </w:rPr>
              <w:t>5</w:t>
            </w:r>
            <w:r>
              <w:rPr>
                <w:rFonts w:ascii="Times New Roman" w:hAnsi="Times New Roman"/>
                <w:color w:val="000000"/>
              </w:rPr>
              <w:t xml:space="preserve"> bis,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r>
              <w:rPr>
                <w:rFonts w:ascii="Times New Roman" w:hAnsi="Times New Roman"/>
              </w:rPr>
              <w:t xml:space="preserve"> i parametri utilizzati per questo scenario sono descritti al punto i) della tabella EU IRRBBA.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sidRPr="001F34C3">
              <w:rPr>
                <w:rFonts w:ascii="Times New Roman" w:hAnsi="Times New Roman"/>
                <w:b/>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Ribasso dei tassi a breve (Short rates down)</w:t>
            </w:r>
          </w:p>
          <w:p w14:paraId="52648BA1" w14:textId="70C444CA"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Gli enti sono tenuti a pubblicare le variazioni del valore economico del capitale proprio in uno scenario in cui la curva di rendimento subisce un ribasso dei tassi a breve. </w:t>
            </w:r>
          </w:p>
          <w:p w14:paraId="45792CFB" w14:textId="3F470BD7"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color w:val="000000"/>
              </w:rPr>
              <w:t>Fino a quando saranno applicabili i criteri degli orientamenti specificati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84</w:t>
            </w:r>
            <w:r>
              <w:rPr>
                <w:rFonts w:ascii="Times New Roman" w:hAnsi="Times New Roman"/>
                <w:color w:val="000000"/>
              </w:rPr>
              <w:t xml:space="preserve">, paragrafo </w:t>
            </w:r>
            <w:r w:rsidRPr="001F34C3">
              <w:rPr>
                <w:rFonts w:ascii="Times New Roman" w:hAnsi="Times New Roman"/>
                <w:color w:val="000000"/>
              </w:rPr>
              <w:t>6</w:t>
            </w:r>
            <w:r>
              <w:rPr>
                <w:rFonts w:ascii="Times New Roman" w:hAnsi="Times New Roman"/>
                <w:color w:val="000000"/>
              </w:rPr>
              <w:t xml:space="preserve">,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 e gli ulteriori elementi elencati all</w:t>
            </w:r>
            <w:r w:rsidR="001F34C3">
              <w:rPr>
                <w:rFonts w:ascii="Times New Roman" w:hAnsi="Times New Roman"/>
                <w:color w:val="000000"/>
              </w:rPr>
              <w:t>'</w:t>
            </w:r>
            <w:r>
              <w:rPr>
                <w:rFonts w:ascii="Times New Roman" w:hAnsi="Times New Roman"/>
                <w:color w:val="000000"/>
              </w:rPr>
              <w:t xml:space="preserve">articolo </w:t>
            </w:r>
            <w:r w:rsidRPr="001F34C3">
              <w:rPr>
                <w:rFonts w:ascii="Times New Roman" w:hAnsi="Times New Roman"/>
                <w:color w:val="000000"/>
              </w:rPr>
              <w:t>98</w:t>
            </w:r>
            <w:r>
              <w:rPr>
                <w:rFonts w:ascii="Times New Roman" w:hAnsi="Times New Roman"/>
                <w:color w:val="000000"/>
              </w:rPr>
              <w:t xml:space="preserve">, paragrafo </w:t>
            </w:r>
            <w:r w:rsidRPr="001F34C3">
              <w:rPr>
                <w:rFonts w:ascii="Times New Roman" w:hAnsi="Times New Roman"/>
                <w:color w:val="000000"/>
              </w:rPr>
              <w:t>5</w:t>
            </w:r>
            <w:r>
              <w:rPr>
                <w:rFonts w:ascii="Times New Roman" w:hAnsi="Times New Roman"/>
                <w:color w:val="000000"/>
              </w:rPr>
              <w:t xml:space="preserve"> bis, della direttiva </w:t>
            </w:r>
            <w:r w:rsidRPr="001F34C3">
              <w:rPr>
                <w:rFonts w:ascii="Times New Roman" w:hAnsi="Times New Roman"/>
                <w:color w:val="000000"/>
              </w:rPr>
              <w:t>2013</w:t>
            </w:r>
            <w:r>
              <w:rPr>
                <w:rFonts w:ascii="Times New Roman" w:hAnsi="Times New Roman"/>
                <w:color w:val="000000"/>
              </w:rPr>
              <w:t>/</w:t>
            </w:r>
            <w:r w:rsidRPr="001F34C3">
              <w:rPr>
                <w:rFonts w:ascii="Times New Roman" w:hAnsi="Times New Roman"/>
                <w:color w:val="000000"/>
              </w:rPr>
              <w:t>36</w:t>
            </w:r>
            <w:r>
              <w:rPr>
                <w:rFonts w:ascii="Times New Roman" w:hAnsi="Times New Roman"/>
                <w:color w:val="000000"/>
              </w:rPr>
              <w:t>/UE,</w:t>
            </w:r>
            <w:r>
              <w:rPr>
                <w:rFonts w:ascii="Times New Roman" w:hAnsi="Times New Roman"/>
              </w:rPr>
              <w:t xml:space="preserve"> i parametri utilizzati per questo scenario sono descritti al punto i) della tabella EU IRRBBA.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6175DC45" w:rsidR="00FE2CB5" w:rsidRPr="00482070" w:rsidRDefault="001F34C3" w:rsidP="00A81E4E">
      <w:r>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512035509">
    <w:abstractNumId w:val="8"/>
  </w:num>
  <w:num w:numId="2" w16cid:durableId="298461968">
    <w:abstractNumId w:val="3"/>
  </w:num>
  <w:num w:numId="3" w16cid:durableId="107624848">
    <w:abstractNumId w:val="1"/>
  </w:num>
  <w:num w:numId="4" w16cid:durableId="1970429193">
    <w:abstractNumId w:val="0"/>
  </w:num>
  <w:num w:numId="5" w16cid:durableId="347677666">
    <w:abstractNumId w:val="6"/>
  </w:num>
  <w:num w:numId="6" w16cid:durableId="141316893">
    <w:abstractNumId w:val="2"/>
  </w:num>
  <w:num w:numId="7" w16cid:durableId="1235582254">
    <w:abstractNumId w:val="7"/>
  </w:num>
  <w:num w:numId="8" w16cid:durableId="1692028610">
    <w:abstractNumId w:val="4"/>
  </w:num>
  <w:num w:numId="9" w16cid:durableId="21150492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grammar="clean"/>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744B"/>
    <w:rsid w:val="00005B93"/>
    <w:rsid w:val="00013240"/>
    <w:rsid w:val="00025422"/>
    <w:rsid w:val="0003397B"/>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1F34C3"/>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5684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it-IT"/>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it-IT"/>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it-IT"/>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87428F42-DC80-4DCE-8E41-47727984ADB6}"/>
</file>

<file path=customXml/itemProps3.xml><?xml version="1.0" encoding="utf-8"?>
<ds:datastoreItem xmlns:ds="http://schemas.openxmlformats.org/officeDocument/2006/customXml" ds:itemID="{420C7DE9-976C-4905-855E-401A79640816}"/>
</file>

<file path=customXml/itemProps4.xml><?xml version="1.0" encoding="utf-8"?>
<ds:datastoreItem xmlns:ds="http://schemas.openxmlformats.org/officeDocument/2006/customXml" ds:itemID="{26856A0E-824E-4419-BB91-85F543A6A15A}"/>
</file>

<file path=docProps/app.xml><?xml version="1.0" encoding="utf-8"?>
<Properties xmlns="http://schemas.openxmlformats.org/officeDocument/2006/extended-properties" xmlns:vt="http://schemas.openxmlformats.org/officeDocument/2006/docPropsVTypes">
  <Template>Normal.dotm</Template>
  <TotalTime>0</TotalTime>
  <Pages>5</Pages>
  <Words>1972</Words>
  <Characters>13058</Characters>
  <Application>Microsoft Office Word</Application>
  <DocSecurity>0</DocSecurity>
  <Lines>272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2024-10-15T10:45:00Z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2024-10-15T10:37:32Z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fe5ffb3a-5ff5-4f84-928e-e8c60ba7d66b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