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 xml:space="preserve">BILAGA VIII – Instruktioner för offentliggörandemallar för kapitalbas</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b/>
          <w:bCs/>
          <w:sz w:val="24"/>
          <w:rFonts w:ascii="Times New Roman" w:hAnsi="Times New Roman" w:cs="Times New Roman"/>
        </w:rPr>
      </w:pPr>
      <w:r>
        <w:rPr>
          <w:b/>
          <w:sz w:val="24"/>
          <w:rFonts w:ascii="Times New Roman" w:hAnsi="Times New Roman"/>
        </w:rPr>
        <w:t xml:space="preserve">Mall EU CC1 – Sammansättning av föreskriven kapitalbas</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Instituten ska offentliggöra den information som avses i leden a, d, e och f i artikel 437 i förordning (EU) nr 575/2013</w:t>
      </w:r>
      <w:r w:rsidRPr="007F4CC8">
        <w:rPr>
          <w:rStyle w:val="FootnoteReference"/>
          <w:rFonts w:cs="Times New Roman"/>
          <w:color w:val="000000"/>
        </w:rPr>
        <w:footnoteReference w:id="1"/>
      </w:r>
      <w:r>
        <w:rPr>
          <w:sz w:val="24"/>
          <w:rFonts w:ascii="Times New Roman" w:hAnsi="Times New Roman"/>
        </w:rPr>
        <w:t xml:space="preserve"> (</w:t>
      </w:r>
      <w:r>
        <w:rPr>
          <w:sz w:val="24"/>
          <w:i/>
          <w:iCs/>
          <w:rFonts w:ascii="Times New Roman" w:hAnsi="Times New Roman"/>
        </w:rPr>
        <w:t xml:space="preserve">kapitalkravsförordningen</w:t>
      </w:r>
      <w:r>
        <w:rPr>
          <w:sz w:val="24"/>
          <w:rFonts w:ascii="Times New Roman" w:hAnsi="Times New Roman"/>
        </w:rPr>
        <w:t xml:space="preserve">) genom att följa de instruktioner som anges i denna bilaga för att fylla i mall EU CC1, vilken återfinns i bilaga VII till EBA:s it-lösningar.</w:t>
      </w:r>
    </w:p>
    <w:p w14:paraId="33ADC7E7"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Vid tillämpning av mall EU CC1 omfattar regulatoriska justeringar avdrag från kapitalbas och försiktighetsmarginaler.</w:t>
      </w:r>
    </w:p>
    <w:p w14:paraId="2CDAAE74"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Instituten ska fylla i kolumn b i denna mall för att redovisa källan till varje större ingångsvärde, för vilket en korshänvisning ska finnas till de motsvarande raderna i mall EU CC2.</w:t>
      </w:r>
    </w:p>
    <w:p w14:paraId="5C636132" w14:textId="77777777" w:rsidR="00C85971" w:rsidRPr="007F4CC8" w:rsidRDefault="00C85971" w:rsidP="00C85971">
      <w:pPr>
        <w:numPr>
          <w:ilvl w:val="0"/>
          <w:numId w:val="2"/>
        </w:numPr>
        <w:spacing w:before="120" w:after="120"/>
        <w:jc w:val="both"/>
        <w:rPr>
          <w:bCs/>
          <w:sz w:val="24"/>
          <w:rFonts w:ascii="Times New Roman" w:hAnsi="Times New Roman" w:cs="Times New Roman"/>
        </w:rPr>
      </w:pPr>
      <w:r>
        <w:rPr>
          <w:sz w:val="24"/>
          <w:rFonts w:ascii="Times New Roman" w:hAnsi="Times New Roman"/>
        </w:rPr>
        <w:t xml:space="preserve">I den förklaring som medföljer mallen ska instituten beskriva alla restriktioner som tillämpats på beräkningen av kapitalbas i enlighet med kapitalkravsförordningen och de instrument, försiktighetsmarginaler och avdrag för vilka dessa restriktioner är tillämpliga.</w:t>
      </w:r>
      <w:r>
        <w:rPr>
          <w:sz w:val="24"/>
          <w:rFonts w:ascii="Times New Roman" w:hAnsi="Times New Roman"/>
        </w:rPr>
        <w:t xml:space="preserve"> </w:t>
      </w:r>
      <w:r>
        <w:rPr>
          <w:sz w:val="24"/>
          <w:rFonts w:ascii="Times New Roman" w:hAnsi="Times New Roman"/>
        </w:rPr>
        <w:t xml:space="preserve">De ska även ge en uttömmande förklaring av den grund på vilken kapitalrelationer beräknas om dessa beräknas utifrån delar av kapitalbasen som fastställs på annan grund än den som föreskrivs i kapitalkravsförordningen.</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Rättsliga hänvisningar och instruktioner</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b/>
                <w:sz w:val="24"/>
                <w:rFonts w:ascii="Times New Roman" w:hAnsi="Times New Roman" w:cs="Times New Roman"/>
              </w:rPr>
            </w:pPr>
            <w:r>
              <w:rPr>
                <w:b/>
                <w:sz w:val="24"/>
                <w:rFonts w:ascii="Times New Roman" w:hAnsi="Times New Roman"/>
              </w:rPr>
              <w:t xml:space="preserve">Rad nr</w:t>
            </w:r>
          </w:p>
        </w:tc>
        <w:tc>
          <w:tcPr>
            <w:tcW w:w="7242" w:type="dxa"/>
            <w:shd w:val="clear" w:color="auto" w:fill="D9D9D9" w:themeFill="background1" w:themeFillShade="D9"/>
          </w:tcPr>
          <w:p w14:paraId="3586AD3A" w14:textId="77777777" w:rsidR="00C85971" w:rsidRPr="007F4CC8" w:rsidRDefault="00C85971" w:rsidP="00D819DE">
            <w:pPr>
              <w:rPr>
                <w:b/>
                <w:sz w:val="24"/>
                <w:rFonts w:ascii="Times New Roman" w:hAnsi="Times New Roman" w:cs="Times New Roman"/>
              </w:rPr>
            </w:pPr>
            <w:r>
              <w:rPr>
                <w:b/>
                <w:sz w:val="24"/>
                <w:rFonts w:ascii="Times New Roman" w:hAnsi="Times New Roman"/>
              </w:rPr>
              <w:t xml:space="preserve">Förklaring</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w:t>
            </w:r>
          </w:p>
        </w:tc>
        <w:tc>
          <w:tcPr>
            <w:tcW w:w="7242" w:type="dxa"/>
          </w:tcPr>
          <w:p w14:paraId="6D216B7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Kapitalinstrument och tillhörande överkursfonder</w:t>
            </w:r>
          </w:p>
          <w:p w14:paraId="3624D9E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Kapitalinstrument och tillhörande överkursfonder i enlighet med artikel 26.1 a och b, artiklarna 27, 28, 29 i kapitalkravsförordningen och den EBA-förteckning som avses i artikel 26.3 i kapitalkravsförordningen, och deras fördelning per typ av instrument.</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w:t>
            </w:r>
          </w:p>
        </w:tc>
        <w:tc>
          <w:tcPr>
            <w:tcW w:w="7242" w:type="dxa"/>
            <w:vAlign w:val="center"/>
          </w:tcPr>
          <w:p w14:paraId="5CAB890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Balanserade vinstmedel</w:t>
            </w:r>
          </w:p>
          <w:p w14:paraId="3BB53B0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Ej utdelade vinstmedel före alla regulatoriska justeringar i enlighet med artikel 26.1 c i kapitalkravsförordningen (före inkludering av eventuellt nettodelresultat)</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w:t>
            </w:r>
          </w:p>
        </w:tc>
        <w:tc>
          <w:tcPr>
            <w:tcW w:w="7242" w:type="dxa"/>
            <w:vAlign w:val="center"/>
          </w:tcPr>
          <w:p w14:paraId="32D3B93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Ackumulerat annat totalresultat (och andra reserver)</w:t>
            </w:r>
          </w:p>
          <w:p w14:paraId="7F75661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för ackumulerat annat totalresultat och andra reserver i enlighet med artikel 26.1 d och e i kapitalkravsförordningen</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EU-3a</w:t>
            </w:r>
          </w:p>
        </w:tc>
        <w:tc>
          <w:tcPr>
            <w:tcW w:w="7242" w:type="dxa"/>
            <w:vAlign w:val="center"/>
          </w:tcPr>
          <w:p w14:paraId="780A3FE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Reserveringar för allmänna risker i bankrörelse</w:t>
            </w:r>
          </w:p>
          <w:p w14:paraId="3C42716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för avsättningar för allmänna risker i bankrörelse i enlighet med artikel 26.1 f i kapitalkravsförordningen</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w:t>
            </w:r>
          </w:p>
        </w:tc>
        <w:tc>
          <w:tcPr>
            <w:tcW w:w="7242" w:type="dxa"/>
            <w:vAlign w:val="center"/>
          </w:tcPr>
          <w:p w14:paraId="1293988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484.3 i kapitalkravsförordningen och tillhörande överkursfonder som omfattas av utfasning från kärnprimärkapitalet</w:t>
            </w:r>
          </w:p>
          <w:p w14:paraId="434ED6B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484.3 i kapitalkravsförordningen och tillhörande överkursfonder som omfattas av utfasning från kärnprimärkapitalet enligt beskrivningen i artikel 486.2 i kapitalkravsförordningen</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w:t>
            </w:r>
          </w:p>
        </w:tc>
        <w:tc>
          <w:tcPr>
            <w:tcW w:w="7242" w:type="dxa"/>
            <w:vAlign w:val="center"/>
          </w:tcPr>
          <w:p w14:paraId="3FF63C4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Minoritetsintressen (tillåtet belopp i konsoliderat kärnprimärkapital)</w:t>
            </w:r>
          </w:p>
          <w:p w14:paraId="64724C4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Minoritetsintressen (tillåtet belopp i konsoliderat kärnprimärkapital) enligt artikel 84 i kapitalkravsförordningen</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EU-5a</w:t>
            </w:r>
          </w:p>
        </w:tc>
        <w:tc>
          <w:tcPr>
            <w:tcW w:w="7242" w:type="dxa"/>
            <w:vAlign w:val="center"/>
          </w:tcPr>
          <w:p w14:paraId="179AFE3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Delårsresultat netto efter avdrag för förutsebara kostnader och utdelningar som har verifierats av personer som har en oberoende ställning</w:t>
            </w:r>
          </w:p>
          <w:p w14:paraId="3017376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Delårsresultat netto efter avdrag för förutsebara kostnader eller utdelningar som har verifierats av personer som har en oberoende ställning i enlighet med artikel 26.2 i kapitalkravsförordningen</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w:t>
            </w:r>
          </w:p>
        </w:tc>
        <w:tc>
          <w:tcPr>
            <w:tcW w:w="7242" w:type="dxa"/>
            <w:vAlign w:val="center"/>
          </w:tcPr>
          <w:p w14:paraId="181768A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Kärnprimärkapital före regleringsmässiga justeringar</w:t>
            </w:r>
          </w:p>
          <w:p w14:paraId="5517D0E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Summan av beloppen i raderna 1 till EU-5a i denna mall</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w:t>
            </w:r>
          </w:p>
        </w:tc>
        <w:tc>
          <w:tcPr>
            <w:tcW w:w="7242" w:type="dxa"/>
            <w:vAlign w:val="center"/>
          </w:tcPr>
          <w:p w14:paraId="25B1784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Ytterligare värdejusteringar (negativt belopp)</w:t>
            </w:r>
          </w:p>
          <w:p w14:paraId="24604E9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Ytterligare värdejusteringar i enlighet med artiklarna 34 och 105 i kapitalkravsförordningen (negativt belopp)</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w:t>
            </w:r>
          </w:p>
        </w:tc>
        <w:tc>
          <w:tcPr>
            <w:tcW w:w="7242" w:type="dxa"/>
            <w:vAlign w:val="center"/>
          </w:tcPr>
          <w:p w14:paraId="540851D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Immateriella tillgångar (netto efter minskning för tillhörande skatteskulder) (negativt belopp)</w:t>
            </w:r>
          </w:p>
          <w:p w14:paraId="5E39866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Immateriella tillgångar (netto efter minskning för tillhörande skatteskulder) i enlighet med artikel 36.1 b och artikel 37 i kapitalkravsförordningen (negativt belopp)</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9</w:t>
            </w:r>
            <w:r>
              <w:rPr>
                <w:sz w:val="24"/>
                <w:rFonts w:ascii="Times New Roman" w:hAnsi="Times New Roman"/>
              </w:rPr>
              <w:t xml:space="preserve"> </w:t>
            </w:r>
          </w:p>
        </w:tc>
        <w:tc>
          <w:tcPr>
            <w:tcW w:w="7242" w:type="dxa"/>
            <w:vAlign w:val="center"/>
          </w:tcPr>
          <w:p w14:paraId="16084F4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Ej tillämpligt</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10</w:t>
            </w:r>
          </w:p>
        </w:tc>
        <w:tc>
          <w:tcPr>
            <w:tcW w:w="7242" w:type="dxa"/>
            <w:vAlign w:val="center"/>
          </w:tcPr>
          <w:p w14:paraId="03352CF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Uppskjutna skattefordringar som är beroende av framtida lönsamhet, utom sådana som uppstår till följd av temporära skillnader (netto efter minskning för tillhörande skatteskuld när villkoren i artikel 38.3 i kapitalkravsförordningen är uppfyllda) (negativt belopp)</w:t>
            </w:r>
          </w:p>
          <w:p w14:paraId="2A0A42E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Uppskjutna skattefordringar som är beroende av framtida lönsamhet, utom sådana som uppstår till följd av temporära skillnader (netto efter minskning för tillhörande skatteskuld när villkoren i artikel 38.3 i kapitalkravsförordningen är uppfyllda) i enlighet med artikel 36.1 c och artikel 38 i kapitalkravsförordningen (negativt belopp)</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11</w:t>
            </w:r>
          </w:p>
        </w:tc>
        <w:tc>
          <w:tcPr>
            <w:tcW w:w="7242" w:type="dxa"/>
            <w:vAlign w:val="center"/>
          </w:tcPr>
          <w:p w14:paraId="68ABFBF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Reserver för verkligt värde som härrör från vinster eller förluster på säkring av kassaflöden av finansiella instrument som inte värderas till verkligt värde</w:t>
            </w:r>
          </w:p>
          <w:p w14:paraId="28EED64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Reserver för verkligt värde som härrör från vinster eller förluster på säkring av kassaflöden av finansiella instrument som inte värderas till verkligt värde i enlighet med artikel 33.1 a i kapitalkravsförordningen</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12</w:t>
            </w:r>
          </w:p>
        </w:tc>
        <w:tc>
          <w:tcPr>
            <w:tcW w:w="7242" w:type="dxa"/>
            <w:vAlign w:val="center"/>
          </w:tcPr>
          <w:p w14:paraId="7F76EC5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Negativa belopp till följd av beräkningen av förväntade förlustbelopp</w:t>
            </w:r>
          </w:p>
          <w:p w14:paraId="1056ED1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Negativa belopp till följd av beräkningen av förväntade förlustbelopp i enlighet med artikel 36.1 d och artikel 40 i kapitalkravsförordningen</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13</w:t>
            </w:r>
          </w:p>
        </w:tc>
        <w:tc>
          <w:tcPr>
            <w:tcW w:w="7242" w:type="dxa"/>
            <w:vAlign w:val="center"/>
          </w:tcPr>
          <w:p w14:paraId="2DCF7FE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Eventuell ökning av eget kapital till följd av värdepapperiserade tillgångar (negativt belopp)</w:t>
            </w:r>
          </w:p>
          <w:p w14:paraId="0C6A56A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Eventuell ökning av eget kapital till följd av värdepapperiserade tillgångar i enlighet med artikel 32.1 i kapitalkravsförordningen (negativt belopp)</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14</w:t>
            </w:r>
          </w:p>
        </w:tc>
        <w:tc>
          <w:tcPr>
            <w:tcW w:w="7242" w:type="dxa"/>
            <w:vAlign w:val="center"/>
          </w:tcPr>
          <w:p w14:paraId="4D17091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Vinster eller förluster på skuldförbindelser som värderas till verkligt värde och som beror på ändringar av institutets egen kreditvärdighet</w:t>
            </w:r>
          </w:p>
          <w:p w14:paraId="07C3FAB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Vinster eller förluster på skuldförbindelser som värderas till verkligt värde och som beror på ändringar av institutets egen kreditvärdighet i enlighet med artikel 33.1 b i kapitalkravsförordningen</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15</w:t>
            </w:r>
          </w:p>
        </w:tc>
        <w:tc>
          <w:tcPr>
            <w:tcW w:w="7242" w:type="dxa"/>
            <w:vAlign w:val="center"/>
          </w:tcPr>
          <w:p w14:paraId="34140A6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Förmånsbestämda pensionsplaner (negativt belopp)</w:t>
            </w:r>
          </w:p>
          <w:p w14:paraId="7FE0A99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Förmånsbestämda pensionsfondstillgångar i enlighet med artikel 36.1 e och artikel 41 i kapitalkravsförordningen (negativt belopp)</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16</w:t>
            </w:r>
          </w:p>
        </w:tc>
        <w:tc>
          <w:tcPr>
            <w:tcW w:w="7242" w:type="dxa"/>
            <w:vAlign w:val="center"/>
          </w:tcPr>
          <w:p w14:paraId="7DEFE6A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egna kärnprimärkapitalinstrument (negativt belopp)</w:t>
            </w:r>
          </w:p>
          <w:p w14:paraId="77709E9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egna kärnprimärkapitalinstrument enligt beskrivningen i artikel 36.1 f och artikel 42 i kapitalkravsförordningen (negativt belopp)</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17</w:t>
            </w:r>
          </w:p>
        </w:tc>
        <w:tc>
          <w:tcPr>
            <w:tcW w:w="7242" w:type="dxa"/>
            <w:vAlign w:val="center"/>
          </w:tcPr>
          <w:p w14:paraId="1754CB1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Direkta, indirekta och syntetiska innehav av kärnprimärkapitalinstrument i enheter i den finansiella sektorn med vilka institutet har ett korsvist ägande som är avsett att på konstlad väg öka institutets kapitalbas (negativt belopp)</w:t>
            </w:r>
          </w:p>
          <w:p w14:paraId="2AFFD0C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Direkta, indirekta och syntetiska innehav av kärnprimärkapitalinstrument i enheter i den finansiella sektorn med vilka institutet har ett korsvist ägande som är avsett att på konstlad väg öka institutets kapitalbas i enlighet med artikel 36.1 g och i artikel 44 i kapitalkravsförordningen (negativt belopp)</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18</w:t>
            </w:r>
          </w:p>
        </w:tc>
        <w:tc>
          <w:tcPr>
            <w:tcW w:w="7242" w:type="dxa"/>
            <w:vAlign w:val="center"/>
          </w:tcPr>
          <w:p w14:paraId="3B9E256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kärnprimärkapitalinstrument i enheter i den finansiella sektorn, om institutet inte har något väsentligt innehav i dessa enheter (belopp över tröskelvärdet på 10 %, netto efter godtagbara korta positioner) (negativt belopp)</w:t>
            </w:r>
          </w:p>
          <w:p w14:paraId="3D0E5CB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Direkta, indirekta och syntetiska innehav av kärnprimärkapitalinstrument i enheter i den finansiella sektorn, om institutet inte har något väsentligt innehav i dessa enheter (belopp över tröskelvärdet på 10 %, netto efter godtagbara korta positioner) i enlighet med artikel 36.1 h och i artiklarna 43, 45, 46, 49.2, 49.3 och 79 i kapitalkravsförordningen (negativt belopp)</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19</w:t>
            </w:r>
          </w:p>
        </w:tc>
        <w:tc>
          <w:tcPr>
            <w:tcW w:w="7242" w:type="dxa"/>
            <w:vAlign w:val="center"/>
          </w:tcPr>
          <w:p w14:paraId="4BA2A69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kärnprimärkapitalinstrument i enheter i den finansiella sektorn, om institutet har ett väsentligt innehav i dessa enheter (belopp över tröskelvärdet på 10 %, netto efter godtagbara korta positioner) (negativt belopp)</w:t>
            </w:r>
          </w:p>
          <w:p w14:paraId="39DCB46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kärnprimärkapitalinstrument i enheter i den finansiella sektorn, om institutet har ett väsentligt innehav i dessa enheter (belopp över tröskelvärdet på 10 %, netto efter godtagbara korta positioner) i enlighet med artikel 36.1 (i), artiklarna 43, 45 och 47, artikel 48.1 b och artikel 49.1–3 i kapitalkravsförordningen (negativt belopp)</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20</w:t>
            </w:r>
          </w:p>
        </w:tc>
        <w:tc>
          <w:tcPr>
            <w:tcW w:w="7242" w:type="dxa"/>
            <w:vAlign w:val="center"/>
          </w:tcPr>
          <w:p w14:paraId="7EEC1B7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Ej tillämpligt</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EU-20a</w:t>
            </w:r>
          </w:p>
        </w:tc>
        <w:tc>
          <w:tcPr>
            <w:tcW w:w="7242" w:type="dxa"/>
            <w:vAlign w:val="center"/>
          </w:tcPr>
          <w:p w14:paraId="7BE5743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Exponeringsbelopp för följande poster som uppfyller kraven för en riskvikt på 1 250 % om institutet väljer alternativet med avdrag</w:t>
            </w:r>
          </w:p>
          <w:p w14:paraId="2CA8C5B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Exponeringsbelopp som uppfyller kraven för en riskvikt på 1 250 % om institutet väljer alternativet med avdrag i enlighet med artikel 36.1 k i kapitalkravsförordningen</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EU-20b</w:t>
            </w:r>
          </w:p>
        </w:tc>
        <w:tc>
          <w:tcPr>
            <w:tcW w:w="7242" w:type="dxa"/>
            <w:vAlign w:val="center"/>
          </w:tcPr>
          <w:p w14:paraId="6D0F55A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kvalificerade innehav i företag utanför den finansiella sektorn (negativt belopp)</w:t>
            </w:r>
          </w:p>
          <w:p w14:paraId="0056EA6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Det belopp av beloppet i EU-20a som avser kvalificerade innehav i företag utanför den finansiella sektorn i enlighet med artikel 36.1 k (i) och artiklarna 89–91 i kapitalkravsförordningen (negativt belopp)</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EU-20c</w:t>
            </w:r>
          </w:p>
        </w:tc>
        <w:tc>
          <w:tcPr>
            <w:tcW w:w="7242" w:type="dxa"/>
            <w:vAlign w:val="center"/>
          </w:tcPr>
          <w:p w14:paraId="66854EC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värdepapperiseringspositioner (negativt belopp)</w:t>
            </w:r>
          </w:p>
          <w:p w14:paraId="232BFB2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Det belopp av beloppet i EU-20a i denna mall som avser värdepapperiseringspositioner i enlighet med artikel 36.1 k (ii), artikel 243.1 b, artikel 244.1 b och artikel 258 i kapitalkravsförordningen (negativt belopp)</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EU-20d</w:t>
            </w:r>
          </w:p>
        </w:tc>
        <w:tc>
          <w:tcPr>
            <w:tcW w:w="7242" w:type="dxa"/>
            <w:vAlign w:val="center"/>
          </w:tcPr>
          <w:p w14:paraId="7715FCA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transaktioner utan krav på samtidig prestation (negativt belopp)</w:t>
            </w:r>
          </w:p>
          <w:p w14:paraId="218B6C2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Det belopp av beloppet i EU-20a i denna mall som avser transaktioner utan samtidig prestation i enlighet med artikel 36.1 k (iii) och artikel 379.3 i kapitalkravsförordningen (negativt belopp)</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21</w:t>
            </w:r>
          </w:p>
        </w:tc>
        <w:tc>
          <w:tcPr>
            <w:tcW w:w="7242" w:type="dxa"/>
            <w:vAlign w:val="center"/>
          </w:tcPr>
          <w:p w14:paraId="0D30480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Uppskjutna skattefordringar som uppstår till följd av temporära skillnader (belopp över tröskelvärdet på 10 %, netto efter minskning för tillhörande skatteskuld när villkoren i artikel 38.3 i kapitalkravsförordningen är uppfyllda) (negativt belopp)</w:t>
            </w:r>
          </w:p>
          <w:p w14:paraId="1047B9C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Uppskjutna skattefordringar som uppstår till följd av temporära skillnader (belopp över tröskelvärdet på 10 %, netto efter minskning för tillhörande skatteskuld när villkoren i artikel 38.3 i kapitalkravsförordningen är uppfyllda) i enlighet med artikel 36.1 c, artikel 38 och artikel 48.1 a i kapitalkravsförordningen (negativt belopp)</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22</w:t>
            </w:r>
          </w:p>
        </w:tc>
        <w:tc>
          <w:tcPr>
            <w:tcW w:w="7242" w:type="dxa"/>
            <w:vAlign w:val="center"/>
          </w:tcPr>
          <w:p w14:paraId="5A0A5E9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som överskrider tröskelvärdet på 17,65 % (negativt belopp)</w:t>
            </w:r>
          </w:p>
          <w:p w14:paraId="5ADBAB1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som överskrider tröskelvärdet på 17,65 % i enlighet med artikel 48.1 i kapitalkravsförordningen (negativt belopp)</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23</w:t>
            </w:r>
          </w:p>
        </w:tc>
        <w:tc>
          <w:tcPr>
            <w:tcW w:w="7242" w:type="dxa"/>
            <w:vAlign w:val="center"/>
          </w:tcPr>
          <w:p w14:paraId="4727FB4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institutets direkta, indirekta och syntetiska innehav av kärnprimärkapitalinstrument i enheter i den finansiella sektorn om institutet har ett väsentligt innehav i de enheterna</w:t>
            </w:r>
          </w:p>
          <w:p w14:paraId="63DF0E4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Det belopp av beloppet i rad 22 i denna mall som avser institutets direkta, indirekta och syntetiska innehav av kärnprimärkapitalinstrument i enheter inom den finansiella sektorn i vilka institutet har ett väsentligt innehav i enlighet med artiklarna 36.1 (i) och 48.1 b i kapitalkravsförordningen</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24</w:t>
            </w:r>
          </w:p>
        </w:tc>
        <w:tc>
          <w:tcPr>
            <w:tcW w:w="7242" w:type="dxa"/>
            <w:vAlign w:val="center"/>
          </w:tcPr>
          <w:p w14:paraId="310E2E5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Ej tillämpligt</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25</w:t>
            </w:r>
          </w:p>
        </w:tc>
        <w:tc>
          <w:tcPr>
            <w:tcW w:w="7242" w:type="dxa"/>
            <w:vAlign w:val="center"/>
          </w:tcPr>
          <w:p w14:paraId="0AD27DB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uppskjutna skattefordringar som uppstår till följd av temporära skillnader</w:t>
            </w:r>
          </w:p>
          <w:p w14:paraId="482D0A2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Det belopp av beloppet i rad 22 i denna mall som avser uppskjutna skattefordringar som uppstår till följd av temporära skillnader i enlighet med artikel 36.1 c, artikel 38 och artikel 48.1 a i kapitalkravsförordningen</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EU-25a</w:t>
            </w:r>
          </w:p>
        </w:tc>
        <w:tc>
          <w:tcPr>
            <w:tcW w:w="7242" w:type="dxa"/>
            <w:vAlign w:val="center"/>
          </w:tcPr>
          <w:p w14:paraId="639D394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Förluster för innevarande räkenskapsår (negativt belopp)</w:t>
            </w:r>
          </w:p>
          <w:p w14:paraId="21AC546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Förluster för räkenskapsåret i enlighet med artikel 36.1 a i kapitalkravsförordningen (negativt belopp)</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EU-25b</w:t>
            </w:r>
          </w:p>
        </w:tc>
        <w:tc>
          <w:tcPr>
            <w:tcW w:w="7242" w:type="dxa"/>
            <w:vAlign w:val="center"/>
          </w:tcPr>
          <w:p w14:paraId="635948D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Förutsebara skatter som är relaterade till kärnprimärkapitalposter, förutom om institutet på ett lämpligt sätt justerar beloppet för kärnprimärkapitalposter i den mån sådana skatteavgifter minskar det belopp upp till vilket dessa poster får användas för att täcka risker eller förluster (negativt belopp)</w:t>
            </w:r>
          </w:p>
          <w:p w14:paraId="734D12D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för förutsebara skatter som är relaterade till kärnprimärkapitalposter och som är förutsebara vid tidpunkten för beräkningen, förutom om institutet på ett lämpligt sätt justerar beloppet för kärnprimärkapitalposter i den mån sådana skatteavgifter minskar det belopp upp till vilket dessa poster kan tillämpas för att täcka risker eller förluster, i enlighet med artikel 36.1 l i kapitalkravsförordningen (negativt belopp)</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26</w:t>
            </w:r>
          </w:p>
        </w:tc>
        <w:tc>
          <w:tcPr>
            <w:tcW w:w="7242" w:type="dxa"/>
            <w:vAlign w:val="center"/>
          </w:tcPr>
          <w:p w14:paraId="0A67484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Ej tillämpligt</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27</w:t>
            </w:r>
          </w:p>
        </w:tc>
        <w:tc>
          <w:tcPr>
            <w:tcW w:w="7242" w:type="dxa"/>
            <w:vAlign w:val="center"/>
          </w:tcPr>
          <w:p w14:paraId="39A9779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Avdrag från kvalificerande övrigt primärkapital som överskrider institutets övriga primärkapital (negativt belopp)</w:t>
            </w:r>
          </w:p>
          <w:p w14:paraId="355E3AE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Avdrag från kvalificerande övrigt primärkapital som överskrider institutets övriga primärkapital i enlighet med artikel 36.1 j i kapitalkravsförordningen (negativt belopp)</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EU-27a</w:t>
            </w:r>
          </w:p>
        </w:tc>
        <w:tc>
          <w:tcPr>
            <w:tcW w:w="7242" w:type="dxa"/>
            <w:vAlign w:val="center"/>
          </w:tcPr>
          <w:p w14:paraId="18AFE0A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Andra regleringsmässiga justeringar</w:t>
            </w:r>
          </w:p>
          <w:p w14:paraId="2E4AF0F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 denna rad ska instituten offentliggöra alla tillämpliga regulatoriska justeringar som rapporterats som en del av tillsynsrapporteringen och som inte ingår i någon annan rad i denna mall, inklusive beloppet för övergångsarrangemangen enligt IFRS 9, i relevanta fall och fram till slutet av övergångsperioden</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28</w:t>
            </w:r>
          </w:p>
        </w:tc>
        <w:tc>
          <w:tcPr>
            <w:tcW w:w="7242" w:type="dxa"/>
            <w:vAlign w:val="center"/>
          </w:tcPr>
          <w:p w14:paraId="5A31DBA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Sammanlagda regulatoriska justeringar av kärnprimärkapital</w:t>
            </w:r>
          </w:p>
          <w:p w14:paraId="45C480D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Beräknas som summan av beloppen i raderna 7 till EU-20a, 21, 22 och EU-25a till EU-27a i denna mall</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29</w:t>
            </w:r>
          </w:p>
        </w:tc>
        <w:tc>
          <w:tcPr>
            <w:tcW w:w="7242" w:type="dxa"/>
            <w:vAlign w:val="center"/>
          </w:tcPr>
          <w:p w14:paraId="242357F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Kärnprimärkapital</w:t>
            </w:r>
          </w:p>
          <w:p w14:paraId="7AF2FC11" w14:textId="77777777" w:rsidR="00C85971" w:rsidRPr="007F4CC8" w:rsidRDefault="00C85971" w:rsidP="00D819DE">
            <w:pPr>
              <w:spacing w:after="200"/>
              <w:jc w:val="both"/>
              <w:rPr>
                <w:sz w:val="24"/>
                <w:rFonts w:ascii="Times New Roman" w:hAnsi="Times New Roman"/>
              </w:rPr>
            </w:pPr>
            <w:r>
              <w:rPr>
                <w:sz w:val="24"/>
                <w:rFonts w:ascii="Times New Roman" w:hAnsi="Times New Roman"/>
              </w:rPr>
              <w:t xml:space="preserve">Beräknas som rad 6 minus rad 28 i denna mall</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30</w:t>
            </w:r>
          </w:p>
        </w:tc>
        <w:tc>
          <w:tcPr>
            <w:tcW w:w="7242" w:type="dxa"/>
            <w:vAlign w:val="center"/>
          </w:tcPr>
          <w:p w14:paraId="7F9E5A2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Kapitalinstrument och tillhörande överkursfonder</w:t>
            </w:r>
          </w:p>
          <w:p w14:paraId="78F65A5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Kapitalinstrument och tillhörande överkursfonder i enlighet med artiklarna 51 och 52 i kapitalkravsförordningen</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31</w:t>
            </w:r>
          </w:p>
        </w:tc>
        <w:tc>
          <w:tcPr>
            <w:tcW w:w="7242" w:type="dxa"/>
            <w:vAlign w:val="center"/>
          </w:tcPr>
          <w:p w14:paraId="392F241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klassificerade som eget kapital enligt tillämpliga redovisningsstandarder</w:t>
            </w:r>
          </w:p>
          <w:p w14:paraId="6088A1D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Det belopp i rad 30 i denna mall som klassificeras som eget kapital enligt tillämpliga redovisningsstandarder</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32</w:t>
            </w:r>
          </w:p>
        </w:tc>
        <w:tc>
          <w:tcPr>
            <w:tcW w:w="7242" w:type="dxa"/>
            <w:vAlign w:val="center"/>
          </w:tcPr>
          <w:p w14:paraId="2E569E4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klassificerade som skulder enligt tillämpliga redovisningsstandarder</w:t>
            </w:r>
          </w:p>
          <w:p w14:paraId="4C02CCA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Det belopp i rad 30 i denna mall som klassificeras som skulder enligt tillämpliga redovisningsstandarder</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33</w:t>
            </w:r>
          </w:p>
        </w:tc>
        <w:tc>
          <w:tcPr>
            <w:tcW w:w="7242" w:type="dxa"/>
            <w:vAlign w:val="center"/>
          </w:tcPr>
          <w:p w14:paraId="56140F8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484.4 i kapitalkravsförordningen och tillhörande överkursfonder som omfattas av utfasning från övrigt primärkapital</w:t>
            </w:r>
          </w:p>
          <w:p w14:paraId="5AA40DA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484.4 i kapitalkravsförordningen och tillhörande överkursfonder som omfattas av utfasning från övrigt primärkapital i enlighet med artikel 486.3 i kapitalkravsförordningen</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EU-33a</w:t>
            </w:r>
          </w:p>
        </w:tc>
        <w:tc>
          <w:tcPr>
            <w:tcW w:w="7242" w:type="dxa"/>
            <w:vAlign w:val="center"/>
          </w:tcPr>
          <w:p w14:paraId="399F784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494a.1 i kapitalkravsförordningen som omfattas av utfasning från övrigt primärkapital</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EU-33b</w:t>
            </w:r>
          </w:p>
        </w:tc>
        <w:tc>
          <w:tcPr>
            <w:tcW w:w="7242" w:type="dxa"/>
            <w:vAlign w:val="center"/>
          </w:tcPr>
          <w:p w14:paraId="3B81B16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494b.1 i kapitalkravsförordningen som omfattas av utfasning från övrigt primärkapital</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34</w:t>
            </w:r>
          </w:p>
        </w:tc>
        <w:tc>
          <w:tcPr>
            <w:tcW w:w="7242" w:type="dxa"/>
            <w:vAlign w:val="center"/>
          </w:tcPr>
          <w:p w14:paraId="3DFD22A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Kvalificerande primärkapital som ingår i det konsoliderade övriga primärkapitalet för kapitaltäckningsändamål (inbegripet minoritetsintressen som inte tas med i rad 5) som utgivits av dotterföretag och innehas av tredje part</w:t>
            </w:r>
          </w:p>
          <w:p w14:paraId="33267B8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Kvalificerande primärkapital som ingår i det konsoliderade övriga primärkapitalet för kapitaltäckningsändamål (inbegripet minoritetsintressen som inte tas med i rad 5) som utgivits av dotterföretag och innehas av tredje part i enlighet med artiklarna 85 och 86 i kapitalkravsförordningen</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35</w:t>
            </w:r>
          </w:p>
        </w:tc>
        <w:tc>
          <w:tcPr>
            <w:tcW w:w="7242" w:type="dxa"/>
            <w:vAlign w:val="center"/>
          </w:tcPr>
          <w:p w14:paraId="75F25B4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instrument som utgivits av dotterföretag och som omfattas av utfasning</w:t>
            </w:r>
          </w:p>
          <w:p w14:paraId="6DA4F14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Det belopp i rad 34 i denna mall som avser de instrument som utfärdats av dotterföretag och som omfattas av utfasning i enlighet med artikel 486.3 i kapitalkravsförordningen.</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36</w:t>
            </w:r>
          </w:p>
        </w:tc>
        <w:tc>
          <w:tcPr>
            <w:tcW w:w="7242" w:type="dxa"/>
            <w:vAlign w:val="center"/>
          </w:tcPr>
          <w:p w14:paraId="33B0FEC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Övrigt primärkapital före regleringsmässiga justeringar</w:t>
            </w:r>
          </w:p>
          <w:p w14:paraId="282C0FB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Summan av beloppen i raderna 30, 33, EU-33a, EU-33b och 34 i denna mall</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37</w:t>
            </w:r>
          </w:p>
        </w:tc>
        <w:tc>
          <w:tcPr>
            <w:tcW w:w="7242" w:type="dxa"/>
            <w:vAlign w:val="center"/>
          </w:tcPr>
          <w:p w14:paraId="2DB3777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egna primärkapitaltillskott (negativt belopp)</w:t>
            </w:r>
          </w:p>
          <w:p w14:paraId="58F9FBF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egna primärkapitaltillskott i enlighet med artikel 52.1 b, artikel 56 a och artikel 57 i kapitalkravsförordningen (negativt belopp)</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38</w:t>
            </w:r>
          </w:p>
        </w:tc>
        <w:tc>
          <w:tcPr>
            <w:tcW w:w="7242" w:type="dxa"/>
            <w:vAlign w:val="center"/>
          </w:tcPr>
          <w:p w14:paraId="6D6C398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Direkta, indirekta och syntetiska innehav av primärkapitaltillskott i enheter i den finansiella sektorn med vilka institutet har ett korsvist ägande som är avsett att på konstlad väg öka institutets kapitalbas (negativt belopp)</w:t>
            </w:r>
          </w:p>
          <w:p w14:paraId="6BE90AD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Direkta, indirekta och syntetiska innehav av primärkapitaltillskott i enheter i den finansiella sektorn med vilka institutet har ett korsvist ägande som är avsett att på konstlad väg öka institutets kapitalbas i enlighet med artikel 56 b och artikel 58 i kapitalkravsförordningen (negativt belopp)</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39</w:t>
            </w:r>
          </w:p>
        </w:tc>
        <w:tc>
          <w:tcPr>
            <w:tcW w:w="7242" w:type="dxa"/>
            <w:vAlign w:val="center"/>
          </w:tcPr>
          <w:p w14:paraId="240A2B6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Direkta, indirekta och syntetiska innehav av primärkapitaltillskott i enheter i den finansiella sektorn, om institutet inte har ett väsentligt innehav i dessa enheter (belopp över tröskelvärdet på 10 %, netto efter godtagbara korta positioner) (negativt belopp)</w:t>
            </w:r>
          </w:p>
          <w:p w14:paraId="3530D91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Direkta, indirekta och syntetiska innehav av primärkapitaltillskott i enheter i den finansiella sektorn, om institutet inte har ett väsentligt innehav i dessa enheter (belopp över tröskelvärdet på 10 %, netto efter godtagbara korta positioner) i enlighet med artikel 56 c och artiklarna 59, 60 och 79 i kapitalkravsförordningen (negativt belopp)</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40</w:t>
            </w:r>
          </w:p>
        </w:tc>
        <w:tc>
          <w:tcPr>
            <w:tcW w:w="7242" w:type="dxa"/>
            <w:vAlign w:val="center"/>
          </w:tcPr>
          <w:p w14:paraId="3C0D409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primärkapitaltillskott i enheter i den finansiella sektorn, om institutet har ett väsentligt innehav i dessa enheter (netto efter godtagbara korta positioner) (negativt belopp)</w:t>
            </w:r>
          </w:p>
          <w:p w14:paraId="63735E8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primärkapitaltillskott i enheter i den finansiella sektorn, om institutet har ett väsentligt innehav i dessa enheter (netto efter godtagbara korta positioner) i enlighet med artiklarna 56 d, 59 och 79 i kapitalkravsförordningen (negativt belopp)</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41</w:t>
            </w:r>
          </w:p>
        </w:tc>
        <w:tc>
          <w:tcPr>
            <w:tcW w:w="7242" w:type="dxa"/>
            <w:vAlign w:val="center"/>
          </w:tcPr>
          <w:p w14:paraId="4FC8941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Ej tillämpligt</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42</w:t>
            </w:r>
          </w:p>
        </w:tc>
        <w:tc>
          <w:tcPr>
            <w:tcW w:w="7242" w:type="dxa"/>
            <w:vAlign w:val="center"/>
          </w:tcPr>
          <w:p w14:paraId="3539E1E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Avdrag från kvalificerande supplementärkapital som överskrider institutets supplementärkapitalposter (negativt belopp)</w:t>
            </w:r>
          </w:p>
          <w:p w14:paraId="089D040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Avdrag från kvalificerande supplementärkapital som överskrider institutets supplementärkapitalposter i enlighet med artikel 56 e i kapitalkravsförordningen (negativt belopp)</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Eu-42a</w:t>
            </w:r>
          </w:p>
        </w:tc>
        <w:tc>
          <w:tcPr>
            <w:tcW w:w="7242" w:type="dxa"/>
            <w:vAlign w:val="center"/>
          </w:tcPr>
          <w:p w14:paraId="40E2643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Andra regleringsmässiga justeringar av övrigt primärkapital</w:t>
            </w:r>
          </w:p>
          <w:p w14:paraId="482C6DB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 denna rad ska instituten offentliggöra alla tillämpliga regulatoriska justeringar som rapporterats som en del av tillsynsrapporteringen och som inte ingår i någon annan rad i denna mall</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43</w:t>
            </w:r>
          </w:p>
        </w:tc>
        <w:tc>
          <w:tcPr>
            <w:tcW w:w="7242" w:type="dxa"/>
            <w:vAlign w:val="center"/>
          </w:tcPr>
          <w:p w14:paraId="3966C0B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Totala regleringsmässiga justeringar av övrigt primärkapital</w:t>
            </w:r>
          </w:p>
          <w:p w14:paraId="35FB671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Summan av beloppen i raderna 37 till EU-42a i denna mall</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44</w:t>
            </w:r>
          </w:p>
        </w:tc>
        <w:tc>
          <w:tcPr>
            <w:tcW w:w="7242" w:type="dxa"/>
            <w:vAlign w:val="center"/>
          </w:tcPr>
          <w:p w14:paraId="7629AC5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Övrigt primärkapital</w:t>
            </w:r>
          </w:p>
          <w:p w14:paraId="37C4BA87" w14:textId="77777777" w:rsidR="00C85971" w:rsidRPr="007F4CC8" w:rsidRDefault="00C85971" w:rsidP="00D819DE">
            <w:pPr>
              <w:spacing w:after="200"/>
              <w:jc w:val="both"/>
              <w:rPr>
                <w:sz w:val="24"/>
                <w:rFonts w:ascii="Times New Roman" w:hAnsi="Times New Roman"/>
              </w:rPr>
            </w:pPr>
            <w:r>
              <w:rPr>
                <w:sz w:val="24"/>
                <w:rFonts w:ascii="Times New Roman" w:hAnsi="Times New Roman"/>
              </w:rPr>
              <w:t xml:space="preserve">Övrigt primärkapital ska beräknas som rad 36 minus rad 43 i denna mall</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45</w:t>
            </w:r>
          </w:p>
        </w:tc>
        <w:tc>
          <w:tcPr>
            <w:tcW w:w="7242" w:type="dxa"/>
            <w:vAlign w:val="center"/>
          </w:tcPr>
          <w:p w14:paraId="23FE6E52" w14:textId="77777777" w:rsidR="00C85971" w:rsidRPr="00DD0C4D" w:rsidRDefault="00C85971" w:rsidP="00D819DE">
            <w:pPr>
              <w:spacing w:after="200"/>
              <w:jc w:val="both"/>
              <w:rPr>
                <w:sz w:val="24"/>
                <w:rFonts w:ascii="Times New Roman" w:hAnsi="Times New Roman" w:cs="Times New Roman"/>
              </w:rPr>
            </w:pPr>
            <w:r>
              <w:rPr>
                <w:sz w:val="24"/>
                <w:rFonts w:ascii="Times New Roman" w:hAnsi="Times New Roman"/>
              </w:rPr>
              <w:t xml:space="preserve">Primärkapital (primärkapital = kärnprimärkapital + övrigt primärkapital)</w:t>
            </w:r>
          </w:p>
          <w:p w14:paraId="72DB0E03" w14:textId="77777777" w:rsidR="00C85971" w:rsidRPr="007F4CC8" w:rsidRDefault="00C85971" w:rsidP="00D819DE">
            <w:pPr>
              <w:spacing w:after="200"/>
              <w:jc w:val="both"/>
              <w:rPr>
                <w:sz w:val="24"/>
                <w:rFonts w:ascii="Times New Roman" w:hAnsi="Times New Roman"/>
              </w:rPr>
            </w:pPr>
            <w:r>
              <w:rPr>
                <w:sz w:val="24"/>
                <w:rFonts w:ascii="Times New Roman" w:hAnsi="Times New Roman"/>
              </w:rPr>
              <w:t xml:space="preserve">Primärkapital ska beräknas som rad 29 plus rad 44 i denna mall</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46</w:t>
            </w:r>
          </w:p>
        </w:tc>
        <w:tc>
          <w:tcPr>
            <w:tcW w:w="7242" w:type="dxa"/>
            <w:vAlign w:val="center"/>
          </w:tcPr>
          <w:p w14:paraId="6CFBD42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Kapitalinstrument och tillhörande överkursfonder</w:t>
            </w:r>
          </w:p>
          <w:p w14:paraId="140805D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Kapitalinstrument och tillhörande överkursfonder i enlighet med artiklarna 62 och 63 i kapitalkravsförordningen</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47</w:t>
            </w:r>
          </w:p>
        </w:tc>
        <w:tc>
          <w:tcPr>
            <w:tcW w:w="7242" w:type="dxa"/>
            <w:vAlign w:val="center"/>
          </w:tcPr>
          <w:p w14:paraId="4080F05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484.5 i kapitalkravsförordningen och tillhörande överkursfonder som omfattas av utfasning från supplementärkapitalet enligt beskrivningen i artikel 486.4 i kapitalkravsförordningen</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EU-47a</w:t>
            </w:r>
          </w:p>
        </w:tc>
        <w:tc>
          <w:tcPr>
            <w:tcW w:w="7242" w:type="dxa"/>
            <w:vAlign w:val="center"/>
          </w:tcPr>
          <w:p w14:paraId="6518E59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494a.2 i kapitalkravsförordningen och som omfattas av utfasning från supplementärkapitalet</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EU-47b</w:t>
            </w:r>
          </w:p>
        </w:tc>
        <w:tc>
          <w:tcPr>
            <w:tcW w:w="7242" w:type="dxa"/>
            <w:vAlign w:val="center"/>
          </w:tcPr>
          <w:p w14:paraId="1D9B343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494b.2 i kapitalkravsförordningen och som omfattas av utfasning från supplementärkapitalet</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48</w:t>
            </w:r>
          </w:p>
        </w:tc>
        <w:tc>
          <w:tcPr>
            <w:tcW w:w="7242" w:type="dxa"/>
            <w:vAlign w:val="center"/>
          </w:tcPr>
          <w:p w14:paraId="10C3720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Kvalificerande kapitalbasinstrument som ingår i konsoliderat supplementärkapital (inbegripet minoritetsintressen och primärkapitaltillskott som inte tas med i raderna 5 eller 34) som utgivits av dotterföretag och innehas av tredje part</w:t>
            </w:r>
          </w:p>
          <w:p w14:paraId="34FA1FF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Kvalificerande kapitalbasinstrument som ingår i konsoliderat supplementärkapital (inbegripet minoritetsintressen och primärkapitaltillskott som inte tas med i raderna 5 eller 34 i denna mall) som utgivits av dotterföretag och innehas av tredje part i enlighet med artiklarna 87 och 88 i kapitalkravsförordningen</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49</w:t>
            </w:r>
          </w:p>
        </w:tc>
        <w:tc>
          <w:tcPr>
            <w:tcW w:w="7242" w:type="dxa"/>
            <w:vAlign w:val="center"/>
          </w:tcPr>
          <w:p w14:paraId="7410FA9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instrument som utgivits av dotterföretag och som omfattas av utfasning</w:t>
            </w:r>
          </w:p>
          <w:p w14:paraId="4A6AC43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Det belopp av beloppet i rad 48 som avser instrument som utfärdats av dotterföretag och som omfattas av utfasning i enlighet med artikel 486.4 i kapitalkravsförordningen.</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50</w:t>
            </w:r>
          </w:p>
        </w:tc>
        <w:tc>
          <w:tcPr>
            <w:tcW w:w="7242" w:type="dxa"/>
            <w:vAlign w:val="center"/>
          </w:tcPr>
          <w:p w14:paraId="4DE6526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Kreditriskjusteringar</w:t>
            </w:r>
          </w:p>
          <w:p w14:paraId="17F4C3B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Kreditriskjusteringar i enlighet med artikel 62 c och d i kapitalkravsförordningen</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51</w:t>
            </w:r>
          </w:p>
        </w:tc>
        <w:tc>
          <w:tcPr>
            <w:tcW w:w="7242" w:type="dxa"/>
            <w:vAlign w:val="center"/>
          </w:tcPr>
          <w:p w14:paraId="337E42A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Supplementärkapital före regleringsmässiga justeringar</w:t>
            </w:r>
          </w:p>
          <w:p w14:paraId="0DD0BE98" w14:textId="77777777" w:rsidR="00C85971" w:rsidRPr="007F4CC8" w:rsidRDefault="00C85971" w:rsidP="00D819DE">
            <w:pPr>
              <w:spacing w:after="200"/>
              <w:jc w:val="both"/>
              <w:rPr>
                <w:sz w:val="24"/>
                <w:rFonts w:ascii="Times New Roman" w:hAnsi="Times New Roman"/>
              </w:rPr>
            </w:pPr>
            <w:r>
              <w:rPr>
                <w:sz w:val="24"/>
                <w:rFonts w:ascii="Times New Roman" w:hAnsi="Times New Roman"/>
              </w:rPr>
              <w:t xml:space="preserve">Summan av beloppen i raderna 46–48 och rad 50 i denna mall</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52</w:t>
            </w:r>
          </w:p>
        </w:tc>
        <w:tc>
          <w:tcPr>
            <w:tcW w:w="7242" w:type="dxa"/>
            <w:vAlign w:val="center"/>
          </w:tcPr>
          <w:p w14:paraId="6681B95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egna supplementärkapitaltillskott och efterställda lån (negativt belopp)</w:t>
            </w:r>
          </w:p>
          <w:p w14:paraId="19B0E00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egna supplementärkapitaltillskott och efterställda lån enligt beskrivningen i artikel 63 b (i), artikel 66 a och artikel 67 i kapitalkravsförordningen (negativa belopp)</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53</w:t>
            </w:r>
          </w:p>
        </w:tc>
        <w:tc>
          <w:tcPr>
            <w:tcW w:w="7242" w:type="dxa"/>
            <w:vAlign w:val="center"/>
          </w:tcPr>
          <w:p w14:paraId="39CF61F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Direkta, indirekta och syntetiska innehav av supplementärkapitaltillskott och efterställda lån i enheter i den finansiella sektorn med vilka institutet har ett korsvist ägande som är avsett att på konstlad väg öka institutets kapitalbas (negativt belopp)</w:t>
            </w:r>
          </w:p>
          <w:p w14:paraId="63EF50C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Direkta, indirekta och syntetiska innehav av supplementärkapitaltillskott och efterställda lån i enheter i den finansiella sektorn med vilka institutet har ett korsvist ägande som är avsett att på konstlad väg öka institutets kapitalbas enligt beskrivningen i artikel 66 b och artikel 68 i kapitalkravsförordningen (negativt belopp)</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54</w:t>
            </w:r>
          </w:p>
        </w:tc>
        <w:tc>
          <w:tcPr>
            <w:tcW w:w="7242" w:type="dxa"/>
            <w:vAlign w:val="center"/>
          </w:tcPr>
          <w:p w14:paraId="630CD7F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Direkta, indirekta och syntetiska innehav av supplementärkapitaltillskott och efterställda lån i enheter i den finansiella sektorn, om institutet inte har något väsentligt innehav i dessa enheter (belopp över tröskelvärdet på 10 %, netto efter godtagbara korta positioner) (negativt belopp)</w:t>
            </w:r>
          </w:p>
          <w:p w14:paraId="7EC6896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Direkta, indirekta och syntetiska innehav av supplementärkapitaltillskott och efterställda lån i enheter i den finansiella sektorn, om institutet inte har något väsentligt innehav i dessa enheter (belopp över tröskelvärdet på 10 %, netto efter godtagbara korta positioner) enligt beskrivningen i artikel 66 c och artiklarna 69, 70 och 79 i kapitalkravsförordningen (negativt belopp)</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54a</w:t>
            </w:r>
          </w:p>
        </w:tc>
        <w:tc>
          <w:tcPr>
            <w:tcW w:w="7242" w:type="dxa"/>
            <w:vAlign w:val="center"/>
          </w:tcPr>
          <w:p w14:paraId="19CF9E4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Ej tillämpligt</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55</w:t>
            </w:r>
          </w:p>
        </w:tc>
        <w:tc>
          <w:tcPr>
            <w:tcW w:w="7242" w:type="dxa"/>
            <w:vAlign w:val="center"/>
          </w:tcPr>
          <w:p w14:paraId="476FDFA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supplementärkapitaltillskott och efterställda lån i enheter i den finansiella sektorn, om institutet har ett väsentligt innehav i dessa enheter (netto efter godtagbara korta positioner) (negativt belopp)</w:t>
            </w:r>
          </w:p>
          <w:p w14:paraId="29E41F2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supplementärkapitaltillskott och efterställda lån i enheter i den finansiella sektorn, om institutet har ett väsentligt innehav i dessa enheter (netto efter godtagbara korta positioner) i enlighet med artikel 66 d och artiklarna 69 och 79 i kapitalkravsförordningen (negativt belopp)</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56</w:t>
            </w:r>
          </w:p>
        </w:tc>
        <w:tc>
          <w:tcPr>
            <w:tcW w:w="7242" w:type="dxa"/>
            <w:vAlign w:val="center"/>
          </w:tcPr>
          <w:p w14:paraId="0ECD9E8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Ej tillämpligt</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color w:val="000000" w:themeColor="text1"/>
                <w:sz w:val="24"/>
                <w:rFonts w:ascii="Times New Roman" w:hAnsi="Times New Roman" w:cs="Times New Roman"/>
              </w:rPr>
            </w:pPr>
            <w:r>
              <w:rPr>
                <w:color w:val="000000" w:themeColor="text1"/>
                <w:sz w:val="24"/>
                <w:rFonts w:ascii="Times New Roman" w:hAnsi="Times New Roman"/>
              </w:rPr>
              <w:t xml:space="preserve">EU-56a</w:t>
            </w:r>
          </w:p>
        </w:tc>
        <w:tc>
          <w:tcPr>
            <w:tcW w:w="7242" w:type="dxa"/>
            <w:vAlign w:val="center"/>
          </w:tcPr>
          <w:p w14:paraId="6AFD5AE3" w14:textId="77777777" w:rsidR="00C85971" w:rsidRPr="007F4CC8" w:rsidRDefault="00C85971" w:rsidP="00D819DE">
            <w:pPr>
              <w:spacing w:after="200"/>
              <w:jc w:val="both"/>
              <w:rPr>
                <w:color w:val="000000" w:themeColor="text1"/>
                <w:sz w:val="24"/>
                <w:rFonts w:ascii="Times New Roman" w:hAnsi="Times New Roman" w:cs="Times New Roman"/>
              </w:rPr>
            </w:pPr>
            <w:r>
              <w:rPr>
                <w:color w:val="000000" w:themeColor="text1"/>
                <w:sz w:val="24"/>
                <w:rFonts w:ascii="Times New Roman" w:hAnsi="Times New Roman"/>
              </w:rPr>
              <w:t xml:space="preserve">Avdrag från kvalificerande kvalificerade skulder som överskrider institutets kvalificerade skuldposter (negativt belopp)</w:t>
            </w:r>
          </w:p>
          <w:p w14:paraId="1494AF54" w14:textId="77777777" w:rsidR="00C85971" w:rsidRPr="007F4CC8" w:rsidRDefault="00C85971" w:rsidP="00D819DE">
            <w:pPr>
              <w:spacing w:after="200"/>
              <w:jc w:val="both"/>
              <w:rPr>
                <w:color w:val="000000" w:themeColor="text1"/>
                <w:sz w:val="24"/>
                <w:rFonts w:ascii="Times New Roman" w:hAnsi="Times New Roman" w:cs="Times New Roman"/>
              </w:rPr>
            </w:pPr>
            <w:r>
              <w:rPr>
                <w:sz w:val="24"/>
                <w:rFonts w:ascii="Times New Roman" w:hAnsi="Times New Roman"/>
              </w:rPr>
              <w:t xml:space="preserve">Avdrag från kvalificerande kvalificerade skulder som överskrider institutets kvalificerade skuldposter i enlighet med artikel 66 e i kapitalkravsförordningen (negativt belopp)</w:t>
            </w:r>
            <w:r>
              <w:rPr>
                <w:sz w:val="24"/>
                <w:color w:val="000000" w:themeColor="text1"/>
                <w:rFonts w:ascii="Times New Roman" w:hAnsi="Times New Roman"/>
              </w:rPr>
              <w:t xml:space="preserve">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Eu-56b</w:t>
            </w:r>
          </w:p>
        </w:tc>
        <w:tc>
          <w:tcPr>
            <w:tcW w:w="7242" w:type="dxa"/>
            <w:vAlign w:val="center"/>
          </w:tcPr>
          <w:p w14:paraId="29CB1AF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Övriga regleringsmässiga justeringar av supplementärkapital</w:t>
            </w:r>
          </w:p>
          <w:p w14:paraId="6FD61B5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 denna rad ska instituten offentliggöra alla tillämpliga regulatoriska justeringar som rapporterats som en del av tillsynsrapporteringen och som inte ingår i någon annan rad i denna mall.</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57</w:t>
            </w:r>
          </w:p>
        </w:tc>
        <w:tc>
          <w:tcPr>
            <w:tcW w:w="7242" w:type="dxa"/>
            <w:vAlign w:val="center"/>
          </w:tcPr>
          <w:p w14:paraId="66195BF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Summa regleringsmässiga justeringar av supplementärkapital</w:t>
            </w:r>
          </w:p>
          <w:p w14:paraId="75EB0C9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Summan av beloppen i raderna 52 till EU- 56b i denna mall</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58</w:t>
            </w:r>
          </w:p>
        </w:tc>
        <w:tc>
          <w:tcPr>
            <w:tcW w:w="7242" w:type="dxa"/>
            <w:vAlign w:val="center"/>
          </w:tcPr>
          <w:p w14:paraId="3ED0F5A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Supplementärkapital</w:t>
            </w:r>
          </w:p>
          <w:p w14:paraId="716BEA17" w14:textId="77777777" w:rsidR="00C85971" w:rsidRPr="007F4CC8" w:rsidRDefault="00C85971" w:rsidP="00D819DE">
            <w:pPr>
              <w:spacing w:after="200"/>
              <w:jc w:val="both"/>
              <w:rPr>
                <w:sz w:val="24"/>
                <w:rFonts w:ascii="Times New Roman" w:hAnsi="Times New Roman"/>
              </w:rPr>
            </w:pPr>
            <w:r>
              <w:rPr>
                <w:sz w:val="24"/>
                <w:rFonts w:ascii="Times New Roman" w:hAnsi="Times New Roman"/>
              </w:rPr>
              <w:t xml:space="preserve">Supplementärkapital ska beräknas som rad 51 minus rad 57 i denna mall</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59</w:t>
            </w:r>
          </w:p>
        </w:tc>
        <w:tc>
          <w:tcPr>
            <w:tcW w:w="7242" w:type="dxa"/>
            <w:vAlign w:val="center"/>
          </w:tcPr>
          <w:p w14:paraId="094EB59C" w14:textId="77777777" w:rsidR="00C85971" w:rsidRPr="00DD0C4D" w:rsidRDefault="00C85971" w:rsidP="00D819DE">
            <w:pPr>
              <w:spacing w:after="200"/>
              <w:jc w:val="both"/>
              <w:rPr>
                <w:sz w:val="24"/>
                <w:rFonts w:ascii="Times New Roman" w:hAnsi="Times New Roman" w:cs="Times New Roman"/>
              </w:rPr>
            </w:pPr>
            <w:r>
              <w:rPr>
                <w:sz w:val="24"/>
                <w:rFonts w:ascii="Times New Roman" w:hAnsi="Times New Roman"/>
              </w:rPr>
              <w:t xml:space="preserve">Totalt kapital (totalt kapital = primärkapital + supplementärkapital)</w:t>
            </w:r>
          </w:p>
          <w:p w14:paraId="2B99CB6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Totalt kapital ska beräknas som rad 45 plus rad 58 i denna mall</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60</w:t>
            </w:r>
          </w:p>
        </w:tc>
        <w:tc>
          <w:tcPr>
            <w:tcW w:w="7242" w:type="dxa"/>
            <w:vAlign w:val="center"/>
          </w:tcPr>
          <w:p w14:paraId="28455AF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Totalt riskvägt exponeringsbelopp</w:t>
            </w:r>
          </w:p>
          <w:p w14:paraId="07C03EC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Totalt riskvägt exponeringsbelopp för gruppen</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61</w:t>
            </w:r>
          </w:p>
        </w:tc>
        <w:tc>
          <w:tcPr>
            <w:tcW w:w="7242" w:type="dxa"/>
            <w:vAlign w:val="center"/>
          </w:tcPr>
          <w:p w14:paraId="715F939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Kärnprimärkapital</w:t>
            </w:r>
          </w:p>
          <w:p w14:paraId="7AAE0F8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Kärnprimärkapital (som procentandel av det totala riskvägda exponeringsbeloppet) ska beräknas som rad 29 dividerad med rad 60 (uttryckt som procentandel) i denna mall i enlighet med artikel 92.2 a i kapitalkravsförordningen.</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62</w:t>
            </w:r>
          </w:p>
        </w:tc>
        <w:tc>
          <w:tcPr>
            <w:tcW w:w="7242" w:type="dxa"/>
            <w:vAlign w:val="center"/>
          </w:tcPr>
          <w:p w14:paraId="4254B9E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Primärkapital</w:t>
            </w:r>
          </w:p>
          <w:p w14:paraId="476DDDE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Primärkapital (som procentandel av det totala riskvägda exponeringsbeloppet) ska beräknas som rad 45 dividerad med rad 60 (uttryckt som procentandel) i denna mall i enlighet med artikel 92.2 b i kapitalkravsförordningen.</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63</w:t>
            </w:r>
          </w:p>
        </w:tc>
        <w:tc>
          <w:tcPr>
            <w:tcW w:w="7242" w:type="dxa"/>
            <w:vAlign w:val="center"/>
          </w:tcPr>
          <w:p w14:paraId="1D8E438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Totalt kapital</w:t>
            </w:r>
          </w:p>
          <w:p w14:paraId="75C13C0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Totalt kapital (som procentandel av det totala riskvägda exponeringsbeloppet) ska beräknas som rad 59 dividerad med rad 60 (uttryckt som procentandel) i denna mall i enlighet med artikel 92.2 c i kapitalkravsförordningen.</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64</w:t>
            </w:r>
          </w:p>
        </w:tc>
        <w:tc>
          <w:tcPr>
            <w:tcW w:w="7242" w:type="dxa"/>
            <w:vAlign w:val="center"/>
          </w:tcPr>
          <w:p w14:paraId="0709955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samlade krav på kärnprimärkapital</w:t>
            </w:r>
            <w:r>
              <w:rPr>
                <w:sz w:val="24"/>
                <w:rFonts w:ascii="Times New Roman" w:hAnsi="Times New Roman"/>
              </w:rPr>
              <w:t xml:space="preserve"> </w:t>
            </w:r>
          </w:p>
          <w:p w14:paraId="15B2255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samlade krav på kärnprimärkapital ska beräknas som kravet på kärnprimärkapital i enlighet med artikel 92.1 a i kapitalkravsförordningen plus ytterligare krav på kärnprimärkapital som instituten måste inneha i enlighet med artikel 104.1 a i direktiv 2013/36/EU</w:t>
            </w:r>
            <w:r w:rsidRPr="007F4CC8">
              <w:rPr>
                <w:rStyle w:val="FootnoteReference"/>
                <w:rFonts w:cs="Times New Roman"/>
                <w:lang w:eastAsia="ja-JP"/>
              </w:rPr>
              <w:footnoteReference w:id="2"/>
            </w:r>
            <w:r>
              <w:rPr>
                <w:sz w:val="24"/>
                <w:rFonts w:ascii="Times New Roman" w:hAnsi="Times New Roman"/>
              </w:rPr>
              <w:t xml:space="preserve"> (</w:t>
            </w:r>
            <w:r>
              <w:rPr>
                <w:sz w:val="24"/>
                <w:i/>
                <w:iCs/>
                <w:rFonts w:ascii="Times New Roman" w:hAnsi="Times New Roman"/>
              </w:rPr>
              <w:t xml:space="preserve">kapitalkravsdirektivet</w:t>
            </w:r>
            <w:r>
              <w:rPr>
                <w:sz w:val="24"/>
                <w:rFonts w:ascii="Times New Roman" w:hAnsi="Times New Roman"/>
              </w:rPr>
              <w:t xml:space="preserve">) plus kombinerat buffertkrav i enlighet med artikel 128.6 i kapitalkravsdirektivet, uttryckt som en procentandel av det riskvägda exponeringsbeloppet.</w:t>
            </w:r>
          </w:p>
          <w:p w14:paraId="6E4E1C3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Värdet beräknas som 4,5 % plus de ytterligare krav enligt andra pelaren som instituten måste inneha i enlighet med artikel 104.1 a i kapitalkravsdirektivet plus det kombinerade buffertkrav som beräknas i enlighet med artiklarna 128, 129, 130, 131 och 133 i kapitalkravsdirektivet.</w:t>
            </w:r>
            <w:r>
              <w:rPr>
                <w:sz w:val="24"/>
                <w:rFonts w:ascii="Times New Roman" w:hAnsi="Times New Roman"/>
              </w:rPr>
              <w:t xml:space="preserve"> </w:t>
            </w:r>
          </w:p>
          <w:p w14:paraId="459D65F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Denna rad kommer att visa den kärnprimärkapitalkvot som är relevant för bedömningen av begränsningar av utbetalningar.</w:t>
            </w:r>
            <w:r>
              <w:rPr>
                <w:sz w:val="24"/>
                <w:rFonts w:ascii="Times New Roman" w:hAnsi="Times New Roman"/>
              </w:rPr>
              <w:t xml:space="preserve">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65</w:t>
            </w:r>
          </w:p>
        </w:tc>
        <w:tc>
          <w:tcPr>
            <w:tcW w:w="7242" w:type="dxa"/>
            <w:vAlign w:val="center"/>
          </w:tcPr>
          <w:p w14:paraId="1B86E50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krav på kapitalkonserveringsbuffert</w:t>
            </w:r>
          </w:p>
          <w:p w14:paraId="210E1B9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Det belopp i rad 64 (uttryckt som en procentandel av det totala riskvägda exponeringsbeloppet) i denna mall som avser kravet på kapitalkonserveringsbuffert i enlighet med artikel 129 i kapitalkravsdirektivet</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66</w:t>
            </w:r>
          </w:p>
        </w:tc>
        <w:tc>
          <w:tcPr>
            <w:tcW w:w="7242" w:type="dxa"/>
            <w:vAlign w:val="center"/>
          </w:tcPr>
          <w:p w14:paraId="51C550B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krav på kontracyklisk kapitalbuffert</w:t>
            </w:r>
          </w:p>
          <w:p w14:paraId="19B69C3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Det belopp i rad 64 (uttryckt som en procentandel av det totala riskvägda exponeringsbeloppet) i denna mall som avser kravet på kontracyklisk kapitalbuffert i enlighet med artikel 130 i kapitalkravsdirektivet</w:t>
            </w:r>
            <w:r>
              <w:rPr>
                <w:sz w:val="24"/>
                <w:rFonts w:ascii="Times New Roman" w:hAnsi="Times New Roman"/>
              </w:rPr>
              <w:t xml:space="preserve">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67</w:t>
            </w:r>
          </w:p>
        </w:tc>
        <w:tc>
          <w:tcPr>
            <w:tcW w:w="7242" w:type="dxa"/>
            <w:vAlign w:val="center"/>
          </w:tcPr>
          <w:p w14:paraId="4CE3486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krav på systemriskbuffert</w:t>
            </w:r>
          </w:p>
          <w:p w14:paraId="465CB0E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Det belopp i rad 64 (uttryckt som en procentandel av det totala riskvägda exponeringsbeloppet) i denna mall som avser kravet på systemriskbuffert i enlighet med artikel 133 i kapitalkravsdirektivet</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EU-67a</w:t>
            </w:r>
          </w:p>
        </w:tc>
        <w:tc>
          <w:tcPr>
            <w:tcW w:w="7242" w:type="dxa"/>
            <w:vAlign w:val="center"/>
          </w:tcPr>
          <w:p w14:paraId="15A9C98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Krav på buffert för globalt systemviktiga institut (G-SII) eller för andra systemviktiga institut (O-SII)</w:t>
            </w:r>
          </w:p>
          <w:p w14:paraId="2DA57F1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Det belopp i rad 64 (uttryckt som en procentandel av det totala riskvägda exponeringsbeloppet) i denna mall som avser kravet på buffert för globalt systemviktiga institut eller för andra systemviktiga institut i enlighet med artikel 131 i kapitalkravsdirektivet</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EU-67b</w:t>
            </w:r>
          </w:p>
        </w:tc>
        <w:tc>
          <w:tcPr>
            <w:tcW w:w="7242" w:type="dxa"/>
            <w:vAlign w:val="center"/>
          </w:tcPr>
          <w:p w14:paraId="0BA08EF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ytterligare kapitalbaskrav för att hantera andra risker än risken för alltför låg bruttosoliditet</w:t>
            </w:r>
            <w:r>
              <w:rPr>
                <w:sz w:val="24"/>
                <w:rFonts w:ascii="Times New Roman" w:hAnsi="Times New Roman"/>
              </w:rPr>
              <w:t xml:space="preserve"> </w:t>
            </w:r>
          </w:p>
          <w:p w14:paraId="2998F1B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Det belopp i rad 64 (uttryckt som en procentandel av det totala riskvägda exponeringsbeloppet) i denna mall som avser ytterligare kapitalbaskrav till följd av processen för tillsynsgranskning, som måste uppfyllas av kärnprimärkapital i enlighet med artikel 104.1 a i direktiv 2013/36/EU</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68</w:t>
            </w:r>
          </w:p>
        </w:tc>
        <w:tc>
          <w:tcPr>
            <w:tcW w:w="7242" w:type="dxa"/>
            <w:vAlign w:val="center"/>
          </w:tcPr>
          <w:p w14:paraId="4E319E0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Kärnprimärkapital (som procentandel av det riskvägda exponeringsbeloppet) som finns tillgängligt när minimikapitalkraven har uppfyllts</w:t>
            </w:r>
          </w:p>
          <w:p w14:paraId="6089746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Detta värde beräknas som rad 61 minus 4,5 (procentenheter), minus EU-67b, minus det kärnprimärkapital som används av institutet för att uppfylla dess krav på primärkapitaltillskott och supplementärkapital.</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sz w:val="24"/>
                <w:rFonts w:ascii="Times New Roman" w:hAnsi="Times New Roman" w:cs="Times New Roman"/>
              </w:rPr>
            </w:pPr>
            <w:r>
              <w:rPr>
                <w:sz w:val="24"/>
                <w:rFonts w:ascii="Times New Roman" w:hAnsi="Times New Roman"/>
              </w:rPr>
              <w:t xml:space="preserve">69</w:t>
            </w:r>
          </w:p>
        </w:tc>
        <w:tc>
          <w:tcPr>
            <w:tcW w:w="7242" w:type="dxa"/>
            <w:vAlign w:val="center"/>
          </w:tcPr>
          <w:p w14:paraId="28131AA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Ej tillämpligt</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sz w:val="24"/>
                <w:rFonts w:ascii="Times New Roman" w:hAnsi="Times New Roman" w:cs="Times New Roman"/>
              </w:rPr>
            </w:pPr>
            <w:r>
              <w:rPr>
                <w:sz w:val="24"/>
                <w:rFonts w:ascii="Times New Roman" w:hAnsi="Times New Roman"/>
              </w:rPr>
              <w:t xml:space="preserve">70</w:t>
            </w:r>
          </w:p>
        </w:tc>
        <w:tc>
          <w:tcPr>
            <w:tcW w:w="7242" w:type="dxa"/>
            <w:vAlign w:val="center"/>
          </w:tcPr>
          <w:p w14:paraId="335DC02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Ej tillämpligt</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sz w:val="24"/>
                <w:rFonts w:ascii="Times New Roman" w:hAnsi="Times New Roman" w:cs="Times New Roman"/>
              </w:rPr>
            </w:pPr>
            <w:r>
              <w:rPr>
                <w:sz w:val="24"/>
                <w:rFonts w:ascii="Times New Roman" w:hAnsi="Times New Roman"/>
              </w:rPr>
              <w:t xml:space="preserve">71</w:t>
            </w:r>
          </w:p>
        </w:tc>
        <w:tc>
          <w:tcPr>
            <w:tcW w:w="7242" w:type="dxa"/>
            <w:vAlign w:val="center"/>
          </w:tcPr>
          <w:p w14:paraId="15C3636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Ej tillämpligt</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72</w:t>
            </w:r>
          </w:p>
        </w:tc>
        <w:tc>
          <w:tcPr>
            <w:tcW w:w="7242" w:type="dxa"/>
            <w:vAlign w:val="center"/>
          </w:tcPr>
          <w:p w14:paraId="024154B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Direkta och indirekta innehav av kapitalbas och kvalificerade skulder i enheter i den finansiella sektorn i vilka institutet inte har något väsentligt innehav (belopp under tröskelvärdet på 10 %, netto efter godtagbara korta positioner)</w:t>
            </w:r>
          </w:p>
          <w:p w14:paraId="1F5B774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Direkta och indirekta innehav av kapitalbas och kvalificerade skulder i enheter i den finansiella sektorn i vilka institutet inte har något väsentligt innehav (belopp under tröskelvärdet på 10 %, netto efter godtagbara korta positioner) i enlighet med artiklarna 36.1 h, 45, 46, 56 c, 59, 60, 66 c, 69, 70 och 72i i kapitalkravsförordningen</w:t>
            </w:r>
            <w:r>
              <w:rPr>
                <w:sz w:val="24"/>
                <w:rFonts w:ascii="Times New Roman" w:hAnsi="Times New Roman"/>
              </w:rPr>
              <w:t xml:space="preserve">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73</w:t>
            </w:r>
          </w:p>
        </w:tc>
        <w:tc>
          <w:tcPr>
            <w:tcW w:w="7242" w:type="dxa"/>
            <w:vAlign w:val="center"/>
          </w:tcPr>
          <w:p w14:paraId="7FC596D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direkta och indirekta innehav av kärnprimärkapitalinstrument i enheter i den finansiella sektorn i vilka institutet har ett väsentligt innehav (belopp under tröskelvärdet på 17,65 %, netto efter godtagbara korta positioner)</w:t>
            </w:r>
          </w:p>
          <w:p w14:paraId="5A38514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Institutets direkta och indirekta innehav av kärnprimärkapitalinstrument i enheter i den finansiella sektorn i vilka institutet har ett väsentligt innehav (belopp under tröskelvärdet på 17,65 %, netto efter godtagbara korta positioner) i enlighet med artiklarna 36.1 i, 43, 45, 47, 48.1 b och 49.1–3 i kapitalkravsförordningen (det totala beloppet av sådana investeringar som inte offentliggörs i rad 19 och rad 23 i denna mall)</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74</w:t>
            </w:r>
          </w:p>
        </w:tc>
        <w:tc>
          <w:tcPr>
            <w:tcW w:w="7242" w:type="dxa"/>
            <w:vAlign w:val="center"/>
          </w:tcPr>
          <w:p w14:paraId="6F439BB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Ej tillämpligt</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75</w:t>
            </w:r>
          </w:p>
        </w:tc>
        <w:tc>
          <w:tcPr>
            <w:tcW w:w="7242" w:type="dxa"/>
            <w:vAlign w:val="center"/>
          </w:tcPr>
          <w:p w14:paraId="57F3C26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Uppskjutna skattefordringar som uppstår till följd av temporära skillnader (belopp under tröskelvärdet på 17,65 %, netto efter minskning för tillhörande skatteskuld om villkoren i artikel 38.3 i kapitalkravsförordningen är uppfyllda)</w:t>
            </w:r>
          </w:p>
          <w:p w14:paraId="3D7670C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Uppskjutna skattefordringar som uppstår till följd av temporära skillnader (belopp under tröskelvärdet på 17,65 % i enlighet med artikel 48.2 b i kapitalkravsförordningen, netto efter minskning för tillhörande skatteskuld om villkoren i artikel 38.3 i kapitalkravsförordningen är uppfyllda) i enlighet med artikel 36.1 c och artiklarna 38 och 48 i kapitalkravsförordningen (det totala beloppet av sådana uppskjutna skattefordringar som inte offentliggörs i rad 21 och rad 25 i denna mall)</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76</w:t>
            </w:r>
          </w:p>
        </w:tc>
        <w:tc>
          <w:tcPr>
            <w:tcW w:w="7242" w:type="dxa"/>
            <w:vAlign w:val="center"/>
          </w:tcPr>
          <w:p w14:paraId="67D1317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Kreditriskjusteringar som inkluderas i supplementärkapital med avseende på exponeringar som omfattas av schablonmetoden (före tillämpningen av taket)</w:t>
            </w:r>
          </w:p>
          <w:p w14:paraId="5F64B02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Kreditriskjusteringar som inkluderas i supplementärkapital med avseende på exponeringar som omfattas av schablonmetoden i enlighet med artikel 62 c i kapitalkravsförordningen</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77</w:t>
            </w:r>
          </w:p>
        </w:tc>
        <w:tc>
          <w:tcPr>
            <w:tcW w:w="7242" w:type="dxa"/>
            <w:vAlign w:val="center"/>
          </w:tcPr>
          <w:p w14:paraId="00AAF9B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Tak för inkludering av kreditriskjusteringar i supplementärkapital enligt schablonmetoden</w:t>
            </w:r>
          </w:p>
          <w:p w14:paraId="3A3B34B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Tak för inkludering av kreditriskjusteringar i supplementärkapital enligt schablonmetoden i enlighet med artikel 62 c i kapitalkravsförordningen</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78</w:t>
            </w:r>
          </w:p>
        </w:tc>
        <w:tc>
          <w:tcPr>
            <w:tcW w:w="7242" w:type="dxa"/>
            <w:vAlign w:val="center"/>
          </w:tcPr>
          <w:p w14:paraId="78E448E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Kreditriskjusteringar som inkluderas i supplementärkapital med avseende på exponeringar som omfattas av internmetoden (före tillämpningen av taket)</w:t>
            </w:r>
          </w:p>
          <w:p w14:paraId="68CD65A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Kreditriskjusteringar som inkluderas i supplementärkapital med avseende på exponeringar som omfattas av internmetoden i enlighet med artikel 62 d i kapitalkravsförordningen</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79</w:t>
            </w:r>
          </w:p>
        </w:tc>
        <w:tc>
          <w:tcPr>
            <w:tcW w:w="7242" w:type="dxa"/>
            <w:vAlign w:val="center"/>
          </w:tcPr>
          <w:p w14:paraId="4FE01D3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Tak för inkludering av kreditriskjusteringar i supplementärkapital enligt internmetoden</w:t>
            </w:r>
          </w:p>
          <w:p w14:paraId="63CECB1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Tak för inkludering av kreditriskjusteringar i supplementärkapital enligt internmetoden i enlighet med artikel 62 d i kapitalkravsförordningen</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80</w:t>
            </w:r>
          </w:p>
        </w:tc>
        <w:tc>
          <w:tcPr>
            <w:tcW w:w="7242" w:type="dxa"/>
            <w:vAlign w:val="center"/>
          </w:tcPr>
          <w:p w14:paraId="1DA6A6E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Nuvarande tak för kärnprimärkapitalinstrument som omfattas av utfasningsarrangemang</w:t>
            </w:r>
          </w:p>
          <w:p w14:paraId="1D5E403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Nuvarande tak för kärnprimärkapitalinstrument som omfattas av utfasningsarrangemang i enlighet med artiklarna 484.3, 486.2 och 486.5 i kapitalkravsförordningen</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81</w:t>
            </w:r>
          </w:p>
        </w:tc>
        <w:tc>
          <w:tcPr>
            <w:tcW w:w="7242" w:type="dxa"/>
            <w:vAlign w:val="center"/>
          </w:tcPr>
          <w:p w14:paraId="4F7F93B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som utesluts från kärnprimärkapital på grund av tak (överskjutande belopp över taket efter inlösen och förfallodagar)</w:t>
            </w:r>
          </w:p>
          <w:p w14:paraId="6C52790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som utesluts från kärnprimärkapital på grund av tak (överskjutande belopp över taket efter inlösen och förfallodagar) i enlighet med artiklarna 484.3, 486.2 och 486.5 i kapitalkravsförordningen</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82</w:t>
            </w:r>
          </w:p>
        </w:tc>
        <w:tc>
          <w:tcPr>
            <w:tcW w:w="7242" w:type="dxa"/>
            <w:vAlign w:val="center"/>
          </w:tcPr>
          <w:p w14:paraId="3FB600A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Nuvarande tak för primärkapitaltillskott som omfattas av utfasningsarrangemang</w:t>
            </w:r>
          </w:p>
          <w:p w14:paraId="4444951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Nuvarande tak för primärkapitaltillskott som omfattas av utfasningsarrangemang i enlighet med artiklarna 484.4, 486.3 och 486.5 i kapitalkravsförordningen</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83</w:t>
            </w:r>
          </w:p>
        </w:tc>
        <w:tc>
          <w:tcPr>
            <w:tcW w:w="7242" w:type="dxa"/>
            <w:vAlign w:val="center"/>
          </w:tcPr>
          <w:p w14:paraId="627736C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som utesluts från övrigt primärkapital på grund av tak (överskjutande belopp över taket efter inlösen och förfallodagar)</w:t>
            </w:r>
          </w:p>
          <w:p w14:paraId="127E661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som utesluts från övrigt primärkapital på grund av tak (överskjutande belopp över taket efter inlösen och förfallodagar) i enlighet med artiklarna 484.4, 486.3 och 486.5 i kapitalkravsförordningen</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84</w:t>
            </w:r>
          </w:p>
        </w:tc>
        <w:tc>
          <w:tcPr>
            <w:tcW w:w="7242" w:type="dxa"/>
            <w:vAlign w:val="center"/>
          </w:tcPr>
          <w:p w14:paraId="1A5B9EC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Nuvarande tak för supplementärkapitaltillskott som omfattas av utfasningsarrangemang</w:t>
            </w:r>
          </w:p>
          <w:p w14:paraId="47E5FAF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Nuvarande tak för supplementärkapitaltillskott som omfattas av utfasningsarrangemang i enlighet med artiklarna 484.5, 486.4 och 486.5 i kapitalkravsförordningen</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85</w:t>
            </w:r>
          </w:p>
        </w:tc>
        <w:tc>
          <w:tcPr>
            <w:tcW w:w="7242" w:type="dxa"/>
            <w:vAlign w:val="center"/>
          </w:tcPr>
          <w:p w14:paraId="4D29D2C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som utesluts från supplementärkapital på grund av tak (överskjutande belopp över taket efter inlösen och förfallodagar)</w:t>
            </w:r>
          </w:p>
          <w:p w14:paraId="5887299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Belopp som utesluts från supplementärkapital på grund av tak (överskjutande belopp över taket efter inlösen och förfallodagar) i enlighet med artiklarna 484.5, 486.4 och 486.5 i kapitalkravsförordningen</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sz w:val="24"/>
          <w:rFonts w:ascii="Times New Roman" w:hAnsi="Times New Roman" w:cs="Times New Roman"/>
        </w:rPr>
      </w:pPr>
      <w:r>
        <w:br w:type="page"/>
      </w:r>
    </w:p>
    <w:p w14:paraId="06924BE7" w14:textId="77777777" w:rsidR="00C85971" w:rsidRPr="007F4CC8" w:rsidRDefault="00C85971" w:rsidP="00C85971">
      <w:pPr>
        <w:rPr>
          <w:b/>
          <w:bCs/>
          <w:sz w:val="24"/>
          <w:rFonts w:ascii="Times New Roman" w:hAnsi="Times New Roman" w:cs="Times New Roman"/>
        </w:rPr>
      </w:pPr>
      <w:r>
        <w:rPr>
          <w:b/>
          <w:sz w:val="24"/>
          <w:rFonts w:ascii="Times New Roman" w:hAnsi="Times New Roman"/>
        </w:rPr>
        <w:t xml:space="preserve">Mall EU CC2 – Avstämning av föreskriven kapitalbas mot balansräkningen i de reviderade finansiella rapporterna</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Instituten ska offentliggöra den information som avses i artikel 437 a i kapitalkravsförordningen genom att följa de instruktioner som anges i denna bilaga för att fylla i mall EU CC2, vilken återfinns i bilaga VII till denna genomförandeförordning.</w:t>
      </w:r>
    </w:p>
    <w:p w14:paraId="3460ABBC"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Instituten ska offentliggöra balansräkningen som ingår i deras offentliggjorda finansiella rapporter.</w:t>
      </w:r>
      <w:r>
        <w:rPr>
          <w:sz w:val="24"/>
          <w:rFonts w:ascii="Times New Roman" w:hAnsi="Times New Roman"/>
        </w:rPr>
        <w:t xml:space="preserve"> </w:t>
      </w:r>
      <w:r>
        <w:rPr>
          <w:sz w:val="24"/>
          <w:rFonts w:ascii="Times New Roman" w:hAnsi="Times New Roman"/>
        </w:rPr>
        <w:t xml:space="preserve">De finansiella rapporterna ska vara den reviderade årsredovisning som används för överföring av information vid årets slut.</w:t>
      </w:r>
    </w:p>
    <w:p w14:paraId="7BA92967"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Raderna i mallen är flexibla och ska fyllas i av instituten i linje med deras finansiella rapporter.</w:t>
      </w:r>
      <w:r>
        <w:rPr>
          <w:sz w:val="24"/>
          <w:rFonts w:ascii="Times New Roman" w:hAnsi="Times New Roman"/>
        </w:rPr>
        <w:t xml:space="preserve"> </w:t>
      </w:r>
      <w:r>
        <w:rPr>
          <w:sz w:val="24"/>
          <w:rFonts w:ascii="Times New Roman" w:hAnsi="Times New Roman"/>
        </w:rPr>
        <w:t xml:space="preserve">Posterna i kapitalbasen i den reviderade årsredovisningen ska innefatta samtliga poster som är komponenter i, eller dras av från, föreskriven kapitalbas, däribland eget kapital, skulder eller andra poster i balansräkningen som påverkar den föreskrivna kapitalbasen, som immateriella tillgångar, goodwill eller uppskjutna skattefordringar.</w:t>
      </w:r>
      <w:r>
        <w:rPr>
          <w:sz w:val="24"/>
          <w:rFonts w:ascii="Times New Roman" w:hAnsi="Times New Roman"/>
        </w:rPr>
        <w:t xml:space="preserve"> </w:t>
      </w:r>
      <w:r>
        <w:rPr>
          <w:sz w:val="24"/>
          <w:rFonts w:ascii="Times New Roman" w:hAnsi="Times New Roman"/>
        </w:rPr>
        <w:t xml:space="preserve">Instituten ska utöka posterna för kapitalbasen i balansräkningen efter behov för att säkerställa att alla komponenter som ingår i sammanställningen i offentliggörandemallen för kapitalbas (mall EU CC1) visas separat.</w:t>
      </w:r>
      <w:r>
        <w:rPr>
          <w:sz w:val="24"/>
          <w:rFonts w:ascii="Times New Roman" w:hAnsi="Times New Roman"/>
        </w:rPr>
        <w:t xml:space="preserve"> </w:t>
      </w:r>
      <w:r>
        <w:rPr>
          <w:sz w:val="24"/>
          <w:rFonts w:ascii="Times New Roman" w:hAnsi="Times New Roman"/>
        </w:rPr>
        <w:t xml:space="preserve">Instituten ska endast utöka delar i balansräkningen till den detaljnivå som behövs för att härleda de komponenter som krävs enligt mall EU CC1.</w:t>
      </w:r>
      <w:r>
        <w:rPr>
          <w:sz w:val="24"/>
          <w:rFonts w:ascii="Times New Roman" w:hAnsi="Times New Roman"/>
        </w:rPr>
        <w:t xml:space="preserve"> </w:t>
      </w:r>
      <w:r>
        <w:rPr>
          <w:sz w:val="24"/>
          <w:rFonts w:ascii="Times New Roman" w:hAnsi="Times New Roman"/>
        </w:rPr>
        <w:t xml:space="preserve">Upplysningarna ska vara proportionerliga mot komplexiteten i institutets balansräkning.</w:t>
      </w:r>
    </w:p>
    <w:p w14:paraId="23A65A04"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Kolumnerna är fasta och ska fyllas i enligt följande:</w:t>
      </w:r>
    </w:p>
    <w:p w14:paraId="3FD82033" w14:textId="77777777" w:rsidR="00C85971" w:rsidRPr="007F4CC8" w:rsidRDefault="00C85971" w:rsidP="00C85971">
      <w:pPr>
        <w:pStyle w:val="numberedparagraph"/>
        <w:numPr>
          <w:ilvl w:val="1"/>
          <w:numId w:val="3"/>
        </w:numPr>
        <w:tabs>
          <w:tab w:val="clear" w:pos="-180"/>
        </w:tabs>
        <w:spacing w:line="240" w:lineRule="auto"/>
        <w:ind w:left="709"/>
        <w:rPr>
          <w:sz w:val="24"/>
          <w:rFonts w:ascii="Times New Roman" w:hAnsi="Times New Roman" w:cs="Times New Roman"/>
        </w:rPr>
      </w:pPr>
      <w:r>
        <w:rPr>
          <w:sz w:val="24"/>
          <w:rFonts w:ascii="Times New Roman" w:hAnsi="Times New Roman"/>
        </w:rPr>
        <w:t xml:space="preserve">Kolumn a:</w:t>
      </w:r>
      <w:r>
        <w:rPr>
          <w:sz w:val="24"/>
          <w:rFonts w:ascii="Times New Roman" w:hAnsi="Times New Roman"/>
        </w:rPr>
        <w:t xml:space="preserve"> </w:t>
      </w:r>
      <w:r>
        <w:rPr>
          <w:sz w:val="24"/>
          <w:rFonts w:ascii="Times New Roman" w:hAnsi="Times New Roman"/>
        </w:rPr>
        <w:t xml:space="preserve">Instituten ska redovisa de siffror som rapporterats i den balansräkning som ingår i deras offentliggjorda finansiella rapporter i enlighet med konsolideringen enligt redovisningsregler.</w:t>
      </w:r>
    </w:p>
    <w:p w14:paraId="615808B6" w14:textId="77777777" w:rsidR="00C85971" w:rsidRPr="007F4CC8" w:rsidRDefault="00C85971" w:rsidP="00C85971">
      <w:pPr>
        <w:pStyle w:val="numberedparagraph"/>
        <w:numPr>
          <w:ilvl w:val="1"/>
          <w:numId w:val="3"/>
        </w:numPr>
        <w:tabs>
          <w:tab w:val="clear" w:pos="-180"/>
        </w:tabs>
        <w:spacing w:line="240" w:lineRule="auto"/>
        <w:ind w:left="709"/>
        <w:rPr>
          <w:sz w:val="24"/>
          <w:rFonts w:ascii="Times New Roman" w:hAnsi="Times New Roman" w:cs="Times New Roman"/>
        </w:rPr>
      </w:pPr>
      <w:r>
        <w:rPr>
          <w:sz w:val="24"/>
          <w:rFonts w:ascii="Times New Roman" w:hAnsi="Times New Roman"/>
        </w:rPr>
        <w:t xml:space="preserve">Kolumn b:</w:t>
      </w:r>
      <w:r>
        <w:rPr>
          <w:sz w:val="24"/>
          <w:rFonts w:ascii="Times New Roman" w:hAnsi="Times New Roman"/>
        </w:rPr>
        <w:t xml:space="preserve"> </w:t>
      </w:r>
      <w:r>
        <w:rPr>
          <w:sz w:val="24"/>
          <w:rFonts w:ascii="Times New Roman" w:hAnsi="Times New Roman"/>
        </w:rPr>
        <w:t xml:space="preserve">Instituten ska offentliggöra de siffror som motsvarar konsolideringen enligt tillsynskrav.</w:t>
      </w:r>
    </w:p>
    <w:p w14:paraId="09531333" w14:textId="77777777" w:rsidR="00C85971" w:rsidRPr="007F4CC8" w:rsidRDefault="00C85971" w:rsidP="00C85971">
      <w:pPr>
        <w:pStyle w:val="numberedparagraph"/>
        <w:numPr>
          <w:ilvl w:val="1"/>
          <w:numId w:val="3"/>
        </w:numPr>
        <w:tabs>
          <w:tab w:val="clear" w:pos="-180"/>
        </w:tabs>
        <w:spacing w:line="240" w:lineRule="auto"/>
        <w:ind w:left="709"/>
        <w:rPr>
          <w:sz w:val="24"/>
          <w:rFonts w:ascii="Times New Roman" w:hAnsi="Times New Roman" w:cs="Times New Roman"/>
        </w:rPr>
      </w:pPr>
      <w:r>
        <w:rPr>
          <w:sz w:val="24"/>
          <w:rFonts w:ascii="Times New Roman" w:hAnsi="Times New Roman"/>
        </w:rPr>
        <w:t xml:space="preserve">Kolumn c:</w:t>
      </w:r>
      <w:r>
        <w:rPr>
          <w:sz w:val="24"/>
          <w:rFonts w:ascii="Times New Roman" w:hAnsi="Times New Roman"/>
        </w:rPr>
        <w:t xml:space="preserve"> </w:t>
      </w:r>
      <w:r>
        <w:rPr>
          <w:sz w:val="24"/>
          <w:rFonts w:ascii="Times New Roman" w:hAnsi="Times New Roman"/>
        </w:rPr>
        <w:t xml:space="preserve">Instituten ska ange korshänvisningen mellan posten för kapitalbasen i mall EU CC2 och de relevanta posterna i offentliggörandemall EU CC1 för kapitalbas.</w:t>
      </w:r>
      <w:r>
        <w:rPr>
          <w:sz w:val="24"/>
          <w:rFonts w:ascii="Times New Roman" w:hAnsi="Times New Roman"/>
        </w:rPr>
        <w:t xml:space="preserve"> </w:t>
      </w:r>
      <w:r>
        <w:rPr>
          <w:sz w:val="24"/>
          <w:rFonts w:ascii="Times New Roman" w:hAnsi="Times New Roman"/>
        </w:rPr>
        <w:t xml:space="preserve">Hänvisningen i kolumn c i mall EU CC2 kommer att kopplas till den hänvisning som angetts i kolumn b i mall EU CC1.</w:t>
      </w:r>
    </w:p>
    <w:p w14:paraId="53144047"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I de följande fallen där institutens konsolideringar enligt redovisningsregler och enligt tillsynskrav är exakt desamma ska kolumnerna a och b i denna mall slås samman, och detta faktum ska anges tydligt:</w:t>
      </w:r>
    </w:p>
    <w:p w14:paraId="4AF2B8D6" w14:textId="77777777" w:rsidR="00C85971" w:rsidRPr="007F4CC8" w:rsidRDefault="00C85971" w:rsidP="00C85971">
      <w:pPr>
        <w:pStyle w:val="numberedparagraph"/>
        <w:numPr>
          <w:ilvl w:val="1"/>
          <w:numId w:val="3"/>
        </w:numPr>
        <w:spacing w:line="240" w:lineRule="auto"/>
        <w:ind w:left="709"/>
        <w:rPr>
          <w:bCs/>
          <w:sz w:val="24"/>
          <w:rFonts w:ascii="Times New Roman" w:hAnsi="Times New Roman" w:cs="Times New Roman"/>
        </w:rPr>
      </w:pPr>
      <w:r>
        <w:rPr>
          <w:sz w:val="24"/>
          <w:rFonts w:ascii="Times New Roman" w:hAnsi="Times New Roman"/>
        </w:rPr>
        <w:t xml:space="preserve">Om instituten uppfyller de skyldigheter som fastställs i del åtta i kapitalkravsförordningen på grupp- eller undergruppsnivå, men konsolideringens omfattning eller den konsolideringsmetod som används för balansräkningen i de finansiella rapporterna är identisk med den omfattning och metod för konsolidering som krävs enligt del ett avdelning II kapitel 2 i kapitalkravsförordningen, och om instituten tydligt anger att det inte finns några skillnader mellan de respektive omfattningarna och metoderna för konsolidering.</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bCs/>
          <w:sz w:val="24"/>
          <w:rFonts w:ascii="Times New Roman" w:hAnsi="Times New Roman" w:cs="Times New Roman"/>
        </w:rPr>
      </w:pPr>
      <w:r>
        <w:rPr>
          <w:sz w:val="24"/>
          <w:rFonts w:ascii="Times New Roman" w:hAnsi="Times New Roman"/>
        </w:rPr>
        <w:t xml:space="preserve">Om instituten uppfyller de skyldigheter som anges i del åtta i kapitalkravsförordningen på individuell grund.</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b/>
          <w:bCs/>
          <w:sz w:val="24"/>
          <w:rFonts w:ascii="Times New Roman" w:hAnsi="Times New Roman" w:cs="Times New Roman"/>
        </w:rPr>
      </w:pPr>
      <w:r>
        <w:rPr>
          <w:b/>
          <w:sz w:val="24"/>
          <w:rFonts w:ascii="Times New Roman" w:hAnsi="Times New Roman"/>
        </w:rPr>
        <w:t xml:space="preserve">Tabell EU CCA – Huvuddragen hos föreskrivna kapitalbasinstrument och kvalificerade skuldinstrument.</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Instituten ska offentliggöra den information som avses i artikel b och c i artikel 437 i kapitalkravsförordningen genom att följa de instruktioner som anges i denna bilaga för att fylla i tabell EU CCA, vilken återfinns i bilaga VII till denna genomförandeförordning.</w:t>
      </w:r>
    </w:p>
    <w:p w14:paraId="6AE59B0D"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Instituten ska fylla i tabell EU CCA för följande kategorier:</w:t>
      </w:r>
      <w:r>
        <w:rPr>
          <w:sz w:val="24"/>
          <w:rFonts w:ascii="Times New Roman" w:hAnsi="Times New Roman"/>
        </w:rPr>
        <w:t xml:space="preserve"> </w:t>
      </w:r>
      <w:r>
        <w:rPr>
          <w:sz w:val="24"/>
          <w:rFonts w:ascii="Times New Roman" w:hAnsi="Times New Roman"/>
        </w:rPr>
        <w:t xml:space="preserve">Kärnprimärkapitalinstrument, primärkapitaltillskottsinstrument, supplementärkapitalinstrument och, i den mening som avses i artikel 72b i kapitalkravsförordningen, kvalificerade skuldinstrument.</w:t>
      </w:r>
    </w:p>
    <w:p w14:paraId="057A1F3D"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Tabellerna ska ha separata kolumner med egenskaperna hos vart och ett av de lagstadgade kapitalbasinstrumenten och de kvalificerade skuldinstrumenten.</w:t>
      </w:r>
      <w:r>
        <w:rPr>
          <w:sz w:val="24"/>
          <w:rFonts w:ascii="Times New Roman" w:hAnsi="Times New Roman"/>
        </w:rPr>
        <w:t xml:space="preserve"> </w:t>
      </w:r>
      <w:r>
        <w:rPr>
          <w:sz w:val="24"/>
          <w:rFonts w:ascii="Times New Roman" w:hAnsi="Times New Roman"/>
        </w:rPr>
        <w:t xml:space="preserve">Om olika instrument i samma kategori har identiska delar får instituten fylla i endast en kolumn med upplysningar om dessa identiska delar och ange de emissioner som dessa identiska delar avser.</w:t>
      </w:r>
      <w:r>
        <w:rPr>
          <w:sz w:val="24"/>
          <w:rFonts w:ascii="Times New Roman" w:hAnsi="Times New Roman"/>
        </w:rPr>
        <w:t xml:space="preserve"> </w:t>
      </w:r>
      <w:r>
        <w:rPr>
          <w:sz w:val="24"/>
          <w:rFonts w:ascii="Times New Roman" w:hAnsi="Times New Roman"/>
        </w:rPr>
        <w:t xml:space="preserve">När instituten fyller i kolumnerna för dessa instrument ska de gruppera dem under tre avsnitt (horisontellt längs tabellen) för att ange om de är avsedda för att uppfylla i) endast kapitalbaskrav (men inte krav för kvalificerade skulder),</w:t>
      </w:r>
      <w:r>
        <w:rPr>
          <w:sz w:val="24"/>
          <w:rFonts w:ascii="Times New Roman" w:hAnsi="Times New Roman"/>
        </w:rPr>
        <w:t xml:space="preserve"> </w:t>
      </w:r>
      <w:r>
        <w:rPr>
          <w:sz w:val="24"/>
          <w:rFonts w:ascii="Times New Roman" w:hAnsi="Times New Roman"/>
        </w:rPr>
        <w:t xml:space="preserve">ii) både kapitalbaskrav och krav för kvalificerade skulder,</w:t>
      </w:r>
      <w:r>
        <w:rPr>
          <w:sz w:val="24"/>
          <w:rFonts w:ascii="Times New Roman" w:hAnsi="Times New Roman"/>
        </w:rPr>
        <w:t xml:space="preserve"> </w:t>
      </w:r>
      <w:r>
        <w:rPr>
          <w:sz w:val="24"/>
          <w:rFonts w:ascii="Times New Roman" w:hAnsi="Times New Roman"/>
        </w:rPr>
        <w:t xml:space="preserve">eller iii) endast krav för kvalificerade skulder (men inte kapitalbaskrav).</w:t>
      </w:r>
      <w:r>
        <w:rPr>
          <w:sz w:val="24"/>
          <w:rFonts w:ascii="Times New Roman" w:hAnsi="Times New Roman"/>
        </w:rPr>
        <w:tab/>
      </w:r>
    </w:p>
    <w:p w14:paraId="390D0EA6"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När det gäller kvalificerade skuldinstrument som inte är efterställda undantagna skulder ska instituten endast offentliggöra värdepapper som är fungibla, överlåtbara finansiella instrument, med undantag för lån och insättningar.</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b/>
                <w:bCs/>
                <w:color w:val="000000"/>
                <w:sz w:val="24"/>
                <w:rFonts w:ascii="Times New Roman" w:eastAsia="Times New Roman" w:hAnsi="Times New Roman" w:cs="Times New Roman"/>
              </w:rPr>
            </w:pPr>
            <w:r>
              <w:rPr>
                <w:b/>
                <w:color w:val="000000"/>
                <w:sz w:val="24"/>
                <w:rFonts w:ascii="Times New Roman" w:hAnsi="Times New Roman"/>
              </w:rPr>
              <w:t xml:space="preserve">Instruktioner för att fylla i tabellen över huvuddragen av lagstadgade kapitalbasinstrument och kvalificerade skuldinstrument</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b/>
                <w:bCs/>
                <w:color w:val="000000"/>
                <w:sz w:val="24"/>
                <w:rFonts w:ascii="Times New Roman" w:eastAsia="Times New Roman" w:hAnsi="Times New Roman" w:cs="Times New Roman"/>
              </w:rPr>
            </w:pPr>
            <w:r>
              <w:rPr>
                <w:b/>
                <w:color w:val="000000"/>
                <w:sz w:val="24"/>
                <w:rFonts w:ascii="Times New Roman" w:hAnsi="Times New Roman"/>
              </w:rPr>
              <w:t xml:space="preserve">Rad nr</w:t>
            </w:r>
          </w:p>
        </w:tc>
        <w:tc>
          <w:tcPr>
            <w:tcW w:w="7661" w:type="dxa"/>
            <w:shd w:val="clear" w:color="auto" w:fill="D9D9D9" w:themeFill="background1" w:themeFillShade="D9"/>
            <w:noWrap/>
            <w:vAlign w:val="bottom"/>
          </w:tcPr>
          <w:p w14:paraId="0BED80E1" w14:textId="77777777" w:rsidR="00C85971" w:rsidRPr="007F4CC8" w:rsidRDefault="00C85971" w:rsidP="00D819DE">
            <w:pPr>
              <w:rPr>
                <w:b/>
                <w:bCs/>
                <w:color w:val="000000"/>
                <w:sz w:val="24"/>
                <w:rFonts w:ascii="Times New Roman" w:eastAsia="Times New Roman" w:hAnsi="Times New Roman" w:cs="Times New Roman"/>
              </w:rPr>
            </w:pPr>
            <w:r>
              <w:rPr>
                <w:b/>
                <w:color w:val="000000"/>
                <w:sz w:val="24"/>
                <w:rFonts w:ascii="Times New Roman" w:hAnsi="Times New Roman"/>
              </w:rPr>
              <w:t xml:space="preserve">Förklaring</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w:t>
            </w:r>
          </w:p>
        </w:tc>
        <w:tc>
          <w:tcPr>
            <w:tcW w:w="7661" w:type="dxa"/>
            <w:shd w:val="clear" w:color="auto" w:fill="auto"/>
            <w:noWrap/>
            <w:vAlign w:val="bottom"/>
          </w:tcPr>
          <w:p w14:paraId="235D6D49"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Emittent</w:t>
            </w:r>
          </w:p>
          <w:p w14:paraId="5236523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den juridiska personen.</w:t>
            </w:r>
          </w:p>
          <w:p w14:paraId="08FC4FB7"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Fritext</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w:t>
            </w:r>
          </w:p>
        </w:tc>
        <w:tc>
          <w:tcPr>
            <w:tcW w:w="7661" w:type="dxa"/>
            <w:shd w:val="clear" w:color="auto" w:fill="auto"/>
            <w:noWrap/>
            <w:vAlign w:val="bottom"/>
          </w:tcPr>
          <w:p w14:paraId="6C54C94E"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Unik identifieringskod (t.ex. identifieringskod från Cusip, Isin eller Bloomberg för privata placeringar).</w:t>
            </w:r>
          </w:p>
          <w:p w14:paraId="0BBBA79B"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Fritext</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EU-2a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Offentliga eller privata placeringar</w:t>
            </w:r>
          </w:p>
          <w:p w14:paraId="534DDFEE"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Instituten ska ange om instrumentet har placerats offentligt eller privat.</w:t>
            </w:r>
          </w:p>
          <w:p w14:paraId="6D949888"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[Offentligt] [Privat]</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Reglerande lag(ar) för instrumentet</w:t>
            </w:r>
          </w:p>
          <w:p w14:paraId="15AB1E4E"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Instituten ska ange reglerande lag(ar) för instrumentet.</w:t>
            </w:r>
            <w:r>
              <w:rPr>
                <w:sz w:val="24"/>
                <w:rFonts w:ascii="Times New Roman" w:hAnsi="Times New Roman"/>
              </w:rPr>
              <w:t xml:space="preserve"> </w:t>
            </w:r>
          </w:p>
          <w:p w14:paraId="60B649A9"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Fritext</w:t>
            </w:r>
            <w:r>
              <w:rPr>
                <w:i/>
                <w:sz w:val="24"/>
                <w:rFonts w:ascii="Times New Roman" w:hAnsi="Times New Roman"/>
              </w:rPr>
              <w:t xml:space="preserve">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Avtalsenligt erkännande av resolutionsmyndigheternas nedskrivnings- och konverteringsbefogenheter</w:t>
            </w:r>
          </w:p>
          <w:p w14:paraId="019792C7"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Instituten ska ange om instrumentet omfattar en klausul om att instrumentets kapitalbelopp, efter beslut av en resolutionsmyndighet eller en relevant myndighet i ett tredjeland, ska skrivas ner permanent eller om instrumentet ska konverteras till kärnprimärkapitalinstrument i den mening som, i tillämpliga fall, avses i följande bestämmelser:</w:t>
            </w:r>
          </w:p>
          <w:p w14:paraId="2EE684C1"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 För primärkapitaltillskottsinstrument: artikel 52.1 p i kapitalkravsförordningen.</w:t>
            </w:r>
          </w:p>
          <w:p w14:paraId="5C7FBD40"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 För supplementärkapitalinstrument: artikel 63 n eller o i kapitalkravsförordningen.</w:t>
            </w:r>
          </w:p>
          <w:p w14:paraId="2B8C1D20"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 För kvalificerade skuldinstrument: artikel 72b.2 n i kapitalkravsförordningen.</w:t>
            </w:r>
          </w:p>
          <w:p w14:paraId="394620C1"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 För alla ovanstående instrument och instrument som regleras genom lagstiftning i tredje land: artikel 55 i direktiv (EU) 2019/879</w:t>
            </w:r>
            <w:r w:rsidRPr="007F4CC8">
              <w:rPr>
                <w:rStyle w:val="FootnoteReference"/>
                <w:rFonts w:ascii="Times New Roman" w:eastAsia="Times New Roman" w:hAnsi="Times New Roman" w:cs="Times New Roman"/>
                <w:sz w:val="24"/>
                <w:lang w:eastAsia="en-GB"/>
              </w:rPr>
              <w:footnoteReference w:id="3"/>
            </w:r>
            <w:r>
              <w:rPr>
                <w:sz w:val="24"/>
                <w:rFonts w:ascii="Times New Roman" w:hAnsi="Times New Roman"/>
              </w:rPr>
              <w:t xml:space="preserve"> (BRRD).</w:t>
            </w:r>
          </w:p>
          <w:p w14:paraId="52635491"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En nedskrivning och konvertering kan uppfylla kraven både i artikel 55 i BRRD och någon av de första tre strecksatserna.</w:t>
            </w:r>
          </w:p>
          <w:p w14:paraId="47B03151"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[JA] [NEJ]</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4</w:t>
            </w:r>
          </w:p>
        </w:tc>
        <w:tc>
          <w:tcPr>
            <w:tcW w:w="7661" w:type="dxa"/>
            <w:shd w:val="clear" w:color="auto" w:fill="auto"/>
            <w:noWrap/>
            <w:vAlign w:val="bottom"/>
          </w:tcPr>
          <w:p w14:paraId="783C894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Nuvarande behandling med beaktande av övergångsbestämmelserna i kapitalkravsförordningen i tillämpliga fall</w:t>
            </w:r>
          </w:p>
          <w:p w14:paraId="456BE59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behandlingen av föreskriven kapitalbas enligt övergångsbestämmelserna i kapitalkravsförordningen.</w:t>
            </w:r>
            <w:r>
              <w:rPr>
                <w:sz w:val="24"/>
                <w:rFonts w:ascii="Times New Roman" w:hAnsi="Times New Roman"/>
              </w:rPr>
              <w:t xml:space="preserve"> </w:t>
            </w:r>
            <w:r>
              <w:rPr>
                <w:sz w:val="24"/>
                <w:rFonts w:ascii="Times New Roman" w:hAnsi="Times New Roman"/>
              </w:rPr>
              <w:t xml:space="preserve">Instrumentets ursprungliga klassificering är referenspunkten, oavsett eventuella omklassificeringar i lägre kapitalbasnivåer.</w:t>
            </w:r>
          </w:p>
          <w:p w14:paraId="57541963"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[Kärnprimärkapital] [Primärkapitaltillskott] [Supplementärkapital] [Ej godtagbart] [N/A]</w:t>
            </w:r>
          </w:p>
          <w:p w14:paraId="505EE001"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Fri text – ange om en del av emissionen har omklassificerats till lägre kapitalnivåer.</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5</w:t>
            </w:r>
          </w:p>
        </w:tc>
        <w:tc>
          <w:tcPr>
            <w:tcW w:w="7661" w:type="dxa"/>
            <w:shd w:val="clear" w:color="auto" w:fill="auto"/>
            <w:noWrap/>
            <w:vAlign w:val="bottom"/>
          </w:tcPr>
          <w:p w14:paraId="7CC7BD39"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Bestämmelser enligt kapitalkravsförordningen efter övergångsperioden</w:t>
            </w:r>
          </w:p>
          <w:p w14:paraId="15B33FD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behandlingen av föreskriven kapitalbas enligt kapitalkravsförordningen utan att ta hänsyn till övergångsbehandlingen.</w:t>
            </w:r>
            <w:r>
              <w:rPr>
                <w:sz w:val="24"/>
                <w:rFonts w:ascii="Times New Roman" w:hAnsi="Times New Roman"/>
              </w:rPr>
              <w:t xml:space="preserve"> </w:t>
            </w:r>
          </w:p>
          <w:p w14:paraId="18A44EE8"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[Kärnprimärkapital] [Primärkapitaltillskott] [Supplementärkapital] [ Kvalificerade skulder] [Ej godtagbart]</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6</w:t>
            </w:r>
          </w:p>
        </w:tc>
        <w:tc>
          <w:tcPr>
            <w:tcW w:w="7661" w:type="dxa"/>
            <w:shd w:val="clear" w:color="auto" w:fill="auto"/>
            <w:noWrap/>
            <w:vAlign w:val="bottom"/>
          </w:tcPr>
          <w:p w14:paraId="5FA2D31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Godtagbara på individuell nivå/(under)gruppnivå/individuell och (under)gruppnivå</w:t>
            </w:r>
          </w:p>
          <w:p w14:paraId="04883C7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den nivå eller de nivåer inom gruppen på vilka instrumentet inkluderas i kapitalbas/kvalificerade skulder.</w:t>
            </w:r>
          </w:p>
          <w:p w14:paraId="7983B242"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[Individuell] [Grupp(undergrupps)nivå] [Individuell och grupp(undergrupps)nivå]</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7</w:t>
            </w:r>
          </w:p>
        </w:tc>
        <w:tc>
          <w:tcPr>
            <w:tcW w:w="7661" w:type="dxa"/>
            <w:shd w:val="clear" w:color="auto" w:fill="auto"/>
            <w:noWrap/>
            <w:vAlign w:val="bottom"/>
          </w:tcPr>
          <w:p w14:paraId="76DDD347"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Instrumenttyp (typer ska specificeras av varje jurisdiktion)</w:t>
            </w:r>
          </w:p>
          <w:p w14:paraId="36FF354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instrumenttypen per jurisdiktion.</w:t>
            </w:r>
            <w:r>
              <w:rPr>
                <w:sz w:val="24"/>
                <w:rFonts w:ascii="Times New Roman" w:hAnsi="Times New Roman"/>
              </w:rPr>
              <w:t xml:space="preserve"> </w:t>
            </w:r>
          </w:p>
          <w:p w14:paraId="77AB4FE3"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För kärnprimärkapitalinstrument, välj instrumentets beteckning i den förteckning över kärnprimärkapital som offentliggjorts av EBA i enlighet med artikel 26.3 i kapitalkravsförordningen.</w:t>
            </w:r>
          </w:p>
          <w:p w14:paraId="02249DAC"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För andra instrument, välj bland:</w:t>
            </w:r>
            <w:r>
              <w:rPr>
                <w:i/>
                <w:sz w:val="24"/>
                <w:rFonts w:ascii="Times New Roman" w:hAnsi="Times New Roman"/>
              </w:rPr>
              <w:t xml:space="preserve"> </w:t>
            </w:r>
            <w:r>
              <w:rPr>
                <w:i/>
                <w:sz w:val="24"/>
                <w:rFonts w:ascii="Times New Roman" w:hAnsi="Times New Roman"/>
              </w:rPr>
              <w:t xml:space="preserve">alternativen i menyn som ska fastställas för instituten av varje jurisdiktion – rättsliga hänvisningar till artiklar i kapitalkravsförordningen ska anges för varje typ av instrument.</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8</w:t>
            </w:r>
          </w:p>
        </w:tc>
        <w:tc>
          <w:tcPr>
            <w:tcW w:w="7661" w:type="dxa"/>
            <w:shd w:val="clear" w:color="auto" w:fill="auto"/>
            <w:noWrap/>
            <w:vAlign w:val="bottom"/>
          </w:tcPr>
          <w:p w14:paraId="7DE2CA9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Belopp som redovisas i lagstadgat kapital eller kvalificerade skulder (valutan i miljoner, enligt senaste rapporteringsdatum)</w:t>
            </w:r>
          </w:p>
          <w:p w14:paraId="00829990"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det belopp som redovisats i föreskriven kapitalbas eller kvalificerade skulder.</w:t>
            </w:r>
          </w:p>
          <w:p w14:paraId="2D49DE4A"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 text – ange framför allt om några delar av instrumenten ligger i olika nivåer av den föreskrivna kapitalbasen och om det belopp som redovisas i den föreskrivna kapitalbasen skiljer sig från det emitterade beloppet.</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9</w:t>
            </w:r>
          </w:p>
        </w:tc>
        <w:tc>
          <w:tcPr>
            <w:tcW w:w="7661" w:type="dxa"/>
            <w:shd w:val="clear" w:color="auto" w:fill="auto"/>
            <w:noWrap/>
            <w:vAlign w:val="bottom"/>
          </w:tcPr>
          <w:p w14:paraId="2349DBC0"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Instrumentets nominella belopp</w:t>
            </w:r>
            <w:r>
              <w:rPr>
                <w:sz w:val="24"/>
                <w:rFonts w:ascii="Times New Roman" w:hAnsi="Times New Roman"/>
              </w:rPr>
              <w:t xml:space="preserve"> </w:t>
            </w:r>
          </w:p>
          <w:p w14:paraId="6380272B"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Instrumentets nominella belopp i emissionsvaluta och i den valuta som används för rapporteringsskyldigheterna</w:t>
            </w:r>
          </w:p>
          <w:p w14:paraId="466B9555"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Fritext</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EU-9a</w:t>
            </w:r>
          </w:p>
        </w:tc>
        <w:tc>
          <w:tcPr>
            <w:tcW w:w="7661" w:type="dxa"/>
            <w:shd w:val="clear" w:color="auto" w:fill="auto"/>
            <w:noWrap/>
            <w:vAlign w:val="bottom"/>
          </w:tcPr>
          <w:p w14:paraId="24E5CF7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Emissionspris</w:t>
            </w:r>
          </w:p>
          <w:p w14:paraId="1F541B10"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Instrumentets emissionspris</w:t>
            </w:r>
          </w:p>
          <w:p w14:paraId="789EF5B3"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Fritext</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EU-9b</w:t>
            </w:r>
          </w:p>
        </w:tc>
        <w:tc>
          <w:tcPr>
            <w:tcW w:w="7661" w:type="dxa"/>
            <w:shd w:val="clear" w:color="auto" w:fill="auto"/>
            <w:noWrap/>
            <w:vAlign w:val="bottom"/>
          </w:tcPr>
          <w:p w14:paraId="121E8937"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Inlösenpris</w:t>
            </w:r>
          </w:p>
          <w:p w14:paraId="3882BA0E"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Instrumentets inlösenpris</w:t>
            </w:r>
          </w:p>
          <w:p w14:paraId="0A2871F9"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Fritext</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10</w:t>
            </w:r>
          </w:p>
        </w:tc>
        <w:tc>
          <w:tcPr>
            <w:tcW w:w="7661" w:type="dxa"/>
            <w:shd w:val="clear" w:color="auto" w:fill="auto"/>
            <w:noWrap/>
            <w:vAlign w:val="bottom"/>
          </w:tcPr>
          <w:p w14:paraId="19BCB8EF"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Redovisningsklassificering</w:t>
            </w:r>
          </w:p>
          <w:p w14:paraId="780F56D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redovisningsklassificeringen.</w:t>
            </w:r>
          </w:p>
          <w:p w14:paraId="7F82F115"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[Eget kapital] [Skuld – upplupet anskaffningsvärde] [Skuld – alternativet med verkligt värde] [Innehav utan bestämmande inflytande i dotterföretag som ingår i konsolideringen]</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11</w:t>
            </w:r>
          </w:p>
        </w:tc>
        <w:tc>
          <w:tcPr>
            <w:tcW w:w="7661" w:type="dxa"/>
            <w:shd w:val="clear" w:color="auto" w:fill="auto"/>
            <w:noWrap/>
            <w:vAlign w:val="bottom"/>
          </w:tcPr>
          <w:p w14:paraId="458D846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Ursprungligt emissionsdatum</w:t>
            </w:r>
          </w:p>
          <w:p w14:paraId="611C9A3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emissionsdatumet.</w:t>
            </w:r>
          </w:p>
          <w:p w14:paraId="2154F810"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Fritext</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12</w:t>
            </w:r>
          </w:p>
        </w:tc>
        <w:tc>
          <w:tcPr>
            <w:tcW w:w="7661" w:type="dxa"/>
            <w:shd w:val="clear" w:color="auto" w:fill="auto"/>
            <w:noWrap/>
            <w:vAlign w:val="bottom"/>
          </w:tcPr>
          <w:p w14:paraId="4EF23CA5"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Evigt eller tidsbestämt</w:t>
            </w:r>
            <w:r>
              <w:rPr>
                <w:sz w:val="24"/>
                <w:rFonts w:ascii="Times New Roman" w:hAnsi="Times New Roman"/>
              </w:rPr>
              <w:t xml:space="preserve"> </w:t>
            </w:r>
          </w:p>
          <w:p w14:paraId="3E0D6EB1"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om ett instrument är tidsbestämt eller evigt.</w:t>
            </w:r>
          </w:p>
          <w:p w14:paraId="245C5398"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[Evigt] [Tidsbestämt]</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13</w:t>
            </w:r>
          </w:p>
        </w:tc>
        <w:tc>
          <w:tcPr>
            <w:tcW w:w="7661" w:type="dxa"/>
            <w:shd w:val="clear" w:color="auto" w:fill="auto"/>
            <w:noWrap/>
            <w:vAlign w:val="bottom"/>
          </w:tcPr>
          <w:p w14:paraId="6ED06368"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Ursprunglig förfallodag</w:t>
            </w:r>
          </w:p>
          <w:p w14:paraId="4B82838B"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För tidsbestämda instrument ska instituten ange den ursprungliga förfallodagen (dag, månad och år).</w:t>
            </w:r>
            <w:r>
              <w:rPr>
                <w:sz w:val="24"/>
                <w:rFonts w:ascii="Times New Roman" w:hAnsi="Times New Roman"/>
              </w:rPr>
              <w:t xml:space="preserve"> </w:t>
            </w:r>
            <w:r>
              <w:rPr>
                <w:sz w:val="24"/>
                <w:rFonts w:ascii="Times New Roman" w:hAnsi="Times New Roman"/>
              </w:rPr>
              <w:t xml:space="preserve">För eviga instrument ska ”ingen förfallodag” anges.</w:t>
            </w:r>
            <w:r>
              <w:rPr>
                <w:sz w:val="24"/>
                <w:rFonts w:ascii="Times New Roman" w:hAnsi="Times New Roman"/>
              </w:rPr>
              <w:t xml:space="preserve"> </w:t>
            </w:r>
          </w:p>
          <w:p w14:paraId="68FD4196"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Fritext</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14</w:t>
            </w:r>
          </w:p>
        </w:tc>
        <w:tc>
          <w:tcPr>
            <w:tcW w:w="7661" w:type="dxa"/>
            <w:shd w:val="clear" w:color="auto" w:fill="auto"/>
            <w:noWrap/>
            <w:vAlign w:val="bottom"/>
          </w:tcPr>
          <w:p w14:paraId="4A451C2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Emittentens inlösenrätt omfattas av krav på förhandstillstånd från tillsynsmyndigheten</w:t>
            </w:r>
            <w:r>
              <w:rPr>
                <w:sz w:val="24"/>
                <w:rFonts w:ascii="Times New Roman" w:hAnsi="Times New Roman"/>
              </w:rPr>
              <w:t xml:space="preserve"> </w:t>
            </w:r>
          </w:p>
          <w:p w14:paraId="58557375"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om instrumentet kan lösas in av emittenten (alla typer av inlösenrätter).</w:t>
            </w:r>
          </w:p>
          <w:p w14:paraId="613B3C4C"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[Ja] [Nej]</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15</w:t>
            </w:r>
          </w:p>
        </w:tc>
        <w:tc>
          <w:tcPr>
            <w:tcW w:w="7661" w:type="dxa"/>
            <w:shd w:val="clear" w:color="auto" w:fill="auto"/>
            <w:noWrap/>
            <w:vAlign w:val="bottom"/>
          </w:tcPr>
          <w:p w14:paraId="6A950D9E"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Valfritt inlösendatum, villkorade inlösendatum och inlösenbelopp</w:t>
            </w:r>
          </w:p>
          <w:p w14:paraId="73384FE5"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För instrument som kan lösas in av emittenten ska instituten ange första inlösendatum om instrumentet omfattas av en inlösenrätt ett visst datum (dag, månad och år) och dessutom ange om inlösenrätten är beroende av en skatte- och/eller lagstiftningshändelse.</w:t>
            </w:r>
            <w:r>
              <w:rPr>
                <w:sz w:val="24"/>
                <w:rFonts w:ascii="Times New Roman" w:hAnsi="Times New Roman"/>
              </w:rPr>
              <w:t xml:space="preserve"> </w:t>
            </w:r>
            <w:r>
              <w:rPr>
                <w:sz w:val="24"/>
                <w:rFonts w:ascii="Times New Roman" w:hAnsi="Times New Roman"/>
              </w:rPr>
              <w:t xml:space="preserve">Instituten ska även ange inlösenpriset för att underlätta bedömningen av beständigheten.</w:t>
            </w:r>
          </w:p>
          <w:p w14:paraId="525DFACD"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Fritext</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16</w:t>
            </w:r>
          </w:p>
        </w:tc>
        <w:tc>
          <w:tcPr>
            <w:tcW w:w="7661" w:type="dxa"/>
            <w:shd w:val="clear" w:color="auto" w:fill="auto"/>
            <w:noWrap/>
            <w:vAlign w:val="bottom"/>
          </w:tcPr>
          <w:p w14:paraId="08CF89A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Efterföljande inlösendatum, i tillämpliga fall</w:t>
            </w:r>
          </w:p>
          <w:p w14:paraId="1CE0E8DF"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förekomsten och frekvensen av efterföljande inlösendatum, i tillämpliga fall, för att underlätta bedömningen av beständigheten.</w:t>
            </w:r>
          </w:p>
          <w:p w14:paraId="7B5269A2"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Fritext</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Fast eller rörlig utdelning/kupong</w:t>
            </w:r>
          </w:p>
          <w:p w14:paraId="52599B65"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Instituten ska ange om kupongen/utdelningen är fast under instrumentets löptid, eller rörlig under instrumentets löptid, eller för närvarande fast, men kommer att övergå till rörlig ränta i framtiden, eller för närvarande rörlig, men kommer att övergå till fast ränta i framtiden.</w:t>
            </w:r>
            <w:r>
              <w:rPr>
                <w:sz w:val="24"/>
                <w:rFonts w:ascii="Times New Roman" w:hAnsi="Times New Roman"/>
              </w:rPr>
              <w:t xml:space="preserve"> </w:t>
            </w:r>
          </w:p>
          <w:p w14:paraId="52AB5C9D"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[Fast], [Rörlig] [Fast till rörlig], [Rörlig till fast]</w:t>
            </w:r>
            <w:r>
              <w:rPr>
                <w:i/>
                <w:sz w:val="24"/>
                <w:rFonts w:ascii="Times New Roman" w:hAnsi="Times New Roman"/>
              </w:rPr>
              <w:t xml:space="preserve">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Kupongränta och eventuellt tillhörande index</w:t>
            </w:r>
            <w:r>
              <w:rPr>
                <w:sz w:val="24"/>
                <w:rFonts w:ascii="Times New Roman" w:hAnsi="Times New Roman"/>
              </w:rPr>
              <w:t xml:space="preserve"> </w:t>
            </w:r>
          </w:p>
          <w:p w14:paraId="65D080DC"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Instituten ska ange kupongräntan för instrumentet och eventuellt tillhörande index som kupong-/utdelningsräntan hänförs till.</w:t>
            </w:r>
            <w:r>
              <w:rPr>
                <w:sz w:val="24"/>
                <w:rFonts w:ascii="Times New Roman" w:hAnsi="Times New Roman"/>
              </w:rPr>
              <w:t xml:space="preserve"> </w:t>
            </w:r>
          </w:p>
          <w:p w14:paraId="0AEC5895"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Fritext</w:t>
            </w:r>
            <w:r>
              <w:rPr>
                <w:i/>
                <w:sz w:val="24"/>
                <w:rFonts w:ascii="Times New Roman" w:hAnsi="Times New Roman"/>
              </w:rPr>
              <w:t xml:space="preserve">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Förekomst av utdelningsstopp</w:t>
            </w:r>
            <w:r>
              <w:rPr>
                <w:sz w:val="24"/>
                <w:rFonts w:ascii="Times New Roman" w:hAnsi="Times New Roman"/>
              </w:rPr>
              <w:t xml:space="preserve"> </w:t>
            </w:r>
          </w:p>
          <w:p w14:paraId="5D351279"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Instituten ska ange om utebliven betalning av en kupong eller utdelning på instrumentet innebär att det inte får betalas ut någon utdelning på stamaktier (dvs. om det finns ett utdelningsstopp).</w:t>
            </w:r>
            <w:r>
              <w:rPr>
                <w:sz w:val="24"/>
                <w:rFonts w:ascii="Times New Roman" w:hAnsi="Times New Roman"/>
              </w:rPr>
              <w:t xml:space="preserve"> </w:t>
            </w:r>
          </w:p>
          <w:p w14:paraId="5812A304"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[ja], [nej]</w:t>
            </w:r>
            <w:r>
              <w:rPr>
                <w:i/>
                <w:sz w:val="24"/>
                <w:rFonts w:ascii="Times New Roman" w:hAnsi="Times New Roman"/>
              </w:rPr>
              <w:t xml:space="preserve">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EU-20a</w:t>
            </w:r>
          </w:p>
        </w:tc>
        <w:tc>
          <w:tcPr>
            <w:tcW w:w="7661" w:type="dxa"/>
            <w:shd w:val="clear" w:color="auto" w:fill="auto"/>
            <w:noWrap/>
            <w:vAlign w:val="bottom"/>
          </w:tcPr>
          <w:p w14:paraId="647767A9"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Helt skönsmässigt, delvis skönsmässigt eller obligatoriskt (i fråga om tidpunkt)</w:t>
            </w:r>
            <w:r>
              <w:rPr>
                <w:sz w:val="24"/>
                <w:rFonts w:ascii="Times New Roman" w:hAnsi="Times New Roman"/>
              </w:rPr>
              <w:t xml:space="preserve"> </w:t>
            </w:r>
          </w:p>
          <w:p w14:paraId="53D0B84D"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om emittenten har full bestämmanderätt, delvis bestämmanderätt eller ingen bestämmanderätt över huruvida en kupong/utdelning ska betalas ut.</w:t>
            </w:r>
            <w:r>
              <w:rPr>
                <w:sz w:val="24"/>
                <w:rFonts w:ascii="Times New Roman" w:hAnsi="Times New Roman"/>
              </w:rPr>
              <w:t xml:space="preserve"> </w:t>
            </w:r>
            <w:r>
              <w:rPr>
                <w:sz w:val="24"/>
                <w:rFonts w:ascii="Times New Roman" w:hAnsi="Times New Roman"/>
              </w:rPr>
              <w:t xml:space="preserve">Om institutet har full bestämmanderätt när det gäller att ställa in utbetalningar av kuponger/utdelningar under alla omständigheter, ska det välja ”helt skönsmässigt” (även om det finns ett utdelningsstopp som inte innebär att institutet hindras att ställa in utbetalningar för instrumentet).</w:t>
            </w:r>
            <w:r>
              <w:rPr>
                <w:sz w:val="24"/>
                <w:rFonts w:ascii="Times New Roman" w:hAnsi="Times New Roman"/>
              </w:rPr>
              <w:t xml:space="preserve"> </w:t>
            </w:r>
            <w:r>
              <w:rPr>
                <w:sz w:val="24"/>
                <w:rFonts w:ascii="Times New Roman" w:hAnsi="Times New Roman"/>
              </w:rPr>
              <w:t xml:space="preserve">Om det finns villkor som måste uppfyllas innan utbetalningen får ställas in (t.ex. kapitalbas under ett visst tröskelvärde), ska institutet välja ”delvis skönsmässigt”.</w:t>
            </w:r>
            <w:r>
              <w:rPr>
                <w:sz w:val="24"/>
                <w:rFonts w:ascii="Times New Roman" w:hAnsi="Times New Roman"/>
              </w:rPr>
              <w:t xml:space="preserve"> </w:t>
            </w:r>
            <w:r>
              <w:rPr>
                <w:sz w:val="24"/>
                <w:rFonts w:ascii="Times New Roman" w:hAnsi="Times New Roman"/>
              </w:rPr>
              <w:t xml:space="preserve">Om institutet endast kan ställa in betalningen om det är insolvent, ska det välja ”obligatoriskt”.</w:t>
            </w:r>
          </w:p>
          <w:p w14:paraId="093B501F"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[Helt skönsmässigt] [Delvis skönsmässigt] [Obligatoriskt]</w:t>
            </w:r>
          </w:p>
          <w:p w14:paraId="437D6930"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Fri text (ange skälen för skönsmässighet, förekomst av utdelningstvång, utdelningsstopp, ACSM)</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EU-20b</w:t>
            </w:r>
          </w:p>
        </w:tc>
        <w:tc>
          <w:tcPr>
            <w:tcW w:w="7661" w:type="dxa"/>
            <w:shd w:val="clear" w:color="auto" w:fill="auto"/>
            <w:noWrap/>
            <w:vAlign w:val="bottom"/>
          </w:tcPr>
          <w:p w14:paraId="6504D08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Helt skönsmässigt, delvis skönsmässigt eller obligatoriskt (i fråga om belopp)</w:t>
            </w:r>
            <w:r>
              <w:rPr>
                <w:sz w:val="24"/>
                <w:rFonts w:ascii="Times New Roman" w:hAnsi="Times New Roman"/>
              </w:rPr>
              <w:t xml:space="preserve"> </w:t>
            </w:r>
          </w:p>
          <w:p w14:paraId="04BFE837"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om emittenten har full bestämmanderätt, delvis bestämmanderätt eller ingen bestämmanderätt över beloppet för kupongen/utdelningen.</w:t>
            </w:r>
          </w:p>
          <w:p w14:paraId="513C496A"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[Helt skönsmässigt] [Delvis skönsmässigt] [Obligatoriskt]</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21</w:t>
            </w:r>
          </w:p>
        </w:tc>
        <w:tc>
          <w:tcPr>
            <w:tcW w:w="7661" w:type="dxa"/>
            <w:shd w:val="clear" w:color="auto" w:fill="auto"/>
            <w:noWrap/>
            <w:vAlign w:val="bottom"/>
          </w:tcPr>
          <w:p w14:paraId="0F2B7E1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Förekomst av step-up eller annat incitament för återlösen</w:t>
            </w:r>
          </w:p>
          <w:p w14:paraId="12907BE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om det finns en step-up eller ett annat incitament för återlösen.</w:t>
            </w:r>
          </w:p>
          <w:p w14:paraId="4BED9D43"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[Ja] [Nej]</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22</w:t>
            </w:r>
          </w:p>
        </w:tc>
        <w:tc>
          <w:tcPr>
            <w:tcW w:w="7661" w:type="dxa"/>
            <w:shd w:val="clear" w:color="auto" w:fill="auto"/>
            <w:noWrap/>
            <w:vAlign w:val="bottom"/>
          </w:tcPr>
          <w:p w14:paraId="45FEA97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Icke-kumulativa eller kumulativa</w:t>
            </w:r>
          </w:p>
          <w:p w14:paraId="55B7FEB7"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om utdelningar/kuponger är kumulativa eller icke-kumulativa.</w:t>
            </w:r>
          </w:p>
          <w:p w14:paraId="0EB38D12"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[Icke-kumulativa] [Kumulativa] [ACSM]</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23</w:t>
            </w:r>
          </w:p>
        </w:tc>
        <w:tc>
          <w:tcPr>
            <w:tcW w:w="7661" w:type="dxa"/>
            <w:shd w:val="clear" w:color="auto" w:fill="auto"/>
            <w:noWrap/>
            <w:vAlign w:val="bottom"/>
          </w:tcPr>
          <w:p w14:paraId="05E02B3C"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Konvertibla eller icke-konvertibla</w:t>
            </w:r>
          </w:p>
          <w:p w14:paraId="03E7455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om instrumenten är konvertibla eller ej.</w:t>
            </w:r>
          </w:p>
          <w:p w14:paraId="5A5BB1FB"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[Konvertibla] [Icke-konvertibla]</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24</w:t>
            </w:r>
          </w:p>
        </w:tc>
        <w:tc>
          <w:tcPr>
            <w:tcW w:w="7661" w:type="dxa"/>
            <w:shd w:val="clear" w:color="auto" w:fill="auto"/>
            <w:noWrap/>
            <w:vAlign w:val="bottom"/>
          </w:tcPr>
          <w:p w14:paraId="557E2DF9"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Om konvertibla, konverteringstrigger</w:t>
            </w:r>
          </w:p>
          <w:p w14:paraId="64B68578"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villkoren för att instrumentet ska konverteras, inbegripet tidpunkten då institutet inte längre är livskraftigt.</w:t>
            </w:r>
            <w:r>
              <w:rPr>
                <w:sz w:val="24"/>
                <w:rFonts w:ascii="Times New Roman" w:hAnsi="Times New Roman"/>
              </w:rPr>
              <w:t xml:space="preserve"> </w:t>
            </w:r>
            <w:r>
              <w:rPr>
                <w:sz w:val="24"/>
                <w:rFonts w:ascii="Times New Roman" w:hAnsi="Times New Roman"/>
              </w:rPr>
              <w:t xml:space="preserve">Om en eller flera myndigheter har möjlighet att utlösa en konvertering ska dessa myndigheter anges.</w:t>
            </w:r>
            <w:r>
              <w:rPr>
                <w:sz w:val="24"/>
                <w:rFonts w:ascii="Times New Roman" w:hAnsi="Times New Roman"/>
              </w:rPr>
              <w:t xml:space="preserve"> </w:t>
            </w:r>
            <w:r>
              <w:rPr>
                <w:sz w:val="24"/>
                <w:rFonts w:ascii="Times New Roman" w:hAnsi="Times New Roman"/>
              </w:rPr>
              <w:t xml:space="preserve">För var och en av myndigheterna ska institutet ange om det är villkoren i kontraktet för instrumentet som ger myndigheten den rättsliga grunden för att utlösa konverteringen (en kontraktsbaserad metod) eller om den rättsliga grunden har fastställts i lag (en lagbaserad metod).</w:t>
            </w:r>
          </w:p>
          <w:p w14:paraId="492B2888"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Fritext</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25</w:t>
            </w:r>
          </w:p>
        </w:tc>
        <w:tc>
          <w:tcPr>
            <w:tcW w:w="7661" w:type="dxa"/>
            <w:shd w:val="clear" w:color="auto" w:fill="auto"/>
            <w:noWrap/>
            <w:vAlign w:val="bottom"/>
          </w:tcPr>
          <w:p w14:paraId="37E1797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Om konvertibla, helt eller delvis</w:t>
            </w:r>
          </w:p>
          <w:p w14:paraId="5FFCE6A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om instrumentet alltid konverteras i sin helhet, kan konverteras i sin helhet eller delvis, eller alltid konverteras delvis.</w:t>
            </w:r>
          </w:p>
          <w:p w14:paraId="04295F27"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[Alltid helt] [Helt eller delvis] [Alltid delvis]</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26</w:t>
            </w:r>
          </w:p>
        </w:tc>
        <w:tc>
          <w:tcPr>
            <w:tcW w:w="7661" w:type="dxa"/>
            <w:shd w:val="clear" w:color="auto" w:fill="auto"/>
            <w:noWrap/>
            <w:vAlign w:val="bottom"/>
          </w:tcPr>
          <w:p w14:paraId="525BBA9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Om konvertibla, omräkningskurs</w:t>
            </w:r>
          </w:p>
          <w:p w14:paraId="24115E30"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omräkningskursen till det mer förlusttäckande instrumentet.</w:t>
            </w:r>
            <w:r>
              <w:rPr>
                <w:sz w:val="24"/>
                <w:rFonts w:ascii="Times New Roman" w:hAnsi="Times New Roman"/>
              </w:rPr>
              <w:t xml:space="preserve"> </w:t>
            </w:r>
          </w:p>
          <w:p w14:paraId="49572789"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Fritext</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27</w:t>
            </w:r>
          </w:p>
        </w:tc>
        <w:tc>
          <w:tcPr>
            <w:tcW w:w="7661" w:type="dxa"/>
            <w:shd w:val="clear" w:color="auto" w:fill="auto"/>
            <w:noWrap/>
            <w:vAlign w:val="bottom"/>
          </w:tcPr>
          <w:p w14:paraId="2824EFA1"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Om konvertibla, obligatorisk eller frivillig konvertering</w:t>
            </w:r>
          </w:p>
          <w:p w14:paraId="2C09BCD8"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För konvertibla instrument ska instituten ange om konverteringen är obligatorisk eller frivillig.</w:t>
            </w:r>
            <w:r>
              <w:rPr>
                <w:sz w:val="24"/>
                <w:rFonts w:ascii="Times New Roman" w:hAnsi="Times New Roman"/>
              </w:rPr>
              <w:t xml:space="preserve"> </w:t>
            </w:r>
          </w:p>
          <w:p w14:paraId="0C9E7DA5"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[Obligatorisk] [Valfri] [Ej tillämpligt] och [valfritt för innehavarna] [valfritt för emittenten] [valfritt för både innehavare och emittent]</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28</w:t>
            </w:r>
          </w:p>
        </w:tc>
        <w:tc>
          <w:tcPr>
            <w:tcW w:w="7661" w:type="dxa"/>
            <w:shd w:val="clear" w:color="auto" w:fill="auto"/>
            <w:noWrap/>
            <w:vAlign w:val="bottom"/>
          </w:tcPr>
          <w:p w14:paraId="0838A71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Om konvertibla, ange typ av instrument som konverteringen görs till</w:t>
            </w:r>
          </w:p>
          <w:p w14:paraId="006F3C5C"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För konvertibla instrument ska instituten ange vilken typ av instrument konverteringen kan göras till.</w:t>
            </w:r>
            <w:r>
              <w:rPr>
                <w:sz w:val="24"/>
                <w:rFonts w:ascii="Times New Roman" w:hAnsi="Times New Roman"/>
              </w:rPr>
              <w:t xml:space="preserve"> </w:t>
            </w:r>
            <w:r>
              <w:rPr>
                <w:sz w:val="24"/>
                <w:rFonts w:ascii="Times New Roman" w:hAnsi="Times New Roman"/>
              </w:rPr>
              <w:t xml:space="preserve">Detta gör det lättare att bedöma förlustabsorberingskapaciteten.</w:t>
            </w:r>
          </w:p>
          <w:p w14:paraId="466B3378"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[Kärnprimärkapital] [Övrigt primärkapital för kapitaltäckningsändamål] [Supplementärkapital] [Övrigt]</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29</w:t>
            </w:r>
          </w:p>
        </w:tc>
        <w:tc>
          <w:tcPr>
            <w:tcW w:w="7661" w:type="dxa"/>
            <w:shd w:val="clear" w:color="auto" w:fill="auto"/>
            <w:noWrap/>
            <w:vAlign w:val="bottom"/>
          </w:tcPr>
          <w:p w14:paraId="37418A51"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Om konvertibla, ange emittent för det instrument som konverteringen görs till</w:t>
            </w:r>
          </w:p>
          <w:p w14:paraId="68640A35"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Fritext</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30</w:t>
            </w:r>
          </w:p>
        </w:tc>
        <w:tc>
          <w:tcPr>
            <w:tcW w:w="7661" w:type="dxa"/>
            <w:shd w:val="clear" w:color="auto" w:fill="auto"/>
            <w:noWrap/>
            <w:vAlign w:val="bottom"/>
          </w:tcPr>
          <w:p w14:paraId="6ED6EEF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Nedskrivningsdelar</w:t>
            </w:r>
          </w:p>
          <w:p w14:paraId="4699CA87"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om det finns en nedskrivningsdel.</w:t>
            </w:r>
            <w:r>
              <w:rPr>
                <w:sz w:val="24"/>
                <w:rFonts w:ascii="Times New Roman" w:hAnsi="Times New Roman"/>
              </w:rPr>
              <w:t xml:space="preserve"> </w:t>
            </w:r>
          </w:p>
          <w:p w14:paraId="14FB6667"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[Ja] [Nej]</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Om nedskrivning, nedskrivningstrigger</w:t>
            </w:r>
          </w:p>
          <w:p w14:paraId="397C3607"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Ange vid vilken utlösningsnivå som nedskrivningen görs, inklusive den tidpunkt då institutet inte längre är livskraftigt.</w:t>
            </w:r>
            <w:r>
              <w:rPr>
                <w:sz w:val="24"/>
                <w:rFonts w:ascii="Times New Roman" w:hAnsi="Times New Roman"/>
              </w:rPr>
              <w:t xml:space="preserve"> </w:t>
            </w:r>
            <w:r>
              <w:rPr>
                <w:sz w:val="24"/>
                <w:rFonts w:ascii="Times New Roman" w:hAnsi="Times New Roman"/>
              </w:rPr>
              <w:t xml:space="preserve">Om en eller flera myndigheter har möjlighet att utlösa en nedskrivning ska dessa myndigheter anges.</w:t>
            </w:r>
            <w:r>
              <w:rPr>
                <w:sz w:val="24"/>
                <w:rFonts w:ascii="Times New Roman" w:hAnsi="Times New Roman"/>
              </w:rPr>
              <w:t xml:space="preserve"> </w:t>
            </w:r>
            <w:r>
              <w:rPr>
                <w:sz w:val="24"/>
                <w:rFonts w:ascii="Times New Roman" w:hAnsi="Times New Roman"/>
              </w:rPr>
              <w:t xml:space="preserve">För var och en av myndigheterna ska det anges om det är villkoren i kontraktet för instrumentet som ger myndigheten den rättsliga grunden för att utlösa nedskrivningen (en kontraktsbaserad metod) eller om den rättsliga grunden har fastställts i lag (en lagbaserad metod).</w:t>
            </w:r>
            <w:r>
              <w:rPr>
                <w:sz w:val="24"/>
                <w:rFonts w:ascii="Times New Roman" w:hAnsi="Times New Roman"/>
              </w:rPr>
              <w:t xml:space="preserve"> </w:t>
            </w:r>
          </w:p>
          <w:p w14:paraId="6D317CE3"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Fritext</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32</w:t>
            </w:r>
          </w:p>
        </w:tc>
        <w:tc>
          <w:tcPr>
            <w:tcW w:w="7661" w:type="dxa"/>
            <w:shd w:val="clear" w:color="auto" w:fill="auto"/>
            <w:noWrap/>
            <w:vAlign w:val="bottom"/>
          </w:tcPr>
          <w:p w14:paraId="128DCCFB"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Om nedskrivning, fullständig eller delvis</w:t>
            </w:r>
          </w:p>
          <w:p w14:paraId="64FD839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om instrumentet alltid kommer att skrivas ned i sin helhet, kan skrivas ned delvis, eller alltid kommer att skrivas ned delvis.</w:t>
            </w:r>
            <w:r>
              <w:rPr>
                <w:sz w:val="24"/>
                <w:rFonts w:ascii="Times New Roman" w:hAnsi="Times New Roman"/>
              </w:rPr>
              <w:t xml:space="preserve"> </w:t>
            </w:r>
            <w:r>
              <w:rPr>
                <w:sz w:val="24"/>
                <w:rFonts w:ascii="Times New Roman" w:hAnsi="Times New Roman"/>
              </w:rPr>
              <w:t xml:space="preserve">Detta gör det lättare att bedöma förlustabsorberingsnivån vid nedskrivning.</w:t>
            </w:r>
          </w:p>
          <w:p w14:paraId="6CADF97E"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[Alltid helt] [Helt eller delvis] [Alltid delvis]</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33</w:t>
            </w:r>
          </w:p>
        </w:tc>
        <w:tc>
          <w:tcPr>
            <w:tcW w:w="7661" w:type="dxa"/>
            <w:shd w:val="clear" w:color="auto" w:fill="auto"/>
            <w:noWrap/>
            <w:vAlign w:val="bottom"/>
          </w:tcPr>
          <w:p w14:paraId="37D6527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Om nedskrivning, permanent eller temporär</w:t>
            </w:r>
          </w:p>
          <w:p w14:paraId="34260CB9"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För nedskrivningsinstrument ska instituten ange om nedskrivningen är permanent eller temporär.</w:t>
            </w:r>
            <w:r>
              <w:rPr>
                <w:sz w:val="24"/>
                <w:rFonts w:ascii="Times New Roman" w:hAnsi="Times New Roman"/>
              </w:rPr>
              <w:t xml:space="preserve"> </w:t>
            </w:r>
          </w:p>
          <w:p w14:paraId="32C2F438"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[Permanent] [Temporär] [Ej tillämpligt]</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34</w:t>
            </w:r>
          </w:p>
        </w:tc>
        <w:tc>
          <w:tcPr>
            <w:tcW w:w="7661" w:type="dxa"/>
            <w:shd w:val="clear" w:color="auto" w:fill="auto"/>
            <w:noWrap/>
            <w:vAlign w:val="bottom"/>
          </w:tcPr>
          <w:p w14:paraId="1932E4F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Om nedskrivningen är temporär, beskriv uppskrivningsmekanismen</w:t>
            </w:r>
            <w:r>
              <w:rPr>
                <w:sz w:val="24"/>
                <w:rFonts w:ascii="Times New Roman" w:hAnsi="Times New Roman"/>
              </w:rPr>
              <w:t xml:space="preserve"> </w:t>
            </w:r>
          </w:p>
          <w:p w14:paraId="508717B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beskriva uppskrivningsmekanismen.</w:t>
            </w:r>
          </w:p>
          <w:p w14:paraId="69A4EF70"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Fritext</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34a</w:t>
            </w:r>
          </w:p>
        </w:tc>
        <w:tc>
          <w:tcPr>
            <w:tcW w:w="7661" w:type="dxa"/>
            <w:shd w:val="clear" w:color="auto" w:fill="auto"/>
            <w:noWrap/>
            <w:vAlign w:val="bottom"/>
          </w:tcPr>
          <w:p w14:paraId="0557B0E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Typ av efterställning (endast för kvalificerade skulder)</w:t>
            </w:r>
          </w:p>
          <w:p w14:paraId="102AAA85"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om instrumentet uppfyller någon av de typer av efterställning som beskrivs i artikel 72b.2 d (i), (ii) och (iii) i kapitalkravsförordningen.</w:t>
            </w:r>
            <w:r>
              <w:rPr>
                <w:sz w:val="24"/>
                <w:rFonts w:ascii="Times New Roman" w:hAnsi="Times New Roman"/>
              </w:rPr>
              <w:t xml:space="preserve"> </w:t>
            </w:r>
          </w:p>
          <w:p w14:paraId="4FDC7BEB"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p>
          <w:p w14:paraId="588ACAC6"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 </w:t>
            </w:r>
            <w:r>
              <w:rPr>
                <w:i/>
                <w:sz w:val="24"/>
                <w:rFonts w:ascii="Times New Roman" w:hAnsi="Times New Roman"/>
              </w:rPr>
              <w:t xml:space="preserve">[Enligt avtal] om instrumentet uppfyller de krav som fastställs i artikel 72b.2 d (i) i kapitalkravsförordningen.</w:t>
            </w:r>
          </w:p>
          <w:p w14:paraId="5F91F70D"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 </w:t>
            </w:r>
            <w:r>
              <w:rPr>
                <w:i/>
                <w:sz w:val="24"/>
                <w:rFonts w:ascii="Times New Roman" w:hAnsi="Times New Roman"/>
              </w:rPr>
              <w:t xml:space="preserve">[Enligt lag] om instrumentet uppfyller de krav som fastställs i artikel 72b.2 d (ii) i kapitalkravsförordningen.</w:t>
            </w:r>
          </w:p>
          <w:p w14:paraId="7DBFA7DA"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[Strukturell] om instrumentet uppfyller de krav som fastställs i artikel 72b.2 d (iii) i kapitalkravsförordningen.</w:t>
            </w:r>
            <w:r>
              <w:rPr>
                <w:i/>
                <w:sz w:val="24"/>
                <w:rFonts w:ascii="Times New Roman" w:hAnsi="Times New Roman"/>
              </w:rPr>
              <w:t xml:space="preserve"> </w:t>
            </w:r>
          </w:p>
          <w:p w14:paraId="3C97593F"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[Undantag från efterställning] om instrumentet inte uppfyller kraven för någon av de ovannämnda formerna av efterställning och under förutsättning att institutet har fått tillstånd, enligt artikel 72b.4 i kapitalkravsförordningen, att ta med icke efterställda skulder som poster för kvalificerade skulder.</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EU-34b</w:t>
            </w:r>
          </w:p>
        </w:tc>
        <w:tc>
          <w:tcPr>
            <w:tcW w:w="7661" w:type="dxa"/>
            <w:shd w:val="clear" w:color="auto" w:fill="auto"/>
            <w:noWrap/>
            <w:vAlign w:val="bottom"/>
          </w:tcPr>
          <w:p w14:paraId="2A4DED31"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Instrumentets rangordning vid normala insolvensförfaranden</w:t>
            </w:r>
          </w:p>
          <w:p w14:paraId="0A912A4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instrumentets rangordning vid normala insolvensförfaranden.</w:t>
            </w:r>
          </w:p>
          <w:p w14:paraId="7E0F7F1E"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Enligt definitionen i [den tekniska genomförandestandarden för rapportering av minimikrav för kapitalbas och kvalificerade skulder].</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35</w:t>
            </w:r>
          </w:p>
        </w:tc>
        <w:tc>
          <w:tcPr>
            <w:tcW w:w="7661" w:type="dxa"/>
            <w:shd w:val="clear" w:color="auto" w:fill="auto"/>
            <w:noWrap/>
            <w:vAlign w:val="bottom"/>
          </w:tcPr>
          <w:p w14:paraId="0D11AB0E"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Position i prioriteringshierarkin för likvidation (ange typ av instrument som är direkt högre i rangordningen)</w:t>
            </w:r>
          </w:p>
          <w:p w14:paraId="79DC012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det instrument som ligger närmast över instrumentet i rangordningen.</w:t>
            </w:r>
            <w:r>
              <w:rPr>
                <w:sz w:val="24"/>
                <w:rFonts w:ascii="Times New Roman" w:hAnsi="Times New Roman"/>
              </w:rPr>
              <w:t xml:space="preserve"> </w:t>
            </w:r>
            <w:r>
              <w:rPr>
                <w:sz w:val="24"/>
                <w:rFonts w:ascii="Times New Roman" w:hAnsi="Times New Roman"/>
              </w:rPr>
              <w:t xml:space="preserve">I tillämpliga fall ska bankerna ange kolumnnumret i den ifyllda mallen för instrumentens viktigaste delar för det instrument som ligger närmast över i rangordningen.</w:t>
            </w:r>
          </w:p>
          <w:p w14:paraId="08249FBE"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Fritext</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36</w:t>
            </w:r>
          </w:p>
        </w:tc>
        <w:tc>
          <w:tcPr>
            <w:tcW w:w="7661" w:type="dxa"/>
            <w:shd w:val="clear" w:color="auto" w:fill="auto"/>
            <w:noWrap/>
            <w:vAlign w:val="bottom"/>
          </w:tcPr>
          <w:p w14:paraId="2425AD51"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Delar från övergångsperioden som inte uppfyller kraven</w:t>
            </w:r>
          </w:p>
          <w:p w14:paraId="5476BC6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ange om det finns delar som inte uppfyller kraven.</w:t>
            </w:r>
          </w:p>
          <w:p w14:paraId="6A270CFD"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[Ja] [Nej]</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37</w:t>
            </w:r>
          </w:p>
        </w:tc>
        <w:tc>
          <w:tcPr>
            <w:tcW w:w="7661" w:type="dxa"/>
            <w:shd w:val="clear" w:color="auto" w:fill="auto"/>
            <w:noWrap/>
            <w:vAlign w:val="bottom"/>
          </w:tcPr>
          <w:p w14:paraId="414C59FC"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Om ja, ange vilka delar som inte uppfyller kraven</w:t>
            </w:r>
          </w:p>
          <w:p w14:paraId="2924F71C"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Om det finns delar som inte uppfyller kraven ska institutet ange vilka.</w:t>
            </w:r>
            <w:r>
              <w:rPr>
                <w:sz w:val="24"/>
                <w:rFonts w:ascii="Times New Roman" w:hAnsi="Times New Roman"/>
              </w:rPr>
              <w:t xml:space="preserve"> </w:t>
            </w:r>
          </w:p>
          <w:p w14:paraId="0A28A97E"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Fritext</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EU-37a</w:t>
            </w:r>
          </w:p>
        </w:tc>
        <w:tc>
          <w:tcPr>
            <w:tcW w:w="7661" w:type="dxa"/>
            <w:shd w:val="clear" w:color="auto" w:fill="auto"/>
            <w:noWrap/>
            <w:vAlign w:val="bottom"/>
          </w:tcPr>
          <w:p w14:paraId="7C7906C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Länk till instrumentets fullständiga regler och villkor (hänvisning)</w:t>
            </w:r>
          </w:p>
          <w:p w14:paraId="4A0585C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Instituten ska lägga till en länk som ger åtkomst till emissionens prospekt, inklusive alla regler och villkor för instrumentet.</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21FBEC66" w:rsidR="00E05386" w:rsidRPr="00E05386" w:rsidRDefault="00C85971" w:rsidP="00E05386">
      <w:pPr>
        <w:jc w:val="both"/>
        <w:rPr>
          <w:sz w:val="18"/>
          <w:szCs w:val="18"/>
          <w:rFonts w:ascii="Times New Roman" w:eastAsiaTheme="minorHAnsi" w:hAnsi="Times New Roman" w:cs="Times New Roman"/>
        </w:rPr>
      </w:pPr>
      <w:r>
        <w:rPr>
          <w:rStyle w:val="FootnoteReference"/>
          <w:rFonts w:cstheme="minorHAnsi"/>
          <w:sz w:val="18"/>
        </w:rPr>
        <w:footnoteRef/>
      </w:r>
      <w:r>
        <w:rPr>
          <w:sz w:val="18"/>
        </w:rPr>
        <w:t xml:space="preserve"> </w:t>
      </w:r>
      <w:r>
        <w:rPr>
          <w:sz w:val="18"/>
        </w:rPr>
        <w:tab/>
      </w:r>
      <w:r>
        <w:rPr>
          <w:sz w:val="18"/>
        </w:rPr>
        <w:t xml:space="preserve">Europaparlamentets och rådets förordning (EU) nr 575/2013 av den 26 juni 2013 om tillsynskrav för kreditinstitut och om ändring av förordning (EU) nr 648/2012, i dess lydelse enligt förordning (EU) 2024/1623 (</w:t>
      </w:r>
      <w:hyperlink r:id="rId1" w:history="1">
        <w:r>
          <w:rPr>
            <w:color w:val="800080"/>
            <w:sz w:val="18"/>
            <w:u w:val="single"/>
          </w:rPr>
          <w:t xml:space="preserve">EUT L 176, 27.6.2013, s. 1</w:t>
        </w:r>
      </w:hyperlink>
      <w:r>
        <w:rPr>
          <w:sz w:val="18"/>
        </w:rPr>
        <w:t xml:space="preserve">),</w:t>
      </w:r>
      <w:r>
        <w:rPr>
          <w:color w:val="800080"/>
          <w:sz w:val="18"/>
          <w:u w:val="single"/>
        </w:rPr>
        <w:t xml:space="preserve"> </w:t>
      </w:r>
      <w:hyperlink r:id="rId2" w:history="1">
        <w:r>
          <w:rPr>
            <w:rStyle w:val="Hyperlink"/>
            <w:sz w:val="18"/>
          </w:rPr>
          <w:t xml:space="preserve">Förordning 2024/1623 – SV – EUR-Lex (europa.eu)</w:t>
        </w:r>
      </w:hyperlink>
      <w:r>
        <w:rPr>
          <w:color w:val="444444"/>
        </w:rPr>
        <w:t xml:space="preserve">[].</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ab/>
      </w:r>
      <w:r>
        <w:t xml:space="preserve">Europaparlamentets och rådets direktiv (EU) 2019/879 av den 20 maj 2019 om ändring av direktiv 2014/59/EU vad gäller kreditinstituts och värdepappersföretags förlustabsorberings- och rekapitaliseringskapacitet och om direktiv 98/26/EG (EUT L 150, 7.6.2019, s.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618692"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BF4F239"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4960CC8F" w14:textId="21946EF4"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26F87F5"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23015D"/>
    <w:rsid w:val="004E3F4D"/>
    <w:rsid w:val="0085507F"/>
    <w:rsid w:val="00992165"/>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lang w:val="sv-SE"/>
    </w:rPr>
  </w:style>
  <w:style w:type="character" w:customStyle="1" w:styleId="FootnoteTextChar">
    <w:name w:val="Footnote Text Char"/>
    <w:basedOn w:val="DefaultParagraphFont"/>
    <w:link w:val="FootnoteText"/>
    <w:rsid w:val="00C85971"/>
    <w:rPr>
      <w:rFonts w:eastAsiaTheme="minorEastAsia"/>
      <w:sz w:val="18"/>
      <w:szCs w:val="18"/>
      <w:lang w:val="sv-S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rPr>
      <w:lang w:val="sv-SE"/>
    </w:r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SV/TXT/?uri=OJ:L_202401623" TargetMode="External"/><Relationship Id="rId1" Type="http://schemas.openxmlformats.org/officeDocument/2006/relationships/hyperlink" Target="https://eur-lex.europa.eu/legal-content/S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F5C1A4-087C-4FB9-BB9D-97114C6E1902}"/>
</file>

<file path=customXml/itemProps2.xml><?xml version="1.0" encoding="utf-8"?>
<ds:datastoreItem xmlns:ds="http://schemas.openxmlformats.org/officeDocument/2006/customXml" ds:itemID="{5398D448-7426-40A3-AE57-5F46D626E976}"/>
</file>

<file path=customXml/itemProps3.xml><?xml version="1.0" encoding="utf-8"?>
<ds:datastoreItem xmlns:ds="http://schemas.openxmlformats.org/officeDocument/2006/customXml" ds:itemID="{95720EE0-231B-4243-9714-62B26C25540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12</TotalTime>
  <Pages>24</Pages>
  <Words>7002</Words>
  <Characters>37815</Characters>
  <Application>Microsoft Office Word</Application>
  <DocSecurity>0</DocSecurity>
  <Lines>945</Lines>
  <Paragraphs>605</Paragraphs>
  <ScaleCrop>false</ScaleCrop>
  <Company>European Banking Authority</Company>
  <LinksUpToDate>false</LinksUpToDate>
  <CharactersWithSpaces>44212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5</cp:revision>
  <dcterms:created xsi:type="dcterms:W3CDTF">2021-03-11T11:52:00Z</dcterms:created>
  <dcterms:modified xsi:type="dcterms:W3CDTF">2024-09-26T14:23:00Z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