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b/>
          <w:color w:val="auto"/>
          <w:sz w:val="24"/>
          <w:u w:val="single"/>
          <w:rFonts w:ascii="Times New Roman" w:hAnsi="Times New Roman" w:cs="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sz w:val="24"/>
          <w:rFonts w:ascii="Times New Roman" w:hAnsi="Times New Roman"/>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Pr>
          <w:b/>
          <w:color w:val="auto"/>
          <w:sz w:val="24"/>
          <w:u w:val="single"/>
          <w:rFonts w:ascii="Times New Roman" w:hAnsi="Times New Roman"/>
        </w:rPr>
        <w:t xml:space="preserve">ΠΑΡΑΡΤΗΜΑ XLII — Πίνακες και υποδείγματα δημοσιοποίησης κινδύνου προσαρμογής πιστωτικής αποτίμησης:</w:t>
      </w:r>
      <w:r>
        <w:rPr>
          <w:b/>
          <w:color w:val="auto"/>
          <w:sz w:val="24"/>
          <w:u w:val="single"/>
          <w:rFonts w:ascii="Times New Roman" w:hAnsi="Times New Roman"/>
        </w:rPr>
        <w:t xml:space="preserve"> </w:t>
      </w:r>
      <w:r>
        <w:rPr>
          <w:b/>
          <w:color w:val="auto"/>
          <w:sz w:val="24"/>
          <w:u w:val="single"/>
          <w:rFonts w:ascii="Times New Roman" w:hAnsi="Times New Roman"/>
        </w:rPr>
        <w:t xml:space="preserve">Οδηγίες</w:t>
      </w:r>
    </w:p>
    <w:p w14:paraId="78BB236B" w14:textId="33A761EE" w:rsidR="00942645" w:rsidRPr="00CA7700" w:rsidRDefault="00942645" w:rsidP="00942645">
      <w:pPr>
        <w:pStyle w:val="Titlelevel2"/>
        <w:numPr>
          <w:ilvl w:val="0"/>
          <w:numId w:val="11"/>
        </w:numPr>
        <w:spacing w:before="120" w:after="120"/>
        <w:jc w:val="both"/>
        <w:rPr>
          <w:color w:val="auto"/>
          <w:sz w:val="24"/>
          <w:rFonts w:ascii="Times New Roman" w:hAnsi="Times New Roman" w:cs="Times New Roman"/>
        </w:rPr>
      </w:pPr>
      <w:r>
        <w:rPr>
          <w:color w:val="auto"/>
          <w:sz w:val="24"/>
          <w:rFonts w:ascii="Times New Roman" w:hAnsi="Times New Roman"/>
        </w:rPr>
        <w:t xml:space="preserve">Το παρόν παράρτημα περιλαμβάνει τις οδηγίες που εφαρμόζουν τα ιδρύματα κατά τη δημοσιοποίηση των πληροφοριών σχετικά με το άνοιγμά τους σε κίνδυνο προσαρμογής πιστωτικής αποτίμησης, όπως αναφέρεται στο τρίτο μέρος τίτλος VI του κανονισμού (ΕΕ) αριθ. 575/2013 («ΚΚΑ»)</w:t>
      </w:r>
      <w:r w:rsidRPr="00CA7700">
        <w:rPr>
          <w:rStyle w:val="FootnoteReference"/>
          <w:rFonts w:ascii="Times New Roman" w:hAnsi="Times New Roman" w:cs="Times New Roman"/>
          <w:color w:val="auto"/>
          <w:sz w:val="24"/>
          <w:szCs w:val="24"/>
        </w:rPr>
        <w:footnoteReference w:id="2"/>
      </w:r>
      <w:r>
        <w:rPr>
          <w:color w:val="auto"/>
          <w:sz w:val="24"/>
          <w:rFonts w:ascii="Times New Roman" w:hAnsi="Times New Roman"/>
        </w:rPr>
        <w:t xml:space="preserve">, στον πίνακα και στα υποδείγματα δημοσιοποίησης σχετικά με τον κίνδυνο προσαρμογής πιστωτικής αποτίμησης, όπως παρατίθενται στο παράρτημα XLI των λύσεων ΤΠ της ΕΑΤ, σύμφωνα με το άρθρο 445α του κανονισμού (ΕΕ) αριθ. 575/2013.</w:t>
      </w:r>
      <w:r>
        <w:rPr>
          <w:color w:val="auto"/>
          <w:sz w:val="24"/>
          <w:rFonts w:ascii="Times New Roman" w:hAnsi="Times New Roman"/>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Πίνακας EU CVAA:</w:t>
      </w:r>
      <w:r>
        <w:rPr>
          <w:sz w:val="24"/>
          <w:b/>
          <w:color w:val="auto"/>
          <w:rFonts w:ascii="Times New Roman" w:hAnsi="Times New Roman"/>
        </w:rPr>
        <w:t xml:space="preserve"> </w:t>
      </w:r>
      <w:r>
        <w:rPr>
          <w:sz w:val="24"/>
          <w:b/>
          <w:color w:val="auto"/>
          <w:rFonts w:ascii="Times New Roman" w:hAnsi="Times New Roman"/>
        </w:rPr>
        <w:t xml:space="preserve">Απαιτήσεις ποιοτικής δημοσιοποίησης σχετικά με τον κίνδυνο προσαρμογής πιστωτικής αποτίμησης:</w:t>
      </w:r>
      <w:r>
        <w:rPr>
          <w:sz w:val="24"/>
          <w:rFonts w:ascii="Times New Roman" w:hAnsi="Times New Roman"/>
        </w:rPr>
        <w:t xml:space="preserve"> </w:t>
      </w:r>
      <w:r>
        <w:rPr>
          <w:sz w:val="24"/>
          <w:color w:val="000000"/>
          <w:rFonts w:ascii="Times New Roman" w:hAnsi="Times New Roman"/>
        </w:rPr>
        <w:t xml:space="preserve">Πλαίσια ελεύθερου κειμένου</w:t>
      </w:r>
      <w:r>
        <w:rPr>
          <w:sz w:val="24"/>
          <w:color w:val="000000"/>
          <w:rFonts w:ascii="Times New Roman" w:hAnsi="Times New Roman"/>
        </w:rPr>
        <w:t xml:space="preserve"> </w:t>
      </w:r>
    </w:p>
    <w:p w14:paraId="6FF811C2" w14:textId="4AAED15E" w:rsidR="00942645" w:rsidRPr="00CA7700" w:rsidRDefault="00942645" w:rsidP="00942645">
      <w:pPr>
        <w:pStyle w:val="Titlelevel2"/>
        <w:numPr>
          <w:ilvl w:val="0"/>
          <w:numId w:val="11"/>
        </w:numPr>
        <w:spacing w:before="120"/>
        <w:jc w:val="both"/>
        <w:rPr>
          <w:sz w:val="24"/>
          <w:rFonts w:ascii="Times New Roman" w:hAnsi="Times New Roman" w:cs="Times New Roman"/>
        </w:rPr>
      </w:pPr>
      <w:r>
        <w:rPr>
          <w:sz w:val="24"/>
          <w:color w:val="auto"/>
          <w:rFonts w:ascii="Times New Roman" w:hAnsi="Times New Roman"/>
        </w:rPr>
        <w:t xml:space="preserve">Τα ιδρύματα εφαρμόζουν τις οδηγίες που παρέχονται κατωτέρω για τη συμπλήρωση</w:t>
      </w:r>
      <w:r>
        <w:rPr>
          <w:sz w:val="24"/>
          <w:color w:val="000000" w:themeColor="text1"/>
          <w:rFonts w:ascii="Times New Roman" w:hAnsi="Times New Roman"/>
        </w:rPr>
        <w:t xml:space="preserve"> του πίνακα EU CVAA, όπως παρατίθεται στο παράρτημα XLI των λύσεων ΤΠ, κατ’ εφαρμογή του άρθρου 445α παράγραφος 1 στοιχεία α) και β) του</w:t>
      </w:r>
      <w:r>
        <w:rPr>
          <w:sz w:val="24"/>
          <w:color w:val="auto"/>
          <w:rFonts w:ascii="Times New Roman" w:hAnsi="Times New Roman"/>
        </w:rPr>
        <w:t xml:space="preserve"> κανονισμού (ΕΕ) αριθ. 575/2013</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 xml:space="preserve">α)</w:t>
            </w:r>
          </w:p>
        </w:tc>
        <w:tc>
          <w:tcPr>
            <w:tcW w:w="7655" w:type="dxa"/>
            <w:vAlign w:val="center"/>
          </w:tcPr>
          <w:p w14:paraId="43DE697C" w14:textId="09014830"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Άρθρο 445α παράγραφος 1 στοιχείο α) του ΚΚΑ</w:t>
            </w:r>
          </w:p>
          <w:p w14:paraId="73666F29" w14:textId="497C6292" w:rsidR="00942645" w:rsidRPr="00CA7700" w:rsidRDefault="00942645" w:rsidP="00962254">
            <w:pPr>
              <w:spacing w:before="60" w:after="120"/>
              <w:jc w:val="both"/>
              <w:rPr>
                <w:sz w:val="24"/>
                <w:rFonts w:ascii="Times New Roman" w:hAnsi="Times New Roman" w:cs="Times New Roman"/>
              </w:rPr>
            </w:pPr>
            <w:r>
              <w:rPr>
                <w:sz w:val="24"/>
                <w:rFonts w:ascii="Times New Roman" w:hAnsi="Times New Roman"/>
              </w:rPr>
              <w:t xml:space="preserve">Κατά τη δημοσιοποίηση των πληροφοριών που απαιτούνται βάσει του άρθρου 445α παράγραφος 1 στοιχείο α) του κανονισμού (ΕΕ) αριθ. 575/2013, τα ιδρύματα πρέπει να παρέχουν περιγραφή των διαδικασιών που χρησιμοποιούνται για τη διαχείριση του κινδύνου προσαρμογής πιστωτικής αποτίμησης, συμπεριλαμβανομένης περιγραφής των διαδικασιών που εφαρμόζονται για τον εντοπισμό, τη μέτρηση, την παρακολούθηση και τον έλεγχο των κινδύνων προσαρμογής πιστωτικής αποτίμησης του ιδρύματος και περιγραφή των πολιτικών τους για την αντιστάθμιση και τον μετριασμό του κινδύνου και των στρατηγικών και διαδικασιών για την παρακολούθηση της συνεχούς αποτελεσματικότητας των αντισταθμίσεων.</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 xml:space="preserve">β)</w:t>
            </w:r>
          </w:p>
        </w:tc>
        <w:tc>
          <w:tcPr>
            <w:tcW w:w="7655" w:type="dxa"/>
          </w:tcPr>
          <w:p w14:paraId="14FA373F" w14:textId="1A83FE77"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Άρθρο 445α παράγραφος 1 στοιχείο β) του ΚΚΑ</w:t>
            </w:r>
          </w:p>
          <w:p w14:paraId="08D093DD" w14:textId="666A3EDB"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Κατά τη δημοσιοποίηση των πληροφοριών που απαιτούνται βάσει του άρθρου 445α παράγραφος 1 στοιχείο β) του κανονισμού (ΕΕ) αριθ. 575/2013, τα ιδρύματα πρέπει να εξηγούν αν πληρούνται οι προϋποθέσεις που ορίζονται στο άρθρο 273α παράγραφος 2 του κανονισμού (ΕΕ) αριθ. 575/2013 και, όταν πληρούνται οι εν λόγω προϋποθέσεις, αν το ίδρυμα έχει επιλέξει να υπολογίσει τις απαιτήσεις ιδίων κεφαλαίων για τον κίνδυνο CVA χρησιμοποιώντας την απλουστευμένη προσέγγιση που προβλέπεται στο άρθρο 385 του κανονισμού (ΕΕ) αριθ. 575/2013·</w:t>
            </w:r>
            <w:r>
              <w:rPr>
                <w:sz w:val="24"/>
                <w:rFonts w:ascii="Times New Roman" w:hAnsi="Times New Roman"/>
              </w:rPr>
              <w:t xml:space="preserve"> </w:t>
            </w:r>
            <w:r>
              <w:rPr>
                <w:sz w:val="24"/>
                <w:rFonts w:ascii="Times New Roman" w:hAnsi="Times New Roman"/>
              </w:rPr>
              <w:t xml:space="preserve">εάν τα ιδρύματα έχουν επιλέξει να υπολογίζουν τις απαιτήσεις ιδίων κεφαλαίων για τον κίνδυνο CVA χρησιμοποιώντας την απλουστευμένη προσέγγιση, τις απαιτήσεις ιδίων κεφαλαίων για τον κίνδυνο CVA σύμφωνα με την εν λόγω προσέγγιση.</w:t>
            </w:r>
            <w:r>
              <w:rPr>
                <w:sz w:val="24"/>
                <w:rFonts w:ascii="Times New Roman" w:hAnsi="Times New Roman"/>
              </w:rPr>
              <w:t xml:space="preserv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Υπόδειγμα EU CVA1 – Κίνδυνος προσαρμογής πιστωτικής αποτίμησης βάσει της μειωμένης βασικής προσέγγισης (R-BA):</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30591F3A" w14:textId="450864D5"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Τα ιδρύματα εφαρμόζουν τις οδηγίες που παρέχονται κατωτέρω στο παρόν παράρτημα για τη συμπλήρωση του υποδείγματος EU CVA1, όπως παρουσιάζεται στο παράρτημα XLI των λύσεων ΤΠ, κατ’ εφαρμογή του άρθρου 445α παράγραφος 3 στοιχείο α) του</w:t>
      </w:r>
      <w:r>
        <w:rPr>
          <w:sz w:val="24"/>
          <w:color w:val="auto"/>
          <w:rFonts w:ascii="Times New Roman" w:hAnsi="Times New Roman"/>
        </w:rPr>
        <w:t xml:space="preserve"> κανονισμού (ΕΕ) αριθ. 575/2013</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 xml:space="preserve">1</w:t>
            </w:r>
          </w:p>
        </w:tc>
        <w:tc>
          <w:tcPr>
            <w:tcW w:w="7655" w:type="dxa"/>
          </w:tcPr>
          <w:p w14:paraId="54484298"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Συγκέντρωση των συστημικών συνιστωσών του κινδύνου CVA</w:t>
            </w:r>
            <w:r>
              <w:rPr>
                <w:b/>
                <w:sz w:val="24"/>
                <w:rFonts w:ascii="Times New Roman" w:hAnsi="Times New Roman"/>
              </w:rPr>
              <w:t xml:space="preserve"> </w:t>
            </w:r>
          </w:p>
          <w:p w14:paraId="732F93B6" w14:textId="4D694000"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Άρθρο 384 παράγραφος 3 του κανονισμού (ΕΕ) αριθ. 575/2013.</w:t>
            </w:r>
            <w:r>
              <w:rPr>
                <w:sz w:val="24"/>
                <w:rFonts w:ascii="Times New Roman" w:hAnsi="Times New Roman"/>
              </w:rPr>
              <w:t xml:space="preserve"> </w:t>
            </w:r>
            <w:r>
              <w:rPr>
                <w:sz w:val="24"/>
                <w:rFonts w:ascii="Times New Roman" w:hAnsi="Times New Roman"/>
              </w:rPr>
              <w:t xml:space="preserve">Συνιστώσα των απαιτήσεων ιδίων κεφαλαίων σύμφωνα με την παραδοχή τέλειας συσχέτισης(</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sz w:val="24"/>
                <w:vertAlign w:val="subscript"/>
                <w:rFonts w:ascii="Times New Roman" w:hAnsi="Times New Roman"/>
              </w:rPr>
              <w:t xml:space="preserve">).</w:t>
            </w:r>
            <w:r>
              <w:rPr>
                <w:sz w:val="24"/>
                <w:vertAlign w:val="subscript"/>
                <w:rFonts w:ascii="Times New Roman" w:hAnsi="Times New Roman"/>
              </w:rPr>
              <w:t xml:space="preserve"> </w:t>
            </w:r>
            <w:r>
              <w:rPr>
                <w:sz w:val="24"/>
                <w:rFonts w:ascii="Times New Roman" w:hAnsi="Times New Roman"/>
              </w:rPr>
              <w:t xml:space="preserve">Δεν εφαρμόζεται ο συντελεστής προεξόφλησης 0,65.</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 xml:space="preserve">2</w:t>
            </w:r>
          </w:p>
        </w:tc>
        <w:tc>
          <w:tcPr>
            <w:tcW w:w="7655" w:type="dxa"/>
          </w:tcPr>
          <w:p w14:paraId="196293CA"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Συγκέντρωση των ιδιαίτερων συνιστωσών του κινδύνου CVA</w:t>
            </w:r>
            <w:r>
              <w:rPr>
                <w:b/>
                <w:sz w:val="24"/>
                <w:rFonts w:ascii="Times New Roman" w:hAnsi="Times New Roman"/>
              </w:rPr>
              <w:t xml:space="preserve"> </w:t>
            </w:r>
          </w:p>
          <w:p w14:paraId="75CC615B" w14:textId="674604A6"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Άρθρο 384 παράγραφος 3 του κανονισμού (ΕΕ) αριθ. 575/2013.</w:t>
            </w:r>
            <w:r>
              <w:rPr>
                <w:sz w:val="24"/>
                <w:rFonts w:ascii="Times New Roman" w:hAnsi="Times New Roman"/>
              </w:rPr>
              <w:t xml:space="preserve"> </w:t>
            </w:r>
            <w:r>
              <w:rPr>
                <w:sz w:val="24"/>
                <w:rFonts w:ascii="Times New Roman" w:hAnsi="Times New Roman"/>
              </w:rPr>
              <w:t xml:space="preserve">Συνιστώσα των απαιτήσεων ιδίων κεφαλαίων σύμφωνα με την παραδοχή μηδενικής συσχέτισης(</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Δεν εφαρμόζεται ο συντελεστής προεξόφλησης 0,65.</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 xml:space="preserve">3</w:t>
            </w:r>
          </w:p>
        </w:tc>
        <w:tc>
          <w:tcPr>
            <w:tcW w:w="7655" w:type="dxa"/>
          </w:tcPr>
          <w:p w14:paraId="625EFEB1"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Σύνολο</w:t>
            </w:r>
            <w:r>
              <w:rPr>
                <w:b/>
                <w:rFonts w:ascii="Times New Roman" w:hAnsi="Times New Roman"/>
              </w:rPr>
              <w:t xml:space="preserve"> </w:t>
            </w:r>
          </w:p>
          <w:p w14:paraId="715DBC77" w14:textId="042D3A66" w:rsidR="00942645" w:rsidRPr="00CA7700" w:rsidRDefault="00942645" w:rsidP="00962254">
            <w:pPr>
              <w:pStyle w:val="Default"/>
              <w:spacing w:after="120"/>
              <w:jc w:val="both"/>
              <w:rPr>
                <w:iCs/>
                <w:rFonts w:ascii="Times New Roman" w:hAnsi="Times New Roman" w:cs="Times New Roman"/>
              </w:rPr>
            </w:pPr>
            <w:r>
              <w:rPr>
                <w:rFonts w:ascii="Times New Roman" w:hAnsi="Times New Roman"/>
              </w:rPr>
              <w:t xml:space="preserve">Ο απαιτήσεις ιδίων κεφαλαίων για τον κίνδυνο CVA βάσει της μειωμένης βασικής προσέγγισης.</w:t>
            </w:r>
            <w:r>
              <w:rPr>
                <w:rFonts w:ascii="Times New Roman" w:hAnsi="Times New Roman"/>
              </w:rPr>
              <w:t xml:space="preserve"> </w:t>
            </w:r>
            <w:r>
              <w:rPr>
                <w:rFonts w:ascii="Times New Roman" w:hAnsi="Times New Roman"/>
              </w:rPr>
              <w:t xml:space="preserve">Το ποσό αυτό ισούται με το ποσό που δημοσιοποιείται στη γραμμή EU 10β στήλη γ του υποδείγματος EU OV1, εάν το ίδρυμα χρησιμοποιεί τη μειωμένη BA-CVA.</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b/>
                <w:bCs/>
                <w:rFonts w:ascii="Times New Roman" w:hAnsi="Times New Roman" w:cs="Times New Roman"/>
              </w:rPr>
            </w:pPr>
            <w:r>
              <w:rPr>
                <w:b/>
                <w:rFonts w:ascii="Times New Roman" w:hAnsi="Times New Roman"/>
              </w:rPr>
              <w:t xml:space="preserve">Συνιστώσες των απαιτήσεων ιδίων κεφαλαίων</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Συνιστώσες των απαιτήσεων ιδίων κεφαλαίων σύμφωνα με το άρθρο 384 παράγραφος 3 του κανονισμού (ΕΕ) αριθ. 575/2013 για ίδρυμα που πληροί την προϋπόθεση του άρθρου 384 παράγραφος 1 στοιχείο β) του κανονισμού (ΕΕ) αριθ.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Υπόδειγμα EU CVA2 – Κίνδυνος προσαρμογής πιστωτικής αποτίμησης βάσει της πλήρους βασικής προσέγγισης (F-BA):</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1AC6C572" w14:textId="77777777"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Τα ιδρύματα εφαρμόζουν τις οδηγίες που παρέχονται κατωτέρω στο παρόν παράρτημα για τη συμπλήρωση του υποδείγματος EU CVA2, όπως παρουσιάζεται στο παράρτημα XLI, κατ’ εφαρμογή του άρθρου 445α παράγραφος 3 στοιχεία α) και β) του</w:t>
      </w:r>
      <w:r>
        <w:rPr>
          <w:sz w:val="24"/>
          <w:color w:val="auto"/>
          <w:rFonts w:ascii="Times New Roman" w:hAnsi="Times New Roman"/>
        </w:rPr>
        <w:t xml:space="preserve"> κανονισμού (ΕΕ) αριθ. 575/2013</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 xml:space="preserve">1</w:t>
            </w:r>
          </w:p>
        </w:tc>
        <w:tc>
          <w:tcPr>
            <w:tcW w:w="7655" w:type="dxa"/>
          </w:tcPr>
          <w:p w14:paraId="04421C27"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Βασική προσέγγιση προσαρμογής πιστωτικής αποτίμησης </w:t>
            </w:r>
            <w:r>
              <w:rPr>
                <w:b/>
                <w:sz w:val="24"/>
                <w:vertAlign w:val="superscript"/>
                <w:rFonts w:ascii="Times New Roman" w:hAnsi="Times New Roman"/>
              </w:rPr>
              <w:t xml:space="preserve">μη αντισταθμισμένος csr</w:t>
            </w:r>
            <w:r>
              <w:rPr>
                <w:b/>
                <w:sz w:val="24"/>
                <w:rFonts w:ascii="Times New Roman" w:hAnsi="Times New Roman"/>
              </w:rPr>
              <w:t xml:space="preserve"> </w:t>
            </w:r>
          </w:p>
          <w:p w14:paraId="773EAD60" w14:textId="5EA45F2D" w:rsidR="00942645" w:rsidRPr="00CA7700" w:rsidRDefault="00942645" w:rsidP="00962254">
            <w:pPr>
              <w:pStyle w:val="TableMainHeading"/>
              <w:spacing w:before="60"/>
              <w:jc w:val="both"/>
              <w:rPr>
                <w:i/>
                <w:sz w:val="24"/>
                <w:szCs w:val="24"/>
                <w:rFonts w:ascii="Times New Roman" w:hAnsi="Times New Roman"/>
              </w:rPr>
            </w:pPr>
            <w:r>
              <w:rPr>
                <w:sz w:val="24"/>
                <w:rFonts w:ascii="Times New Roman" w:hAnsi="Times New Roman"/>
              </w:rPr>
              <w:t xml:space="preserve">Συνιστώσα των απαιτήσεων ιδίων κεφαλαίων σύμφωνα με το άρθρο 384 παράγραφος 3 του κανονισμού (ΕΕ) αριθ. 575/2013 για ίδρυμα που πληροί την προϋπόθεση του άρθρου 384 παράγραφος 1 στοιχείο β) του κανονισμού (ΕΕ) αριθ. 575/2013.</w:t>
            </w:r>
            <w:r>
              <w:rPr>
                <w:sz w:val="24"/>
                <w:rFonts w:ascii="Times New Roman" w:hAnsi="Times New Roman"/>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 xml:space="preserve">2</w:t>
            </w:r>
          </w:p>
        </w:tc>
        <w:tc>
          <w:tcPr>
            <w:tcW w:w="7655" w:type="dxa"/>
          </w:tcPr>
          <w:p w14:paraId="7F0AADE9" w14:textId="77777777" w:rsidR="00942645" w:rsidRPr="00212EDF" w:rsidRDefault="00942645" w:rsidP="00962254">
            <w:pPr>
              <w:pStyle w:val="TableMainHeading"/>
              <w:spacing w:before="60" w:after="60"/>
              <w:jc w:val="both"/>
              <w:rPr>
                <w:b/>
                <w:bCs/>
                <w:iCs/>
                <w:sz w:val="24"/>
                <w:szCs w:val="24"/>
                <w:rFonts w:ascii="Times New Roman" w:hAnsi="Times New Roman"/>
              </w:rPr>
            </w:pPr>
            <w:r>
              <w:rPr>
                <w:b/>
                <w:sz w:val="24"/>
                <w:rFonts w:ascii="Times New Roman" w:hAnsi="Times New Roman"/>
              </w:rPr>
              <w:t xml:space="preserve">Βασική προσέγγιση προσαρμογής πιστωτικής αποτίμησης </w:t>
            </w:r>
            <w:r>
              <w:rPr>
                <w:b/>
                <w:sz w:val="24"/>
                <w:vertAlign w:val="superscript"/>
                <w:rFonts w:ascii="Times New Roman" w:hAnsi="Times New Roman"/>
              </w:rPr>
              <w:t xml:space="preserve">αντισταθμισμένος csr</w:t>
            </w:r>
            <w:r>
              <w:rPr>
                <w:b/>
                <w:sz w:val="24"/>
                <w:rFonts w:ascii="Times New Roman" w:hAnsi="Times New Roman"/>
              </w:rPr>
              <w:t xml:space="preserve"> </w:t>
            </w:r>
          </w:p>
          <w:p w14:paraId="57BEC7BE" w14:textId="56260E01" w:rsidR="00942645" w:rsidRPr="00CA7700" w:rsidRDefault="00942645" w:rsidP="00962254">
            <w:pPr>
              <w:pStyle w:val="TableMainHeading"/>
              <w:spacing w:before="60"/>
              <w:jc w:val="both"/>
              <w:rPr>
                <w:sz w:val="24"/>
                <w:szCs w:val="24"/>
                <w:rFonts w:ascii="Times New Roman" w:hAnsi="Times New Roman"/>
              </w:rPr>
            </w:pPr>
            <w:r>
              <w:rPr>
                <w:sz w:val="24"/>
                <w:rFonts w:ascii="Times New Roman" w:hAnsi="Times New Roman"/>
              </w:rPr>
              <w:t xml:space="preserve">Συνιστώσα των απαιτήσεων ιδίων κεφαλαίων σύμφωνα με το άρθρο 384 παράγραφος 2 του κανονισμού (ΕΕ) αριθ. 575/2013 για ίδρυμα που πληροί την προϋπόθεση του άρθρου 384 παράγραφος 1 στοιχείο α) του κανονισμού (ΕΕ) αριθ.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 xml:space="preserve">3</w:t>
            </w:r>
          </w:p>
        </w:tc>
        <w:tc>
          <w:tcPr>
            <w:tcW w:w="7655" w:type="dxa"/>
          </w:tcPr>
          <w:p w14:paraId="478A4B46"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Σύνολο</w:t>
            </w:r>
            <w:r>
              <w:rPr>
                <w:b/>
                <w:rFonts w:ascii="Times New Roman" w:hAnsi="Times New Roman"/>
              </w:rPr>
              <w:t xml:space="preserve"> </w:t>
            </w:r>
          </w:p>
          <w:p w14:paraId="1F769140" w14:textId="5695C89E"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Συνολικές απαιτήσεις ιδίων κεφαλαίων για συναλλαγές που υπόκεινται στην πλήρη βασική προσέγγιση, όπως υπολογίζεται σύμφωνα με το άρθρο 384 παράγραφος 2, για ίδρυμα που πληροί την προϋπόθεση του άρθρου 384 παράγραφος 1 στοιχείο α) του κανονισμού (ΕΕ) αριθ. 575/2013.</w:t>
            </w:r>
            <w:r>
              <w:rPr>
                <w:rFonts w:ascii="Times New Roman" w:hAnsi="Times New Roman"/>
              </w:rPr>
              <w:t xml:space="preserve"> </w:t>
            </w:r>
            <w:r>
              <w:rPr>
                <w:rFonts w:ascii="Times New Roman" w:hAnsi="Times New Roman"/>
              </w:rPr>
              <w:t xml:space="preserve">Το ποσό αυτό ισούται με το ποσό που δημοσιοποιείται στη γραμμή EU 10β στήλη γ του υποδείγματος EU OV1, εάν το ίδρυμα χρησιμοποιεί τη πλήρη BA-CVA.</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 xml:space="preserve">EU 4 – EU 6</w:t>
            </w:r>
          </w:p>
        </w:tc>
        <w:tc>
          <w:tcPr>
            <w:tcW w:w="7655" w:type="dxa"/>
          </w:tcPr>
          <w:p w14:paraId="52CA155D" w14:textId="77777777" w:rsidR="00942645" w:rsidRPr="00212EDF" w:rsidRDefault="00942645" w:rsidP="00962254">
            <w:pPr>
              <w:pStyle w:val="Default"/>
              <w:spacing w:before="60" w:after="120"/>
              <w:jc w:val="both"/>
              <w:rPr>
                <w:b/>
                <w:bCs/>
                <w:iCs/>
                <w:rFonts w:ascii="Times New Roman" w:hAnsi="Times New Roman" w:cs="Times New Roman"/>
              </w:rPr>
            </w:pPr>
            <w:r>
              <w:rPr>
                <w:b/>
                <w:rFonts w:ascii="Times New Roman" w:hAnsi="Times New Roman"/>
              </w:rPr>
              <w:t xml:space="preserve">Αντισταθμίσεις κινδύνου CVA</w:t>
            </w:r>
          </w:p>
          <w:p w14:paraId="2DA2624F" w14:textId="77777777"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Άρθρο 386 του κανονισμού (ΕΕ) αριθ. 575/2013.</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b/>
                <w:bCs/>
                <w:iCs/>
                <w:rFonts w:ascii="Times New Roman" w:hAnsi="Times New Roman" w:cs="Times New Roman"/>
              </w:rPr>
            </w:pPr>
            <w:r>
              <w:rPr>
                <w:b/>
                <w:rFonts w:ascii="Times New Roman" w:hAnsi="Times New Roman"/>
              </w:rPr>
              <w:t xml:space="preserve">Απαιτήσεις ιδίων κεφαλαίων</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Άρθρο 382 του κανονισμού (ΕΕ) αριθ.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 xml:space="preserve">EU 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Ονομαστικό ποσό αντισταθμίσεων κινδύνου CVA</w:t>
            </w:r>
          </w:p>
          <w:p w14:paraId="6971C72E" w14:textId="002E6959" w:rsidR="00942645" w:rsidRPr="00CA7700" w:rsidRDefault="00942645" w:rsidP="00962254">
            <w:pPr>
              <w:pStyle w:val="Default"/>
              <w:spacing w:after="120"/>
              <w:jc w:val="both"/>
              <w:rPr>
                <w:b/>
                <w:rFonts w:ascii="Times New Roman" w:hAnsi="Times New Roman" w:cs="Times New Roman"/>
              </w:rPr>
            </w:pPr>
            <w:r>
              <w:rPr>
                <w:rFonts w:ascii="Times New Roman" w:hAnsi="Times New Roman"/>
              </w:rPr>
              <w:t xml:space="preserve">Ονομαστικό ποσό επιλέξιμων αντισταθμίσεων κινδύνου CVA (μεικτά ποσά), που αναγνωρίζεται σύμφωνα με το άρθρο 386 του κανονισμού (ΕΕ) αριθ. 575/2013.</w:t>
            </w:r>
          </w:p>
        </w:tc>
      </w:tr>
    </w:tbl>
    <w:p w14:paraId="262650D7" w14:textId="77777777" w:rsidR="00942645" w:rsidRPr="00CA7700" w:rsidRDefault="00942645" w:rsidP="00942645">
      <w:pPr>
        <w:pStyle w:val="Titlelevel2"/>
        <w:spacing w:before="120" w:after="120"/>
        <w:rPr>
          <w:b/>
          <w:color w:val="auto"/>
          <w:sz w:val="24"/>
          <w:rFonts w:ascii="Times New Roman" w:hAnsi="Times New Roman" w:cs="Times New Roman"/>
        </w:rPr>
      </w:pPr>
      <w:r>
        <w:rPr>
          <w:b/>
          <w:color w:val="auto"/>
          <w:sz w:val="24"/>
          <w:rFonts w:ascii="Times New Roman" w:hAnsi="Times New Roman"/>
        </w:rPr>
        <w:t xml:space="preserve"> </w:t>
      </w:r>
    </w:p>
    <w:p w14:paraId="26F81090" w14:textId="2356F62C"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Πίνακας EU CVAB:</w:t>
      </w:r>
      <w:r>
        <w:rPr>
          <w:sz w:val="24"/>
          <w:b/>
          <w:color w:val="auto"/>
          <w:rFonts w:ascii="Times New Roman" w:hAnsi="Times New Roman"/>
        </w:rPr>
        <w:t xml:space="preserve"> </w:t>
      </w:r>
      <w:r>
        <w:rPr>
          <w:sz w:val="24"/>
          <w:b/>
          <w:color w:val="auto"/>
          <w:rFonts w:ascii="Times New Roman" w:hAnsi="Times New Roman"/>
        </w:rPr>
        <w:t xml:space="preserve">Απαιτήσεις ποιοτικής δημοσιοποίησης σχετικά με τον κίνδυνο CVA για ιδρύματα που χρησιμοποιούν την τυποποιημένη προσέγγιση:</w:t>
      </w:r>
      <w:r>
        <w:rPr>
          <w:sz w:val="24"/>
          <w:rFonts w:ascii="Times New Roman" w:hAnsi="Times New Roman"/>
        </w:rPr>
        <w:t xml:space="preserve"> </w:t>
      </w:r>
      <w:r>
        <w:rPr>
          <w:sz w:val="24"/>
          <w:color w:val="000000"/>
          <w:rFonts w:ascii="Times New Roman" w:hAnsi="Times New Roman"/>
        </w:rPr>
        <w:t xml:space="preserve">Πλαίσια ελεύθερου κειμένου</w:t>
      </w:r>
      <w:r>
        <w:rPr>
          <w:sz w:val="24"/>
          <w:color w:val="000000"/>
          <w:rFonts w:ascii="Times New Roman" w:hAnsi="Times New Roman"/>
        </w:rPr>
        <w:t xml:space="preserve"> </w:t>
      </w:r>
    </w:p>
    <w:p w14:paraId="15A03098" w14:textId="5A4C11E9" w:rsidR="00942645" w:rsidRPr="00CA7700" w:rsidRDefault="00942645" w:rsidP="00942645">
      <w:pPr>
        <w:pStyle w:val="Titlelevel2"/>
        <w:numPr>
          <w:ilvl w:val="0"/>
          <w:numId w:val="14"/>
        </w:numPr>
        <w:spacing w:before="120"/>
        <w:jc w:val="both"/>
        <w:rPr>
          <w:sz w:val="24"/>
          <w:rFonts w:ascii="Times New Roman" w:hAnsi="Times New Roman" w:cs="Times New Roman"/>
        </w:rPr>
      </w:pPr>
      <w:r>
        <w:rPr>
          <w:sz w:val="24"/>
          <w:color w:val="auto"/>
          <w:rFonts w:ascii="Times New Roman" w:hAnsi="Times New Roman"/>
        </w:rPr>
        <w:t xml:space="preserve">Τα ιδρύματα εφαρμόζουν τις οδηγίες που παρέχονται κατωτέρω για τη συμπλήρωση</w:t>
      </w:r>
      <w:r>
        <w:rPr>
          <w:sz w:val="24"/>
          <w:color w:val="000000"/>
          <w:rFonts w:ascii="Times New Roman" w:hAnsi="Times New Roman"/>
        </w:rPr>
        <w:t xml:space="preserve"> του πίνακα EU CVAB, όπως παρουσιάζεται στο παράρτημα XLI των λύσεων ΤΠ, κατ’ εφαρμογή του άρθρου 445α παράγραφος 2 στοιχείο α) του κανονισμού (ΕΕ) αριθ.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 xml:space="preserve">α)</w:t>
            </w:r>
          </w:p>
        </w:tc>
        <w:tc>
          <w:tcPr>
            <w:tcW w:w="7655" w:type="dxa"/>
            <w:vAlign w:val="center"/>
          </w:tcPr>
          <w:p w14:paraId="5723498B" w14:textId="6623C4D9" w:rsidR="00942645" w:rsidRPr="00CA7700" w:rsidRDefault="00942645" w:rsidP="00C2380E">
            <w:pPr>
              <w:spacing w:before="60" w:after="120"/>
              <w:jc w:val="both"/>
              <w:rPr>
                <w:sz w:val="24"/>
                <w:rFonts w:ascii="Times New Roman" w:hAnsi="Times New Roman" w:cs="Times New Roman"/>
              </w:rPr>
            </w:pPr>
            <w:r>
              <w:rPr>
                <w:sz w:val="24"/>
                <w:rFonts w:ascii="Times New Roman" w:hAnsi="Times New Roman"/>
              </w:rPr>
              <w:t xml:space="preserve">Κατά τη δημοσιοποίηση των πληροφοριών που απαιτούνται βάσει του άρθρου 445α παράγραφος 2 στοιχείο α) του κανονισμού (ΕΕ) αριθ. 575/2013, τα ιδρύματα πρέπει να περιγράφουν τη διάρθρωση και την οργάνωση του τμήματος εσωτερικής διαχείρισης του κινδύνου CVA και της σχετικής διακυβέρνησης·</w:t>
            </w:r>
            <w:r>
              <w:rPr>
                <w:sz w:val="24"/>
                <w:rFonts w:ascii="Times New Roman" w:hAnsi="Times New Roman"/>
              </w:rPr>
              <w:t xml:space="preserve"> </w:t>
            </w:r>
            <w:r>
              <w:rPr>
                <w:sz w:val="24"/>
                <w:rFonts w:ascii="Times New Roman" w:hAnsi="Times New Roman"/>
              </w:rPr>
              <w:t xml:space="preserve">συμπεριλαμβανομένης της περιγραφής του πλαισίου διαχείρισης κινδύνου CVA της τράπεζας.</w:t>
            </w:r>
            <w:r>
              <w:rPr>
                <w:sz w:val="24"/>
                <w:rFonts w:ascii="Times New Roman" w:hAnsi="Times New Roman"/>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 xml:space="preserve">β)</w:t>
            </w:r>
          </w:p>
        </w:tc>
        <w:tc>
          <w:tcPr>
            <w:tcW w:w="7655" w:type="dxa"/>
            <w:vAlign w:val="center"/>
          </w:tcPr>
          <w:p w14:paraId="18D48591"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Περιγραφή του τρόπου με τον οποίο τα ανώτερα διοικητικά στελέχη συμμετέχουν στο πλαίσιο διαχείρισης κινδύνου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 xml:space="preserve">γ)</w:t>
            </w:r>
          </w:p>
        </w:tc>
        <w:tc>
          <w:tcPr>
            <w:tcW w:w="7655" w:type="dxa"/>
            <w:vAlign w:val="center"/>
          </w:tcPr>
          <w:p w14:paraId="4DDC9D3A"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Επισκόπηση της διακυβέρνησης του πλαισίου διαχείρισης του κινδύνου CVA (π.χ. τεκμηρίωση, ανεξάρτητη μονάδα ελέγχου, ανεξάρτητη επανεξέταση, ανεξαρτησία της απόκτησης δεδομένων από τους επιχειρηματικούς τομείς)</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sz w:val="24"/>
          <w:rFonts w:ascii="Times New Roman" w:hAnsi="Times New Roman" w:cs="Times New Roman"/>
        </w:rPr>
      </w:pPr>
      <w:r>
        <w:rPr>
          <w:sz w:val="24"/>
          <w:b/>
          <w:rFonts w:ascii="Times New Roman" w:hAnsi="Times New Roman"/>
        </w:rPr>
        <w:t xml:space="preserve">Υπόδειγμα EU CVA3 – Κίνδυνος προσαρμογής πιστωτικής αποτίμησης βάσει της τυποποιημένης προσέγγισης (SA):</w:t>
      </w:r>
      <w:r>
        <w:rPr>
          <w:sz w:val="24"/>
          <w:b/>
          <w:rFonts w:ascii="Times New Roman" w:hAnsi="Times New Roman"/>
        </w:rPr>
        <w:t xml:space="preserve"> </w:t>
      </w:r>
      <w:r>
        <w:rPr>
          <w:sz w:val="24"/>
          <w:rFonts w:ascii="Times New Roman" w:hAnsi="Times New Roman"/>
        </w:rPr>
        <w:t xml:space="preserve">Σταθερός μορφότυπος</w:t>
      </w:r>
    </w:p>
    <w:p w14:paraId="18ADC674" w14:textId="77777777" w:rsidR="00942645" w:rsidRPr="00CA7700" w:rsidRDefault="00942645" w:rsidP="00942645">
      <w:pPr>
        <w:pStyle w:val="Titlelevel2"/>
        <w:numPr>
          <w:ilvl w:val="0"/>
          <w:numId w:val="14"/>
        </w:numPr>
        <w:spacing w:before="120"/>
        <w:jc w:val="both"/>
        <w:rPr>
          <w:b/>
          <w:color w:val="auto"/>
          <w:sz w:val="24"/>
          <w:rFonts w:ascii="Times New Roman" w:hAnsi="Times New Roman" w:cs="Times New Roman"/>
        </w:rPr>
      </w:pPr>
      <w:r>
        <w:rPr>
          <w:sz w:val="24"/>
          <w:color w:val="000000"/>
          <w:rFonts w:ascii="Times New Roman" w:hAnsi="Times New Roman"/>
        </w:rPr>
        <w:t xml:space="preserve">Τα ιδρύματα</w:t>
      </w:r>
      <w:r>
        <w:rPr>
          <w:sz w:val="24"/>
          <w:rFonts w:ascii="Times New Roman" w:hAnsi="Times New Roman"/>
        </w:rPr>
        <w:t xml:space="preserve"> </w:t>
      </w:r>
      <w:r>
        <w:rPr>
          <w:sz w:val="24"/>
          <w:color w:val="000000"/>
          <w:rFonts w:ascii="Times New Roman" w:hAnsi="Times New Roman"/>
        </w:rPr>
        <w:t xml:space="preserve">εφαρμόζουν τις οδηγίες που παρέχονται κατωτέρω στο παρόν παράρτημα για τη συμπλήρωση του υποδείγματος EU CVA3, όπως παρουσιάζεται στο παράρτημα XLI, </w:t>
      </w:r>
      <w:r>
        <w:rPr>
          <w:sz w:val="24"/>
          <w:color w:val="auto"/>
          <w:rFonts w:ascii="Times New Roman" w:hAnsi="Times New Roman"/>
        </w:rPr>
        <w:t xml:space="preserve">κατ’ εφαρμογή του άρθρου 445α παράγραφος 1 στοιχείο γ) και του άρθρου 445α παράγραφος 2 στοιχεία β) και γ) του κανονισμού (ΕΕ) αριθ. 575/2013</w:t>
      </w:r>
      <w:r>
        <w:rPr>
          <w:sz w:val="24"/>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 xml:space="preserve">1-6</w:t>
            </w:r>
          </w:p>
        </w:tc>
        <w:tc>
          <w:tcPr>
            <w:tcW w:w="7655" w:type="dxa"/>
            <w:vAlign w:val="center"/>
          </w:tcPr>
          <w:p w14:paraId="78E0BB68" w14:textId="77777777" w:rsidR="00942645" w:rsidRPr="00212EDF" w:rsidRDefault="00942645" w:rsidP="00962254">
            <w:pPr>
              <w:pStyle w:val="TableNote"/>
              <w:rPr>
                <w:b/>
                <w:iCs/>
                <w:sz w:val="24"/>
                <w:szCs w:val="24"/>
                <w:rFonts w:ascii="Times New Roman" w:hAnsi="Times New Roman"/>
              </w:rPr>
            </w:pPr>
            <w:r>
              <w:rPr>
                <w:b/>
                <w:sz w:val="24"/>
                <w:rFonts w:ascii="Times New Roman" w:hAnsi="Times New Roman"/>
              </w:rPr>
              <w:t xml:space="preserve">Κατηγορίες κινδύνων</w:t>
            </w:r>
          </w:p>
          <w:p w14:paraId="60828ECC" w14:textId="4B3E3F32"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Συνιστώσες των απαιτήσεων ιδίων κεφαλαίων στο πλαίσιο της τυποποιημένης προσέγγισης (κίνδυνος SA-CVA) σύμφωνα με το άρθρο 383 του κανονισμού (ΕΕ) αριθ. 575/2013, συμπεριλαμβανομένης της ανάλυσης ανά κατηγορίες κινδύνων όπως ορίζονται στο άρθρο 383 παράγραφος 2 σημείο 1 του κανονισμού (ΕΕ) αριθ.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 xml:space="preserve">1</w:t>
            </w:r>
          </w:p>
        </w:tc>
        <w:tc>
          <w:tcPr>
            <w:tcW w:w="7655" w:type="dxa"/>
            <w:vAlign w:val="center"/>
          </w:tcPr>
          <w:p w14:paraId="28EC92DE" w14:textId="02A0C77C"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Κίνδυνος επιτοκίου</w:t>
            </w:r>
          </w:p>
          <w:p w14:paraId="16CB1A2E" w14:textId="2B6C4833"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383γ, 383θ, 383ι, 383ια, 383ιβ, 383ιγ του κανονισμού (ΕΕ) αριθ. 575/2013.</w:t>
            </w:r>
            <w:r>
              <w:rPr>
                <w:sz w:val="24"/>
                <w:rFonts w:ascii="Times New Roman" w:hAnsi="Times New Roman"/>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 xml:space="preserve">2</w:t>
            </w:r>
          </w:p>
        </w:tc>
        <w:tc>
          <w:tcPr>
            <w:tcW w:w="7655" w:type="dxa"/>
            <w:vAlign w:val="center"/>
          </w:tcPr>
          <w:p w14:paraId="44DDD750"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Συναλλαγματικός κίνδυνος</w:t>
            </w:r>
            <w:r>
              <w:rPr>
                <w:b/>
                <w:sz w:val="24"/>
                <w:rFonts w:ascii="Times New Roman" w:hAnsi="Times New Roman"/>
              </w:rPr>
              <w:t xml:space="preserve"> </w:t>
            </w:r>
          </w:p>
          <w:p w14:paraId="0D99F846" w14:textId="21475511"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383δ, 383θ, 383ι, 383ιδ, 383ιε του κανονισμού (ΕΕ) αριθ.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 xml:space="preserve">3</w:t>
            </w:r>
          </w:p>
        </w:tc>
        <w:tc>
          <w:tcPr>
            <w:tcW w:w="7655" w:type="dxa"/>
            <w:vAlign w:val="center"/>
          </w:tcPr>
          <w:p w14:paraId="2CE70E59" w14:textId="77777777" w:rsidR="00942645" w:rsidRPr="00212EDF" w:rsidRDefault="00942645" w:rsidP="00962254">
            <w:pPr>
              <w:spacing w:after="120"/>
              <w:jc w:val="both"/>
              <w:rPr>
                <w:b/>
                <w:bCs/>
                <w:iCs/>
                <w:sz w:val="24"/>
                <w:rFonts w:ascii="Times New Roman" w:hAnsi="Times New Roman" w:cs="Times New Roman"/>
              </w:rPr>
            </w:pPr>
            <w:r>
              <w:rPr>
                <w:b/>
                <w:sz w:val="24"/>
                <w:rFonts w:ascii="Times New Roman" w:hAnsi="Times New Roman"/>
              </w:rPr>
              <w:t xml:space="preserve">Κίνδυνος πιστωτικών περιθωρίων αναφοράς</w:t>
            </w:r>
          </w:p>
          <w:p w14:paraId="371E3FA7" w14:textId="67089DA8"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383στ, 383θ, 383ι, 383ιθ, 383κα του κανονισμού (ΕΕ) αριθ.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 xml:space="preserve">4</w:t>
            </w:r>
          </w:p>
        </w:tc>
        <w:tc>
          <w:tcPr>
            <w:tcW w:w="7655" w:type="dxa"/>
            <w:vAlign w:val="center"/>
          </w:tcPr>
          <w:p w14:paraId="57EBB8D1"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Κίνδυνος μετοχών</w:t>
            </w:r>
          </w:p>
          <w:p w14:paraId="091E1B85" w14:textId="4452A32D"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383ζ, 383θ, 383ι, 383κβ, 383κγ του κανονισμού (ΕΕ) αριθ.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 xml:space="preserve">5</w:t>
            </w:r>
          </w:p>
        </w:tc>
        <w:tc>
          <w:tcPr>
            <w:tcW w:w="7655" w:type="dxa"/>
            <w:vAlign w:val="center"/>
          </w:tcPr>
          <w:p w14:paraId="56BFBEB4"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Κίνδυνος βασικού εμπορεύματος</w:t>
            </w:r>
          </w:p>
          <w:p w14:paraId="1503EDB0" w14:textId="5095156A"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383η, 383θ, 383ι, 383κδ, 383κστ του κανονισμού (ΕΕ) αριθ.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 xml:space="preserve">6</w:t>
            </w:r>
          </w:p>
        </w:tc>
        <w:tc>
          <w:tcPr>
            <w:tcW w:w="7655" w:type="dxa"/>
            <w:vAlign w:val="center"/>
          </w:tcPr>
          <w:p w14:paraId="14F9191C"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Κίνδυνος πιστωτικών περιθωρίων αντισυμβαλλομένου</w:t>
            </w:r>
          </w:p>
          <w:p w14:paraId="3345109B" w14:textId="5DC9DECF"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Άρθρα 383ε, 383θ, 383ι, 383ιστ, 383ιζ,383ιη του κανονισμού (ΕΕ) αριθ.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 xml:space="preserve">7</w:t>
            </w:r>
          </w:p>
        </w:tc>
        <w:tc>
          <w:tcPr>
            <w:tcW w:w="7655" w:type="dxa"/>
          </w:tcPr>
          <w:p w14:paraId="78C024D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Σύνολο</w:t>
            </w:r>
          </w:p>
          <w:p w14:paraId="7E51C6A2" w14:textId="0EF0E48B" w:rsidR="00942645" w:rsidRPr="00CA7700" w:rsidRDefault="00942645" w:rsidP="00962254">
            <w:pPr>
              <w:spacing w:before="60" w:after="120"/>
              <w:rPr>
                <w:b/>
                <w:iCs/>
                <w:sz w:val="24"/>
                <w:rFonts w:ascii="Times New Roman" w:hAnsi="Times New Roman" w:cs="Times New Roman"/>
              </w:rPr>
            </w:pPr>
            <w:r>
              <w:rPr>
                <w:sz w:val="24"/>
                <w:rFonts w:ascii="Times New Roman" w:hAnsi="Times New Roman"/>
              </w:rPr>
              <w:t xml:space="preserve">Άθροισμα των γραμμών 1 έως 6.</w:t>
            </w:r>
            <w:r>
              <w:rPr>
                <w:sz w:val="24"/>
                <w:rFonts w:ascii="Times New Roman" w:hAnsi="Times New Roman"/>
              </w:rPr>
              <w:t xml:space="preserve"> </w:t>
            </w:r>
            <w:r>
              <w:rPr>
                <w:sz w:val="24"/>
                <w:rFonts w:ascii="Times New Roman" w:hAnsi="Times New Roman"/>
              </w:rPr>
              <w:t xml:space="preserve">Το ποσό αυτό ισούται με το ποσό που δημοσιοποιείται στη γραμμή EU 10α στήλη γ του υποδείγματος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8 – EU 13</w:t>
            </w:r>
          </w:p>
        </w:tc>
        <w:tc>
          <w:tcPr>
            <w:tcW w:w="7655" w:type="dxa"/>
          </w:tcPr>
          <w:p w14:paraId="24FDD12C"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Είδη συναλλαγών ανά αντισυμβαλλόμενο</w:t>
            </w:r>
            <w:r>
              <w:rPr>
                <w:b/>
                <w:sz w:val="24"/>
                <w:rFonts w:ascii="Times New Roman" w:hAnsi="Times New Roman"/>
              </w:rPr>
              <w:t xml:space="preserve"> </w:t>
            </w:r>
          </w:p>
          <w:p w14:paraId="384E4400" w14:textId="489739D4" w:rsidR="00942645" w:rsidRPr="00212EDF" w:rsidRDefault="00942645" w:rsidP="00E60D1B">
            <w:pPr>
              <w:spacing w:before="60" w:after="120"/>
              <w:rPr>
                <w:sz w:val="24"/>
                <w:rFonts w:ascii="Times New Roman" w:hAnsi="Times New Roman" w:cs="Times New Roman"/>
              </w:rPr>
            </w:pPr>
            <w:r>
              <w:rPr>
                <w:sz w:val="24"/>
                <w:rFonts w:ascii="Times New Roman" w:hAnsi="Times New Roman"/>
              </w:rPr>
              <w:t xml:space="preserve">Ο αριθμός των συναλλαγών ανά αντισυμβαλλόμενο κατανεμημένων ανά είδος σύμφωνα με τις οδηγίες του παραρτήματος V μέρος 1 τμήμα 6 παράγραφοι 42-44 των λύσεων ΤΠ με τίτλο «Αναφορά χρηματοοικονομικών πληροφοριών σύμφωνα με τα ΔΠΧΑ και τις πληροφορίες ΓΑΛΑ — 2024 — έκδοση 1» [διατίθεται στον δικτυακό τόπο της ΕΑΤ].</w:t>
            </w:r>
            <w:r>
              <w:rPr>
                <w:sz w:val="24"/>
                <w:rFonts w:ascii="Times New Roman" w:hAnsi="Times New Roman"/>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14</w:t>
            </w:r>
          </w:p>
        </w:tc>
        <w:tc>
          <w:tcPr>
            <w:tcW w:w="7655" w:type="dxa"/>
          </w:tcPr>
          <w:p w14:paraId="18FAC522"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Σύνολο</w:t>
            </w:r>
          </w:p>
          <w:p w14:paraId="67696FDB" w14:textId="77777777" w:rsidR="00942645" w:rsidRPr="00CA7700" w:rsidRDefault="00942645" w:rsidP="00962254">
            <w:pPr>
              <w:spacing w:before="60" w:after="120"/>
              <w:rPr>
                <w:iCs/>
                <w:sz w:val="24"/>
                <w:rFonts w:ascii="Times New Roman" w:hAnsi="Times New Roman" w:cs="Times New Roman"/>
              </w:rPr>
            </w:pPr>
            <w:r>
              <w:rPr>
                <w:sz w:val="24"/>
                <w:rFonts w:ascii="Times New Roman" w:hAnsi="Times New Roman"/>
              </w:rPr>
              <w:t xml:space="preserve">Ο συνολικός αριθμός αντισυμβαλλομένων ως άθροισμα των γραμμών ΕΕ 8 έως ΕΕ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15 – EU 17</w:t>
            </w:r>
          </w:p>
        </w:tc>
        <w:tc>
          <w:tcPr>
            <w:tcW w:w="7655" w:type="dxa"/>
          </w:tcPr>
          <w:p w14:paraId="64353F3E"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Αντισταθμίσεις κινδύνου CVA</w:t>
            </w:r>
          </w:p>
          <w:p w14:paraId="69C81380" w14:textId="77777777" w:rsidR="00942645" w:rsidRPr="00CA7700" w:rsidRDefault="00942645" w:rsidP="00962254">
            <w:pPr>
              <w:spacing w:before="60" w:after="120"/>
              <w:rPr>
                <w:i/>
                <w:sz w:val="24"/>
                <w:rFonts w:ascii="Times New Roman" w:hAnsi="Times New Roman" w:cs="Times New Roman"/>
              </w:rPr>
            </w:pPr>
            <w:r>
              <w:rPr>
                <w:sz w:val="24"/>
                <w:rFonts w:ascii="Times New Roman" w:hAnsi="Times New Roman"/>
              </w:rPr>
              <w:t xml:space="preserve">Άρθρο 386 του κανονισμού (ΕΕ) αριθ.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18</w:t>
            </w:r>
          </w:p>
        </w:tc>
        <w:tc>
          <w:tcPr>
            <w:tcW w:w="7655" w:type="dxa"/>
          </w:tcPr>
          <w:p w14:paraId="30C7C94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Σύνολο</w:t>
            </w:r>
          </w:p>
          <w:p w14:paraId="7B810666" w14:textId="77777777" w:rsidR="00942645" w:rsidRPr="00CA7700" w:rsidRDefault="00942645" w:rsidP="00962254">
            <w:pPr>
              <w:spacing w:before="60" w:after="120"/>
              <w:rPr>
                <w:bCs/>
                <w:iCs/>
                <w:sz w:val="24"/>
                <w:rFonts w:ascii="Times New Roman" w:hAnsi="Times New Roman" w:cs="Times New Roman"/>
              </w:rPr>
            </w:pPr>
            <w:r>
              <w:rPr>
                <w:sz w:val="24"/>
                <w:rFonts w:ascii="Times New Roman" w:hAnsi="Times New Roman"/>
              </w:rPr>
              <w:t xml:space="preserve">Άθροισμα των γραμμών EU 15 έως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 xml:space="preserve">α</w:t>
            </w:r>
          </w:p>
        </w:tc>
        <w:tc>
          <w:tcPr>
            <w:tcW w:w="7655" w:type="dxa"/>
            <w:vAlign w:val="center"/>
          </w:tcPr>
          <w:p w14:paraId="2B901479" w14:textId="77777777" w:rsidR="004D0F6F" w:rsidRPr="00212EDF" w:rsidRDefault="009B4C5B" w:rsidP="00962254">
            <w:pPr>
              <w:spacing w:after="120"/>
              <w:jc w:val="both"/>
              <w:rPr>
                <w:b/>
                <w:bCs/>
                <w:iCs/>
                <w:sz w:val="24"/>
                <w:szCs w:val="20"/>
                <w:rFonts w:ascii="Times New Roman" w:eastAsia="Times New Roman" w:hAnsi="Times New Roman" w:cs="Times New Roman"/>
              </w:rPr>
            </w:pPr>
            <w:r>
              <w:rPr>
                <w:sz w:val="24"/>
                <w:i/>
                <w:rFonts w:ascii="Times New Roman" w:hAnsi="Times New Roman"/>
              </w:rPr>
              <w:t xml:space="preserve"> </w:t>
            </w:r>
            <w:r>
              <w:rPr>
                <w:sz w:val="24"/>
                <w:b/>
                <w:rFonts w:ascii="Times New Roman" w:hAnsi="Times New Roman"/>
              </w:rPr>
              <w:t xml:space="preserve">Απαιτήσεις ιδίων κεφαλαίων</w:t>
            </w:r>
          </w:p>
          <w:p w14:paraId="1259F031" w14:textId="106FC974" w:rsidR="00942645" w:rsidRPr="00CA7700" w:rsidRDefault="00942645" w:rsidP="00962254">
            <w:pPr>
              <w:spacing w:after="120"/>
              <w:jc w:val="both"/>
              <w:rPr>
                <w:sz w:val="24"/>
                <w:rFonts w:ascii="Times New Roman" w:hAnsi="Times New Roman" w:cs="Times New Roman"/>
              </w:rPr>
            </w:pPr>
            <w:r>
              <w:rPr>
                <w:sz w:val="24"/>
                <w:rFonts w:ascii="Times New Roman" w:hAnsi="Times New Roman"/>
              </w:rPr>
              <w:t xml:space="preserve">Άρθρο 382 του κανονισμού (ΕΕ) αριθ.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 xml:space="preserve">β</w:t>
            </w:r>
          </w:p>
        </w:tc>
        <w:tc>
          <w:tcPr>
            <w:tcW w:w="7655" w:type="dxa"/>
            <w:vAlign w:val="center"/>
          </w:tcPr>
          <w:p w14:paraId="6F63311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Αριθμός αντισυμβαλλομένων</w:t>
            </w:r>
          </w:p>
          <w:p w14:paraId="4B5F72BC" w14:textId="48FA7F47" w:rsidR="00942645" w:rsidRPr="00CA7700" w:rsidRDefault="00942645" w:rsidP="00962254">
            <w:pPr>
              <w:pStyle w:val="TableNote"/>
              <w:rPr>
                <w:sz w:val="24"/>
                <w:szCs w:val="24"/>
                <w:rFonts w:ascii="Times New Roman" w:hAnsi="Times New Roman"/>
              </w:rPr>
            </w:pPr>
            <w:r>
              <w:rPr>
                <w:sz w:val="24"/>
                <w:rFonts w:ascii="Times New Roman" w:hAnsi="Times New Roman"/>
              </w:rPr>
              <w:t xml:space="preserve">Αριθμός αντισυμβαλλομένων, όπως ορίζονται στο άρθρο 383 παράγραφος 1 του κανονισμού (ΕΕ) αριθ. 575/2013, που περιλαμβάνονται στον υπολογισμό των απαιτήσεων ιδίων κεφαλαίων για τον κίνδυνο SA-CVA.</w:t>
            </w:r>
            <w:r>
              <w:rPr>
                <w:sz w:val="24"/>
                <w:rFonts w:ascii="Times New Roman" w:hAnsi="Times New Roman"/>
              </w:rPr>
              <w:t xml:space="preserve">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 xml:space="preserve">ΕΕ γ</w:t>
            </w:r>
          </w:p>
        </w:tc>
        <w:tc>
          <w:tcPr>
            <w:tcW w:w="7655" w:type="dxa"/>
            <w:vAlign w:val="center"/>
          </w:tcPr>
          <w:p w14:paraId="78B4FFA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Ονομαστικό ποσό αντισταθμίσεων κινδύνου CVA</w:t>
            </w:r>
          </w:p>
          <w:p w14:paraId="52C0F4DF" w14:textId="77777777" w:rsidR="00942645" w:rsidRPr="00CA7700" w:rsidDel="000073FA" w:rsidRDefault="00942645" w:rsidP="00962254">
            <w:pPr>
              <w:pStyle w:val="TableNote"/>
              <w:rPr>
                <w:i/>
                <w:sz w:val="24"/>
                <w:szCs w:val="24"/>
                <w:rFonts w:ascii="Times New Roman" w:hAnsi="Times New Roman"/>
              </w:rPr>
            </w:pPr>
            <w:r>
              <w:rPr>
                <w:sz w:val="24"/>
                <w:rFonts w:ascii="Times New Roman" w:hAnsi="Times New Roman"/>
              </w:rPr>
              <w:t xml:space="preserve">Ονομαστικό ποσό επιλέξιμων αντισταθμίσεων κινδύνου CVA σύμφωνα με το άρθρο 386 του κανονισμού (ΕΕ) αριθ.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color w:val="auto"/>
          <w:sz w:val="24"/>
          <w:rFonts w:ascii="Times New Roman" w:hAnsi="Times New Roman" w:cs="Times New Roman"/>
        </w:rPr>
      </w:pPr>
      <w:r>
        <w:rPr>
          <w:color w:val="auto"/>
          <w:sz w:val="24"/>
          <w:b/>
          <w:rFonts w:ascii="Times New Roman" w:hAnsi="Times New Roman"/>
        </w:rPr>
        <w:t xml:space="preserve">Υπόδειγμα EU CVA4 – Καταστάσεις ροής RWEA για τον κίνδυνο προσαρμογής πιστωτικής αποτίμησης βάσει της τυποποιημένης προσέγγισης (SA):</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22E699CE" w14:textId="5A78E63F"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Τα ιδρύματα εφαρμόζουν τις οδηγίες που παρέχονται κατωτέρω για τη συμπλήρωση</w:t>
      </w:r>
      <w:r>
        <w:rPr>
          <w:color w:val="000000"/>
          <w:sz w:val="24"/>
          <w:rFonts w:ascii="Times New Roman" w:hAnsi="Times New Roman"/>
        </w:rPr>
        <w:t xml:space="preserve"> του υποδείγματος EU CVA4, όπως παρουσιάζεται στο παράρτημα XLI των λύσεων ΤΠ, κατ’ εφαρμογή του άρθρου 438 στοιχεία δ) και η) του</w:t>
      </w:r>
      <w:r>
        <w:rPr>
          <w:color w:val="000000"/>
          <w:sz w:val="24"/>
          <w:rFonts w:ascii="Times New Roman" w:hAnsi="Times New Roman"/>
        </w:rPr>
        <w:t xml:space="preserve"> κανονισμού (ΕΕ) αριθ. 575/2013</w:t>
      </w:r>
      <w:r>
        <w:rPr>
          <w:color w:val="000000"/>
          <w:sz w:val="24"/>
          <w:rFonts w:ascii="Times New Roman" w:hAnsi="Times New Roman"/>
        </w:rPr>
        <w:t xml:space="preserve">.</w:t>
      </w:r>
      <w:r>
        <w:rPr>
          <w:color w:val="000000"/>
          <w:sz w:val="24"/>
          <w:rFonts w:ascii="Times New Roman" w:hAnsi="Times New Roman"/>
        </w:rPr>
        <w:t xml:space="preserve"> </w:t>
      </w:r>
    </w:p>
    <w:p w14:paraId="03A729A3" w14:textId="77777777"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Τα ιδρύματα καλούνται να συμπληρώνουν το παρόν υπόδειγμα με λεκτικές παρατηρήσεις ώστε να εξηγήσουν τυχόν σημαντικές μεταβολές κατά την περίοδο αναφοράς και τους βασικούς παράγοντες αυτών των αλλαγών.</w:t>
      </w:r>
      <w:r>
        <w:rPr>
          <w:color w:val="000000"/>
          <w:sz w:val="24"/>
          <w:rFonts w:ascii="Times New Roman" w:hAnsi="Times New Roman"/>
        </w:rPr>
        <w:t xml:space="preserve"> </w:t>
      </w:r>
      <w:r>
        <w:rPr>
          <w:color w:val="000000"/>
          <w:sz w:val="24"/>
          <w:rFonts w:ascii="Times New Roman" w:hAnsi="Times New Roman"/>
        </w:rPr>
        <w:t xml:space="preserve">Στους παράγοντες αυτών των αλλαγών θα μπορούσαν να περιλαμβάνονται οι μεταβολές των επιπέδων κινδύνου, οι αλλαγές στο πεδίο εφαρμογής (π.χ. μετατόπιση των συμψηφιστικών συνόλων μεταξύ SA-CVA και BA-CVA), η απόκτηση και διάθεση επιχειρηματικών δραστηριοτήτων/προϊόντων ή οντοτήτων ή οι μεταβολές μετατροπής συναλλάγματος</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b/>
                <w:color w:val="000000"/>
                <w:sz w:val="24"/>
                <w:rFonts w:ascii="Times New Roman" w:hAnsi="Times New Roman" w:cs="Times New Roman"/>
              </w:rPr>
            </w:pPr>
            <w:r>
              <w:rPr>
                <w:b/>
                <w:color w:val="000000"/>
                <w:sz w:val="24"/>
                <w:rFonts w:ascii="Times New Roman" w:hAnsi="Times New Roman"/>
              </w:rPr>
              <w:t xml:space="preserve">Νομικά κείμενα αναφοράς και οδηγίες</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 xml:space="preserve">1</w:t>
            </w:r>
          </w:p>
        </w:tc>
        <w:tc>
          <w:tcPr>
            <w:tcW w:w="7655" w:type="dxa"/>
            <w:vAlign w:val="center"/>
          </w:tcPr>
          <w:p w14:paraId="1165D18C"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Σταθμισμένο ως προς τον κίνδυνο ποσό ανοίγματος στο τέλος της προηγούμενης περιόδου αναφοράς</w:t>
            </w:r>
            <w:r>
              <w:rPr>
                <w:b/>
                <w:sz w:val="24"/>
                <w:rFonts w:ascii="Times New Roman" w:hAnsi="Times New Roman"/>
              </w:rPr>
              <w:t xml:space="preserve"> </w:t>
            </w:r>
          </w:p>
          <w:p w14:paraId="0A24A95A"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Το ποσό αυτό ισούται με το ποσό που δημοσιοποιείται στη γραμμή EU 10α στήλη β του υποδείγματος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 xml:space="preserve">2</w:t>
            </w:r>
          </w:p>
        </w:tc>
        <w:tc>
          <w:tcPr>
            <w:tcW w:w="7655" w:type="dxa"/>
            <w:vAlign w:val="center"/>
          </w:tcPr>
          <w:p w14:paraId="1AE00A33"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Ποσό ανοίγματος σταθμισμένο ως προς τον κίνδυνο στο τέλος της τρέχουσας περιόδου αναφοράς</w:t>
            </w:r>
          </w:p>
          <w:p w14:paraId="1FF40BFD"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Το ποσό αυτό ισούται με το ποσό που δημοσιοποιείται στη γραμμή EU 10α στήλη α του υποδείγματος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 xml:space="preserve">α</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Ποσό σταθμισμένου ως προς τον κίνδυνο ανοίγματος</w:t>
            </w:r>
          </w:p>
          <w:p w14:paraId="10E360D0" w14:textId="4CD692C9"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Άρθρο 92 παράγραφος 4 στοιχείο ε) του κανονισμού (ΕΕ) αριθ. 575/2013.</w:t>
            </w:r>
          </w:p>
          <w:p w14:paraId="7E05B452" w14:textId="77777777" w:rsidR="00942645" w:rsidRPr="00DD6E2F"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Απαιτήσεις ιδίων κεφαλαίων πολλαπλασιασμένες επί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 xml:space="preserve">[</w:t>
      </w:r>
      <w:hyperlink r:id="rId1" w:history="1">
        <w:r>
          <w:rPr>
            <w:rStyle w:val="Hyperlink"/>
            <w:color w:val="800080"/>
          </w:rPr>
          <w:t xml:space="preserve">ΕΕ L 176 της 27.6.2013, σ. 1</w:t>
        </w:r>
      </w:hyperlink>
      <w:r>
        <w:rPr>
          <w:color w:val="800080"/>
          <w:u w:val="single"/>
        </w:rP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 xml:space="preserve">[Πληκτρολογήστε κείμενο]</w:t>
        </w:r>
      </w:sdtContent>
    </w:sdt>
    <w:r>
      <w:ptab w:relativeTo="margin" w:alignment="center" w:leader="none"/>
    </w:r>
    <w:sdt>
      <w:sdtPr>
        <w:id w:val="-476227318"/>
        <w:temporary/>
        <w:showingPlcHdr/>
      </w:sdtPr>
      <w:sdtEndPr/>
      <w:sdtContent>
        <w:r>
          <w:t xml:space="preserve">[Πληκτρολογήστε κείμενο]</w:t>
        </w:r>
      </w:sdtContent>
    </w:sdt>
    <w:r>
      <w:ptab w:relativeTo="margin" w:alignment="right" w:leader="none"/>
    </w:r>
    <w:sdt>
      <w:sdtPr>
        <w:id w:val="807362839"/>
        <w:temporary/>
        <w:showingPlcHdr/>
      </w:sdtPr>
      <w:sdtEndPr/>
      <w:sdtContent>
        <w:r>
          <w:t xml:space="preserve">[Πληκτρολογήστε κείμενο]</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 xml:space="preserve">Στο παρόν παράρτημα, οι νομικές παραπομπές λαμβάνουν υπόψη το σχέδιο έκδοσης του ΚΚΑ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Στο παρόν παράρτημα, οι νομικές παραπομπές λαμβάνουν υπόψη το σχέδιο έκδοσης του ΚΚΑ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 xml:space="preserve">Συμπληρώστε εδώ τον τρέχοντα τίτλο σε μορφή συνεχούς τίτλου</w:t>
    </w:r>
    <w: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l-GR"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l-G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l-GR"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l-GR"/>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l-GR"/>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l-GR"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l-GR"/>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l-GR"/>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l-GR"/>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l-GR"/>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l-GR"/>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l-GR"/>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l-GR"/>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l-GR"/>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l-GR"/>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l-GR"/>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l-GR"/>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l-GR"/>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l-GR"/>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l-GR"/>
    </w:rPr>
  </w:style>
  <w:style w:type="paragraph" w:styleId="ListParagraph">
    <w:name w:val="List Paragraph"/>
    <w:basedOn w:val="Normal"/>
    <w:uiPriority w:val="34"/>
    <w:qFormat/>
    <w:rsid w:val="009F12DA"/>
    <w:pPr>
      <w:ind w:left="720"/>
    </w:pPr>
    <w:rPr>
      <w:rFonts w:ascii="Calibri" w:eastAsia="Calibri" w:hAnsi="Calibri" w:cs="Times New Roman"/>
      <w:szCs w:val="22"/>
      <w:lang w:val="el-GR"/>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l-GR"/>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l-GR"/>
    </w:rPr>
  </w:style>
  <w:style w:type="paragraph" w:customStyle="1" w:styleId="CM11">
    <w:name w:val="CM1+1"/>
    <w:basedOn w:val="Default"/>
    <w:next w:val="Default"/>
    <w:uiPriority w:val="99"/>
    <w:rsid w:val="008539BB"/>
    <w:rPr>
      <w:rFonts w:ascii="EUAlbertina" w:eastAsiaTheme="minorEastAsia" w:hAnsi="EUAlbertina" w:cstheme="minorBidi"/>
      <w:color w:val="auto"/>
      <w:lang w:val="el-GR"/>
    </w:rPr>
  </w:style>
  <w:style w:type="paragraph" w:customStyle="1" w:styleId="CM31">
    <w:name w:val="CM3+1"/>
    <w:basedOn w:val="Default"/>
    <w:next w:val="Default"/>
    <w:uiPriority w:val="99"/>
    <w:rsid w:val="008539BB"/>
    <w:rPr>
      <w:rFonts w:ascii="EUAlbertina" w:eastAsiaTheme="minorEastAsia" w:hAnsi="EUAlbertina" w:cstheme="minorBidi"/>
      <w:color w:val="auto"/>
      <w:lang w:val="el-GR"/>
    </w:rPr>
  </w:style>
  <w:style w:type="paragraph" w:customStyle="1" w:styleId="CM13">
    <w:name w:val="CM1+3"/>
    <w:basedOn w:val="Default"/>
    <w:next w:val="Default"/>
    <w:uiPriority w:val="99"/>
    <w:rsid w:val="004B3092"/>
    <w:rPr>
      <w:rFonts w:ascii="EUAlbertina" w:eastAsiaTheme="minorEastAsia" w:hAnsi="EUAlbertina" w:cstheme="minorBidi"/>
      <w:color w:val="auto"/>
      <w:lang w:val="el-GR"/>
    </w:rPr>
  </w:style>
  <w:style w:type="paragraph" w:customStyle="1" w:styleId="CM33">
    <w:name w:val="CM3+3"/>
    <w:basedOn w:val="Default"/>
    <w:next w:val="Default"/>
    <w:uiPriority w:val="99"/>
    <w:rsid w:val="004B3092"/>
    <w:rPr>
      <w:rFonts w:ascii="EUAlbertina" w:eastAsiaTheme="minorEastAsia" w:hAnsi="EUAlbertina" w:cstheme="minorBidi"/>
      <w:color w:val="auto"/>
      <w:lang w:val="el-G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A72FC037-F4EF-40A3-9038-E81A3F5DB737}"/>
</file>

<file path=customXml/itemProps3.xml><?xml version="1.0" encoding="utf-8"?>
<ds:datastoreItem xmlns:ds="http://schemas.openxmlformats.org/officeDocument/2006/customXml" ds:itemID="{E82BBFAC-E3C7-4AA6-9117-E9F29D16CAF9}"/>
</file>

<file path=customXml/itemProps4.xml><?xml version="1.0" encoding="utf-8"?>
<ds:datastoreItem xmlns:ds="http://schemas.openxmlformats.org/officeDocument/2006/customXml" ds:itemID="{DD5FF7FD-E284-4632-9231-B6C47D06CFA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