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IARSCRÍBHINN XXXII – Treoracha le haghaidh na dteimpléad nochta maidir le riosca oibriúcháin</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Tábla EU ORA – Faisnéis cháilíochtúil faoi riosca oibriúcháin. </w:t>
      </w:r>
      <w:r>
        <w:rPr>
          <w:rFonts w:ascii="Times New Roman" w:hAnsi="Times New Roman"/>
          <w:sz w:val="24"/>
        </w:rPr>
        <w:t>Tábla solúbtha</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Nochtfaidh institiúidí an fhaisnéis a áirítear sa tábla seo agus Airteagal 435(1) agus Airteagal 446(1), pointe (a), de Rialachán (AE) 575/2013 á gcur i bhfeidhm</w:t>
      </w:r>
      <w:r>
        <w:rPr>
          <w:rStyle w:val="FootnoteReference"/>
          <w:rFonts w:ascii="Times New Roman" w:hAnsi="Times New Roman"/>
          <w:sz w:val="24"/>
          <w:szCs w:val="24"/>
        </w:rPr>
        <w:footnoteReference w:id="2"/>
      </w:r>
      <w:r>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Cuirfidh institiúidí na treoracha a thugtar thíos san Iarscríbhinn seo i bhfeidhm chun an tábla nochta maidir le Riosca Oibriúcháin EU ORA a chuirtear i láthair in Iarscríbhinn XXXI a ghabhann le réitigh TF ÚBE a líonadh.</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Tagairtí dlíthiúla agus treoracha</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Uimhir an ró</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Míniú</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Cuspóirí agus beartais bainistíochta riosca a nochtadh</w:t>
            </w:r>
          </w:p>
          <w:p w14:paraId="65684A44" w14:textId="02C2C7DF"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I gcomhréir le hAirteagal 435(1), pointe (a), de Rialachán (AE) 575/2013, nochtfaidh institiúidí a gcuspóirí, a mbeartais, a gcreataí agus a dtreoirlínte chun rioscaí oibriúcháin a bhainistiú,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áirítear na straitéisí agus na próisis chun na rioscaí sin a bhainistiú.</w:t>
            </w:r>
            <w:r>
              <w:t xml:space="preserve"> </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Struchtúr agus eagrú na feidhme bainistíochta riosca oibriúcháin a nochtadh</w:t>
            </w:r>
          </w:p>
          <w:p w14:paraId="739779F0" w14:textId="41453394"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I gcomhréir le hAirteagal 435(1), pointe (b), de Rialachán (AE) 575/2013, nochtfaidh institiúidí struchtúr agus eagrú na feidhme bainistíochta riosca oibriúcháin,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áirítear faisnéis ar bhonn údarás na feidhme bainistíochta riosca oibriúcháin, a cumhachtaí agus a cuntasacht i gcomhréir le doiciméid chorpraithe agus rialaithe na hinstitiúide, agus an fheidhm rialaithe atá aici.</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Tuairisc ar raon feidhme agus ar chineál an chórais tomhais</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I gcomhréir le hAirteagal 435(1), pointe (c), de Rialachán (AE) 575/2013, nochtfaidh institiúidí raon feidhme agus cineál an chórais chun rioscaí oibriúcháin a thomhas (i.e. na córais agus na sonraí a úsáidtear chun rioscaí oibriúcháin a thomhas d’fhonn meastachán a dhéanamh ar an muirear maidir le caipiteal um rioscaí oibriúcháin).</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Tuairisc ar raon feidhme agus ar chineál an chreata tuairiscithe riosca oibriúcháin</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 xml:space="preserve">I gcomhréir le hAirteagal 435(1), pointe (c), de Rialachán (AE) 575/2013, nochtfaidh institiúidí raon feidhme agus cineál an chreata tuairiscithe riosca </w:t>
            </w:r>
            <w:r>
              <w:rPr>
                <w:rFonts w:ascii="Times New Roman" w:hAnsi="Times New Roman"/>
                <w:sz w:val="24"/>
              </w:rPr>
              <w:lastRenderedPageBreak/>
              <w:t>oibriúcháin don lucht bainistíochta feidhmiúcháin agus don Bhord Stiúrthóirí.</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Tuairisc ar bheartais agus ar straitéisí an mhaolaithe riosca agus an fhálaithe riosca</w:t>
            </w:r>
          </w:p>
          <w:p w14:paraId="443DC7A5" w14:textId="023065E1"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I gcomhréir le hAirteagal 435(1), pointe (d), de Rialachán (AE) 575/2013, nochtfaidh institiúidí a mbeartais agus a straitéisí maidir le maolú riosca agus fálú riosca a úsáidtear i mbainistiú rioscaí oibriúcháin,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áirítear i gcás ina mbaintear an maolú riosca oibriúcháin amach trí bheartais (agus sa chás sin nochtfaidh siad na beartais maidir le cultúr riosca, fonn riosca agus seachfhoinsiú), nó i gcás ina mbaintear amach é trí dhífheistiú ó ghnólachtaí ardriosca nó trí rialuithe a bhunú.</w:t>
            </w:r>
            <w:r>
              <w:rPr>
                <w:rFonts w:ascii="Times New Roman" w:hAnsi="Times New Roman"/>
                <w:color w:val="000000" w:themeColor="text1"/>
                <w:sz w:val="24"/>
              </w:rPr>
              <w:t xml:space="preserve"> Nochtfaidh institiúidí freisin na neamhchosaintí atá fágtha arna</w:t>
            </w:r>
            <w:r w:rsidR="00F21077">
              <w:rPr>
                <w:rFonts w:ascii="Times New Roman" w:hAnsi="Times New Roman"/>
                <w:color w:val="000000" w:themeColor="text1"/>
                <w:sz w:val="24"/>
              </w:rPr>
              <w:t xml:space="preserve"> n</w:t>
            </w:r>
            <w:r w:rsidR="00F21077">
              <w:rPr>
                <w:rFonts w:ascii="Times New Roman" w:hAnsi="Times New Roman"/>
                <w:color w:val="000000" w:themeColor="text1"/>
                <w:sz w:val="24"/>
              </w:rPr>
              <w:noBreakHyphen/>
            </w:r>
            <w:r>
              <w:rPr>
                <w:rFonts w:ascii="Times New Roman" w:hAnsi="Times New Roman"/>
                <w:color w:val="000000" w:themeColor="text1"/>
                <w:sz w:val="24"/>
              </w:rPr>
              <w:t>ionsú ag na hinstitiúidí iad féin nó, i gcás inarb infheidhme, na neamhchosaintí atá fágtha a aistrítear ar bhealaí éagsúla, lena</w:t>
            </w:r>
            <w:r w:rsidR="00F21077">
              <w:rPr>
                <w:rFonts w:ascii="Times New Roman" w:hAnsi="Times New Roman"/>
                <w:color w:val="000000" w:themeColor="text1"/>
                <w:sz w:val="24"/>
              </w:rPr>
              <w:t xml:space="preserve"> n</w:t>
            </w:r>
            <w:r w:rsidR="00F21077">
              <w:rPr>
                <w:rFonts w:ascii="Times New Roman" w:hAnsi="Times New Roman"/>
                <w:color w:val="000000" w:themeColor="text1"/>
                <w:sz w:val="24"/>
              </w:rPr>
              <w:noBreakHyphen/>
            </w:r>
            <w:r>
              <w:rPr>
                <w:rFonts w:ascii="Times New Roman" w:hAnsi="Times New Roman"/>
                <w:color w:val="000000" w:themeColor="text1"/>
                <w:sz w:val="24"/>
              </w:rPr>
              <w:t>áirítear trí árachas.</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Teimpléad EU OR1 - Caillteanais rioscaí oibriúcháin. </w:t>
      </w:r>
      <w:r>
        <w:rPr>
          <w:rFonts w:ascii="Times New Roman" w:hAnsi="Times New Roman"/>
          <w:sz w:val="24"/>
        </w:rPr>
        <w:t>Teimpléad seasta</w:t>
      </w:r>
    </w:p>
    <w:p w14:paraId="70B287DB" w14:textId="2D5E5068"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Nochtfaidh institiúidí an fhaisnéis a áirítear i dteimpléad EU OR1 agus Airteagal 446(2), pointí (a) agus (b), de Rialachán (AE) 575/2013 á chur i bhfeidhm. Soláthraítear leis an teimpléad seo faisnéis maidir leis na caillteanais rioscaí oibriúcháin bhliantúla arna dtabhú le 10 mbliana anuas, bunaithe ar dháta cuntasaíochta na gcaillteanas arna dtabhú. Ríomhfar na caillteanais rioscaí oibriúcháin bhliantúla sin i gcomhréir le hAirteagal 316(1) de Rialachán (AE) 575/2013 agus cuimseofar leo, i gcomhréir le hAirteagal 317(2) de Rialachán (AE) 575/2013, gach caillteanas a eascraíonn as na heintitis uile atá mar chuid de raon feidhme an chomhdhlúthaithe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caillteanais ó ghnólachtaí cumaiscthe/faighte (de réir Airteagal 321(1) de Rialachán (AE) 575/2013). Soláthrófar an fhaisnéis sin a mhéid atá sí ar fáil agus ar bhonn na hiarrachta is fearr, go dtí go mbeidh feidhm ag Airteagail 316(3), 317(9), 320(3) agus 321(2) de Rialachán (AE)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Nochtfaidh institiúidí, i gcás gach ceann de na 10 mbliana dheireanacha, sonraí maidir le líon na gcaillteanas rioscaí oibriúcháin agus líon na gcaillteanas rioscaí oibriúcháin eisiata, méid iomlán na gcaillteanas rioscaí oibriúcháin glan ar aisghabhálacha agus méid iomlán na gcaillteanas rioscaí oibriúcháin glan ar aisghabhálacha agus glan ar chaillteanais eisiata. Ríomhfar méid iomlán bliantúil na gcaillteanas rioscaí oibriúcháin mar shuim na nglanchaillteanas uile thar bhliain airgeadais ar leith, arna ríomh i gcomhréir le hAirteagal 318(1) de Rialachán (AE) 575/2013, glanchaillteanais atá cothrom leis na tairseacha sonraí maidir le caillteanas a leagtar amach in Airteagal 319 (1) nó (2) faoi seach den Rialachán sin (is é sin €20,000 agus €100,000), nó atá níos mó ná na tairseacha sin. Mar sin féin, maidir le caillteanais arb é comhtheagmhas rioscaí oibriúcháin nó roinnt teagmhas atá nasctha leis an teagmhas rioscaí oibriúcháin céanna (‘fréamhtheagmhas’) is cúis leo, caillteanais a aithnítear i mblianta cuntasaíochta éagsúla, déanfar na caillteanais sin a shuimiú le haghaidh na 10 mbliana dheireanacha chun a chinneadh cé acu a sháraítear nó nach sáraítear an tairseach maidir le nochtadh. Ba cheart na caillteanais agus na coigeartuithe a nochtadh de réir na bhforálacha faoi Airteagal 317(3)(c) agus Airteagal 318 </w:t>
      </w:r>
      <w:r>
        <w:rPr>
          <w:rFonts w:ascii="Times New Roman" w:hAnsi="Times New Roman"/>
          <w:sz w:val="24"/>
        </w:rPr>
        <w:lastRenderedPageBreak/>
        <w:t>de Rialachán (AE) Uimh. 575/2013. Nochtfar na méideanna sin sa bhliain inar taifeadadh iad i ráitis airgeadais.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San insint tionlacain, nochtfaidh institiúidí, ar bhealach comhiomlán, na réasúnaithe le haghaidh eisiamh na dteagmhas rioscaí oibriúcháin eisceachtúla ó ríomh na gcaillteanas rioscaí oibriúcháin bliantúil, i gcomhréir le hAirteagal 446 (2), pointe (b), de Rialachán (AE) 575/2013. </w:t>
      </w:r>
    </w:p>
    <w:p w14:paraId="066C0912" w14:textId="77777777" w:rsidR="00D740B8" w:rsidRPr="008D71E9" w:rsidRDefault="00D740B8" w:rsidP="00D740B8">
      <w:pPr>
        <w:pStyle w:val="ListParagraph"/>
        <w:rPr>
          <w:rFonts w:ascii="Times New Roman" w:hAnsi="Times New Roman"/>
          <w:bCs/>
          <w:sz w:val="24"/>
        </w:rPr>
      </w:pPr>
    </w:p>
    <w:p w14:paraId="79A49BBA" w14:textId="18B47A9D"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Nochtfaidh institiúidí freisin, ar bhealach comhiomlán, aon fhaisnéis ábhartha a d’fhéadfadh cabhrú le húsáideoirí caillteanais stairiúla, aisghabhálacha agus cúlchistí dlíthiúla 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institiúidí a thuiscint, cé is moite d’fhaisnéis rúnda agus dílseánaigh.</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Colún</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Tagairtí dlíthiúla agus treoracha</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go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Bliain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An luach a léirítear leis an ró comhfhreagrach, le haghaidh na 10 mbliana airgeadais dheireanacha.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Meán 10 mbliana</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Meán na luachanna a léirítear leis an ró comhfhreagrach thar an 10 mbliana airgeadais dheireanacha.</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Ró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Tagairtí dlíthiúla agus treoracha</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Méid iomlán na gcaillteanas rioscaí oibriúcháin glan ar aisghabhálacha (gan aon eisiamh)</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Airteagal 446(2), pointe (a), agus Airteagail 316(1) de Rialachán (AE) 575/2013.</w:t>
            </w:r>
          </w:p>
          <w:p w14:paraId="5D929629" w14:textId="05826309"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Nochtfar sa ró méid iomlán na gcaillteanas glan ar aisghabhálacha a eascraíonn as teagmhais chaillteanais os cionn thairseach an teagmhais caillteanais, ar fiú €20,000 í, le haghaidh gach ceann de na 10 dtréimhse tuairiscithe dheireanacha,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áirítear caillteanais ó chumaisc agus ó éadálacha. Maidir le caillteanais arb é comhtheagmhas rioscaí oibriúcháin nó roinnt teagmhas atá nasctha leis an teagmhas rioscaí oibriúcháin céanna is cúis leo, caillteanais a aithnítear i mblianta cuntasaíochta éagsúla, déanfar na caillteanais sin a shuimiú le haghaidh na 10 mbliana dheireanacha chun a chinneadh cé acu a sháraítear nó nach sáraítear an tairseach maidir le nochtadh. Maidir le teagmhais rioscaí oibriúcháin eisceachtúla na bliana nach bhfuil ábhartha a thuilleadh do phróifíl riosca na hinstitiúide ar ina leith a bhfuair an institiúid cead ón Údarás Inniúil iad a eisiamh ó chaillteanais rioscaí oibriúcháin bhliantúla na hinstitiúide, i gcomhréir le hAirteagal 320(1) de Rialachán (AE) 575/2013, cuirfear san áireamh fós iad i ríomh na hítime le haghaidh an ró seo.</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Líon iomlán na gcaillteanas rioscaí oibriúcháin</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lastRenderedPageBreak/>
              <w:t>Airteagal 446(2), pointe (a), agus Airteagail 316(1) de Rialachán (AE)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Líon iomlán na gcaillteanas rioscaí oibriúcháin os cionn thairseach an teagmhais caillteanais ar fiú €20,000 í.</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Líon iomlán na gcaillteanas rioscaí oibriúcháin eisiata</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Airteagal 446(2), pointe (b), agus Airteagal 320(1) de Rialachán (AE)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Méideanna an ghlanchaillteanais iomláin os cionn na tairsí caillteanais, ar fiú €20,000 í, ar méideanna iad a eisiadh i gcomhréir le hAirteagal 320(1) de Rialachán (AE) 575/2013, le haghaidh gach ceann de na 10 dtréimhse tuairiscithe is déanaí.</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Líon iomlán na dteagmhas rioscaí oibriúcháin eisiata</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Airteagal 446(2), pointe (b), agus Airteagal 320(1) de Rialachán (AE)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Líon iomlán na dteagmhas rioscaí oibriúcháin eisceachtúla os cionn tairseach teagmhais caillteanais, ar fiú €20,000 í, ar teagmhais iad a eisiadh i gcomhréir le hAirteagal 320(1) de Rialachán (AE) 575/2013, le haghaidh gach ceann de na 10 dtréimhse tuairiscithe is déanaí.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Méid iomlán na gcaillteanas rioscaí oibriúcháin glan ar aisghabhálacha agus glan ar chaillteanais eisiata</w:t>
            </w:r>
          </w:p>
          <w:p w14:paraId="4203582A" w14:textId="79F27780"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Méid iomlán na gcaillteanas rioscaí oibriúcháin lúide méid 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aisghabhálacha a nochtar i ró 1, agus lúide na caillteanais eisiata a nochtar i ró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Méid iomlán na gcaillteanas rioscaí oibriúcháin glan ar aisghabhálacha (gan aon eisiamh)</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Airteagal 446(2), pointe (a), agus Airteagail 316(1) de Rialachán (AE) 575/2013.</w:t>
            </w:r>
          </w:p>
          <w:p w14:paraId="7F1E94AA" w14:textId="74B82F26"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Méid iomlán na gcaillteanas rioscaí oibriúcháin, lúide méid 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aisghabhálacha, a eascraíonn as teagmhais chaillteanais os cionn tairseach teagmhais caillteanais ar fiú €100,000 í le haghaidh gach ceann de na 10 dtréimhse tuairiscithe dheireanacha,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caillteanais ó chumaisc agus ó éadálacha. Maidir le caillteanais arb é comhtheagmhas rioscaí oibriúcháin nó roinnt teagmhas atá nasctha leis an teagmhas rioscaí oibriúcháin céanna is cúis leo, caillteanais a aithnítear i mblianta cuntasaíochta éagsúla, déanfar na caillteanais sin a shuimiú le haghaidh na 10 mbliana dheireanacha chun a chinneadh cé acu a sháraítear nó nach sáraítear an tairseach maidir le nochtadh. Maidir le teagmhais rioscaí oibriúcháin eisceachtúla na bliana nach bhfuil ábhartha a thuilleadh do phróifíl riosca na hinstitiúide ar ina leith a bhfuair an institiúid cead ón Údarás Inniúil iad a eisiamh ó chaillteanais rioscaí oibriúcháin bhliantúla na hinstitiúide, i gcomhréir le hAirteagal 320(1) de Rialachán (AE) 575/2013, cuirfear san áireamh fós iad i ríomh na hítime le haghaidh an ró seo.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Líon iomlán na gcaillteanas rioscaí oibriúcháin</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lastRenderedPageBreak/>
              <w:t>Airteagal 446(2), pointe (a), agus Airteagail 316(1) de Rialachán (AE)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Líon iomlán na gcaillteanas rioscaí oibriúcháin os cionn thairseach an teagmhais caillteanais ar fiú €100,000 í.</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Líon iomlán na gcaillteanas rioscaí oibriúcháin eisiata</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Airteagal 446(2), pointe (b), agus Airteagal 320(1) de Rialachán (AE)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Méideanna an ghlanchaillteanais iomláin os cionn tairseach teagmhais caillteanais ar fiú €100,000 í, ar méideanna iad a eisiadh i gcomhréir le hAirteagal 320(1) de Rialachán (AE) 575/2013, le haghaidh gach ceann de na 10 dtréimhse tuairiscithe is déanaí.</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Líon iomlán na dteagmhas rioscaí oibriúcháin eisiata</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Airteagal 446(2), pointe (b), agus Airteagal 320(1) de Rialachán (AE)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Líon iomlán na dteagmhas rioscaí oibriúcháin eisceachtúla os cionn tairseach teagmhais caillteanais, ar fiú €100,000 í, ar teagmhais iad a eisiadh i gcomhréir le hAirteagal 320(1) de Rialachán (AE) 575/2013, le haghaidh gach ceann de na 10 dtréimhse tuairiscithe is déanaí.</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Méid iomlán na gcaillteanas rioscaí oibriúcháin glan ar aisghabhálacha agus glan ar chaillteanais eisiata</w:t>
            </w:r>
          </w:p>
          <w:p w14:paraId="65622881" w14:textId="63524069"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Nochtfar sa ró méid iomlán na gcaillteanas rioscaí oibriúcháin lúide méid 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aisghabhálacha a nochtar i ró 6, agus lúide méid na gcaillteanas eisiata a nochtar i ró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Neamhbhainteach.</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Neamhbhainteach.</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Neamhbhainteach.</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Teimpléad EU OR2 – Táscaire Gnó, comhpháirteanna agus fo-chomhpháirteanna. </w:t>
      </w:r>
      <w:r>
        <w:rPr>
          <w:rFonts w:ascii="Times New Roman" w:hAnsi="Times New Roman"/>
          <w:sz w:val="24"/>
        </w:rPr>
        <w:t>Teimpléad seasta</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Nochtfaidh institiúidí an fhaisnéis a áirítear i dteimpléad EU OR2 agus Airteagal 446(1), pointí (c) agus (d), de Rialachán (AE) 575/2013 á chur i bhfeidhm. Soláthraítear faisnéis sa teimpléad seo maidir le ríomh Chomhpháirt an Táscaire Gnó, i gcomhréir le hAirteagal 313 de Rialachán (AE) Uimh. 575/2013, agus maidir le ríomh an Táscaire Gnó, a chomhpháirteanna agus a fho-chomhpháirteanna, i gcomhréir le hAirteagal 314 de Rialachán (AE) Uimh. 575/2013. Ina theannta sin, soláthraítear faisnéis sa teimpléad seo freisin maidir leis na méideanna a eisiatar ón táscaire gnó a bhaineann le heintitis dhiúscartha nó gníomhaíochtaí diúscartha, i gcomhréir le hAirteagal 315(2).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Nochtfaidh institiúidí an fhaisnéis le haghaidh na 3 bliana airgeadais dheireanacha maidir le méid an liosta ábhartha ítimí is gá chun fo-chomhpháirteanna an Táscaire Gnó a ríomh </w:t>
      </w:r>
      <w:r>
        <w:rPr>
          <w:rFonts w:ascii="Times New Roman" w:hAnsi="Times New Roman"/>
          <w:sz w:val="24"/>
        </w:rPr>
        <w:lastRenderedPageBreak/>
        <w:t>ar fo-chomhpháirteanna iad a rannchuidíonn le ríomh na gceanglas cistí dílse le haghaidh Riosca Oibriúcháin.</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I gcomhréir le hAirteagal 314(8) de Rialachán (AE) Uimh. 575/2013, i gcás nach bhfuil sonraí stairiúla ar fáil, tuairisceoidh institiúidí na meastacháin ghnó réamhbhreathnaitheacha.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I gcás ina bhfuil sonraí a bhaineann le níos lú ná 3 bliana ar fáil ag institiúidí, ar sonraí iad a bhaineann leis na hítimí mionsonraithe a bhíonn i gcomhpháirteanna an Táscaire Gnó, sannfar na sonraí stairiúla atá ar fáil de réir tosaíochta do na colúin chomhfhreagracha sa teimpléad. I gcás nach bhfuil ach sonraí stairiúla a bhaineann le comhpháirteanna an Táscaire Gnó ar fáil ag institiúidí le haghaidh faisnéis bliana amháin, tuairisceofar na sonraí sin sa cholún a chomhfhreagraíonn don bhliain is déanaí (e.g. ‘an bhliain seo caite’). I gcás ina ndealraíonn sé a bheith réasúnach, áireofar na meastacháin réamhbhreathnaitheacha i mBliain -1 agus i mBliain -2 faoi seach go dtí go mbeidh na sonraí sin ar fáil.</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Ní áireoidh institiúidí sna fo-ítimí atá ina gcuid de ríomh na Comhpháirte úis, léasanna agus díbhinne aon fhigiúr a bhaineann leis na fo-institiúidí sonracha sin a ndéanfar a comhpháirt úis, léasanna agus díbhinne a ríomh ar leithligh i gcomhréir le hAirteagal 314(3) de Rialachán (AE) Uimh.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Ní áireoidh institiúidí sna fo-ítimí atá ina gcuid de ríomh na Comhpháirte úis, léasanna agus díbhinne aon fhigiúr ó línte gnó baincéireachta miondíola agus/nó baincéireachta tráchtála sna cásanna sin ina bhfuil cead faighte ag an institiúid Airteagal 314(4) de Rialachán (AE) Uimh. 575/2013 a chur i bhfeidhm.</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2B8EE7CB"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Mar sin féin, tuairisceoidh institiúidí i ró 1 méid iomlán na comhpháirte úis, léasanna agus díbhinne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na méideanna arna ríomh i gcomhréir le hAirteagal 314(3) de Rialachán (AE) Uimh. 575/2013. I ró EU 1, tuairiscítear an chomhpháirt úis, léasanna agus díbhinne freisin, cé is moite d’eintitis a bhreithnítear le hAirteagal 314(3).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San insint tionlacain, i gcomhréir le hAirteagal 446(1) de Rialachán (AE) Uimh. 575/2013, nochtfaidh institiúidí na réasúnaithe le haghaidh gach eisiaimh ón táscaire gnó cé is moite d’eisiamh na línte gnó miondíola agus tráchtála a bhreithnítear faoi Airteagal 314(4).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I bhfianaise an dlúthnaisc idir ceanglais maidir le nochtadh rioscaí oibriúcháin agus ráitis airgeadais na hinstitiúide, léiríodh sna treoracha tagairtí do cheanglais tuairiscithe a léirítear in Iarscríbhinn V a ghabhann le Rialachán Cur Chun Feidhme (AE) 2021/451 (FINREP).</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Colún</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Tagairtí dlíthiúla agus treoracha</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Luach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Airteagal 446(1), pointe (d), agus Airteagal 314(1) de Rialachán (AE) Uimh.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6F87C250" w:rsidR="00EA10B1" w:rsidRPr="008D71E9" w:rsidRDefault="002F3CFA">
            <w:pPr>
              <w:pStyle w:val="paragraph"/>
              <w:spacing w:before="0" w:beforeAutospacing="0" w:after="0" w:afterAutospacing="0"/>
              <w:textAlignment w:val="baseline"/>
            </w:pPr>
            <w:r>
              <w:t>An luach le haghaidh liosta na</w:t>
            </w:r>
            <w:r w:rsidR="00F21077">
              <w:t xml:space="preserve"> n</w:t>
            </w:r>
            <w:r w:rsidR="00F21077">
              <w:noBreakHyphen/>
            </w:r>
            <w:r>
              <w:t xml:space="preserve">ítimí atá mar chuid de ríomh an Táscaire Gnó agus a chomhpháirteanna (ríomh na Comhpháirte úis, léasanna agus díbhinne, na Comhpháirte Seirbhíse agus na Comhpháirte Airgeadais) i </w:t>
            </w:r>
            <w:r>
              <w:lastRenderedPageBreak/>
              <w:t xml:space="preserve">gcomhréir leis na caighdeáin chuntasaíochta is infheidhme maidir le gach ceann de na 3 bliana airgeadais dheireanacha.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Tuairisceofar méideanna tar éis chur i bhfeidhm na gcoigeartuithe a bhaineann le cumaisc/éadálacha agus gníomhaíochtaí dífheistithe.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Maidir leis an gComhpháirt Airgeadais, léireoidh na luachanna atá le nochtadh na luachanna cuntasaíochta arna gcinneadh trí úsáid a bhaint as an teorainn chuntasaíochta nó an teorainn stuamachta chun ítimí an leabhair trádála agus an leabhair baincéireachta a shainaithint le haghaidh gach ceann de na 3 bliana airgeadais dheireanacha i gcomhréir le hAirteagal 314(6) de Rialachán (AE) Uimh.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Meánluachanna</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Airteagail 314(2), (5) agus (6) de Rialachán (AE) Uimh.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30AFF2DD" w:rsidR="00D740B8" w:rsidRPr="008D71E9" w:rsidRDefault="00D740B8">
            <w:pPr>
              <w:pStyle w:val="paragraph"/>
              <w:spacing w:before="0" w:beforeAutospacing="0" w:after="0" w:afterAutospacing="0"/>
              <w:textAlignment w:val="baseline"/>
              <w:rPr>
                <w:rStyle w:val="normaltextrun"/>
              </w:rPr>
            </w:pPr>
            <w:r>
              <w:rPr>
                <w:rStyle w:val="normaltextrun"/>
              </w:rPr>
              <w:t>Luachanna ríofa na Comhpháirte úis, léasanna agus díbhinne, na Comhpháirte Seirbhíse agus na Comhpháirte Airgeadais agus meánluach a bhfo-chomhpháirteanna gaolmhara arna ríomh le 3 bliana airgeadais anuas, lena</w:t>
            </w:r>
            <w:r w:rsidR="00F21077">
              <w:rPr>
                <w:rStyle w:val="normaltextrun"/>
              </w:rPr>
              <w:t xml:space="preserve"> n</w:t>
            </w:r>
            <w:r w:rsidR="00F21077">
              <w:rPr>
                <w:rStyle w:val="normaltextrun"/>
              </w:rPr>
              <w:noBreakHyphen/>
            </w:r>
            <w:r>
              <w:rPr>
                <w:rStyle w:val="normaltextrun"/>
              </w:rPr>
              <w:t xml:space="preserve">áirítear bliain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Ríomhtar an meánluach trí na luachanna cuntasaíochta le haghaidh gach ceann de na 3 bliana dheireanacha a chur san áireamh.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Ró</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Tagairtí dlíthiúla agus treoracha</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An chomhpháirt úis, léasanna agus díbhinne </w:t>
            </w:r>
          </w:p>
          <w:p w14:paraId="78381763" w14:textId="7BD3D240"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Ríomhtar an Chomhpháirt úis, léasanna agus díbhinne i gcomhréir le hAirteagal 314(2) de Rialachán (AE) Uimh. 575/2013,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áirítear, i gcás inarb infheidhme, na méideanna arna ríomh i gcomhréir le hAirteagal 314(3) de Rialachán (AE) Uimh. 575/2013. I gcás ina bhfuil institiúid faoi réir an mhaolaithe dá dtagraítear in Airteagal 314(4) de Rialachán (AE) Uimh. 575/2013, ní chuirfidh an institiúid aon fhigiúr ó línte gnó baincéireachta miondíola agus baincéireachta tráchtála san áireamh.</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An Chomhpháirt úis, léasanna agus díbhinne a bhaineann leis an institiúid aonair/leis an nGrúpa comhdhlúite (gan eintitis arna mbreithniú faoi Airteagal 314(3) a áireamh)</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An Chomhpháirt úis, léasanna agus díbhinne arna ríomh i gcomhréir le hAirteagal 314(2) de Rialachán (AE) Uimh. 575/2013, gan aon fhigiúr a áireamh atá mar chuid de ríomh na Comhpháirte úis, léasanna agus díbhinne sna cásanna sin ina gcuireann an institiúid an maolú i bhfeidhm i gcomhréir le hAirteagal 314(3) de Rialachán (AE) Uimh.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Ioncam ó ús agus léasanna</w:t>
            </w:r>
          </w:p>
          <w:p w14:paraId="742C7468" w14:textId="14EEDE23" w:rsidR="00D740B8" w:rsidRPr="008D71E9" w:rsidRDefault="00D740B8">
            <w:pPr>
              <w:rPr>
                <w:rFonts w:ascii="Times New Roman" w:eastAsia="Times New Roman" w:hAnsi="Times New Roman" w:cs="Times New Roman"/>
                <w:sz w:val="24"/>
              </w:rPr>
            </w:pPr>
            <w:r>
              <w:rPr>
                <w:rFonts w:ascii="Times New Roman" w:hAnsi="Times New Roman"/>
                <w:sz w:val="24"/>
              </w:rPr>
              <w:t xml:space="preserve">Suim an ioncaim úis ó na sócmhainní airgeadais uile, ioncaim eile ó shócmhainní léasa agus brabús ó shócmhainní léasa, i gcomhréir le hIarscríbhinn V a ghabhann le Rialachán Cur Chun Feidhme (AE) 2021/451 </w:t>
            </w:r>
            <w:r>
              <w:rPr>
                <w:rFonts w:ascii="Times New Roman" w:hAnsi="Times New Roman"/>
                <w:sz w:val="24"/>
              </w:rPr>
              <w:lastRenderedPageBreak/>
              <w:t>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i gcás inarb infheidhme, na méideanna arna ríomh i gcomhréir le hAirteagal 314(3) de Rialachán (AE) Uimh. 575/2013.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Costais ó ús agus léasanna</w:t>
            </w:r>
          </w:p>
          <w:p w14:paraId="0FA351B6" w14:textId="0644FDFC" w:rsidR="00D740B8" w:rsidRPr="008D71E9" w:rsidRDefault="00D740B8">
            <w:pPr>
              <w:rPr>
                <w:rFonts w:ascii="Times New Roman" w:eastAsia="Times New Roman" w:hAnsi="Times New Roman" w:cs="Times New Roman"/>
                <w:sz w:val="24"/>
              </w:rPr>
            </w:pPr>
            <w:r>
              <w:rPr>
                <w:rFonts w:ascii="Times New Roman" w:hAnsi="Times New Roman"/>
                <w:sz w:val="24"/>
              </w:rPr>
              <w:t>Suim na speansas úis ó na dliteanais airgeadais uile agus speansas eile, is é sin speansais ó shócmhainní léasa, ó chaillteanais, ó dhímheas agus ó lagú sócmhainní léasa, i gcomhréir le hIarscríbhinn V a ghabhann le Rialachán Cur Chun Feidhme (AE) 2021/451 ón gCoimisiún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i gcás inarb infheidhme, na méideanna arna ríomh i gcomhréir le hAirteagal 314(3) de Rialachán (AE) Uimh. 575/2013.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Sócmhainní iomlána/Comhpháirt sócmhainní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Faoi cholún (d), an chomhpháirt sócmhainní arna ríomh i gcomhréir le hAirteagal 314(2) de Rialachán (AE) Uimh. 575/2013. </w:t>
            </w:r>
          </w:p>
          <w:p w14:paraId="65FF56C9" w14:textId="419FE4D8" w:rsidR="004E3E86" w:rsidRPr="008D71E9" w:rsidRDefault="003E3201" w:rsidP="00373F9D">
            <w:pPr>
              <w:rPr>
                <w:rFonts w:ascii="Times New Roman" w:hAnsi="Times New Roman"/>
                <w:sz w:val="24"/>
              </w:rPr>
            </w:pPr>
            <w:r>
              <w:rPr>
                <w:rFonts w:ascii="Times New Roman" w:hAnsi="Times New Roman"/>
                <w:sz w:val="24"/>
              </w:rPr>
              <w:t>Faoi na colúin eile, comhfhreagróidh na sócmhainní iomlána d’oll-luach de réir na leabhar 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iarmhéideanna airgid i mbainc cheannais agus taiscí prapéilimh eile, urrúis fiachais, iasachtaí agus airleacain chomh maith le luach de réir na leabhar na ndíorthach (fáluithe trádála agus eacnamaíocha agus cuntasaíocht fálaithe) agus sócmhainní atá faoi réir léasanna (sócmhainní inláimhsithe agus doláimhsithe). Tagróidh na hítimí sin d’Iarscríbhinn V a ghabhann le Rialachán Cur Chun Feidhme (AE) 2021/451 ón gCoimisiún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i gcás inarb infheidhme, na méideanna arna ríomh i gcomhréir le hAirteagal 314(3) de Rialachán (AE) Uimh. 575/2013.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Ioncam díbhinne/Comhpháirt díbhinne</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Faoi cholún (d), an chomhpháirt díbhinne arna ríomh i gcomhréir le hAirteagal 314(2) de Rialachán (AE) Uimh. 575/2013. </w:t>
            </w:r>
          </w:p>
          <w:p w14:paraId="3F4B342E" w14:textId="5BD70559" w:rsidR="004E3E86" w:rsidRPr="008D71E9" w:rsidRDefault="004E3E86" w:rsidP="004E3E86">
            <w:pPr>
              <w:rPr>
                <w:rFonts w:ascii="Times New Roman" w:hAnsi="Times New Roman"/>
                <w:sz w:val="24"/>
              </w:rPr>
            </w:pPr>
            <w:r>
              <w:rPr>
                <w:rFonts w:ascii="Times New Roman" w:hAnsi="Times New Roman"/>
                <w:sz w:val="24"/>
              </w:rPr>
              <w:t>Tuairisceoidh institiúidí ioncam díbhinne i gcomhréir le hIarscríbhinn V a ghabhann le Rialachán Cur Chun Feidhme (AE) 2021/451 ón gCoimisiún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i gcás inarb infheidhme, na méideanna arna ríomh i gcomhréir le hAirteagal 314(3) de Rialachán (AE) Uimh. 575/2013.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An Chomhpháirt Seirbhíse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An Chomhpháirt Seirbhíse, arna ríomh i gcomhréir le hAirteagal 314(5) de Rialachán (AE) Uimh. 575/2013. I gcás ina bhfuil institiúid faoi réir an mhaolaithe dá dtagraítear in Airteagal 314(4) de Rialachán (AE) Uimh. 575/2013, ní chuirfidh an institiúid aon fhigiúr ó línte gnó baincéireachta miondíola agus baincéireachta tráchtála san áireamh.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Ioncam ó tháillí agus ó choimisiún</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Ioncam ó tháillí agus ó choimisiún, dá dtagraítear in Iarscríbhinn V a ghabhann le Rialachán Cur Chun Feidhme (AE) 2021/451 ón gCoimisiún agus arna ríomh i gcomhréir le hAirteagal 314(5) de Rialachán (AE) Uimh.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Speansas táillí agus coimisiúin</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Speansas táillí agus coimisiúin, dá dtagraítear in Iarscríbhinn V a ghabhann le Rialachán Cur Chun Feidhme (AE) 2021/451 ón gCoimisiún agus arna ríomh i gcomhréir le hAirteagal 314(5) de Rialachán (AE) Uimh.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Ioncam oibriúcháin eile</w:t>
            </w:r>
          </w:p>
          <w:p w14:paraId="035A399D" w14:textId="0C893993"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Ioncam oibriúcháin eile,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áirítear an méid seo a leanas: gnóthachain ó shócmhainní neamhreatha agus ó ghrúpaí diúscartha a aicmítear mar gnóthachain atá á sealbhú lena ndíol nach gcáilíonn mar oibríochtaí scortha (i gcás caillteanas, caithfear leis na luachanna mar nialas) agus ioncam oibriúcháin eile dá dtagraítear in Iarscríbhinn V a ghabhann le Rialachán Cur Chun Feidhme (AE) 2021/451 ón gCoimisiún, ach gan an</w:t>
            </w:r>
            <w:r w:rsidR="00F21077">
              <w:rPr>
                <w:rFonts w:ascii="Times New Roman" w:hAnsi="Times New Roman"/>
                <w:sz w:val="24"/>
              </w:rPr>
              <w:t xml:space="preserve"> t</w:t>
            </w:r>
            <w:r w:rsidR="00F21077">
              <w:rPr>
                <w:rFonts w:ascii="Times New Roman" w:hAnsi="Times New Roman"/>
                <w:sz w:val="24"/>
              </w:rPr>
              <w:noBreakHyphen/>
            </w:r>
            <w:r>
              <w:rPr>
                <w:rFonts w:ascii="Times New Roman" w:hAnsi="Times New Roman"/>
                <w:sz w:val="24"/>
              </w:rPr>
              <w:t xml:space="preserve">ioncam ó léasanna oibriúcháin ná aon ítim a chinntear faoi Airteagal 314(7) de Rialachán (AE) 2021/451 a áireamh.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Ríomhfar méid an ró seo i gcomhréir le hAirteagal 314(5) de Rialachán (AE) Uimh.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Speansas oibriúcháin eile</w:t>
            </w:r>
          </w:p>
          <w:p w14:paraId="4E633503" w14:textId="3845B900"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Speansas oibriúcháin eile, lena</w:t>
            </w:r>
            <w:r w:rsidR="00F21077">
              <w:rPr>
                <w:rFonts w:ascii="Times New Roman" w:hAnsi="Times New Roman"/>
                <w:sz w:val="24"/>
              </w:rPr>
              <w:t xml:space="preserve"> n</w:t>
            </w:r>
            <w:r w:rsidR="00F21077">
              <w:rPr>
                <w:rFonts w:ascii="Times New Roman" w:hAnsi="Times New Roman"/>
                <w:sz w:val="24"/>
              </w:rPr>
              <w:noBreakHyphen/>
            </w:r>
            <w:r>
              <w:rPr>
                <w:rFonts w:ascii="Times New Roman" w:hAnsi="Times New Roman"/>
                <w:sz w:val="24"/>
              </w:rPr>
              <w:t xml:space="preserve">áirítear an méid seo a leanas:  caillteanais ó shócmhainní neamhreatha agus ó ghrúpaí diúscartha a aicmítear mar chaillteanais atá á sealbhú lena ndíol nach gcáilíonn mar oibríochtaí scortha (i gcás gnóthachan, caithfear leis an luach mar nialas); gach caillteanas, speansas, foráil agus tionchar airgeadais eile a bhaineann le teagmhais rioscaí oibriúcháin agus speansais oibriúcháin eile dá dtagraítear in Iarscríbhinn V a ghabhann le Rialachán Cur Chun Feidhme (AE) 2021/451 ón gCoimisiún, cé is moite de na hítimí sin a nochtadh cheana féin i gcodanna eile den teimpléad seo, go háirithe gan aon speansas ar léasanna oibriúcháin a áireamh agus gan ítimí arna gcinneadh faoi Airteagal 314(7) de Rialachán (AE) Uimh. 575/2013 a áireamh.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Ríomhfar méid an ró seo i gcomhréir le hAirteagal 314(5) de Rialachán (AE) Uimh.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An Chomhpháirt Airgeadais</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An Chomhpháirt Airgeadais, arna ríomh i gcomhréir le hAirteagal 314(6) de Rialachán (AE) Uimh. 575/2013. </w:t>
            </w:r>
            <w:r>
              <w:rPr>
                <w:rFonts w:ascii="Times New Roman" w:hAnsi="Times New Roman"/>
                <w:sz w:val="24"/>
              </w:rPr>
              <w:t>I gcás ina bhfuil institiúid faoi réir an mhaolaithe dá dtagraítear in Airteagal 314(4) de Rialachán (AE) Uimh. 575/2013, ní chuirfidh an institiúid aon fhigiúr ó línte gnó baincéireachta miondíola agus baincéireachta tráchtála san áireamh.</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Glanbhrabús nó glanchaillteanas is infheidhme maidir leis an leabhar trádála</w:t>
            </w:r>
          </w:p>
          <w:p w14:paraId="4E177CA3" w14:textId="04D75180"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An glanbhrabús nó an glanchaillteanas is infheidhme maidir leis an leabhar trádála, arna ríomh ar bhonn na</w:t>
            </w:r>
            <w:r w:rsidR="00F21077">
              <w:rPr>
                <w:rStyle w:val="InstructionsTabelleberschrift"/>
                <w:rFonts w:ascii="Times New Roman" w:hAnsi="Times New Roman"/>
                <w:b w:val="0"/>
                <w:sz w:val="24"/>
                <w:u w:val="none"/>
              </w:rPr>
              <w:t xml:space="preserve"> n</w:t>
            </w:r>
            <w:r w:rsidR="00F21077">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ítimí a áirítear i dTeimpléad F 02.00 ‘Ráiteas brabúis nó caillteanais’ d’Iarscríbhinn IV a ghabhann le Rialachán Cur Chun Feidhme (AE) 2021/451 ón gCoimisiún.</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Léireoidh na luachanna atá le nochtadh na luachanna cuntasaíochta arna gcinneadh trí úsáid a bhaint as an teorainn chuntasaíochta nó an teorainn stuamachta chun ítimí an leabhair trádála agus an leabhair baincéireachta a shainaithint le haghaidh gach ceann de na 3 bliana airgeadais dheireanacha i gcomhréir le hAirteagal 314(6) de Rialachán (AE) Uimh. 575/2013.</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Glanbhrabús nó glanchaillteanas is infheidhme maidir leis an leabhar baincéireachta</w:t>
            </w:r>
          </w:p>
          <w:p w14:paraId="16F13570" w14:textId="6256920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lastRenderedPageBreak/>
              <w:t>An glanbhrabús nó an glanchaillteanas is infheidhme maidir leis an leabhar baincéireachta, arna ríomh ar bhonn na</w:t>
            </w:r>
            <w:r w:rsidR="00F21077">
              <w:rPr>
                <w:rStyle w:val="InstructionsTabelleberschrift"/>
                <w:rFonts w:ascii="Times New Roman" w:hAnsi="Times New Roman"/>
                <w:b w:val="0"/>
                <w:sz w:val="24"/>
                <w:u w:val="none"/>
              </w:rPr>
              <w:t xml:space="preserve"> n</w:t>
            </w:r>
            <w:r w:rsidR="00F21077">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ítimí a áirítear i dTeimpléad F 02.00 ‘Ráiteas brabúis nó caillteanais’ d’Iarscríbhinn IV a ghabhann le Rialachán Cur Chun Feidhme (AE) 2021/451 ón gCoimisiún.</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Léireoidh na luachanna atá le nochtadh na luachanna cuntasaíochta arna gcinneadh trí úsáid a bhaint as an teorainn chuntasaíochta nó an teorainn stuamachta chun ítimí an leabhair trádála agus an leabhair baincéireachta a shainaithint le haghaidh gach ceann de na 3 bliana airgeadais dheireanacha i gcomhréir le hAirteagal 314(6) de Rialachán (AE) Uimh.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An cur chuige a leanadh chun teorainn an leabhair trádála/baincéireachta a chinneadh (cur chuige na teorann stuamachta nó an cur chuige cuntasaíochta)</w:t>
            </w:r>
          </w:p>
          <w:p w14:paraId="00A81A34" w14:textId="49FED6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An cur chuige a leanadh ar an dáta tagartha chun an Chomhpháirt Airgeadais a chinneadh: an</w:t>
            </w:r>
            <w:r w:rsidR="00F21077">
              <w:rPr>
                <w:rStyle w:val="InstructionsTabelleberschrift"/>
                <w:rFonts w:ascii="Times New Roman" w:hAnsi="Times New Roman"/>
                <w:b w:val="0"/>
                <w:sz w:val="24"/>
                <w:u w:val="none"/>
              </w:rPr>
              <w:t xml:space="preserve"> t</w:t>
            </w:r>
            <w:r w:rsidR="00F21077">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aicmiú cuntasaíochta nó stuamachta. Úsáidfear an cur chuige go comhsheasmhach le haghaidh na méideanna arna nochtadh do gach ceann de na 3 bliana airgeadais dheireanacha.</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Táscaire Gnó</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An Táscaire Gnó, arna ríomh i gcomhréir le hAirteagal 314(1) de Rialachán (AE) Uimh. 575/2013, arb é atá ann suim na dtrí chomhpháirt:</w:t>
            </w:r>
            <w:r>
              <w:rPr>
                <w:rStyle w:val="InstructionsTabelleberschrift"/>
                <w:rFonts w:ascii="Times New Roman" w:hAnsi="Times New Roman"/>
                <w:b w:val="0"/>
                <w:sz w:val="24"/>
                <w:u w:val="none"/>
              </w:rPr>
              <w:t xml:space="preserve"> An Chomhpháirt úis, léasanna agus díbhinne, an Chomhpháirt Seirbhíse agus an Chomhpháirt Airgeadais.</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Comhpháirt an Táscaire Gnó</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 xml:space="preserve">Comhpháirt an Táscaire Gnó, arna ríomh i gcomhréir le hAirteagal 313 de Rialachán (AE) Uimh.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An Táscaire Gnó agus gníomhaíochtaí dífheistithe eisiata á gcur san áireamh</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Méid an Táscaire Gnó agus gníomhaíochtaí dífheistithe eisiata á gcur san áireamh, i gcomhréir le hAirteagal 315(2) de Rialachán (AE) Uimh. 575/2013.</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Laghdú ar an Táscaire Gnó mar gheall ar ghníomhaíochtaí dífheistithe eisiata</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An difríocht idir an Táscaire Gnó agus gníomhaíochtaí dífheistithe eisiata á gcur san áireamh (ró 6a) agus an Táscaire Gnó iomlán (ró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Tionchar ar an Táscaire Gnó mar gheall ar chumaisc/éadálacha</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An méid a áirítear sa Táscaire Gnó a chomhfhreagraíonn do chomhpháirteanna an Táscaire Gnó atá ann mar gheall ar eintitis nó gníomhaíochtaí cumaiscthe nó faighte, arna ríomh de réir mar a thagraítear in Airteagal 315(1), de Rialachán (AE) Uimh.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Teimpléad EU OR3 – Ceanglais cistí dílse le haghaidh riosca oibriúcháin agus méideanna neamhchosanta riosca. </w:t>
      </w:r>
      <w:r>
        <w:rPr>
          <w:rFonts w:ascii="Times New Roman" w:hAnsi="Times New Roman"/>
          <w:sz w:val="24"/>
        </w:rPr>
        <w:t>Teimpléad seasta</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lastRenderedPageBreak/>
        <w:t xml:space="preserve">Nochtfaidh institiúidí an fhaisnéis a áirítear i dteimpléad EU OR3 agus Airteagal 446(1), pointe (b), de Rialachán (AE) 575/2013 á chur i bhfeidhm. Soláthraítear faisnéis sa teimpléad seo maidir le ríomh na gceanglas cistí dílse le haghaidh rioscaí oibriúcháin i gcomhréir le hAirteagail 312 go 315 de Rialachán (AE) Uimh.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Ró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Míniú</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Comhpháirt an Táscaire Gnó</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Cuirfear i láthair sa ró seo Comhpháirt an Táscaire Gnó, a ríomhfar i gcomhréir le hAirteagal 313 de Rialachán (AE) Uimh.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Ceanglais Cistí Dílse faoin gCur Chuige Caighdeánaithe Malartach faoi Airteagal 314(4)</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Áireofar sa ró seo na ceanglais cistí dílse le haghaidh na línte gnó a bhreithnítear faoi Airteagal 314(4), i gcás inarb infheidhme, go dtí an 31 Nollaig 2027 nó go dtí go ndeonóidh an maoirseoir comhdhlúthaithe cead i gcomhréir le hAirteagal 314(3), cibé acu is luaithe.</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 xml:space="preserve">Neamhbhainteach.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Íoscheanglais Cistí Dílse le haghaidh Riosca Oibriúcháin Riachtanach</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Ríomhfar na Ceanglais Cistí Dílse i gcomhréir le hAirteagal 312 de Rialachán (AE) Uimh. 575/2013. Cuirfear i láthair sa ró seo na Ceanglais Cistí Dílse le haghaidh Riosca Oibriúcháin atá i gcomhthráth le suim Chomhpháirt an Táscaire Gnó agus na gceanglas cistí dílse le haghaidh na línte gnó a bhreithnítear le hAirteagal 314(4), i gcás inarb infheidhme.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Méideanna na Neamhchosanta ar Riosca Oibriúcháin</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Bunaithe ar Airteagal 92 (3), pointe (e), agus Airteagal 92 (4) de Rialachán (AE) Uimh. 575/2013, nochtfar sa ró seo ceanglais cistí dílse i ró (1) arna iolrú faoi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1F5D3" w14:textId="77777777" w:rsidR="003502A4" w:rsidRDefault="003502A4" w:rsidP="00E114F3">
      <w:r>
        <w:separator/>
      </w:r>
    </w:p>
  </w:endnote>
  <w:endnote w:type="continuationSeparator" w:id="0">
    <w:p w14:paraId="0EF35DE7" w14:textId="77777777" w:rsidR="003502A4" w:rsidRDefault="003502A4" w:rsidP="00E114F3">
      <w:r>
        <w:continuationSeparator/>
      </w:r>
    </w:p>
  </w:endnote>
  <w:endnote w:type="continuationNotice" w:id="1">
    <w:p w14:paraId="4B09FDA4" w14:textId="77777777" w:rsidR="003502A4" w:rsidRDefault="00350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B9B9D" w14:textId="77777777" w:rsidR="003502A4" w:rsidRDefault="003502A4" w:rsidP="00E114F3">
      <w:r>
        <w:separator/>
      </w:r>
    </w:p>
  </w:footnote>
  <w:footnote w:type="continuationSeparator" w:id="0">
    <w:p w14:paraId="484271A2" w14:textId="77777777" w:rsidR="003502A4" w:rsidRDefault="003502A4" w:rsidP="00E114F3">
      <w:r>
        <w:continuationSeparator/>
      </w:r>
    </w:p>
  </w:footnote>
  <w:footnote w:type="continuationNotice" w:id="1">
    <w:p w14:paraId="12DC1266" w14:textId="77777777" w:rsidR="003502A4" w:rsidRDefault="003502A4"/>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Gnáthúsáid Ú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Gnáthúsáid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Gnáthúsáid Ú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Gnáthúsáid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Gnáthúsáid Ú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Gnáthúsáid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2A4"/>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1077"/>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ga-IE"/>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F18CF61E-3297-40E1-9AF3-B34CD056E71D}"/>
</file>

<file path=customXml/itemProps3.xml><?xml version="1.0" encoding="utf-8"?>
<ds:datastoreItem xmlns:ds="http://schemas.openxmlformats.org/officeDocument/2006/customXml" ds:itemID="{CAB78E74-135B-47F6-8864-11A2CF108066}"/>
</file>

<file path=customXml/itemProps4.xml><?xml version="1.0" encoding="utf-8"?>
<ds:datastoreItem xmlns:ds="http://schemas.openxmlformats.org/officeDocument/2006/customXml" ds:itemID="{F3A59E1F-B26C-4F4A-8AD4-16EC41C3066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4054</Words>
  <Characters>23111</Characters>
  <Application>Microsoft Office Word</Application>
  <DocSecurity>0</DocSecurity>
  <Lines>513</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26943</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