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FFA8" w14:textId="77777777" w:rsidR="00F5723F" w:rsidRDefault="00F5723F" w:rsidP="00F5723F">
      <w:pPr>
        <w:pStyle w:val="Annexetitre"/>
        <w:spacing w:before="0"/>
      </w:pPr>
      <w:r>
        <w:t xml:space="preserve">PŘÍLOHA XVI – Pokyny k zpřístupňování informací o cílech a zásadách v oblasti řízení rizik, o expozicích vůči úvěrovému riziku, riziku rozmělnění a o úvěrově kvalitě</w:t>
      </w:r>
    </w:p>
    <w:p w14:paraId="78D7AEF6" w14:textId="77777777" w:rsidR="00F5723F" w:rsidRPr="00F5723F" w:rsidRDefault="00F5723F" w:rsidP="00F5723F"/>
    <w:p w14:paraId="056018E5" w14:textId="11B9F0FE" w:rsidR="00F5723F" w:rsidRPr="007F4CC8" w:rsidRDefault="00F5723F" w:rsidP="0090750A">
      <w:pPr>
        <w:pStyle w:val="ListParagraph"/>
        <w:numPr>
          <w:ilvl w:val="0"/>
          <w:numId w:val="15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Příloha XV IT řešení orgánu EBA obsahuje soubor šablon, které jsou použitelné na všechny instituce podléhající článku 442 nařízení (EU) č. 575/2013</w:t>
      </w:r>
      <w:r w:rsidR="003C7180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(CRR).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Zahrnuje také některé dodatečné šablony vyžadované u velkých institucí s poměrem mezi hrubou účetní hodnotou úvěrů a jiných pohledávek podle čl. 47a odst. 3 nařízení (EU) č. 575/2013 a celkovou hrubou účetní hodnotou úvěrů a pohledávek podle čl. 47a odst. 1 nařízení (EU) č. 575/2013, který je roven nebo vyšší než 5 %.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Pro účely tohoto poměru a šablon obsažených v příloze XV jsou úvěry a pohledávky klasifikované jako držené k prodeji, hotovost u centrálních bank a ostatní vklady na požádání vyloučeny ze jmenovatele i z čitatele poměrů, a z řádků pro úvěry a jiné pohledávky obsažených v šablonách.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Informace o hotovosti u centrálních bank a ostatních vkladech na požádání jsou v některých šablonách zpřístupněny samostatně.</w:t>
      </w:r>
    </w:p>
    <w:p w14:paraId="52A7B0AE" w14:textId="311C8645" w:rsidR="00F5723F" w:rsidRPr="007F4CC8" w:rsidRDefault="00F5723F" w:rsidP="0090750A">
      <w:pPr>
        <w:pStyle w:val="ListParagraph"/>
        <w:numPr>
          <w:ilvl w:val="0"/>
          <w:numId w:val="15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Dodatečné šablony jsou nutné k tomu, aby uživatelům těchto informací poskytly dostatečně komplexní a srovnatelné informace k posouzení rizikových profilů institucí.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Z tohoto důvodu instituce při čtení těchto pokynů zohlední kritéria proporcionality obsažená v článku 9 tohoto prováděcího nařízení.</w:t>
      </w:r>
    </w:p>
    <w:p w14:paraId="0631D27D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Tabulka EU CRA: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Obecné kvalitativní informace o úvěrovém riziku</w:t>
      </w:r>
    </w:p>
    <w:p w14:paraId="4064BFA1" w14:textId="578EBEB6" w:rsidR="00F5723F" w:rsidRPr="007F4CC8" w:rsidRDefault="00F5723F" w:rsidP="0090750A">
      <w:pPr>
        <w:pStyle w:val="ListParagraph"/>
        <w:numPr>
          <w:ilvl w:val="0"/>
          <w:numId w:val="15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435 odst. 1 písm. a), b), d) a f) nařízení (EU) č. 575/2013</w:t>
      </w:r>
      <w:r w:rsidRPr="007F4CC8">
        <w:rPr>
          <w:rStyle w:val="FootnoteReference"/>
          <w:color w:val="000000"/>
        </w:rPr>
        <w:footnoteReference w:id="2"/>
      </w:r>
      <w:r>
        <w:rPr>
          <w:sz w:val="24"/>
          <w:rFonts w:ascii="Times New Roman" w:hAnsi="Times New Roman"/>
        </w:rPr>
        <w:t xml:space="preserve"> (dále jen „CRR“) týkající se jejich cílů řízení rizik a zásad úvěrového rizika zpřístupňují instituce podle následujících pokynů k vyplnění tabulky EU CRA,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687884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8627F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21E5C2C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88362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3612C1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0CF5404E" w14:textId="77777777" w:rsidTr="00D819DE">
        <w:trPr>
          <w:trHeight w:val="935"/>
        </w:trPr>
        <w:tc>
          <w:tcPr>
            <w:tcW w:w="1384" w:type="dxa"/>
          </w:tcPr>
          <w:p w14:paraId="066E2443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a)</w:t>
            </w:r>
          </w:p>
        </w:tc>
        <w:tc>
          <w:tcPr>
            <w:tcW w:w="7655" w:type="dxa"/>
          </w:tcPr>
          <w:p w14:paraId="4A71DB4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Ve stručném prohlášení o riziku podle čl. 435 odst. 1 písm. f) CRR – jak se model podnikání promítá do prvků profilu úvěrového rizika instituce.</w:t>
            </w:r>
          </w:p>
        </w:tc>
      </w:tr>
      <w:tr w:rsidR="00F5723F" w:rsidRPr="007F4CC8" w14:paraId="3075B1D2" w14:textId="77777777" w:rsidTr="00D819DE">
        <w:trPr>
          <w:trHeight w:val="1403"/>
        </w:trPr>
        <w:tc>
          <w:tcPr>
            <w:tcW w:w="1384" w:type="dxa"/>
          </w:tcPr>
          <w:p w14:paraId="37B0B532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b)</w:t>
            </w:r>
          </w:p>
        </w:tc>
        <w:tc>
          <w:tcPr>
            <w:tcW w:w="7655" w:type="dxa"/>
          </w:tcPr>
          <w:p w14:paraId="1124163C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Při uvedení strategií a procesů řízení úvěrového rizika a zásad pro zajištění a snižování tohoto rizika podle čl. 435 odst. 1 písm. a) a d) CRR – kritéria a přístup použitý pro definování zásad řízení úvěrového rizika a stanovení limitů pro úvěrové riziko.</w:t>
            </w:r>
          </w:p>
        </w:tc>
      </w:tr>
      <w:tr w:rsidR="00F5723F" w:rsidRPr="007F4CC8" w14:paraId="683CFEDC" w14:textId="77777777" w:rsidTr="00D819DE">
        <w:trPr>
          <w:trHeight w:val="755"/>
        </w:trPr>
        <w:tc>
          <w:tcPr>
            <w:tcW w:w="1384" w:type="dxa"/>
          </w:tcPr>
          <w:p w14:paraId="2E339DB5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c)</w:t>
            </w:r>
          </w:p>
        </w:tc>
        <w:tc>
          <w:tcPr>
            <w:tcW w:w="7655" w:type="dxa"/>
          </w:tcPr>
          <w:p w14:paraId="0D35E91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Při informování o struktuře a organizaci útvaru řízení rizik podle čl. 435 odst. 1 písm. b) CRR – strukturu a organizaci útvaru řízení úvěrových rizik a kontroly.</w:t>
            </w:r>
          </w:p>
        </w:tc>
      </w:tr>
      <w:tr w:rsidR="00F5723F" w:rsidRPr="007F4CC8" w14:paraId="35D98B56" w14:textId="77777777" w:rsidTr="00D819DE">
        <w:trPr>
          <w:trHeight w:val="755"/>
        </w:trPr>
        <w:tc>
          <w:tcPr>
            <w:tcW w:w="1384" w:type="dxa"/>
          </w:tcPr>
          <w:p w14:paraId="070A2B65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d)</w:t>
            </w:r>
          </w:p>
        </w:tc>
        <w:tc>
          <w:tcPr>
            <w:tcW w:w="7655" w:type="dxa"/>
          </w:tcPr>
          <w:p w14:paraId="2C2F83A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Při informování o pravomoci, statutu a jiných opatřeních útvaru řízení rizik podle čl. 435 odst. 1 písm. b) CRR – vztah mezi útvary řízení úvěrového rizika, kontroly rizik, dodržování předpisů a interního auditu.</w:t>
            </w:r>
          </w:p>
        </w:tc>
      </w:tr>
    </w:tbl>
    <w:p w14:paraId="75C31F88" w14:textId="77777777" w:rsidR="00F5723F" w:rsidRPr="007F4CC8" w:rsidRDefault="00F5723F" w:rsidP="00F5723F">
      <w:pPr>
        <w:autoSpaceDE w:val="0"/>
        <w:autoSpaceDN w:val="0"/>
        <w:adjustRightInd w:val="0"/>
        <w:spacing w:before="240"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Tabulka EU CRB: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Dodatečné zpřístupnění ohledně úvěrové kvality aktiv</w:t>
      </w:r>
    </w:p>
    <w:p w14:paraId="599D9493" w14:textId="4E45426A" w:rsidR="00F5723F" w:rsidRPr="007F4CC8" w:rsidRDefault="00F5723F" w:rsidP="00907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442 písm. a) a b) CRR zpřístupňují instituce podle následujících pokynů k vyplnění tabulky EU CRB,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2AC52A1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9A219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185CD2D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7EAB1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9ABD4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58B67EB8" w14:textId="77777777" w:rsidTr="00D819DE">
        <w:trPr>
          <w:trHeight w:val="710"/>
        </w:trPr>
        <w:tc>
          <w:tcPr>
            <w:tcW w:w="1384" w:type="dxa"/>
          </w:tcPr>
          <w:p w14:paraId="3C107D55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a)</w:t>
            </w:r>
          </w:p>
        </w:tc>
        <w:tc>
          <w:tcPr>
            <w:tcW w:w="7655" w:type="dxa"/>
          </w:tcPr>
          <w:p w14:paraId="5FA504D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Rozsah a definice expozic „po splatnosti“ a „znehodnocených“ použitých pro účely účetnictví a případné rozdíly mezi definicemi pojmů „po splatnosti“ a „selhání“ pro účely účetnictví a pro regulatorní účely v souladu s článkem 178 CRR.</w:t>
            </w:r>
          </w:p>
        </w:tc>
      </w:tr>
      <w:tr w:rsidR="00F5723F" w:rsidRPr="007F4CC8" w14:paraId="6EA55101" w14:textId="77777777" w:rsidTr="00D819DE">
        <w:trPr>
          <w:trHeight w:val="800"/>
        </w:trPr>
        <w:tc>
          <w:tcPr>
            <w:tcW w:w="1384" w:type="dxa"/>
          </w:tcPr>
          <w:p w14:paraId="6C284CE8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b)</w:t>
            </w:r>
          </w:p>
        </w:tc>
        <w:tc>
          <w:tcPr>
            <w:tcW w:w="7655" w:type="dxa"/>
          </w:tcPr>
          <w:p w14:paraId="611B47FB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Rozsah expozic po splatnosti (více než 90 dní), které nejsou považovány za znehodnocené, a příslušné odůvodnění.</w:t>
            </w:r>
          </w:p>
        </w:tc>
      </w:tr>
      <w:tr w:rsidR="00F5723F" w:rsidRPr="007F4CC8" w14:paraId="61929E03" w14:textId="77777777" w:rsidTr="00D819DE">
        <w:trPr>
          <w:trHeight w:val="755"/>
        </w:trPr>
        <w:tc>
          <w:tcPr>
            <w:tcW w:w="1384" w:type="dxa"/>
          </w:tcPr>
          <w:p w14:paraId="572197FC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c)</w:t>
            </w:r>
          </w:p>
        </w:tc>
        <w:tc>
          <w:tcPr>
            <w:tcW w:w="7655" w:type="dxa"/>
          </w:tcPr>
          <w:p w14:paraId="3ED08BD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Popis metod použitých k určení obecných a specifických úprav o úvěrové riziko.</w:t>
            </w:r>
          </w:p>
        </w:tc>
      </w:tr>
      <w:tr w:rsidR="00F5723F" w:rsidRPr="007F4CC8" w14:paraId="0A312877" w14:textId="77777777" w:rsidTr="00D819DE">
        <w:trPr>
          <w:trHeight w:val="755"/>
        </w:trPr>
        <w:tc>
          <w:tcPr>
            <w:tcW w:w="1384" w:type="dxa"/>
          </w:tcPr>
          <w:p w14:paraId="50C4B52D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d)</w:t>
            </w:r>
          </w:p>
        </w:tc>
        <w:tc>
          <w:tcPr>
            <w:tcW w:w="7655" w:type="dxa"/>
          </w:tcPr>
          <w:p w14:paraId="2567624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Vlastní definice instituce pro restrukturalizovanou expozici použitá k provedení čl. 178 odst. 3 písm. d) CRR v souladu s článkem 178 CRR, pokud se liší od definice expozic s opatřeními týkajícími se úlevy ve smyslu článku 47b CRR.</w:t>
            </w:r>
          </w:p>
        </w:tc>
      </w:tr>
    </w:tbl>
    <w:p w14:paraId="1AEA105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</w:p>
    <w:p w14:paraId="20816213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CR1: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Výkonné a nevýkonné expozice a související rezerva</w:t>
      </w:r>
    </w:p>
    <w:p w14:paraId="1E9C3A89" w14:textId="122D7564" w:rsidR="00F5723F" w:rsidRPr="007F4CC8" w:rsidRDefault="00F5723F" w:rsidP="00907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/>
        <w:contextualSpacing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c) a e) CRR zpřístupňují instituce podle následujících pokynů k vyplnění šablony EU CR1,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0E2090A0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7E661F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2A7D06A4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2590A0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CE2F9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1053D621" w14:textId="77777777" w:rsidTr="00D819DE">
        <w:trPr>
          <w:trHeight w:val="845"/>
        </w:trPr>
        <w:tc>
          <w:tcPr>
            <w:tcW w:w="1384" w:type="dxa"/>
          </w:tcPr>
          <w:p w14:paraId="19748158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005</w:t>
            </w:r>
          </w:p>
        </w:tc>
        <w:tc>
          <w:tcPr>
            <w:tcW w:w="7655" w:type="dxa"/>
          </w:tcPr>
          <w:p w14:paraId="2592D68D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Hotovost u centrálních bank a ostatní vklady na požádání</w:t>
            </w:r>
          </w:p>
          <w:p w14:paraId="0D3DA0F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Tyto informace instituce zpřístupní v souladu s informacemi uvedenými v přílohách III a IV prováděcího nařízení Komise (EU) č. 680/2014</w:t>
            </w:r>
            <w:r w:rsidRPr="007F4CC8">
              <w:rPr>
                <w:rStyle w:val="FootnoteReference"/>
              </w:rPr>
              <w:footnoteReference w:id="3"/>
            </w:r>
            <w:r>
              <w:t xml:space="preserve">.</w:t>
            </w:r>
          </w:p>
        </w:tc>
      </w:tr>
      <w:tr w:rsidR="00F5723F" w:rsidRPr="007F4CC8" w14:paraId="3BADA0C3" w14:textId="77777777" w:rsidTr="00D819DE">
        <w:trPr>
          <w:trHeight w:val="845"/>
        </w:trPr>
        <w:tc>
          <w:tcPr>
            <w:tcW w:w="1384" w:type="dxa"/>
          </w:tcPr>
          <w:p w14:paraId="7B4A79A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7329779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Úvěry a jiné pohledávky</w:t>
            </w:r>
          </w:p>
          <w:p w14:paraId="18DEF01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Úvěry a jiné pohledávky jsou dluhové nástroje, které jsou v držení dané instituce a které nejsou cennými papíry;</w:t>
            </w:r>
            <w:r>
              <w:t xml:space="preserve"> </w:t>
            </w:r>
            <w:r>
              <w:t xml:space="preserve">tato položka zahrnuje „úvěry“ podle nařízení (EU) č. 1071/2013 (dále jen „nařízení ECB o BSI“)</w:t>
            </w:r>
            <w:r w:rsidRPr="007F4CC8">
              <w:rPr>
                <w:rStyle w:val="FootnoteReference"/>
              </w:rPr>
              <w:footnoteReference w:id="4"/>
            </w:r>
            <w:r>
              <w:t xml:space="preserve">, jakož i pohledávky, které nelze klasifikovat jako „úvěry“ v souladu s nařízením ECB o BSI ve smyslu přílohy V části první odst. 32 prováděcího nařízení Komise (EU) č. 680/2014, avšak s výjimkou úvěrů a pohledávek klasifikovaných jako držené k prodeji, hotovosti u centrálních bank a ostatních vkladů na požádání</w:t>
            </w:r>
            <w:r>
              <w:rPr>
                <w:sz w:val="22"/>
              </w:rPr>
              <w:t xml:space="preserve">.</w:t>
            </w:r>
          </w:p>
        </w:tc>
      </w:tr>
      <w:tr w:rsidR="00F5723F" w:rsidRPr="007F4CC8" w14:paraId="231831A4" w14:textId="77777777" w:rsidTr="00D819DE">
        <w:trPr>
          <w:trHeight w:val="3366"/>
        </w:trPr>
        <w:tc>
          <w:tcPr>
            <w:tcW w:w="1384" w:type="dxa"/>
          </w:tcPr>
          <w:p w14:paraId="0EFD1CB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020–060, 080, 100–140, 160–210</w:t>
            </w:r>
          </w:p>
        </w:tc>
        <w:tc>
          <w:tcPr>
            <w:tcW w:w="7655" w:type="dxa"/>
          </w:tcPr>
          <w:p w14:paraId="1F43D4C7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Struktura podle protistrany</w:t>
            </w:r>
          </w:p>
          <w:p w14:paraId="08469B88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Instituce použijí členění podle protistran ve smyslu přílohy V části první odst. 42 prováděcího nařízení Komise (EU) č. 680/2014.</w:t>
            </w:r>
          </w:p>
          <w:p w14:paraId="17C95D9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Zařazení protistrany do určitého odvětví se řídí výhradně povahou dotyčné protistrany.</w:t>
            </w:r>
            <w:r>
              <w:t xml:space="preserve"> </w:t>
            </w:r>
            <w:r>
              <w:t xml:space="preserve">Klasifikace expozic nabytých společně více než jedním dlužníkem se provádí na základě vlastností toho dlužníka, který byl pro rozhodnutí dané instituce z hlediska poskytnutí této expozice významnějším nebo rozhodujícím.</w:t>
            </w:r>
            <w:r>
              <w:t xml:space="preserve"> </w:t>
            </w:r>
            <w:r>
              <w:t xml:space="preserve">Kromě jiných klasifikací se i rozdělení společně nabytých expozic podle kategorie protistrany, země trvalého pobytu/sídla a kódu statistické klasifikace ekonomických činností v Evropské unii (NACE) řídí vlastnostmi významnějšího nebo rozhodujícího dlužníka.</w:t>
            </w:r>
          </w:p>
        </w:tc>
      </w:tr>
      <w:tr w:rsidR="00F5723F" w:rsidRPr="007F4CC8" w14:paraId="4C35712A" w14:textId="77777777" w:rsidTr="00D819DE">
        <w:trPr>
          <w:trHeight w:val="316"/>
        </w:trPr>
        <w:tc>
          <w:tcPr>
            <w:tcW w:w="1384" w:type="dxa"/>
          </w:tcPr>
          <w:p w14:paraId="7235148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79606DF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MSP</w:t>
            </w:r>
          </w:p>
          <w:p w14:paraId="03681D37" w14:textId="39CDE3AA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Ve smyslu přílohy V části první odst. 5 písm. i) prováděcího nařízení Komise (EU) č. 680/2014</w:t>
            </w:r>
          </w:p>
        </w:tc>
      </w:tr>
      <w:tr w:rsidR="00F5723F" w:rsidRPr="007F4CC8" w14:paraId="277A0977" w14:textId="77777777" w:rsidTr="00D819DE">
        <w:trPr>
          <w:trHeight w:val="530"/>
        </w:trPr>
        <w:tc>
          <w:tcPr>
            <w:tcW w:w="1384" w:type="dxa"/>
          </w:tcPr>
          <w:p w14:paraId="39433C3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6369C94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Dluhové cenné papíry</w:t>
            </w:r>
          </w:p>
          <w:p w14:paraId="6C5C2EB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Dluhové cenné papíry jsou dluhové nástroje držené institucí a vydané jako cenné papíry, které nejsou úvěry podle nařízení ECB o BSI, ve smyslu přílohy V části první odst. 31 prováděcího nařízení Komise (EU) č. 680/2014.</w:t>
            </w:r>
          </w:p>
        </w:tc>
      </w:tr>
      <w:tr w:rsidR="00F5723F" w:rsidRPr="007F4CC8" w14:paraId="6EF98147" w14:textId="77777777" w:rsidTr="00D819DE">
        <w:trPr>
          <w:trHeight w:val="620"/>
        </w:trPr>
        <w:tc>
          <w:tcPr>
            <w:tcW w:w="1384" w:type="dxa"/>
          </w:tcPr>
          <w:p w14:paraId="0FC9D70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4D49DA6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Podrozvahové expozice</w:t>
            </w:r>
          </w:p>
          <w:p w14:paraId="254BFB6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Podrozvahové expozice zahrnují podrozvahové položky vyjmenované v příloze I CRR.</w:t>
            </w:r>
          </w:p>
        </w:tc>
      </w:tr>
      <w:tr w:rsidR="00F5723F" w:rsidRPr="007F4CC8" w14:paraId="66C42205" w14:textId="77777777" w:rsidTr="00D819DE">
        <w:trPr>
          <w:trHeight w:val="144"/>
        </w:trPr>
        <w:tc>
          <w:tcPr>
            <w:tcW w:w="1384" w:type="dxa"/>
          </w:tcPr>
          <w:p w14:paraId="74E1643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220</w:t>
            </w:r>
          </w:p>
        </w:tc>
        <w:tc>
          <w:tcPr>
            <w:tcW w:w="7655" w:type="dxa"/>
          </w:tcPr>
          <w:p w14:paraId="05CEBA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</w:tbl>
    <w:p w14:paraId="0D59F47C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09B67095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F04E44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2926C78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709B01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9B613E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445FD6F0" w14:textId="77777777" w:rsidTr="00D819DE">
        <w:trPr>
          <w:trHeight w:val="841"/>
        </w:trPr>
        <w:tc>
          <w:tcPr>
            <w:tcW w:w="1384" w:type="dxa"/>
          </w:tcPr>
          <w:p w14:paraId="4FC0955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2A2E7058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výkonných expozic</w:t>
            </w:r>
          </w:p>
          <w:p w14:paraId="5298A0DB" w14:textId="2AA3D10B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jmenovitá hodnota ve smyslu přílohy V části druhé odst. 118 prováděcího nařízení Komise (EU) č. 680/2014</w:t>
            </w:r>
          </w:p>
        </w:tc>
      </w:tr>
      <w:tr w:rsidR="00F5723F" w:rsidRPr="007F4CC8" w14:paraId="36426A1A" w14:textId="77777777" w:rsidTr="00D819DE">
        <w:trPr>
          <w:trHeight w:val="841"/>
        </w:trPr>
        <w:tc>
          <w:tcPr>
            <w:tcW w:w="1384" w:type="dxa"/>
          </w:tcPr>
          <w:p w14:paraId="2BC585D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rPr>
                <w:color w:val="000000"/>
              </w:rPr>
              <w:t xml:space="preserve">b, c, e, f, h, i, k a l</w:t>
            </w:r>
          </w:p>
        </w:tc>
        <w:tc>
          <w:tcPr>
            <w:tcW w:w="7655" w:type="dxa"/>
          </w:tcPr>
          <w:p w14:paraId="53AB411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 stupeň 1 / stupeň 2 / stupeň 3</w:t>
            </w:r>
          </w:p>
          <w:p w14:paraId="6BEE23D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Pro instituce, které uplatňují IFRS, kategorie znehodnocení ve smyslu odstavce 5.5 IFRS 9.</w:t>
            </w:r>
            <w:r>
              <w:t xml:space="preserve"> </w:t>
            </w:r>
            <w:r>
              <w:t xml:space="preserve">„Stupeň 1“ se vztahuje na znehodnocení oceněné v souladu s odstavcem 5.5.5 IFRS 9.</w:t>
            </w:r>
            <w:r>
              <w:t xml:space="preserve"> </w:t>
            </w:r>
            <w:r>
              <w:t xml:space="preserve">„Stupeň 2“ se vztahuje na znehodnocení oceněné v souladu s odstavcem 5.5.3 IFRS 9.</w:t>
            </w:r>
            <w:r>
              <w:t xml:space="preserve"> </w:t>
            </w:r>
            <w:r>
              <w:t xml:space="preserve">„Stupeň 3“ se vztahuje na znehodnocení úvěrově znehodnocených aktiv vymezených v dodatku A standardu IFRS 9.</w:t>
            </w:r>
          </w:p>
          <w:p w14:paraId="29E0F5CC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Sloupce „z toho stupeň 1“, „z toho stupeň 2“ a „z toho stupeň 3“ nevyplňují instituce, které uplatňují vnitrostátní obecně uznávané účetní zásady podle směrnice Rady (EHS) 86/635</w:t>
            </w:r>
            <w:r w:rsidRPr="007F4CC8">
              <w:rPr>
                <w:rStyle w:val="FootnoteReference"/>
              </w:rPr>
              <w:footnoteReference w:id="5"/>
            </w:r>
            <w:r>
              <w:t xml:space="preserve"> o ročních účetních závěrkách a konsolidovaných účetních závěrkách bank a ostatních finančních institucí.</w:t>
            </w:r>
          </w:p>
        </w:tc>
      </w:tr>
      <w:tr w:rsidR="00F5723F" w:rsidRPr="007F4CC8" w14:paraId="0A650E11" w14:textId="77777777" w:rsidTr="00D819DE">
        <w:trPr>
          <w:trHeight w:val="841"/>
        </w:trPr>
        <w:tc>
          <w:tcPr>
            <w:tcW w:w="1384" w:type="dxa"/>
          </w:tcPr>
          <w:p w14:paraId="2CED3CD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2444C6D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nevýkonných expozic</w:t>
            </w:r>
          </w:p>
          <w:p w14:paraId="7D8C4CA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jmenovitá hodnota ve smyslu přílohy V části druhé odst. 118 prováděcího nařízení Komise (EU) č. 680/2014;</w:t>
            </w:r>
            <w:r>
              <w:t xml:space="preserve"> </w:t>
            </w:r>
            <w:r>
              <w:t xml:space="preserve">nevýkonné expozice ve smyslu článku 47a CRR.</w:t>
            </w:r>
          </w:p>
        </w:tc>
      </w:tr>
      <w:tr w:rsidR="00F5723F" w:rsidRPr="007F4CC8" w14:paraId="4CBB8522" w14:textId="77777777" w:rsidTr="00D819DE">
        <w:trPr>
          <w:trHeight w:val="316"/>
        </w:trPr>
        <w:tc>
          <w:tcPr>
            <w:tcW w:w="1384" w:type="dxa"/>
          </w:tcPr>
          <w:p w14:paraId="61D9579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6A0275F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Výkonné expozice – Kumulované ztráty ze znehodnocení a rezervy</w:t>
            </w:r>
          </w:p>
          <w:p w14:paraId="7B74D92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Tato položka zahrnuje částky určené v souladu s přílohou V částí druhou odst. 11, 69 až 71, 106 a 110 prováděcího nařízení Komise (EU) č. 680/2014.</w:t>
            </w:r>
          </w:p>
        </w:tc>
      </w:tr>
      <w:tr w:rsidR="00F5723F" w:rsidRPr="007F4CC8" w14:paraId="5EBE8FEE" w14:textId="77777777" w:rsidTr="00D819DE">
        <w:trPr>
          <w:trHeight w:val="316"/>
        </w:trPr>
        <w:tc>
          <w:tcPr>
            <w:tcW w:w="1384" w:type="dxa"/>
          </w:tcPr>
          <w:p w14:paraId="50EF4CC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07616FE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Nevýkonné expozice – Kumulované ztráty ze znehodnocení, kumulované negativní změny reálné hodnoty z titulu úvěrového rizika a rezerv</w:t>
            </w:r>
          </w:p>
          <w:p w14:paraId="400F6D5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Nevýkonné expozice ve smyslu článku 47a CRR</w:t>
            </w:r>
          </w:p>
          <w:p w14:paraId="2AE2ED8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Tato položka zahrnuje částky určené v souladu s přílohou V částí druhou odst. 11, 69 až 71, 106 a 110 prováděcího nařízení Komise (EU) č. 680/2014.</w:t>
            </w:r>
          </w:p>
        </w:tc>
      </w:tr>
      <w:tr w:rsidR="00F5723F" w:rsidRPr="007F4CC8" w14:paraId="61987874" w14:textId="77777777" w:rsidTr="00D819DE">
        <w:trPr>
          <w:trHeight w:val="316"/>
        </w:trPr>
        <w:tc>
          <w:tcPr>
            <w:tcW w:w="1384" w:type="dxa"/>
          </w:tcPr>
          <w:p w14:paraId="4FA4996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5" w:type="dxa"/>
          </w:tcPr>
          <w:p w14:paraId="789D7BC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Kumulované částečné odpisy</w:t>
            </w:r>
          </w:p>
          <w:p w14:paraId="4CA3459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položka zahrnuje kumulovanou dílčí hodnotu k referenčnímu datu jistiny a narostlé úroky a poplatky po splatnosti u všech dluhových nástrojů, které byly k dnešnímu dni odúčtovány pomocí jedné z metod popsaných v příloze V části druhé odst. 74 prováděcího nařízení Komise (EU) č. 680/2014, které se zpřístupňují, neboť instituce oprávněně neočekává, že dané smluvní peněžní toky získá zpět.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Tyto částky se zpřístupňují až do úplného zániku všech práv dané instituce podle data uplynutí stanovené promlčecí lhůty, prominutí či jiných příčin, nebo až do splacení.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Proto v případě, že odepsané částky nebyly splaceny, zpřístupňují se, dokud probíhá vymáhání.</w:t>
            </w:r>
          </w:p>
          <w:p w14:paraId="2EB1445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Odpisy představují odúčtování a vztahují se k finančnímu aktivu jako celku nebo (v případě částečného odpisu) k jeho části, včetně případů, kdy změna aktiva vede instituci k tomu, aby se vzdala práva vybírat peněžní toky buď z části aktiva, nebo z celého aktiva.</w:t>
            </w:r>
          </w:p>
        </w:tc>
      </w:tr>
      <w:tr w:rsidR="00F5723F" w:rsidRPr="007F4CC8" w14:paraId="630431DC" w14:textId="77777777" w:rsidTr="00D819DE">
        <w:trPr>
          <w:trHeight w:val="695"/>
        </w:trPr>
        <w:tc>
          <w:tcPr>
            <w:tcW w:w="1384" w:type="dxa"/>
          </w:tcPr>
          <w:p w14:paraId="3151DDB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</w:p>
        </w:tc>
        <w:tc>
          <w:tcPr>
            <w:tcW w:w="7655" w:type="dxa"/>
          </w:tcPr>
          <w:p w14:paraId="2CB3C50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Kolaterál a finanční záruky přijaté k výkonným expozicím</w:t>
            </w:r>
          </w:p>
          <w:p w14:paraId="079B11B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Částky pro přijatý kolaterál a přijaté záruky se vypočítají v souladu s přílohou V částí druhou odst. 239 prováděcího nařízení Komise (EU) č. 680/2014.</w:t>
            </w:r>
            <w:r>
              <w:t xml:space="preserve"> </w:t>
            </w:r>
            <w:r>
              <w:t xml:space="preserve">Součet částek kolaterálu a záruk nepřesáhne účetní hodnotu související expozice.</w:t>
            </w:r>
          </w:p>
        </w:tc>
      </w:tr>
      <w:tr w:rsidR="00F5723F" w:rsidRPr="007F4CC8" w14:paraId="73CC8EFF" w14:textId="77777777" w:rsidTr="00D819DE">
        <w:trPr>
          <w:trHeight w:val="695"/>
        </w:trPr>
        <w:tc>
          <w:tcPr>
            <w:tcW w:w="1384" w:type="dxa"/>
          </w:tcPr>
          <w:p w14:paraId="32F9B99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</w:t>
            </w:r>
          </w:p>
        </w:tc>
        <w:tc>
          <w:tcPr>
            <w:tcW w:w="7655" w:type="dxa"/>
          </w:tcPr>
          <w:p w14:paraId="3151823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Kolaterál a finanční záruky přijaté k nevýkonným expozicím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EFD3FD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Nevýkonné expozice ve smyslu článku 47a CRR</w:t>
            </w:r>
          </w:p>
          <w:p w14:paraId="7486D5FF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Částky pro přijatý kolaterál a přijaté záruky se vypočítají v souladu s přílohou V částí druhou odst. 239 prováděcího nařízení Komise (EU) č. 680/2014.</w:t>
            </w:r>
            <w:r>
              <w:t xml:space="preserve"> </w:t>
            </w:r>
            <w:r>
              <w:t xml:space="preserve">Součet částek kolaterálu a záruk nepřesáhne účetní hodnotu související expozice.</w:t>
            </w:r>
          </w:p>
        </w:tc>
      </w:tr>
    </w:tbl>
    <w:p w14:paraId="0996B41E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75889087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CR1-A: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Splatnost expozic</w:t>
      </w:r>
    </w:p>
    <w:p w14:paraId="131D7CA3" w14:textId="24A907DF" w:rsidR="00F5723F" w:rsidRPr="007F4CC8" w:rsidRDefault="00F5723F" w:rsidP="00907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g) CRR zpřístupňují instituce podle následujících pokynů k vyplnění šablony EU CR1-A,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732BBA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433AC6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1C71FF5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05614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5B08E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EDC6988" w14:textId="77777777" w:rsidTr="00D819DE">
        <w:trPr>
          <w:trHeight w:val="316"/>
        </w:trPr>
        <w:tc>
          <w:tcPr>
            <w:tcW w:w="1384" w:type="dxa"/>
          </w:tcPr>
          <w:p w14:paraId="5C5E220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655" w:type="dxa"/>
          </w:tcPr>
          <w:p w14:paraId="224D6A0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Úvěry a jiné pohledávky</w:t>
            </w:r>
          </w:p>
          <w:p w14:paraId="0EE83F98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Úvěry a jiné pohledávky jsou dluhové nástroje, které jsou v držení dané instituce a které nejsou cennými papíry;</w:t>
            </w:r>
            <w:r>
              <w:t xml:space="preserve"> </w:t>
            </w:r>
            <w:r>
              <w:t xml:space="preserve">tato položka zahrnuje „úvěry“ podle nařízení ECB o BSI, jakož i pohledávky, které nelze klasifikovat jako „úvěry“ v souladu s nařízením ECB o BSI ve smyslu přílohy V části první odst. 32 prováděcího nařízení Komise (EU) č. 680/2014, avšak s výjimkou úvěrů a pohledávek klasifikovaných jako držené k prodeji, hotovosti u centrálních bank a ostatních vkladů na požádání.</w:t>
            </w:r>
          </w:p>
        </w:tc>
      </w:tr>
      <w:tr w:rsidR="00F5723F" w:rsidRPr="007F4CC8" w14:paraId="32745752" w14:textId="77777777" w:rsidTr="00D819DE">
        <w:trPr>
          <w:trHeight w:val="316"/>
        </w:trPr>
        <w:tc>
          <w:tcPr>
            <w:tcW w:w="1384" w:type="dxa"/>
          </w:tcPr>
          <w:p w14:paraId="68C972E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349E25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Dluhové cenné papíry</w:t>
            </w:r>
          </w:p>
          <w:p w14:paraId="147DA01E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Dluhové cenné papíry jsou dluhové nástroje držené institucí a vydané jako cenné papíry, které nejsou úvěry podle nařízení ECB o BSI, ve smyslu přílohy V části první odst. 31 prováděcího nařízení Komise (EU) č. 680/2014.</w:t>
            </w:r>
          </w:p>
        </w:tc>
      </w:tr>
      <w:tr w:rsidR="00F5723F" w:rsidRPr="007F4CC8" w14:paraId="719A84DB" w14:textId="77777777" w:rsidTr="00D819DE">
        <w:trPr>
          <w:trHeight w:val="316"/>
        </w:trPr>
        <w:tc>
          <w:tcPr>
            <w:tcW w:w="1384" w:type="dxa"/>
          </w:tcPr>
          <w:p w14:paraId="3446B60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17C1670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4FE7B56D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23597DB0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727F7C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593F1C4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B378E1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5321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6FD70D02" w14:textId="77777777" w:rsidTr="00D819DE">
        <w:trPr>
          <w:trHeight w:val="841"/>
        </w:trPr>
        <w:tc>
          <w:tcPr>
            <w:tcW w:w="1384" w:type="dxa"/>
          </w:tcPr>
          <w:p w14:paraId="652D6985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 až e</w:t>
            </w:r>
          </w:p>
        </w:tc>
        <w:tc>
          <w:tcPr>
            <w:tcW w:w="7655" w:type="dxa"/>
          </w:tcPr>
          <w:p w14:paraId="1A36125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čistých expozic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769A90F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Čisté hodnoty se uvedou podle zbytkových smluvních splatností.</w:t>
            </w:r>
          </w:p>
          <w:p w14:paraId="1B87730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Čistá hodnota expozice:</w:t>
            </w:r>
            <w:r>
              <w:t xml:space="preserve"> </w:t>
            </w:r>
            <w:r>
              <w:t xml:space="preserve">U rozvahových položek je čistou hodnotou hrubá účetní hodnota expozice snížená o opravné položky / znehodnocení.</w:t>
            </w:r>
            <w:r>
              <w:t xml:space="preserve"> </w:t>
            </w:r>
            <w:r>
              <w:t xml:space="preserve">U podrozvahových položek je čistou hodnotou hrubá účetní hodnota expozice snížená o rezervy.</w:t>
            </w:r>
            <w:r>
              <w:t xml:space="preserve"> </w:t>
            </w:r>
          </w:p>
          <w:p w14:paraId="365581F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Expozice:</w:t>
            </w:r>
            <w:r>
              <w:t xml:space="preserve"> </w:t>
            </w:r>
            <w:r>
              <w:t xml:space="preserve">V souladu s článkem 5 CRR se expozicí rozumí aktivum nebo podrozvahová položka, na jejímž základě vzniká expozice úvěrového rizika podle CRR.</w:t>
            </w:r>
          </w:p>
          <w:p w14:paraId="09674B6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Hrubé účetní hodnoty:</w:t>
            </w:r>
            <w:r>
              <w:t xml:space="preserve"> </w:t>
            </w:r>
            <w:r>
              <w:t xml:space="preserve">Účetní hodnota před opravnými položkami / znehodnocením, ale po zohlednění odpisů.</w:t>
            </w:r>
            <w:r>
              <w:t xml:space="preserve"> </w:t>
            </w:r>
            <w:r>
              <w:t xml:space="preserve">Při uplatňování části třetí hlavy II kapitoly 4 CRR instituce nezohlední žádnou techniku snižování úvěrového rizika.</w:t>
            </w:r>
            <w:r>
              <w:t xml:space="preserve"> </w:t>
            </w:r>
            <w:r>
              <w:t xml:space="preserve">Podrozvahové položky se uvedou ve jmenovité hodnotě bez zohlednění případného úvěrového konverzního faktoru použitelného podle článků 111 a 166 CRR nebo technik snižování úvěrového rizika a bez veškerých rezerv, zejména a) poskytnutých záruk (maximální částka, kterou by instituce musela zaplatit, kdyby byla záruka uplatněna) a b) úvěrových a jiných příslibů (celková částka, kterou instituce přislíbila půjčit).</w:t>
            </w:r>
          </w:p>
          <w:p w14:paraId="5AC384A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U tohoto zveřejnění platí, že:</w:t>
            </w:r>
          </w:p>
          <w:p w14:paraId="19C3FDC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 </w:t>
            </w:r>
            <w:r>
              <w:t xml:space="preserve">– Pokud má protistrana možnost volby, kdy bude částka splacena, částka se zařadí do sloupce „na požádání“.</w:t>
            </w:r>
            <w:r>
              <w:t xml:space="preserve"> </w:t>
            </w:r>
            <w:r>
              <w:t xml:space="preserve">Tento sloupec uvádí zůstatky splatné na požádání (výzvu), s krátkou lhůtou, běžné účty a obdobné zůstatky (což může zahrnovat úvěry, které jsou jednodenními vklady pro vypůjčovatele, bez ohledu na jejich právní formu).</w:t>
            </w:r>
            <w:r>
              <w:t xml:space="preserve"> </w:t>
            </w:r>
            <w:r>
              <w:t xml:space="preserve">Zahrnuje také „přečerpání“ ve smyslu debetních zůstatků na běžných účtech,</w:t>
            </w:r>
          </w:p>
          <w:p w14:paraId="0EEB038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 </w:t>
            </w:r>
            <w:r>
              <w:t xml:space="preserve">– Pokud expozice nemá uvedenou splatnost z jiných důvodů, než je možnost protistrany zvolit si datum splacení, uvádí se hodnota této expozice ve sloupci „bez uvedené splatnosti“,</w:t>
            </w:r>
          </w:p>
          <w:p w14:paraId="68F3E64D" w14:textId="77777777" w:rsidR="00F5723F" w:rsidRPr="007F4CC8" w:rsidRDefault="00F5723F" w:rsidP="00D819DE">
            <w:pPr>
              <w:pStyle w:val="Fait"/>
              <w:spacing w:before="0" w:after="120"/>
              <w:rPr>
                <w:i/>
                <w:rFonts w:eastAsiaTheme="minorEastAsia"/>
              </w:rPr>
            </w:pPr>
            <w:r>
              <w:t xml:space="preserve"> </w:t>
            </w:r>
            <w:r>
              <w:t xml:space="preserve">– Je-li částka splácena ve splátkách, zařadí se expozice do koše splatnosti odpovídajícího poslední splátce.</w:t>
            </w:r>
          </w:p>
        </w:tc>
      </w:tr>
      <w:tr w:rsidR="00F5723F" w:rsidRPr="007F4CC8" w14:paraId="2DF30E24" w14:textId="77777777" w:rsidTr="00D819DE">
        <w:trPr>
          <w:trHeight w:val="274"/>
        </w:trPr>
        <w:tc>
          <w:tcPr>
            <w:tcW w:w="1384" w:type="dxa"/>
          </w:tcPr>
          <w:p w14:paraId="281AFB4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</w:t>
            </w:r>
          </w:p>
        </w:tc>
        <w:tc>
          <w:tcPr>
            <w:tcW w:w="7655" w:type="dxa"/>
          </w:tcPr>
          <w:p w14:paraId="2E271F9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</w:tbl>
    <w:p w14:paraId="60723658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189BC1D0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CR2: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Změny objemu nevýkonných úvěrů a pohledávek</w:t>
      </w:r>
    </w:p>
    <w:p w14:paraId="2A66F4FF" w14:textId="30D56478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f) CRR zpřístupňují instituce podle následujících pokynů k vyplnění šablony EU CR2, obsažené v příloze XV IT řešení orgánu 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 komentáři připojeném k šablonám instituce vysvětlí veškeré podstatné rozdíly mezi hodnotami nevýkonných položek uvedenými v každém řádku a hodnotami odpovídajícími použití definice pojmu „v selhání“ podle článku 178 CRR.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85EF100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D1A976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030A111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D5084B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1042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6B8B92A" w14:textId="77777777" w:rsidTr="00D819DE">
        <w:trPr>
          <w:trHeight w:val="971"/>
        </w:trPr>
        <w:tc>
          <w:tcPr>
            <w:tcW w:w="1384" w:type="dxa"/>
          </w:tcPr>
          <w:p w14:paraId="343D36B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2B68717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Počáteční objem nevýkonných úvěrů a pohledávek</w:t>
            </w:r>
          </w:p>
          <w:p w14:paraId="60D56CB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stavu nevýkonných úvěrů a pohledávek ke konci posledního účetního období</w:t>
            </w:r>
          </w:p>
        </w:tc>
      </w:tr>
      <w:tr w:rsidR="00F5723F" w:rsidRPr="007F4CC8" w14:paraId="3D1A57AE" w14:textId="77777777" w:rsidTr="00D819DE">
        <w:trPr>
          <w:trHeight w:val="316"/>
        </w:trPr>
        <w:tc>
          <w:tcPr>
            <w:tcW w:w="1384" w:type="dxa"/>
          </w:tcPr>
          <w:p w14:paraId="27A476C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6B6E315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Přítok do nevýkonných portfolií</w:t>
            </w:r>
          </w:p>
          <w:p w14:paraId="7D68EB5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úvěrů a jiných pohledávek, které získaly status nevýkonných během období (od konce posledního účetního období)</w:t>
            </w:r>
          </w:p>
        </w:tc>
      </w:tr>
      <w:tr w:rsidR="00F5723F" w:rsidRPr="007F4CC8" w14:paraId="32E47D42" w14:textId="77777777" w:rsidTr="00D819DE">
        <w:trPr>
          <w:trHeight w:val="316"/>
        </w:trPr>
        <w:tc>
          <w:tcPr>
            <w:tcW w:w="1384" w:type="dxa"/>
          </w:tcPr>
          <w:p w14:paraId="36A282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137B35B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nevýkonných portfolií</w:t>
            </w:r>
          </w:p>
          <w:p w14:paraId="78C82FF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úvěrů a jiných pohledávek, které ztratily status nevýkonných</w:t>
            </w:r>
          </w:p>
        </w:tc>
      </w:tr>
      <w:tr w:rsidR="00F5723F" w:rsidRPr="007F4CC8" w14:paraId="75E42386" w14:textId="77777777" w:rsidTr="00D819DE">
        <w:trPr>
          <w:trHeight w:val="316"/>
        </w:trPr>
        <w:tc>
          <w:tcPr>
            <w:tcW w:w="1384" w:type="dxa"/>
          </w:tcPr>
          <w:p w14:paraId="02A609B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655" w:type="dxa"/>
          </w:tcPr>
          <w:p w14:paraId="36D0A3C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odpisů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D27D66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Úplné nebo částečné odpisy celkových úvěrů a pohledávek zaznamenané během referenčního období.</w:t>
            </w:r>
          </w:p>
          <w:p w14:paraId="7C58CE0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Odpis (úplný nebo částečný) znamená odúčtování.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Hrubá účetní hodnota úvěrů a jiných pohledávek se proto snižuje o částku odpisů.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Do této kategorie má být dále zahrnuto prominutí dluhu v rámci opatření týkajících se úlev, tj. odpisy, u nichž byla zrušena dlužná částka nesplacená vypůjčovatelem (instituce ztrácí právo na její právní vymáhání).</w:t>
            </w:r>
          </w:p>
        </w:tc>
      </w:tr>
      <w:tr w:rsidR="00F5723F" w:rsidRPr="007F4CC8" w14:paraId="042011E9" w14:textId="77777777" w:rsidTr="00D819DE">
        <w:trPr>
          <w:trHeight w:val="316"/>
        </w:trPr>
        <w:tc>
          <w:tcPr>
            <w:tcW w:w="1384" w:type="dxa"/>
          </w:tcPr>
          <w:p w14:paraId="4C33D52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655" w:type="dxa"/>
          </w:tcPr>
          <w:p w14:paraId="7B85DEC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jiných důvodů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9C1A5A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 tohoto řádku se zahrnou veškerá další snížení účetní hodnoty úvěrů a pohledávek jiná než odpisy.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Tyto úpravy mohou například zahrnovat odtok z důvodu: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i) splacení úvěru, částečného nebo úplného;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ii) likvidace kolaterálu;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iii) převzetí kolaterálu; iv) prodeje nástrojů;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v) převodů rizik;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vi) devizových změn;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vii) jiných uzavření;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viii) reklasifikací mezi třídami aktiv atd.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Úpravy mohou také zahrnovat odtok z důvodu reklasifikace na držené k prodeji.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FC0A3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Je-li hodnota u této kategorie významná, jsou instituce žádány o poskytnutí doplňujících informací v komentáři připojeném k této šabloně.</w:t>
            </w:r>
          </w:p>
        </w:tc>
      </w:tr>
      <w:tr w:rsidR="00F5723F" w:rsidRPr="007F4CC8" w14:paraId="7DAACFA0" w14:textId="77777777" w:rsidTr="00D819DE">
        <w:trPr>
          <w:trHeight w:val="316"/>
        </w:trPr>
        <w:tc>
          <w:tcPr>
            <w:tcW w:w="1384" w:type="dxa"/>
          </w:tcPr>
          <w:p w14:paraId="5D5BC0E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2405478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Konečný objem nevýkonných úvěrů a pohledávek</w:t>
            </w:r>
          </w:p>
          <w:p w14:paraId="7995AA1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stavu nevýkonných úvěrů a pohledávek k referenčnímu datu zpřístupňování informací.</w:t>
            </w:r>
          </w:p>
        </w:tc>
      </w:tr>
    </w:tbl>
    <w:p w14:paraId="1CEC31D3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36EAD923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C40398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36FC2187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98F44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8E0E69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2DD7347B" w14:textId="77777777" w:rsidTr="00D819DE">
        <w:trPr>
          <w:trHeight w:val="841"/>
        </w:trPr>
        <w:tc>
          <w:tcPr>
            <w:tcW w:w="1384" w:type="dxa"/>
          </w:tcPr>
          <w:p w14:paraId="019F01A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4C0E18D6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</w:t>
            </w:r>
            <w:r>
              <w:rPr>
                <w:b/>
              </w:rPr>
              <w:t xml:space="preserve"> </w:t>
            </w:r>
          </w:p>
          <w:p w14:paraId="53DBAF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sz w:val="24"/>
                <w:rFonts w:ascii="Times New Roman" w:hAnsi="Times New Roman"/>
              </w:rPr>
              <w:t xml:space="preserve">Hrubá účetní hodnota ve smyslu přílohy V části první odst. 34 prováděcího nařízení Komise (EU) č. 680/2014</w:t>
            </w:r>
          </w:p>
        </w:tc>
      </w:tr>
    </w:tbl>
    <w:p w14:paraId="34051359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41C40DCE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CR2a: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Změny objemu nevýkonných úvěrů a pohledávek a související čisté kumulované zpětně získané částky</w:t>
      </w:r>
    </w:p>
    <w:p w14:paraId="195274D3" w14:textId="0C0B32A4" w:rsidR="00F5723F" w:rsidRPr="007F4CC8" w:rsidRDefault="00BE49C3" w:rsidP="0090750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 c) a f) CRR zpřístupňují velké instituce uvedené v čl. 8 odst. 2 tohoto prováděcího nařízení podle následujících pokynů k vyplnění šablony EU CR2a, obsažené v příloze XV IT řešení orgánu 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 komentáři připojeném k šablonám instituce vysvětlí veškeré podstatné rozdíly mezi hodnotami nevýkonných položek uvedenými v každém řádku a hodnotami odpovídajícími použití definice pojmu „v selhání“ podle článku 178 CRR, zejména pokud jde o řádky 010, 030, 100 a 130.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5E1CE61D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588617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6B87383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5B4C48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E30D6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8638401" w14:textId="77777777" w:rsidTr="00D819DE">
        <w:trPr>
          <w:trHeight w:val="971"/>
        </w:trPr>
        <w:tc>
          <w:tcPr>
            <w:tcW w:w="1384" w:type="dxa"/>
          </w:tcPr>
          <w:p w14:paraId="3D8538A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3ADA427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Počáteční objem nevýkonných úvěrů a pohledávek</w:t>
            </w:r>
          </w:p>
          <w:p w14:paraId="6233CD9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stavu nevýkonných úvěrů a pohledávek ke konci posledního účetního období</w:t>
            </w:r>
          </w:p>
        </w:tc>
      </w:tr>
      <w:tr w:rsidR="00F5723F" w:rsidRPr="007F4CC8" w14:paraId="167E31B5" w14:textId="77777777" w:rsidTr="00D819DE">
        <w:trPr>
          <w:trHeight w:val="316"/>
        </w:trPr>
        <w:tc>
          <w:tcPr>
            <w:tcW w:w="1384" w:type="dxa"/>
          </w:tcPr>
          <w:p w14:paraId="1CCC0C4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5AFEF7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Přítok do nevýkonných portfolií</w:t>
            </w:r>
          </w:p>
          <w:p w14:paraId="0258749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úvěrů a jiných pohledávek, které získaly status nevýkonných během období (od konce posledního účetního období)</w:t>
            </w:r>
          </w:p>
        </w:tc>
      </w:tr>
      <w:tr w:rsidR="00F5723F" w:rsidRPr="007F4CC8" w14:paraId="7220296C" w14:textId="77777777" w:rsidTr="00D819DE">
        <w:trPr>
          <w:trHeight w:val="316"/>
        </w:trPr>
        <w:tc>
          <w:tcPr>
            <w:tcW w:w="1384" w:type="dxa"/>
          </w:tcPr>
          <w:p w14:paraId="0245A69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4515351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nevýkonných portfolií</w:t>
            </w:r>
          </w:p>
          <w:p w14:paraId="59A38B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úvěrů a jiných pohledávek, které ztratily status nevýkonných</w:t>
            </w:r>
          </w:p>
        </w:tc>
      </w:tr>
      <w:tr w:rsidR="00F5723F" w:rsidRPr="007F4CC8" w14:paraId="6C1E7B30" w14:textId="77777777" w:rsidTr="00D819DE">
        <w:trPr>
          <w:trHeight w:val="316"/>
        </w:trPr>
        <w:tc>
          <w:tcPr>
            <w:tcW w:w="1384" w:type="dxa"/>
          </w:tcPr>
          <w:p w14:paraId="56E204C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655" w:type="dxa"/>
          </w:tcPr>
          <w:p w14:paraId="37DE198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do výkonného portfolia</w:t>
            </w:r>
          </w:p>
          <w:p w14:paraId="5E86956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úvěrů a jiných pohledávek, které během období ztratily status nevýkonných a staly se výkonnými (od konce posledního účetního období)</w:t>
            </w:r>
          </w:p>
        </w:tc>
      </w:tr>
      <w:tr w:rsidR="00F5723F" w:rsidRPr="007F4CC8" w14:paraId="1527BDFA" w14:textId="77777777" w:rsidTr="00D819DE">
        <w:trPr>
          <w:trHeight w:val="316"/>
        </w:trPr>
        <w:tc>
          <w:tcPr>
            <w:tcW w:w="1384" w:type="dxa"/>
          </w:tcPr>
          <w:p w14:paraId="6868DA6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655" w:type="dxa"/>
          </w:tcPr>
          <w:p w14:paraId="19902FF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částečného nebo úplného splacení úvěru</w:t>
            </w:r>
          </w:p>
          <w:p w14:paraId="4B8DACB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Snížení hrubé účetní hodnoty nevýkonných úvěrů a jiných pohledávek z důvodu hotovostních plateb, konkrétně pravidelných plateb kapitálu a případných splátek ad hoc během období (od konce posledního účetního období)</w:t>
            </w:r>
          </w:p>
        </w:tc>
      </w:tr>
      <w:tr w:rsidR="00F5723F" w:rsidRPr="007F4CC8" w14:paraId="07C8263F" w14:textId="77777777" w:rsidTr="00D819DE">
        <w:trPr>
          <w:trHeight w:val="316"/>
        </w:trPr>
        <w:tc>
          <w:tcPr>
            <w:tcW w:w="1384" w:type="dxa"/>
          </w:tcPr>
          <w:p w14:paraId="30AFDCF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65BCAB9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likvidace kolaterálu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20FEB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řádku se zpřístupňuje účinek likvidace jakéhokoli druhu kolaterálu na hrubou účetní hodnotu nástroje.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Do tohoto řádku se rovněž zahrnují odtoky z důvodu jiných likvidačních nebo právních postupů a dobrovolného prodeje majetku.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Pro vyloučení pochyb upozorňujeme, že se zpřístupňuje hrubá účetní hodnota nástroje, včetně případných souvisejících částečných odpisů.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Upozorňujeme také, že odtok se nemusí rovnat součtu čistých kumulovaných výtěžků a částečných odpisů.</w:t>
            </w:r>
          </w:p>
        </w:tc>
      </w:tr>
      <w:tr w:rsidR="00F5723F" w:rsidRPr="007F4CC8" w14:paraId="3F7719DF" w14:textId="77777777" w:rsidTr="00D819DE">
        <w:trPr>
          <w:trHeight w:val="316"/>
        </w:trPr>
        <w:tc>
          <w:tcPr>
            <w:tcW w:w="1384" w:type="dxa"/>
          </w:tcPr>
          <w:p w14:paraId="246FEA5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 sloupec b</w:t>
            </w:r>
          </w:p>
        </w:tc>
        <w:tc>
          <w:tcPr>
            <w:tcW w:w="7655" w:type="dxa"/>
          </w:tcPr>
          <w:p w14:paraId="747E194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Související čisté kumulované zpětně získané částky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49D3E9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řádku se uvedou vymožené peněžní částky nebo peněžní ekvivalenty inkasované z důvodu likvidace kolaterálu (po odečtení příslušných nákladů na likvidaci kolaterálu).</w:t>
            </w:r>
          </w:p>
        </w:tc>
      </w:tr>
      <w:tr w:rsidR="00F5723F" w:rsidRPr="007F4CC8" w14:paraId="241E2A01" w14:textId="77777777" w:rsidTr="00D819DE">
        <w:trPr>
          <w:trHeight w:val="316"/>
        </w:trPr>
        <w:tc>
          <w:tcPr>
            <w:tcW w:w="1384" w:type="dxa"/>
          </w:tcPr>
          <w:p w14:paraId="572852E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41007DE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převzetí kolaterálu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AEA933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řádku se zpřístupňuje účinek realizace jakéhokoli druhu kolaterálu na hrubou účetní hodnotu nástroje.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Převzetí znamená nabytí nehotovostního kolaterálu, jehož vlastnictví přešlo na instituci nebo dceřiný podnik skupiny a který dosud nebyl prodán třetí straně.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Do této kategorie se zahrnují i swapy dluh-aktiva, dobrovolná předání a swapy dluh-kapitál.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Pro vyloučení pochyb upozorňujeme, že se zpřístupňuje hrubá účetní hodnota nástroje včetně případných souvisejících částečných odpisů.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Upozorňujeme také, že odtok se nemusí rovnat součtu čistých kumulovaných výtěžků a částečných odpisů.</w:t>
            </w:r>
          </w:p>
        </w:tc>
      </w:tr>
      <w:tr w:rsidR="00F5723F" w:rsidRPr="007F4CC8" w14:paraId="06480072" w14:textId="77777777" w:rsidTr="00D819DE">
        <w:trPr>
          <w:trHeight w:val="316"/>
        </w:trPr>
        <w:tc>
          <w:tcPr>
            <w:tcW w:w="1384" w:type="dxa"/>
          </w:tcPr>
          <w:p w14:paraId="343E225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 sloupec 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4EB8ED8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Související čisté kumulované zpětně získané částky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77D202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řádku se uvede prvotní zaúčtování reálné hodnoty kolaterálu v okamžiku převzetí v rozvaze instituce.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Vymožené peněžní částky nebo peněžní ekvivalenty inkasované v rámci převzetí kolaterálu bez nákladů se neuvádějí v tomto řádku, ale v řádku Odtok z důvodu splacení úvěru, částečného nebo úplného.</w:t>
            </w:r>
          </w:p>
        </w:tc>
      </w:tr>
      <w:tr w:rsidR="00F5723F" w:rsidRPr="007F4CC8" w14:paraId="2EE8C70D" w14:textId="77777777" w:rsidTr="00D819DE">
        <w:trPr>
          <w:trHeight w:val="316"/>
        </w:trPr>
        <w:tc>
          <w:tcPr>
            <w:tcW w:w="1384" w:type="dxa"/>
          </w:tcPr>
          <w:p w14:paraId="1345BB5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75305BE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prodeje nástrojů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42BDA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celkového zůstatku vyplývající z úvěrů a jiných pohledávek prodaných jiným institucím, s výjimkou transakcí uvnitř skupiny.</w:t>
            </w:r>
          </w:p>
          <w:p w14:paraId="2A7393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 vyloučení pochyb vezmou instituce na vědomí, že se zpřístupňuje hrubá účetní hodnota prodaných úvěrů a jiných pohledávek (včetně případných souvisejících částečných odpisů), nikoli jejich ocenění nebo cena během transakce.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Instituce také vezmou na vědomí, že odtok se nemusí rovnat součtu čistých kumulovaných výtěžků a částečných odpisů.</w:t>
            </w:r>
          </w:p>
        </w:tc>
      </w:tr>
      <w:tr w:rsidR="00F5723F" w:rsidRPr="007F4CC8" w14:paraId="28040269" w14:textId="77777777" w:rsidTr="00D819DE">
        <w:trPr>
          <w:trHeight w:val="316"/>
        </w:trPr>
        <w:tc>
          <w:tcPr>
            <w:tcW w:w="1384" w:type="dxa"/>
          </w:tcPr>
          <w:p w14:paraId="3329120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 sloupec 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49A50A8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Související čisté kumulované zpětně získané částky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92C10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řádku se uvedou vymožené peněžní částky nebo peněžní ekvivalenty inkasované v rámci prodeje úvěrů a jiných pohledávek, bez nákladů prodeje.</w:t>
            </w:r>
          </w:p>
        </w:tc>
      </w:tr>
      <w:tr w:rsidR="00F5723F" w:rsidRPr="007F4CC8" w14:paraId="5CF9A919" w14:textId="77777777" w:rsidTr="00D819DE">
        <w:trPr>
          <w:trHeight w:val="316"/>
        </w:trPr>
        <w:tc>
          <w:tcPr>
            <w:tcW w:w="1384" w:type="dxa"/>
          </w:tcPr>
          <w:p w14:paraId="3CDD39F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0E052E3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převodů rizik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7CBC9E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Hrubé snížení počtu nevýkonných úvěrů a jiných pohledávek z důvodu sekuritizace nebo jiných převodů rizik odůvodňujících odúčtování z rozvahy.</w:t>
            </w:r>
          </w:p>
          <w:p w14:paraId="600C8FE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vezmou na vědomí, že odtok se nemusí rovnat součtu čistých kumulovaných výtěžků a částečných odpisů.</w:t>
            </w:r>
          </w:p>
        </w:tc>
      </w:tr>
      <w:tr w:rsidR="00F5723F" w:rsidRPr="007F4CC8" w14:paraId="55E757F4" w14:textId="77777777" w:rsidTr="00D819DE">
        <w:trPr>
          <w:trHeight w:val="316"/>
        </w:trPr>
        <w:tc>
          <w:tcPr>
            <w:tcW w:w="1384" w:type="dxa"/>
          </w:tcPr>
          <w:p w14:paraId="70D8FA8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 sloupec 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4F10BE3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Související čisté kumulované zpětně získané částky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05E8A2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řádku se uvedou vymožené peněžní částky nebo peněžní ekvivalenty inkasované v rámci převodu významných rizik.</w:t>
            </w:r>
          </w:p>
        </w:tc>
      </w:tr>
      <w:tr w:rsidR="00F5723F" w:rsidRPr="007F4CC8" w14:paraId="0A90D0F9" w14:textId="77777777" w:rsidTr="00D819DE">
        <w:trPr>
          <w:trHeight w:val="316"/>
        </w:trPr>
        <w:tc>
          <w:tcPr>
            <w:tcW w:w="1384" w:type="dxa"/>
          </w:tcPr>
          <w:p w14:paraId="27261E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7C72E5E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odpisů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EEAA4B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Úplné nebo částečné odpisy celkových úvěrů a pohledávek zaznamenané během referenčního období.</w:t>
            </w:r>
          </w:p>
          <w:p w14:paraId="6ABDB3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Odpis (úplný nebo částečný) znamená odúčtování.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Hrubá účetní hodnota úvěrů a jiných pohledávek se proto snižuje o částku odpisů.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Pro vyloučení pochyb upozorňujeme, že tento řádek odráží změny hrubé účetní hodnoty úvěrů a jiných pohledávek a neuvádějí se zde případné částečné odpisy, které již byly uvedeny v předchozích řádcích (např. související prodej úvěrů a jiných pohledávek, likvidace kolaterálu, převzetí kolaterálu nebo převod významných rizik).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Do této kategorie má být dále zahrnuto prominutí dluhu v rámci opatření týkajících se úlev, tj. odpisy, u nichž byla zrušena dlužná částka nesplacená vypůjčovatelem (instituce ztrácí právo na její právní vymáhání).</w:t>
            </w:r>
          </w:p>
        </w:tc>
      </w:tr>
      <w:tr w:rsidR="00F5723F" w:rsidRPr="007F4CC8" w14:paraId="30B09D80" w14:textId="77777777" w:rsidTr="00D819DE">
        <w:trPr>
          <w:trHeight w:val="316"/>
        </w:trPr>
        <w:tc>
          <w:tcPr>
            <w:tcW w:w="1384" w:type="dxa"/>
          </w:tcPr>
          <w:p w14:paraId="70AD965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110</w:t>
            </w:r>
          </w:p>
        </w:tc>
        <w:tc>
          <w:tcPr>
            <w:tcW w:w="7655" w:type="dxa"/>
          </w:tcPr>
          <w:p w14:paraId="4E6D05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jiných důvodů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773632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 tohoto řádku se zahrnou veškerá další snížení účetní hodnoty úvěrů a jiných pohledávek, která nejsou obsažena ve výše uvedených případech.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Tyto úpravy mohou zahrnovat například devizové změny, jiná uzavření, reklasifikace mezi třídami aktiv atd.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Je-li hodnota u této kategorie významná, jsou instituce žádány o poskytnutí doplňujících informací v komentáři připojeném k této šabloně.</w:t>
            </w:r>
          </w:p>
        </w:tc>
      </w:tr>
      <w:tr w:rsidR="00F5723F" w:rsidRPr="007F4CC8" w14:paraId="5A164B5D" w14:textId="77777777" w:rsidTr="00D819DE">
        <w:trPr>
          <w:trHeight w:val="316"/>
        </w:trPr>
        <w:tc>
          <w:tcPr>
            <w:tcW w:w="1384" w:type="dxa"/>
          </w:tcPr>
          <w:p w14:paraId="0296FD6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120</w:t>
            </w:r>
          </w:p>
        </w:tc>
        <w:tc>
          <w:tcPr>
            <w:tcW w:w="7655" w:type="dxa"/>
          </w:tcPr>
          <w:p w14:paraId="75846AA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Odtok z důvodu reklasifikace na držené k prodeji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3FD5E4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Snížení účetní hodnoty nevýkonných úvěrů a jiných pohledávek z důvodu jejich reklasifikace na držené k prodeji</w:t>
            </w:r>
          </w:p>
        </w:tc>
      </w:tr>
      <w:tr w:rsidR="00F5723F" w:rsidRPr="007F4CC8" w14:paraId="41135B7B" w14:textId="77777777" w:rsidTr="00D819DE">
        <w:trPr>
          <w:trHeight w:val="316"/>
        </w:trPr>
        <w:tc>
          <w:tcPr>
            <w:tcW w:w="1384" w:type="dxa"/>
          </w:tcPr>
          <w:p w14:paraId="245627F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130</w:t>
            </w:r>
          </w:p>
        </w:tc>
        <w:tc>
          <w:tcPr>
            <w:tcW w:w="7655" w:type="dxa"/>
          </w:tcPr>
          <w:p w14:paraId="18473DB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Konečný objem nevýkonných úvěrů a pohledávek</w:t>
            </w:r>
          </w:p>
          <w:p w14:paraId="001858C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Hrubá účetní hodnota stavu nevýkonných úvěrů a pohledávek k referenčnímu datu zpřístupňování informací</w:t>
            </w:r>
          </w:p>
        </w:tc>
      </w:tr>
    </w:tbl>
    <w:p w14:paraId="1EA96191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1448C8E6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310BD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3B5C86A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74FE47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EFD6D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07200805" w14:textId="77777777" w:rsidTr="00D819DE">
        <w:trPr>
          <w:trHeight w:val="841"/>
        </w:trPr>
        <w:tc>
          <w:tcPr>
            <w:tcW w:w="1384" w:type="dxa"/>
          </w:tcPr>
          <w:p w14:paraId="67A79A0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23CBD535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</w:t>
            </w:r>
            <w:r>
              <w:rPr>
                <w:b/>
              </w:rPr>
              <w:t xml:space="preserve"> </w:t>
            </w:r>
          </w:p>
          <w:p w14:paraId="5DBF189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4"/>
                <w:rFonts w:ascii="Times New Roman" w:hAnsi="Times New Roman"/>
              </w:rPr>
              <w:t xml:space="preserve">Hrubá účetní hodnota ve smyslu přílohy V části první odst. 34 prováděcího nařízení Komise (EU) č. 680/2014.</w:t>
            </w:r>
          </w:p>
        </w:tc>
      </w:tr>
      <w:tr w:rsidR="00F5723F" w:rsidRPr="007F4CC8" w14:paraId="142D738D" w14:textId="77777777" w:rsidTr="00D819DE">
        <w:trPr>
          <w:trHeight w:val="841"/>
        </w:trPr>
        <w:tc>
          <w:tcPr>
            <w:tcW w:w="1384" w:type="dxa"/>
          </w:tcPr>
          <w:p w14:paraId="72E0582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3A2635A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Související čisté kumulované zpětně získané částky</w:t>
            </w:r>
          </w:p>
          <w:p w14:paraId="27CA3A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4"/>
                <w:rFonts w:ascii="Times New Roman" w:hAnsi="Times New Roman"/>
              </w:rPr>
              <w:t xml:space="preserve">Viz definice řádků v této šabloně.</w:t>
            </w:r>
          </w:p>
        </w:tc>
      </w:tr>
    </w:tbl>
    <w:p w14:paraId="2EB6AE6F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</w:p>
    <w:p w14:paraId="314E935E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CQ1: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Úvěrová kvalita expozic s úlevou</w:t>
      </w:r>
    </w:p>
    <w:p w14:paraId="2E785C15" w14:textId="77777777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contextualSpacing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c) CRR zpřístupňují instituce podle následujících pokynů k vyplnění šablony EU CQ1, obsažené v příloze XV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D00C315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7170C9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5AC60ED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148E45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46C535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2888568A" w14:textId="77777777" w:rsidTr="00D819DE">
        <w:trPr>
          <w:trHeight w:val="935"/>
        </w:trPr>
        <w:tc>
          <w:tcPr>
            <w:tcW w:w="1384" w:type="dxa"/>
          </w:tcPr>
          <w:p w14:paraId="7B35217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005</w:t>
            </w:r>
          </w:p>
        </w:tc>
        <w:tc>
          <w:tcPr>
            <w:tcW w:w="7655" w:type="dxa"/>
          </w:tcPr>
          <w:p w14:paraId="405151E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Hotovost u centrálních bank a ostatní vklady na požádání</w:t>
            </w:r>
          </w:p>
          <w:p w14:paraId="0AC0FBC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Tyto informace instituce zpřístupní v souladu s informacemi uvedenými v přílohách III a IV prováděcího nařízení Komise (EU) č. 680/2014.</w:t>
            </w:r>
          </w:p>
        </w:tc>
      </w:tr>
      <w:tr w:rsidR="00F5723F" w:rsidRPr="007F4CC8" w14:paraId="2A727C31" w14:textId="77777777" w:rsidTr="00D819DE">
        <w:trPr>
          <w:trHeight w:val="935"/>
        </w:trPr>
        <w:tc>
          <w:tcPr>
            <w:tcW w:w="1384" w:type="dxa"/>
          </w:tcPr>
          <w:p w14:paraId="116CC40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14A8F67F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Úvěry a jiné pohledávky</w:t>
            </w:r>
          </w:p>
          <w:p w14:paraId="3105113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2B9F0748" w14:textId="77777777" w:rsidTr="00D819DE">
        <w:trPr>
          <w:trHeight w:val="3815"/>
        </w:trPr>
        <w:tc>
          <w:tcPr>
            <w:tcW w:w="1384" w:type="dxa"/>
          </w:tcPr>
          <w:p w14:paraId="05133E65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020–070</w:t>
            </w:r>
          </w:p>
        </w:tc>
        <w:tc>
          <w:tcPr>
            <w:tcW w:w="7655" w:type="dxa"/>
          </w:tcPr>
          <w:p w14:paraId="4E4D4CF5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Struktura podle protistrany</w:t>
            </w:r>
          </w:p>
          <w:p w14:paraId="068E298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Instituce použijí členění podle protistran ve smyslu přílohy V části první odst. 42 prováděcího nařízení Komise (EU) č. 680/2014.</w:t>
            </w:r>
          </w:p>
          <w:p w14:paraId="16DCB1D5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Zařazení protistrany do určitého odvětví se řídí výhradně povahou dotyčné protistrany.</w:t>
            </w:r>
            <w:r>
              <w:t xml:space="preserve"> </w:t>
            </w:r>
            <w:r>
              <w:t xml:space="preserve">Klasifikace expozic nabytých společně více než jedním dlužníkem se provádí na základě vlastností toho dlužníka, který byl pro rozhodnutí dané instituce z hlediska poskytnutí této expozice významnějším nebo rozhodujícím.</w:t>
            </w:r>
            <w:r>
              <w:t xml:space="preserve"> </w:t>
            </w:r>
            <w:r>
              <w:t xml:space="preserve">Kromě jiných klasifikací se i rozdělení společně nabytých expozic podle kategorie protistrany, země trvalého pobytu/sídla a kódu statistické klasifikace ekonomických činností v Evropské unii (NACE) řídí vlastnostmi významnějšího nebo rozhodujícího dlužníka.</w:t>
            </w:r>
          </w:p>
        </w:tc>
      </w:tr>
      <w:tr w:rsidR="00F5723F" w:rsidRPr="007F4CC8" w14:paraId="18CBE28C" w14:textId="77777777" w:rsidTr="00D819DE">
        <w:trPr>
          <w:trHeight w:val="755"/>
        </w:trPr>
        <w:tc>
          <w:tcPr>
            <w:tcW w:w="1384" w:type="dxa"/>
          </w:tcPr>
          <w:p w14:paraId="0EE712E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080</w:t>
            </w:r>
          </w:p>
        </w:tc>
        <w:tc>
          <w:tcPr>
            <w:tcW w:w="7655" w:type="dxa"/>
          </w:tcPr>
          <w:p w14:paraId="51CCCEC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Dluhové cenné papíry</w:t>
            </w:r>
          </w:p>
          <w:p w14:paraId="3926991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4CF16B29" w14:textId="77777777" w:rsidTr="00D819DE">
        <w:trPr>
          <w:trHeight w:val="890"/>
        </w:trPr>
        <w:tc>
          <w:tcPr>
            <w:tcW w:w="1384" w:type="dxa"/>
          </w:tcPr>
          <w:p w14:paraId="60BECA8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090</w:t>
            </w:r>
          </w:p>
        </w:tc>
        <w:tc>
          <w:tcPr>
            <w:tcW w:w="7655" w:type="dxa"/>
          </w:tcPr>
          <w:p w14:paraId="126BB92B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Poskytnuté úvěrové přísliby</w:t>
            </w:r>
          </w:p>
          <w:p w14:paraId="49AB553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U poskytnutých úvěrových příslibů se zpřístupní jmenovitá hodnota ve smyslu přílohy V části druhé odst. 118 prováděcího nařízení Komise (EU) č. 680/2014.</w:t>
            </w:r>
          </w:p>
        </w:tc>
      </w:tr>
      <w:tr w:rsidR="00F5723F" w:rsidRPr="007F4CC8" w14:paraId="2F423D20" w14:textId="77777777" w:rsidTr="00D819DE">
        <w:trPr>
          <w:trHeight w:val="274"/>
        </w:trPr>
        <w:tc>
          <w:tcPr>
            <w:tcW w:w="1384" w:type="dxa"/>
          </w:tcPr>
          <w:p w14:paraId="64A8DC9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3D2428E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</w:tbl>
    <w:p w14:paraId="1B2FBD3C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451607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17B5AA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243F60B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0EE2D4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4C3FF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4B9A7D43" w14:textId="77777777" w:rsidTr="00D819DE">
        <w:trPr>
          <w:trHeight w:val="841"/>
        </w:trPr>
        <w:tc>
          <w:tcPr>
            <w:tcW w:w="1384" w:type="dxa"/>
          </w:tcPr>
          <w:p w14:paraId="2E6D49C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31B5461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expozic s opatřeními týkajícími se úlevy – z toho výkonné s úlevou</w:t>
            </w:r>
          </w:p>
          <w:p w14:paraId="124DD90A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Hrubá účetní hodnota ve smyslu přílohy V části první odst. 34 prováděcího nařízení Komise (EU) č. 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jmenovitá hodnota ve smyslu přílohy V části druhé odst. 118 prováděcího nařízení Komise (EU) č. 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expozice s opatřeními týkajícími se úlevy ve smyslu článku 47b CRR.</w:t>
            </w:r>
          </w:p>
          <w:p w14:paraId="4F8C067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týkající se expozic podléhajících znehodnocení se uvádí po odečtení kumulovaných částečných a celkových odpisů.</w:t>
            </w:r>
          </w:p>
          <w:p w14:paraId="49E0AEB0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  <w:rFonts w:eastAsiaTheme="minorEastAsia"/>
              </w:rPr>
            </w:pPr>
            <w:r>
              <w:rPr>
                <w:i w:val="0"/>
              </w:rPr>
              <w:t xml:space="preserve">V závislosti na tom, zda expozice s úlevou splňují požadované podmínky stanovené v článku 47a CRR, je lze identifikovat jako výkonné nebo nevýkonné.</w:t>
            </w:r>
          </w:p>
        </w:tc>
      </w:tr>
      <w:tr w:rsidR="00F5723F" w:rsidRPr="007F4CC8" w14:paraId="58EDACA2" w14:textId="77777777" w:rsidTr="00D819DE">
        <w:trPr>
          <w:trHeight w:val="841"/>
        </w:trPr>
        <w:tc>
          <w:tcPr>
            <w:tcW w:w="1384" w:type="dxa"/>
          </w:tcPr>
          <w:p w14:paraId="00C45FB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0897AF7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expozic s opatřeními týkajícími se úlevy – z toho nevýkonné s úlevou</w:t>
            </w:r>
          </w:p>
          <w:p w14:paraId="3E3246F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Hrubá účetní hodnota ve smyslu přílohy V části první odst. 34 prováděcího nařízení Komise (EU) č. 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jmenovitá hodnota ve smyslu přílohy V části druhé odst. 118 prováděcího nařízení Komise (EU) č. 680/2014.</w:t>
            </w:r>
          </w:p>
          <w:p w14:paraId="29DA1B1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týkající se expozic podléhajících znehodnocení se uvádí po odečtení kumulovaných částečných a celkových odpisů.</w:t>
            </w:r>
          </w:p>
          <w:p w14:paraId="2F4DDB95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Nevýkonné expozice s opatřeními týkajícími se úlevy (nevýkonné expozice s úlevou) zahrnují expozice s úlevou, které splňují kritéria pro to, aby byly považovány za nevýkonné, a jsou zahrnuty v kategorii nevýkonných expozic.</w:t>
            </w:r>
            <w:r>
              <w:t xml:space="preserve"> </w:t>
            </w:r>
            <w:r>
              <w:t xml:space="preserve">Uvedené nevýkonné expozice s úlevou zahrnují:</w:t>
            </w:r>
            <w:r>
              <w:t xml:space="preserve"> </w:t>
            </w:r>
            <w:r>
              <w:t xml:space="preserve">a) expozice, jež se v důsledku uplatnění opatření týkajících se úlevy staly nevýkonnými;</w:t>
            </w:r>
            <w:r>
              <w:t xml:space="preserve"> </w:t>
            </w:r>
            <w:r>
              <w:t xml:space="preserve">b) expozice, jež byly před uplatněním opatření týkajících se úlevy nevýkonné;</w:t>
            </w:r>
            <w:r>
              <w:t xml:space="preserve"> </w:t>
            </w:r>
            <w:r>
              <w:t xml:space="preserve">c) expozice s úlevou, které byly reklasifikovány z kategorie výkonných expozic, včetně expozic reklasifikovaných podle článku 47a CRR.</w:t>
            </w:r>
          </w:p>
        </w:tc>
      </w:tr>
      <w:tr w:rsidR="00F5723F" w:rsidRPr="007F4CC8" w14:paraId="177BF6BA" w14:textId="77777777" w:rsidTr="00D819DE">
        <w:trPr>
          <w:trHeight w:val="841"/>
        </w:trPr>
        <w:tc>
          <w:tcPr>
            <w:tcW w:w="1384" w:type="dxa"/>
          </w:tcPr>
          <w:p w14:paraId="3104A3F6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1A12D76E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 toho v selhání</w:t>
            </w:r>
          </w:p>
          <w:p w14:paraId="5FDF603D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Expozice s úlevou, které jsou rovněž klasifikovány jako v selhání v souladu s článkem 178 CRR</w:t>
            </w:r>
          </w:p>
        </w:tc>
      </w:tr>
      <w:tr w:rsidR="00F5723F" w:rsidRPr="007F4CC8" w14:paraId="6E1C2C77" w14:textId="77777777" w:rsidTr="00D819DE">
        <w:trPr>
          <w:trHeight w:val="841"/>
        </w:trPr>
        <w:tc>
          <w:tcPr>
            <w:tcW w:w="1384" w:type="dxa"/>
          </w:tcPr>
          <w:p w14:paraId="09B50CF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01C05ACC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 toho znehodnocené</w:t>
            </w:r>
          </w:p>
          <w:p w14:paraId="4B67F483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Expozice s úlevou, které jsou rovněž znehodnocené v souladu s platným účetním rámcem podle přílohy V části druhé odst. 215 prováděcího nařízení Komise (EU) č. 680/2014</w:t>
            </w:r>
          </w:p>
        </w:tc>
      </w:tr>
      <w:tr w:rsidR="00F5723F" w:rsidRPr="007F4CC8" w14:paraId="439F3403" w14:textId="77777777" w:rsidTr="00D819DE">
        <w:trPr>
          <w:trHeight w:val="841"/>
        </w:trPr>
        <w:tc>
          <w:tcPr>
            <w:tcW w:w="1384" w:type="dxa"/>
          </w:tcPr>
          <w:p w14:paraId="49E2D12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e</w:t>
            </w:r>
          </w:p>
        </w:tc>
        <w:tc>
          <w:tcPr>
            <w:tcW w:w="7655" w:type="dxa"/>
          </w:tcPr>
          <w:p w14:paraId="1D7DE19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Kumulované ztráty ze znehodnocení, kumulované negativní změny reálné hodnoty z titulu úvěrového rizika a rezervy na výkonné expozice s úlevou</w:t>
            </w:r>
          </w:p>
          <w:p w14:paraId="0144285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Expozice s opatřeními týkajícími se úlevy ve smyslu článku 47b CRR</w:t>
            </w:r>
            <w:r>
              <w:t xml:space="preserve"> </w:t>
            </w:r>
          </w:p>
          <w:p w14:paraId="2ECC33D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Instituce zahrnou částky určené v souladu s přílohou V částí druhou odst. 11, 69 až 71, 106 a 110 prováděcího nařízení Komise (EU) č. 680/2014.</w:t>
            </w:r>
          </w:p>
          <w:p w14:paraId="6AEDE60B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V závislosti na tom, zda expozice s úlevou splňují požadované podmínky stanovené v článcích 47a a 47b CRR, je lze identifikovat jako výkonné nebo nevýkonné.</w:t>
            </w:r>
          </w:p>
        </w:tc>
      </w:tr>
      <w:tr w:rsidR="00F5723F" w:rsidRPr="007F4CC8" w14:paraId="24B05802" w14:textId="77777777" w:rsidTr="00D819DE">
        <w:trPr>
          <w:trHeight w:val="841"/>
        </w:trPr>
        <w:tc>
          <w:tcPr>
            <w:tcW w:w="1384" w:type="dxa"/>
          </w:tcPr>
          <w:p w14:paraId="4D9B2AA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</w:t>
            </w:r>
          </w:p>
        </w:tc>
        <w:tc>
          <w:tcPr>
            <w:tcW w:w="7655" w:type="dxa"/>
          </w:tcPr>
          <w:p w14:paraId="54BF76F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Kumulované ztráty ze znehodnocení, kumulované negativní změny reálné hodnoty z titulu úvěrového rizika a rezervy na nevýkonné expozice s úlevou</w:t>
            </w:r>
          </w:p>
          <w:p w14:paraId="5044EEE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Tato položka zahrnuje částky určené v souladu s přílohou V částí druhou odst. 11, 69 až 71, 106 a 110 prováděcího nařízení Komise (EU) č. 680/2014.</w:t>
            </w:r>
          </w:p>
          <w:p w14:paraId="7F8ECF36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Nevýkonné expozice s opatřeními týkajícími se úlevy (nevýkonné expozice s úlevou) zahrnují expozice s úlevou, které splňují kritéria pro to, aby byly považovány za nevýkonné, a jsou zahrnuty v kategorii nevýkonných expozic.</w:t>
            </w:r>
            <w:r>
              <w:t xml:space="preserve"> </w:t>
            </w:r>
            <w:r>
              <w:t xml:space="preserve">Uvedené nevýkonné expozice s úlevou zahrnují:</w:t>
            </w:r>
            <w:r>
              <w:t xml:space="preserve"> </w:t>
            </w:r>
            <w:r>
              <w:t xml:space="preserve">a) expozice, jež se v důsledku uplatnění opatření týkajících se úlevy staly nevýkonnými;</w:t>
            </w:r>
            <w:r>
              <w:t xml:space="preserve"> </w:t>
            </w:r>
            <w:r>
              <w:t xml:space="preserve">b) expozice, jež byly před uplatněním opatření týkajících se úlevy nevýkonné;</w:t>
            </w:r>
            <w:r>
              <w:t xml:space="preserve"> </w:t>
            </w:r>
            <w:r>
              <w:t xml:space="preserve">c) expozice s úlevou, které byly reklasifikovány z kategorie výkonných expozic, včetně expozic reklasifikovaných podle článku 47a CRR.</w:t>
            </w:r>
          </w:p>
        </w:tc>
      </w:tr>
      <w:tr w:rsidR="00F5723F" w:rsidRPr="007F4CC8" w14:paraId="077C434B" w14:textId="77777777" w:rsidTr="00D819DE">
        <w:trPr>
          <w:trHeight w:val="841"/>
        </w:trPr>
        <w:tc>
          <w:tcPr>
            <w:tcW w:w="1384" w:type="dxa"/>
          </w:tcPr>
          <w:p w14:paraId="1C2D154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g</w:t>
            </w:r>
          </w:p>
        </w:tc>
        <w:tc>
          <w:tcPr>
            <w:tcW w:w="7655" w:type="dxa"/>
          </w:tcPr>
          <w:p w14:paraId="0896026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Přijatý kolaterál a přijaté finanční záruky k expozicím s úlevou</w:t>
            </w:r>
          </w:p>
          <w:p w14:paraId="7DE64F47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Zpřístupňují se za všechny expozice s opatřeními týkajícími se úlevy bez ohledu na jejich výkonný nebo nevýkonný status.</w:t>
            </w:r>
            <w:r>
              <w:t xml:space="preserve"> </w:t>
            </w:r>
            <w:r>
              <w:t xml:space="preserve">Částky pro přijatý kolaterál a přijaté záruky se vypočítají v souladu s přílohou V částí druhou odst. 239 prováděcího nařízení Komise (EU) č. 680/2014.</w:t>
            </w:r>
            <w:r>
              <w:t xml:space="preserve"> </w:t>
            </w:r>
            <w:r>
              <w:t xml:space="preserve">Součet částek kolaterálu a záruk nepřesáhne účetní hodnotu související expozice.</w:t>
            </w:r>
          </w:p>
        </w:tc>
      </w:tr>
      <w:tr w:rsidR="00F5723F" w:rsidRPr="007F4CC8" w14:paraId="1A9F06B0" w14:textId="77777777" w:rsidTr="00D819DE">
        <w:trPr>
          <w:trHeight w:val="841"/>
        </w:trPr>
        <w:tc>
          <w:tcPr>
            <w:tcW w:w="1384" w:type="dxa"/>
          </w:tcPr>
          <w:p w14:paraId="452E485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h</w:t>
            </w:r>
          </w:p>
        </w:tc>
        <w:tc>
          <w:tcPr>
            <w:tcW w:w="7655" w:type="dxa"/>
          </w:tcPr>
          <w:p w14:paraId="1B9954D9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 toho kolaterál a finanční záruky přijaté k nevýkonným expozicím s opatřeními týkajícími se úlevy</w:t>
            </w:r>
          </w:p>
          <w:p w14:paraId="6458C14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Částky pro přijatý kolaterál a přijaté záruky se vypočítají v souladu s přílohou V částí druhou odst. 239 prováděcího nařízení Komise (EU) č. 680/2014.</w:t>
            </w:r>
            <w:r>
              <w:t xml:space="preserve"> </w:t>
            </w:r>
            <w:r>
              <w:t xml:space="preserve">Součet částek kolaterálu a záruk nepřesáhne účetní hodnotu související expozice.</w:t>
            </w:r>
          </w:p>
          <w:p w14:paraId="3BFAABD6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Nevýkonné expozice s opatřeními týkajícími se úlevy (nevýkonné expozice s úlevou) zahrnují expozice s úlevou, které splňují kritéria pro to, aby byly považovány za nevýkonné, a jsou zahrnuty v kategorii nevýkonných expozic.</w:t>
            </w:r>
            <w:r>
              <w:t xml:space="preserve"> </w:t>
            </w:r>
            <w:r>
              <w:t xml:space="preserve">Uvedené nevýkonné expozice s úlevou zahrnují:</w:t>
            </w:r>
            <w:r>
              <w:t xml:space="preserve"> </w:t>
            </w:r>
            <w:r>
              <w:t xml:space="preserve">a) expozice, jež se v důsledku uplatnění opatření týkajících se úlevy staly nevýkonnými;</w:t>
            </w:r>
            <w:r>
              <w:t xml:space="preserve"> </w:t>
            </w:r>
            <w:r>
              <w:t xml:space="preserve">b) expozice, jež byly před uplatněním opatření týkajících se úlevy nevýkonné;</w:t>
            </w:r>
            <w:r>
              <w:t xml:space="preserve"> </w:t>
            </w:r>
            <w:r>
              <w:t xml:space="preserve">c) expozice s úlevou, které byly reklasifikovány z kategorie výkonných expozic, včetně expozic reklasifikovaných podle článku 47a CRR.</w:t>
            </w:r>
          </w:p>
        </w:tc>
      </w:tr>
    </w:tbl>
    <w:p w14:paraId="61D04E8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0F615A8D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CQ2: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Kvalita úlev</w:t>
      </w:r>
    </w:p>
    <w:p w14:paraId="24DB8DF8" w14:textId="4D8BE46E" w:rsidR="00F5723F" w:rsidRPr="007F4CC8" w:rsidRDefault="00BE49C3" w:rsidP="0090750A">
      <w:pPr>
        <w:pStyle w:val="ListParagraph"/>
        <w:numPr>
          <w:ilvl w:val="0"/>
          <w:numId w:val="16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 c) CRR zpřístupňují velké instituce uvedené v čl. 8 odst. 2 tohoto prováděcího nařízení podle následujících pokynů k vyplnění šablony EU CQ2, obsažené v příloze XV IT řešení orgánu EBA.</w:t>
      </w:r>
    </w:p>
    <w:p w14:paraId="15E22628" w14:textId="77777777" w:rsidR="00F5723F" w:rsidRPr="007F4CC8" w:rsidRDefault="00F5723F" w:rsidP="00F5723F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392618C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E95D0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64906EB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590E6A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2EC76A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10337400" w14:textId="77777777" w:rsidTr="00D819DE">
        <w:trPr>
          <w:trHeight w:val="2033"/>
        </w:trPr>
        <w:tc>
          <w:tcPr>
            <w:tcW w:w="1384" w:type="dxa"/>
          </w:tcPr>
          <w:p w14:paraId="13F3FCA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122F9564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Úvěry a jiné pohledávky, na něž byla uplatněna úleva více než dvakrát</w:t>
            </w:r>
          </w:p>
          <w:p w14:paraId="4682DC3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úvěrů a jiných pohledávek, kterým byla v minulosti a více než dvakrát poskytnuta opatření týkající se úlevy</w:t>
            </w:r>
          </w:p>
          <w:p w14:paraId="25462CD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Jsou zde uvedeny i úvěry a jiné pohledávky, na které byla poskytnuta opatření týkající se úlevy a byly vyřazeny z kategorie s úlevou (tj. vyléčené úvěry a jiné pohledávky s úlevou), pokud je poskytnuto nové opatření týkající se úlevy.</w:t>
            </w:r>
          </w:p>
        </w:tc>
      </w:tr>
      <w:tr w:rsidR="00F5723F" w:rsidRPr="007F4CC8" w14:paraId="0F98E3D8" w14:textId="77777777" w:rsidTr="00D819DE">
        <w:trPr>
          <w:trHeight w:val="316"/>
        </w:trPr>
        <w:tc>
          <w:tcPr>
            <w:tcW w:w="1384" w:type="dxa"/>
          </w:tcPr>
          <w:p w14:paraId="20F5DE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36388F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Nevýkonné úvěry a pohledávky s úlevou, které nesplnily kritéria pro výstup z kategorie nevýkonných</w:t>
            </w:r>
          </w:p>
          <w:p w14:paraId="6C8A457E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Hrubá účetní hodnota nevýkonných úvěrů a jiných pohledávek s úlevami, které jsou zařazeny v kategorii nevýkonných úvěrů a jiných pohledávek s úlevami s roční lhůtou pro nápravu a nesplnily opatření týkající se úlevy po dvanáctiměsíční lhůtě pro nápravu, a tudíž se jim nepodařilo přejít ke statusu výkonných s úlevami, ale nadále mají ve lhůtě pro nápravu status nevýkonných s úlevami.</w:t>
            </w:r>
          </w:p>
        </w:tc>
      </w:tr>
    </w:tbl>
    <w:p w14:paraId="77698CB0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21A6B69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747371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151C462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97A27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6408AD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2677BB82" w14:textId="77777777" w:rsidTr="00D819DE">
        <w:trPr>
          <w:trHeight w:val="841"/>
        </w:trPr>
        <w:tc>
          <w:tcPr>
            <w:tcW w:w="1384" w:type="dxa"/>
          </w:tcPr>
          <w:p w14:paraId="78BD434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0FC9E7B6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expozic s úlevou</w:t>
            </w:r>
          </w:p>
          <w:p w14:paraId="4FCAF587" w14:textId="167C1484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Hrubá účetní hodnota ve smyslu přílohy V části první odst. 34 prováděcího nařízení Komise (EU) č. 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expozice s opatřeními týkajícími se úlevy ve smyslu článku 47b CRR.</w:t>
            </w:r>
          </w:p>
          <w:p w14:paraId="383A0FAA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V závislosti na tom, zda expozice s úlevou splňují požadované podmínky stanovené v článku 47a nebo 47b CRR, je lze identifikovat jako výkonné nebo nevýkonné.</w:t>
            </w:r>
          </w:p>
        </w:tc>
      </w:tr>
    </w:tbl>
    <w:p w14:paraId="5A614065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5FF0382F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1DA84695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CQ3: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Úvěrová kvalita výkonných a nevýkonných expozic podle počtu dnů po splatnosti</w:t>
      </w:r>
    </w:p>
    <w:p w14:paraId="5BA87DFF" w14:textId="02F2C5E8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d) CRR zpřístupňují instituce podle následujících pokynů k vyplnění šablony EU CQ3, obsažené v příloze XV IT řešení EBA.</w:t>
      </w:r>
    </w:p>
    <w:p w14:paraId="69F67E7E" w14:textId="77777777" w:rsidR="00F5723F" w:rsidRPr="007F4CC8" w:rsidRDefault="00F5723F" w:rsidP="00F5723F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07CB656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FA654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756F85A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B6BE8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5C5EF0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23DC991A" w14:textId="77777777" w:rsidTr="00D819DE">
        <w:trPr>
          <w:trHeight w:val="845"/>
        </w:trPr>
        <w:tc>
          <w:tcPr>
            <w:tcW w:w="1384" w:type="dxa"/>
          </w:tcPr>
          <w:p w14:paraId="52684F8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005</w:t>
            </w:r>
          </w:p>
        </w:tc>
        <w:tc>
          <w:tcPr>
            <w:tcW w:w="7655" w:type="dxa"/>
          </w:tcPr>
          <w:p w14:paraId="06BF0C44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Hotovost u centrálních bank a ostatní vklady na požádání</w:t>
            </w:r>
          </w:p>
          <w:p w14:paraId="6A463E9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Tyto informace instituce zpřístupní v souladu s informacemi uvedenými v přílohách III a IV prováděcího nařízení Komise (EU) č. 680/2014.</w:t>
            </w:r>
          </w:p>
        </w:tc>
      </w:tr>
      <w:tr w:rsidR="00F5723F" w:rsidRPr="007F4CC8" w14:paraId="3467AA8E" w14:textId="77777777" w:rsidTr="00D819DE">
        <w:trPr>
          <w:trHeight w:val="845"/>
        </w:trPr>
        <w:tc>
          <w:tcPr>
            <w:tcW w:w="1384" w:type="dxa"/>
          </w:tcPr>
          <w:p w14:paraId="60EA374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1457D83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Úvěry a jiné pohledávky</w:t>
            </w:r>
          </w:p>
          <w:p w14:paraId="090F8B8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6878FAA6" w14:textId="77777777" w:rsidTr="00D819DE">
        <w:trPr>
          <w:trHeight w:val="3815"/>
        </w:trPr>
        <w:tc>
          <w:tcPr>
            <w:tcW w:w="1384" w:type="dxa"/>
          </w:tcPr>
          <w:p w14:paraId="0806E97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020–060, 080, 100–140, 160–210</w:t>
            </w:r>
          </w:p>
        </w:tc>
        <w:tc>
          <w:tcPr>
            <w:tcW w:w="7655" w:type="dxa"/>
          </w:tcPr>
          <w:p w14:paraId="0C3873CC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Struktura podle protistrany</w:t>
            </w:r>
          </w:p>
          <w:p w14:paraId="6CBF179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Instituce použijí členění podle protistran ve smyslu přílohy V části první odst. 42 prováděcího nařízení Komise (EU) č. 680/2014.</w:t>
            </w:r>
          </w:p>
          <w:p w14:paraId="79F9352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Zařazení protistrany do určitého odvětví se řídí výhradně povahou dotyčné protistrany.</w:t>
            </w:r>
            <w:r>
              <w:t xml:space="preserve"> </w:t>
            </w:r>
            <w:r>
              <w:t xml:space="preserve">Klasifikace expozic nabytých společně více než jedním dlužníkem se provádí na základě vlastností toho dlužníka, který byl pro rozhodnutí dané instituce z hlediska poskytnutí této expozice významnějším nebo rozhodujícím.</w:t>
            </w:r>
            <w:r>
              <w:t xml:space="preserve"> </w:t>
            </w:r>
            <w:r>
              <w:t xml:space="preserve">Kromě jiných klasifikací se i rozdělení společně nabytých expozic podle kategorie protistrany, země trvalého pobytu/sídla a kódu statistické klasifikace ekonomických činností v Evropské unii (NACE) řídí vlastnostmi významnějšího nebo rozhodujícího dlužníka.</w:t>
            </w:r>
          </w:p>
        </w:tc>
      </w:tr>
      <w:tr w:rsidR="00F5723F" w:rsidRPr="007F4CC8" w14:paraId="4D7AA13F" w14:textId="77777777" w:rsidTr="00D819DE">
        <w:trPr>
          <w:trHeight w:val="316"/>
        </w:trPr>
        <w:tc>
          <w:tcPr>
            <w:tcW w:w="1384" w:type="dxa"/>
          </w:tcPr>
          <w:p w14:paraId="0434984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70C2E42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MSP</w:t>
            </w:r>
          </w:p>
          <w:p w14:paraId="7FB7E935" w14:textId="369F072F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Ve smyslu přílohy V části první odst. 5 písm. i) prováděcího nařízení Komise (EU) č. 680/2014</w:t>
            </w:r>
          </w:p>
        </w:tc>
      </w:tr>
      <w:tr w:rsidR="00F5723F" w:rsidRPr="007F4CC8" w14:paraId="72DD6C4B" w14:textId="77777777" w:rsidTr="00D819DE">
        <w:trPr>
          <w:trHeight w:val="530"/>
        </w:trPr>
        <w:tc>
          <w:tcPr>
            <w:tcW w:w="1384" w:type="dxa"/>
          </w:tcPr>
          <w:p w14:paraId="7488C5A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3E127FD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Dluhové cenné papíry</w:t>
            </w:r>
          </w:p>
          <w:p w14:paraId="66C01B1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0F26FB86" w14:textId="77777777" w:rsidTr="00D819DE">
        <w:trPr>
          <w:trHeight w:val="620"/>
        </w:trPr>
        <w:tc>
          <w:tcPr>
            <w:tcW w:w="1384" w:type="dxa"/>
          </w:tcPr>
          <w:p w14:paraId="3390790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487EC34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Podrozvahové expozice</w:t>
            </w:r>
          </w:p>
          <w:p w14:paraId="421733B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3A451675" w14:textId="77777777" w:rsidTr="00D819DE">
        <w:trPr>
          <w:trHeight w:val="273"/>
        </w:trPr>
        <w:tc>
          <w:tcPr>
            <w:tcW w:w="1384" w:type="dxa"/>
          </w:tcPr>
          <w:p w14:paraId="658BFE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210</w:t>
            </w:r>
          </w:p>
        </w:tc>
        <w:tc>
          <w:tcPr>
            <w:tcW w:w="7655" w:type="dxa"/>
          </w:tcPr>
          <w:p w14:paraId="46B21E6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</w:tbl>
    <w:p w14:paraId="077B5376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E2D04C6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13D77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146FD29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1CFA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2C0AB1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CAB3DDF" w14:textId="77777777" w:rsidTr="00D819DE">
        <w:trPr>
          <w:trHeight w:val="841"/>
        </w:trPr>
        <w:tc>
          <w:tcPr>
            <w:tcW w:w="1384" w:type="dxa"/>
          </w:tcPr>
          <w:p w14:paraId="20EDD646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5F420DD9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výkonných expozic</w:t>
            </w:r>
            <w:r>
              <w:rPr>
                <w:b/>
              </w:rPr>
              <w:t xml:space="preserve"> </w:t>
            </w:r>
          </w:p>
          <w:p w14:paraId="041A368C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jmenovitá hodnota ve smyslu přílohy V části druhé odst. 118 prováděcího nařízení Komise (EU) č. 680/2014</w:t>
            </w:r>
          </w:p>
        </w:tc>
      </w:tr>
      <w:tr w:rsidR="00F5723F" w:rsidRPr="007F4CC8" w14:paraId="08A84696" w14:textId="77777777" w:rsidTr="00D819DE">
        <w:trPr>
          <w:trHeight w:val="841"/>
        </w:trPr>
        <w:tc>
          <w:tcPr>
            <w:tcW w:w="1384" w:type="dxa"/>
          </w:tcPr>
          <w:p w14:paraId="507189E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EC32593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 toho: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Před splatností nebo po splatnosti ≤ 30 dnů</w:t>
            </w:r>
          </w:p>
          <w:p w14:paraId="0F855205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Podkategorie výkonných expozic, které nejsou po splatnosti nebo jsou 1–30 dnů po splatnosti</w:t>
            </w:r>
          </w:p>
        </w:tc>
      </w:tr>
      <w:tr w:rsidR="00F5723F" w:rsidRPr="007F4CC8" w14:paraId="33A22FD7" w14:textId="77777777" w:rsidTr="00D819DE">
        <w:trPr>
          <w:trHeight w:val="841"/>
        </w:trPr>
        <w:tc>
          <w:tcPr>
            <w:tcW w:w="1384" w:type="dxa"/>
          </w:tcPr>
          <w:p w14:paraId="3AA8A7E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733D5633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 toho: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Po splatnosti &gt; 30 dnů ≤ 90 dnů</w:t>
            </w:r>
          </w:p>
          <w:p w14:paraId="1320DF3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Podkategorie výkonných expozic, které jsou 31–90 dnů po splatnosti</w:t>
            </w:r>
          </w:p>
          <w:p w14:paraId="6F1FD7AE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Kromě toho se do této podkategorie zahrnují expozice, které jsou více než 90 dnů po splatnosti, ale nejsou podstatné.</w:t>
            </w:r>
          </w:p>
        </w:tc>
      </w:tr>
      <w:tr w:rsidR="00F5723F" w:rsidRPr="007F4CC8" w14:paraId="7F373577" w14:textId="77777777" w:rsidTr="00D819DE">
        <w:trPr>
          <w:trHeight w:val="841"/>
        </w:trPr>
        <w:tc>
          <w:tcPr>
            <w:tcW w:w="1384" w:type="dxa"/>
          </w:tcPr>
          <w:p w14:paraId="701207D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7EC4DBC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nevýkonných expozic</w:t>
            </w:r>
          </w:p>
          <w:p w14:paraId="612FBB74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jmenovitá hodnota ve smyslu přílohy V části druhé odst. 118 prováděcího nařízení Komise (EU) č. 680/2014;</w:t>
            </w:r>
            <w:r>
              <w:t xml:space="preserve"> </w:t>
            </w:r>
            <w:r>
              <w:t xml:space="preserve">nevýkonné expozice ve smyslu článku 47a CRR.</w:t>
            </w:r>
          </w:p>
        </w:tc>
      </w:tr>
      <w:tr w:rsidR="00F5723F" w:rsidRPr="007F4CC8" w14:paraId="100BFE0F" w14:textId="77777777" w:rsidTr="00D819DE">
        <w:trPr>
          <w:trHeight w:val="316"/>
        </w:trPr>
        <w:tc>
          <w:tcPr>
            <w:tcW w:w="1384" w:type="dxa"/>
          </w:tcPr>
          <w:p w14:paraId="040B1EC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e</w:t>
            </w:r>
          </w:p>
        </w:tc>
        <w:tc>
          <w:tcPr>
            <w:tcW w:w="7655" w:type="dxa"/>
          </w:tcPr>
          <w:p w14:paraId="39A783C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Zřejmě nebudou uhrazeny, ale nejsou po splatnosti, nebo jsou po splatnosti ≤ 90 dnů</w:t>
            </w:r>
          </w:p>
          <w:p w14:paraId="6A77C6A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expozic, které buď nejsou po splatnosti, nebo jsou po splatnosti nejvýše 90 dnů, ale jsou přesto identifikovány jako nevýkonné ve smyslu článku 47a CRR</w:t>
            </w:r>
          </w:p>
        </w:tc>
      </w:tr>
      <w:tr w:rsidR="00F5723F" w:rsidRPr="007F4CC8" w14:paraId="1B3AC04A" w14:textId="77777777" w:rsidTr="00D819DE">
        <w:trPr>
          <w:trHeight w:val="316"/>
        </w:trPr>
        <w:tc>
          <w:tcPr>
            <w:tcW w:w="1384" w:type="dxa"/>
          </w:tcPr>
          <w:p w14:paraId="371E4AA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2023EF1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Po splatnosti &gt; 90 dnů ≤ 180 dnů</w:t>
            </w:r>
          </w:p>
          <w:p w14:paraId="1D9940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nevýkonných expozic, které jsou po splatnosti více než 90 dnů, ale ne více než 180 dnů</w:t>
            </w:r>
          </w:p>
        </w:tc>
      </w:tr>
      <w:tr w:rsidR="00F5723F" w:rsidRPr="007F4CC8" w14:paraId="1BFF12C6" w14:textId="77777777" w:rsidTr="00D819DE">
        <w:trPr>
          <w:trHeight w:val="316"/>
        </w:trPr>
        <w:tc>
          <w:tcPr>
            <w:tcW w:w="1384" w:type="dxa"/>
          </w:tcPr>
          <w:p w14:paraId="37EF85A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7AE6A53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po splatnosti &gt; 180 dnů ≤ 1 rok</w:t>
            </w:r>
          </w:p>
          <w:p w14:paraId="7D5E0BF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nevýkonných expozic, které jsou po splatnosti více než 180 dnů, ale ne více než 1 rok</w:t>
            </w:r>
          </w:p>
        </w:tc>
      </w:tr>
      <w:tr w:rsidR="00F5723F" w:rsidRPr="007F4CC8" w14:paraId="5DFB5BBD" w14:textId="77777777" w:rsidTr="00D819DE">
        <w:trPr>
          <w:trHeight w:val="695"/>
        </w:trPr>
        <w:tc>
          <w:tcPr>
            <w:tcW w:w="1384" w:type="dxa"/>
          </w:tcPr>
          <w:p w14:paraId="2380076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01A7D8B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Z toho: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po splatnosti &gt; 1 rok ≤ 2 roky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F320BC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nevýkonných expozic, které jsou po splatnosti více než 1 rok, ale ne více než 2 roky</w:t>
            </w:r>
          </w:p>
        </w:tc>
      </w:tr>
      <w:tr w:rsidR="00F5723F" w:rsidRPr="007F4CC8" w14:paraId="5258E83F" w14:textId="77777777" w:rsidTr="00D819DE">
        <w:trPr>
          <w:trHeight w:val="695"/>
        </w:trPr>
        <w:tc>
          <w:tcPr>
            <w:tcW w:w="1384" w:type="dxa"/>
          </w:tcPr>
          <w:p w14:paraId="0EFB43B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586131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po splatnosti &gt; 2 roky ≤ 5 let</w:t>
            </w:r>
          </w:p>
          <w:p w14:paraId="23A37F5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nevýkonných expozic, které jsou po splatnosti více než 2 roky, ale ne více než 5 let</w:t>
            </w:r>
          </w:p>
        </w:tc>
      </w:tr>
      <w:tr w:rsidR="00F5723F" w:rsidRPr="007F4CC8" w14:paraId="74A7660F" w14:textId="77777777" w:rsidTr="00D819DE">
        <w:trPr>
          <w:trHeight w:val="695"/>
        </w:trPr>
        <w:tc>
          <w:tcPr>
            <w:tcW w:w="1384" w:type="dxa"/>
          </w:tcPr>
          <w:p w14:paraId="37D2A9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7B214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po splatnosti &gt; 5 roky ≤ 7 let</w:t>
            </w:r>
          </w:p>
          <w:p w14:paraId="75C72A1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nevýkonných expozic, které jsou po splatnosti více než 5 let, ale ne více než 7 let</w:t>
            </w:r>
          </w:p>
        </w:tc>
      </w:tr>
      <w:tr w:rsidR="00F5723F" w:rsidRPr="007F4CC8" w14:paraId="7522ABA2" w14:textId="77777777" w:rsidTr="00D819DE">
        <w:trPr>
          <w:trHeight w:val="695"/>
        </w:trPr>
        <w:tc>
          <w:tcPr>
            <w:tcW w:w="1384" w:type="dxa"/>
          </w:tcPr>
          <w:p w14:paraId="5503513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7B50CB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Po splatnosti &gt; 7 let</w:t>
            </w:r>
          </w:p>
          <w:p w14:paraId="65908A9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nevýkonných expozic, které jsou po splatnosti více než 7 let</w:t>
            </w:r>
          </w:p>
        </w:tc>
      </w:tr>
      <w:tr w:rsidR="00F5723F" w:rsidRPr="007F4CC8" w14:paraId="627FC416" w14:textId="77777777" w:rsidTr="00D819DE">
        <w:trPr>
          <w:trHeight w:val="695"/>
        </w:trPr>
        <w:tc>
          <w:tcPr>
            <w:tcW w:w="1384" w:type="dxa"/>
          </w:tcPr>
          <w:p w14:paraId="4E1F56B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234DB36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 v selhání</w:t>
            </w:r>
          </w:p>
          <w:p w14:paraId="76E8F80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v selhání podle článku 178 CRR</w:t>
            </w:r>
          </w:p>
        </w:tc>
      </w:tr>
    </w:tbl>
    <w:p w14:paraId="5A926BF6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</w:rPr>
      </w:pPr>
    </w:p>
    <w:p w14:paraId="3E44B2C1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CQ4: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Kvalita nevýkonných expozic podle zeměpisné oblasti</w:t>
      </w:r>
      <w:r>
        <w:rPr>
          <w:b/>
          <w:sz w:val="24"/>
          <w:rFonts w:ascii="Times New Roman" w:hAnsi="Times New Roman"/>
        </w:rPr>
        <w:t xml:space="preserve"> </w:t>
      </w:r>
    </w:p>
    <w:p w14:paraId="6C8A6FA6" w14:textId="3D308C16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Jsou-li zahraniční původní expozice ve všech zahraničních zemích ve všech kategoriích expozic rovny nebo vyšší než 10 % celkových (domácích a zahraničních) původních expozic, zpřístupní velké instituce a jiné kotované instituce informace podle čl. 442 písm. c) a e) CRR podle níže uvedených pokynů k vyplnění šablony EU CQ4, obsažené v příloze XV tohoto prováděcího nařízení.</w:t>
      </w:r>
    </w:p>
    <w:p w14:paraId="15EA35D5" w14:textId="77777777" w:rsidR="00F5723F" w:rsidRPr="007F4CC8" w:rsidRDefault="00F5723F" w:rsidP="00F5723F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5488A4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1FF00A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7B00E53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EE573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4945EA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3411D373" w14:textId="77777777" w:rsidTr="00D819DE">
        <w:trPr>
          <w:trHeight w:val="971"/>
        </w:trPr>
        <w:tc>
          <w:tcPr>
            <w:tcW w:w="1384" w:type="dxa"/>
          </w:tcPr>
          <w:p w14:paraId="6C657A9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0C1DD5F2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Rozvahové expozice</w:t>
            </w:r>
          </w:p>
          <w:p w14:paraId="6FA5509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Rozvahové expozice celkem</w:t>
            </w:r>
          </w:p>
        </w:tc>
      </w:tr>
      <w:tr w:rsidR="00F5723F" w:rsidRPr="007F4CC8" w14:paraId="51358F6B" w14:textId="77777777" w:rsidTr="00D819DE">
        <w:trPr>
          <w:trHeight w:val="3491"/>
        </w:trPr>
        <w:tc>
          <w:tcPr>
            <w:tcW w:w="1384" w:type="dxa"/>
          </w:tcPr>
          <w:p w14:paraId="2AE9C2E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020–070 a 090–140</w:t>
            </w:r>
          </w:p>
        </w:tc>
        <w:tc>
          <w:tcPr>
            <w:tcW w:w="7655" w:type="dxa"/>
          </w:tcPr>
          <w:p w14:paraId="64E74034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Země</w:t>
            </w:r>
          </w:p>
          <w:p w14:paraId="169709BF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Země, v níž jsou expozice dané instituce podstatné v souladu s článkem 432 CRR.</w:t>
            </w:r>
          </w:p>
          <w:p w14:paraId="3B5DABB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Je-li významnost zemí určena pomocí prahové hodnoty významnosti, zpřístupní se tato prahová hodnota, stejně jako seznam nevýznamných zemí zahrnutý v řádcích „Jiné země“.</w:t>
            </w:r>
          </w:p>
          <w:p w14:paraId="139188B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sz w:val="24"/>
                <w:rFonts w:ascii="Times New Roman" w:hAnsi="Times New Roman"/>
              </w:rPr>
              <w:t xml:space="preserve">Instituce přiřadí expozice významné zemi na základě sídla/bydliště dotyčné protistrany.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Expozice vůči nadnárodním organizacím se nepřiřazují k zemi sídla instituce, ale do „Jiné země“.</w:t>
            </w:r>
          </w:p>
        </w:tc>
      </w:tr>
      <w:tr w:rsidR="00F5723F" w:rsidRPr="007F4CC8" w14:paraId="6DA655C2" w14:textId="77777777" w:rsidTr="00D819DE">
        <w:trPr>
          <w:trHeight w:val="728"/>
        </w:trPr>
        <w:tc>
          <w:tcPr>
            <w:tcW w:w="1384" w:type="dxa"/>
          </w:tcPr>
          <w:p w14:paraId="0ECBE0A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080</w:t>
            </w:r>
          </w:p>
        </w:tc>
        <w:tc>
          <w:tcPr>
            <w:tcW w:w="7655" w:type="dxa"/>
          </w:tcPr>
          <w:p w14:paraId="3E7625E8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Podrozvahové expozice</w:t>
            </w:r>
          </w:p>
          <w:p w14:paraId="55991AC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sz w:val="24"/>
                <w:rFonts w:ascii="Times New Roman" w:hAnsi="Times New Roman"/>
              </w:rPr>
              <w:t xml:space="preserve">Viz definice v šabloně EU CR1: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Výkonné a nevýkonné expozice a související rezerva</w:t>
            </w:r>
          </w:p>
        </w:tc>
      </w:tr>
      <w:tr w:rsidR="00F5723F" w:rsidRPr="007F4CC8" w14:paraId="7CC53D70" w14:textId="77777777" w:rsidTr="00D819DE">
        <w:trPr>
          <w:trHeight w:val="367"/>
        </w:trPr>
        <w:tc>
          <w:tcPr>
            <w:tcW w:w="1384" w:type="dxa"/>
          </w:tcPr>
          <w:p w14:paraId="2134D62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03089EE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</w:tbl>
    <w:p w14:paraId="35D2E801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949AB9E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71B31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06691BB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A49B6B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8F3A76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11403E92" w14:textId="77777777" w:rsidTr="00D819DE">
        <w:trPr>
          <w:trHeight w:val="841"/>
        </w:trPr>
        <w:tc>
          <w:tcPr>
            <w:tcW w:w="1384" w:type="dxa"/>
          </w:tcPr>
          <w:p w14:paraId="09590F6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38B0A6AE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 / Jmenovitá hodnota</w:t>
            </w:r>
            <w:r>
              <w:rPr>
                <w:b/>
              </w:rPr>
              <w:t xml:space="preserve"> </w:t>
            </w:r>
          </w:p>
          <w:p w14:paraId="6BF726E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jmenovitá hodnota ve smyslu přílohy V části druhé odst. 118 prováděcího nařízení Komise (EU) č. 680/2014.</w:t>
            </w:r>
          </w:p>
          <w:p w14:paraId="039BF63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týkající se expozic podléhajících znehodnocení se uvádí po odečtení kumulovaných částečných a celkových odpisů.</w:t>
            </w:r>
          </w:p>
        </w:tc>
      </w:tr>
      <w:tr w:rsidR="00F5723F" w:rsidRPr="007F4CC8" w14:paraId="52864A56" w14:textId="77777777" w:rsidTr="00D819DE">
        <w:trPr>
          <w:trHeight w:val="841"/>
        </w:trPr>
        <w:tc>
          <w:tcPr>
            <w:tcW w:w="1384" w:type="dxa"/>
          </w:tcPr>
          <w:p w14:paraId="68AD242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5551DAF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 / jmenovitá hodnota – z toho nevýkonné</w:t>
            </w:r>
          </w:p>
          <w:p w14:paraId="6BF51B3D" w14:textId="77777777" w:rsidR="005F5E08" w:rsidRDefault="00F5723F" w:rsidP="005F5E08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jmenovitá hodnota ve smyslu přílohy V části druhé odst. 118 prováděcího nařízení Komise (EU) č. 680/2014;</w:t>
            </w:r>
            <w:r>
              <w:t xml:space="preserve"> </w:t>
            </w:r>
            <w:r>
              <w:t xml:space="preserve">nevýkonné expozice ve smyslu článku 47a CRR.</w:t>
            </w:r>
          </w:p>
          <w:p w14:paraId="40492E69" w14:textId="334B1B83" w:rsidR="005F5E08" w:rsidRPr="005F5E08" w:rsidRDefault="005F5E08" w:rsidP="005F5E08">
            <w:pPr>
              <w:pStyle w:val="Institutionquisigne"/>
              <w:rPr>
                <w:i w:val="0"/>
                <w:iCs/>
              </w:rPr>
            </w:pPr>
            <w:r>
              <w:rPr>
                <w:i w:val="0"/>
              </w:rPr>
              <w:t xml:space="preserve">Tento sloupec zpřístupňují pouze velké instituce uvedené v čl. 8 odst. 2 tohoto prováděcího nařízení.</w:t>
            </w:r>
          </w:p>
        </w:tc>
      </w:tr>
      <w:tr w:rsidR="00F5723F" w:rsidRPr="007F4CC8" w14:paraId="14383951" w14:textId="77777777" w:rsidTr="00D819DE">
        <w:trPr>
          <w:trHeight w:val="316"/>
        </w:trPr>
        <w:tc>
          <w:tcPr>
            <w:tcW w:w="1384" w:type="dxa"/>
          </w:tcPr>
          <w:p w14:paraId="04DE971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</w:tcPr>
          <w:p w14:paraId="6A56282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 v selhání</w:t>
            </w:r>
          </w:p>
          <w:p w14:paraId="064EB31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Expozice v selhání podle článku 178 CRR</w:t>
            </w:r>
          </w:p>
        </w:tc>
      </w:tr>
      <w:tr w:rsidR="00F5723F" w:rsidRPr="007F4CC8" w14:paraId="7B3D6E5A" w14:textId="77777777" w:rsidTr="00D819DE">
        <w:trPr>
          <w:trHeight w:val="316"/>
        </w:trPr>
        <w:tc>
          <w:tcPr>
            <w:tcW w:w="1384" w:type="dxa"/>
          </w:tcPr>
          <w:p w14:paraId="4BFB9D5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</w:tcPr>
          <w:p w14:paraId="0ED0B07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Hrubá účetní hodnota / jmenovitá hodnota</w:t>
            </w:r>
            <w:r>
              <w:rPr>
                <w:b/>
              </w:rPr>
              <w:t xml:space="preserve"> – </w:t>
            </w:r>
            <w:r>
              <w:rPr>
                <w:b/>
                <w:sz w:val="24"/>
                <w:rFonts w:ascii="Times New Roman" w:hAnsi="Times New Roman"/>
              </w:rPr>
              <w:t xml:space="preserve">z toho podléhající znehodnocení</w:t>
            </w:r>
          </w:p>
          <w:p w14:paraId="3B04845E" w14:textId="77777777" w:rsidR="00F5723F" w:rsidRDefault="00F5723F" w:rsidP="00D819DE">
            <w:pPr>
              <w:pStyle w:val="Fait"/>
              <w:spacing w:before="0" w:after="120"/>
            </w:pPr>
            <w:r>
              <w:t xml:space="preserve">Hrubá účetní nebo jmenovitá hodnota týkající se expozic podléhajících požadavkům na znehodnocení podle platného účetního rámce.</w:t>
            </w:r>
          </w:p>
          <w:p w14:paraId="770E50C4" w14:textId="3A12488A" w:rsidR="005F5E08" w:rsidRPr="005F5E08" w:rsidRDefault="005F5E08" w:rsidP="005F5E08">
            <w:pPr>
              <w:pStyle w:val="Institutionquisigne"/>
            </w:pPr>
            <w:r>
              <w:rPr>
                <w:i w:val="0"/>
              </w:rPr>
              <w:t xml:space="preserve">Tento sloupec zpřístupňují pouze velké instituce uvedené v čl. 8 odst. 2 tohoto prováděcího nařízení.</w:t>
            </w:r>
          </w:p>
        </w:tc>
      </w:tr>
      <w:tr w:rsidR="00F5723F" w:rsidRPr="007F4CC8" w14:paraId="6B18ED66" w14:textId="77777777" w:rsidTr="00D819DE">
        <w:trPr>
          <w:trHeight w:val="316"/>
        </w:trPr>
        <w:tc>
          <w:tcPr>
            <w:tcW w:w="1384" w:type="dxa"/>
          </w:tcPr>
          <w:p w14:paraId="7EBF7C5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1311E30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Kumulované ztráty ze znehodnocení</w:t>
            </w:r>
          </w:p>
          <w:p w14:paraId="303E8FA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Tato položka zahrnuje částky určené v souladu s přílohou V částí druhou odst. 11, 69 až 71, 106 a 110 prováděcího nařízení Komise (EU) č. 680/2014.</w:t>
            </w:r>
          </w:p>
        </w:tc>
      </w:tr>
      <w:tr w:rsidR="00F5723F" w:rsidRPr="007F4CC8" w14:paraId="40921DB0" w14:textId="77777777" w:rsidTr="00D819DE">
        <w:trPr>
          <w:trHeight w:val="695"/>
        </w:trPr>
        <w:tc>
          <w:tcPr>
            <w:tcW w:w="1384" w:type="dxa"/>
          </w:tcPr>
          <w:p w14:paraId="3658610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779051C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Rezervy na podrozvahové závazky a poskytnuté finanční záruky</w:t>
            </w:r>
          </w:p>
          <w:p w14:paraId="769EAE5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řádek uvádí rezervy na podrozvahové poskytnuté přísliby a finanční záruky.</w:t>
            </w:r>
          </w:p>
        </w:tc>
      </w:tr>
      <w:tr w:rsidR="00F5723F" w:rsidRPr="007F4CC8" w14:paraId="232A8B39" w14:textId="77777777" w:rsidTr="00D819DE">
        <w:trPr>
          <w:trHeight w:val="695"/>
        </w:trPr>
        <w:tc>
          <w:tcPr>
            <w:tcW w:w="1384" w:type="dxa"/>
          </w:tcPr>
          <w:p w14:paraId="4089AEB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7CFFC09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Kumulované negativní změny reálné hodnoty z titulu úvěrového rizika u nevýkonných expozic</w:t>
            </w:r>
          </w:p>
          <w:p w14:paraId="7A8D8B6B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Tato položka zahrnuje částky určené v souladu s přílohou V částí druhou odst. 11, 69 až 71, 106 a 110 prováděcího nařízení Komise (EU) č. 680/2014.</w:t>
            </w:r>
          </w:p>
        </w:tc>
      </w:tr>
    </w:tbl>
    <w:p w14:paraId="322BCD38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</w:rPr>
      </w:pPr>
    </w:p>
    <w:p w14:paraId="556CAA12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CQ5: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Úvěrová kvalita úvěrů a pohledávek za nefinančními podniky podle odvětví</w:t>
      </w:r>
    </w:p>
    <w:p w14:paraId="44C54E61" w14:textId="7D933E7A" w:rsidR="00F5723F" w:rsidRPr="007F4CC8" w:rsidRDefault="005F5E08" w:rsidP="0090750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c) a e) CRR zpřístupňují velké instituce a jiné kotované instituce podle následujících pokynů k vyplnění šablony EU CQ5,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5EFBB408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5CB0E9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5482C0E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9368B7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9252E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60710A86" w14:textId="77777777" w:rsidTr="00D819DE">
        <w:trPr>
          <w:trHeight w:val="971"/>
        </w:trPr>
        <w:tc>
          <w:tcPr>
            <w:tcW w:w="1384" w:type="dxa"/>
          </w:tcPr>
          <w:p w14:paraId="372E5F9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010–190</w:t>
            </w:r>
          </w:p>
        </w:tc>
        <w:tc>
          <w:tcPr>
            <w:tcW w:w="7655" w:type="dxa"/>
          </w:tcPr>
          <w:p w14:paraId="0915F442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Členění protistran podle odvětví</w:t>
            </w:r>
          </w:p>
          <w:p w14:paraId="2A4837A2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Zařazení protistrany do určitého odvětví se týká pouze odvětví souvisejících s protistranou, která je nefinančním podnikem.</w:t>
            </w:r>
          </w:p>
          <w:p w14:paraId="2F8B096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Zařazení protistrany do určitého odvětví se řídí výhradně povahou dotyčné protistrany.</w:t>
            </w:r>
            <w:r>
              <w:t xml:space="preserve"> </w:t>
            </w:r>
            <w:r>
              <w:t xml:space="preserve">Klasifikace expozic nabytých společně více než jedním dlužníkem se provádí na základě vlastností toho dlužníka, který byl pro rozhodnutí dané instituce z hlediska poskytnutí této expozice významnějším nebo rozhodujícím.</w:t>
            </w:r>
          </w:p>
          <w:p w14:paraId="03F4C68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Řádky se použijí k uvedení podstatných odvětví nebo typů protistran, vůči nimž instituce evidují expozice.</w:t>
            </w:r>
            <w:r>
              <w:t xml:space="preserve"> </w:t>
            </w:r>
            <w:r>
              <w:t xml:space="preserve">Podstatnost se posuzuje v souladu s článkem 432 CRR a nepodstatná odvětví nebo typy protistran jsou shrnuty v řádku „Ostatní služby“.</w:t>
            </w:r>
          </w:p>
        </w:tc>
      </w:tr>
      <w:tr w:rsidR="00F5723F" w:rsidRPr="007F4CC8" w14:paraId="4B50CEC5" w14:textId="77777777" w:rsidTr="00D819DE">
        <w:trPr>
          <w:trHeight w:val="316"/>
        </w:trPr>
        <w:tc>
          <w:tcPr>
            <w:tcW w:w="1384" w:type="dxa"/>
          </w:tcPr>
          <w:p w14:paraId="6BAD9C9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200</w:t>
            </w:r>
          </w:p>
        </w:tc>
        <w:tc>
          <w:tcPr>
            <w:tcW w:w="7655" w:type="dxa"/>
          </w:tcPr>
          <w:p w14:paraId="7E5CDB2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</w:tbl>
    <w:p w14:paraId="761946C9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C753A4F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2BD8A7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0DE5C8B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4AF56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EB5C2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5D7DFD2" w14:textId="77777777" w:rsidTr="00D819DE">
        <w:trPr>
          <w:trHeight w:val="841"/>
        </w:trPr>
        <w:tc>
          <w:tcPr>
            <w:tcW w:w="1384" w:type="dxa"/>
          </w:tcPr>
          <w:p w14:paraId="435265C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4B16835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</w:t>
            </w:r>
            <w:r>
              <w:rPr>
                <w:b/>
              </w:rPr>
              <w:t xml:space="preserve"> </w:t>
            </w:r>
          </w:p>
          <w:p w14:paraId="39B88AF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</w:t>
            </w:r>
          </w:p>
          <w:p w14:paraId="77B8566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týkající se expozic podléhajících znehodnocení se uvádí po odečtení kumulovaných částečných a celkových odpisů.</w:t>
            </w:r>
          </w:p>
        </w:tc>
      </w:tr>
      <w:tr w:rsidR="00F5723F" w:rsidRPr="007F4CC8" w14:paraId="522D49B2" w14:textId="77777777" w:rsidTr="00D819DE">
        <w:trPr>
          <w:trHeight w:val="841"/>
        </w:trPr>
        <w:tc>
          <w:tcPr>
            <w:tcW w:w="1384" w:type="dxa"/>
          </w:tcPr>
          <w:p w14:paraId="75B267D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58474467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Hrubá účetní hodnota – z toho nevýkonné</w:t>
            </w:r>
            <w:r>
              <w:rPr>
                <w:b/>
              </w:rPr>
              <w:t xml:space="preserve"> </w:t>
            </w:r>
          </w:p>
          <w:p w14:paraId="57048721" w14:textId="77777777" w:rsidR="00F5723F" w:rsidRDefault="00F5723F" w:rsidP="00D819DE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680/2014;</w:t>
            </w:r>
            <w:r>
              <w:t xml:space="preserve"> </w:t>
            </w:r>
            <w:r>
              <w:t xml:space="preserve">nevýkonné expozice ve smyslu článku 47a CRR.</w:t>
            </w:r>
          </w:p>
          <w:p w14:paraId="41180965" w14:textId="73C1D993" w:rsidR="005F5E08" w:rsidRPr="005F5E08" w:rsidRDefault="005F5E08" w:rsidP="0098126E">
            <w:pPr>
              <w:pStyle w:val="Institutionquisigne"/>
              <w:rPr>
                <w:rFonts w:eastAsiaTheme="minorEastAsia"/>
              </w:rPr>
            </w:pPr>
            <w:r>
              <w:rPr>
                <w:i w:val="0"/>
              </w:rPr>
              <w:t xml:space="preserve">Tento sloupec zpřístupňují pouze velké instituce uvedené v čl. 8 odst. 2 tohoto prováděcího nařízení.</w:t>
            </w:r>
          </w:p>
        </w:tc>
      </w:tr>
      <w:tr w:rsidR="00F5723F" w:rsidRPr="007F4CC8" w14:paraId="742039F2" w14:textId="77777777" w:rsidTr="00D819DE">
        <w:trPr>
          <w:trHeight w:val="841"/>
        </w:trPr>
        <w:tc>
          <w:tcPr>
            <w:tcW w:w="1384" w:type="dxa"/>
          </w:tcPr>
          <w:p w14:paraId="2E7121F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45317EBD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 toho v selhání</w:t>
            </w:r>
          </w:p>
          <w:p w14:paraId="16D7E95C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Expozice v selhání podle článku 178 CRR</w:t>
            </w:r>
          </w:p>
        </w:tc>
      </w:tr>
      <w:tr w:rsidR="00F5723F" w:rsidRPr="007F4CC8" w14:paraId="59E7FCCF" w14:textId="77777777" w:rsidTr="00D819DE">
        <w:trPr>
          <w:trHeight w:val="841"/>
        </w:trPr>
        <w:tc>
          <w:tcPr>
            <w:tcW w:w="1384" w:type="dxa"/>
          </w:tcPr>
          <w:p w14:paraId="135BFCB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4AFABF70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Hrubá účetní hodnota úvěrů – z toho úvěry a jiné pohledávky podléhající znehodnocení</w:t>
            </w:r>
          </w:p>
          <w:p w14:paraId="159AB8D6" w14:textId="77777777" w:rsidR="00F5723F" w:rsidRDefault="00F5723F" w:rsidP="00D819DE">
            <w:pPr>
              <w:pStyle w:val="Fait"/>
              <w:spacing w:before="0" w:after="120"/>
            </w:pPr>
            <w:r>
              <w:t xml:space="preserve">Hrubá účetní hodnota týkající se úvěrů a jiných pohledávek podléhajících požadavkům na znehodnocení podle platného účetního rámce</w:t>
            </w:r>
          </w:p>
          <w:p w14:paraId="108F060E" w14:textId="60545641" w:rsidR="005F5E08" w:rsidRPr="005F5E08" w:rsidRDefault="005F5E08" w:rsidP="0098126E">
            <w:pPr>
              <w:pStyle w:val="Institutionquisigne"/>
            </w:pPr>
            <w:r>
              <w:rPr>
                <w:i w:val="0"/>
              </w:rPr>
              <w:t xml:space="preserve">Tento sloupec zpřístupňují pouze velké instituce uvedené v čl. 8 odst. 2 tohoto prováděcího nařízení.</w:t>
            </w:r>
          </w:p>
        </w:tc>
      </w:tr>
      <w:tr w:rsidR="00F5723F" w:rsidRPr="007F4CC8" w14:paraId="3D610B55" w14:textId="77777777" w:rsidTr="00D819DE">
        <w:trPr>
          <w:trHeight w:val="316"/>
        </w:trPr>
        <w:tc>
          <w:tcPr>
            <w:tcW w:w="1384" w:type="dxa"/>
          </w:tcPr>
          <w:p w14:paraId="33DA741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5EA500A8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Kumulované ztráty ze znehodnocení</w:t>
            </w:r>
          </w:p>
          <w:p w14:paraId="7B17067E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Tato položka zahrnuje částky určené v souladu s přílohou V částí druhou odst. 11, 69 až 71, 106 a 110 prováděcího nařízení Komise (EU) č. 680/2014.</w:t>
            </w:r>
          </w:p>
        </w:tc>
      </w:tr>
      <w:tr w:rsidR="00F5723F" w:rsidRPr="007F4CC8" w14:paraId="4BBBFA9F" w14:textId="77777777" w:rsidTr="00D819DE">
        <w:trPr>
          <w:trHeight w:val="316"/>
        </w:trPr>
        <w:tc>
          <w:tcPr>
            <w:tcW w:w="1384" w:type="dxa"/>
          </w:tcPr>
          <w:p w14:paraId="4EFC839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4850E4D0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Kumulované negativní změny reálné hodnoty z titulu úvěrového rizika u nevýkonných expozic</w:t>
            </w:r>
          </w:p>
          <w:p w14:paraId="6266D8C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Nevýkonné expozice ve smyslu článku 47a CRR</w:t>
            </w:r>
          </w:p>
          <w:p w14:paraId="1E98172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Instituce zahrnou částky určené v souladu s přílohou V částí druhou odst. 11, 69 až 71, 106 a 110 prováděcího nařízení Komise (EU) č. 680/2014.</w:t>
            </w:r>
          </w:p>
        </w:tc>
      </w:tr>
    </w:tbl>
    <w:p w14:paraId="058A70FE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B1D81D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CQ6: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Ocenění kolaterálu – úvěry a pohledávky</w:t>
      </w:r>
    </w:p>
    <w:p w14:paraId="260AC61C" w14:textId="4E2AB3A4" w:rsidR="00F5723F" w:rsidRPr="007F4CC8" w:rsidRDefault="00BE49C3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 c) CRR zpřístupňují velké instituce uvedené v čl. 8 odst. 2 tohoto prováděcího nařízení podle následujících pokynů k vyplnění šablony EU CQ6,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0379647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5EF213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55BC730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1037D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03A402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91BCCBF" w14:textId="77777777" w:rsidTr="00D819DE">
        <w:trPr>
          <w:trHeight w:val="971"/>
        </w:trPr>
        <w:tc>
          <w:tcPr>
            <w:tcW w:w="1384" w:type="dxa"/>
          </w:tcPr>
          <w:p w14:paraId="3995E9B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4733608D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Hrubá účetní hodnota</w:t>
            </w:r>
            <w:r>
              <w:rPr>
                <w:b/>
              </w:rPr>
              <w:t xml:space="preserve"> </w:t>
            </w:r>
          </w:p>
          <w:p w14:paraId="190BE9F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Hrubá účetní hodnota ve smyslu přílohy V části první odst. 34 prováděcího nařízení Komise (EU) č. 680/2014</w:t>
            </w:r>
          </w:p>
        </w:tc>
      </w:tr>
      <w:tr w:rsidR="00F5723F" w:rsidRPr="007F4CC8" w14:paraId="3EBA0B7A" w14:textId="77777777" w:rsidTr="00D819DE">
        <w:trPr>
          <w:trHeight w:val="971"/>
        </w:trPr>
        <w:tc>
          <w:tcPr>
            <w:tcW w:w="1384" w:type="dxa"/>
          </w:tcPr>
          <w:p w14:paraId="3A8AACA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</w:t>
            </w:r>
          </w:p>
        </w:tc>
        <w:tc>
          <w:tcPr>
            <w:tcW w:w="7655" w:type="dxa"/>
          </w:tcPr>
          <w:p w14:paraId="750F5B43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 toho zajištěné</w:t>
            </w:r>
            <w:r>
              <w:rPr>
                <w:b/>
              </w:rPr>
              <w:t xml:space="preserve"> </w:t>
            </w:r>
          </w:p>
          <w:p w14:paraId="692D013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V tomto řádku se zpřístupňuje hrubá účetní hodnota zajištěných a částečně zajištěných úvěrů ve smyslu přílohy V části první odst. 34 prováděcího nařízení Komise (EU) č. 680/2014.</w:t>
            </w:r>
          </w:p>
          <w:p w14:paraId="7E93855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Nezajištěné úvěry a jiné pohledávky zahrnují expozice, za něž nebyl zastaven kolaterál ani nebyly obdrženy finanční záruky;</w:t>
            </w:r>
            <w:r>
              <w:t xml:space="preserve"> </w:t>
            </w:r>
            <w:r>
              <w:t xml:space="preserve">v tomto řádku se uvádí nezajištěná část částečně zajištěných nebo částečně zaručených expozic v souladu s přílohou V částí druhou odst. 323 prováděcího nařízení Komise (EU) č. 680/2014.</w:t>
            </w:r>
          </w:p>
          <w:p w14:paraId="7C6F8B4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Zajištěné úvěry a jiné pohledávky proto musí být vypočítány jako rozdíl mezi hrubou účetní hodnotou všech úvěrů a jiných pohledávek a hrubou účetní hodnotou nezajištěných úvěrů a jiných pohledávek a budou zahrnovat zajištěnou i nezajištěnou část úvěru.</w:t>
            </w:r>
          </w:p>
          <w:p w14:paraId="5E3F5558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V případě nadměrného zajištění se zpřístupní hrubá účetní hodnota úvěru.</w:t>
            </w:r>
          </w:p>
        </w:tc>
      </w:tr>
      <w:tr w:rsidR="00F5723F" w:rsidRPr="007F4CC8" w14:paraId="16E52E95" w14:textId="77777777" w:rsidTr="00D819DE">
        <w:trPr>
          <w:trHeight w:val="971"/>
        </w:trPr>
        <w:tc>
          <w:tcPr>
            <w:tcW w:w="1384" w:type="dxa"/>
          </w:tcPr>
          <w:p w14:paraId="0257207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030</w:t>
            </w:r>
          </w:p>
        </w:tc>
        <w:tc>
          <w:tcPr>
            <w:tcW w:w="7655" w:type="dxa"/>
          </w:tcPr>
          <w:p w14:paraId="638614BA" w14:textId="77777777" w:rsidR="00F5723F" w:rsidRPr="007F4CC8" w:rsidRDefault="00F5723F" w:rsidP="00D819DE">
            <w:pPr>
              <w:pStyle w:val="Fait"/>
              <w:spacing w:before="0" w:after="120"/>
              <w:ind w:left="144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 toho zajištěné nemovitostmi</w:t>
            </w:r>
          </w:p>
          <w:p w14:paraId="29D6220E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Úvěry zajištěné nemovitým majetkem zahrnují úvěry a jiné pohledávky formálně zajištěné kolaterálem ve formě obytných nebo komerčních nemovitostí, nezávisle na poměru úvěr/kolaterál (běžně označovaném jako „poměr úvěru k hodnotě“) a právní formě kolaterálu ve smyslu přílohy V části druhé odst. 86 písm. a) prováděcího nařízení Komise (EU) č. 680/2014.</w:t>
            </w:r>
          </w:p>
        </w:tc>
      </w:tr>
      <w:tr w:rsidR="00F5723F" w:rsidRPr="007F4CC8" w14:paraId="6326BEBE" w14:textId="77777777" w:rsidTr="00D819DE">
        <w:trPr>
          <w:trHeight w:val="971"/>
        </w:trPr>
        <w:tc>
          <w:tcPr>
            <w:tcW w:w="1384" w:type="dxa"/>
          </w:tcPr>
          <w:p w14:paraId="7138C625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040</w:t>
            </w:r>
          </w:p>
        </w:tc>
        <w:tc>
          <w:tcPr>
            <w:tcW w:w="7655" w:type="dxa"/>
          </w:tcPr>
          <w:p w14:paraId="2A16663D" w14:textId="77777777" w:rsidR="00F5723F" w:rsidRPr="007F4CC8" w:rsidRDefault="00F5723F" w:rsidP="00D819DE">
            <w:pPr>
              <w:pStyle w:val="Fait"/>
              <w:spacing w:before="0" w:after="120"/>
              <w:ind w:left="216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 toho nástroje s poměrem LTV vyšším než 60 % a nižším nebo rovným 80 %</w:t>
            </w:r>
          </w:p>
          <w:p w14:paraId="385D021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Poměr úvěru k hodnotě (LTV) se vypočítá pomocí metody výpočtu uvedené pro „stávající LTV“ v doporučení Evropské rady pro systémová rizika o doplnění chybějících údajů o nemovitostech (ESRB/2016/14)</w:t>
            </w:r>
            <w:r w:rsidRPr="007F4CC8">
              <w:rPr>
                <w:rStyle w:val="FootnoteReference"/>
                <w:i w:val="0"/>
              </w:rPr>
              <w:footnoteReference w:id="6"/>
            </w:r>
            <w:r>
              <w:rPr>
                <w:i w:val="0"/>
              </w:rPr>
              <w:t xml:space="preserve">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Instituce uvedou hrubou účetní hodnotu úvěrů a jiných pohledávek s poměrem LTV vyšším než 60 % a nižším nebo rovným 80 %.</w:t>
            </w:r>
          </w:p>
        </w:tc>
      </w:tr>
      <w:tr w:rsidR="00F5723F" w:rsidRPr="007F4CC8" w14:paraId="3395915B" w14:textId="77777777" w:rsidTr="00D819DE">
        <w:trPr>
          <w:trHeight w:val="971"/>
        </w:trPr>
        <w:tc>
          <w:tcPr>
            <w:tcW w:w="1384" w:type="dxa"/>
          </w:tcPr>
          <w:p w14:paraId="60705F4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050</w:t>
            </w:r>
          </w:p>
        </w:tc>
        <w:tc>
          <w:tcPr>
            <w:tcW w:w="7655" w:type="dxa"/>
          </w:tcPr>
          <w:p w14:paraId="52051CD6" w14:textId="77777777" w:rsidR="00F5723F" w:rsidRPr="007F4CC8" w:rsidRDefault="00F5723F" w:rsidP="00D819DE">
            <w:pPr>
              <w:pStyle w:val="Fait"/>
              <w:spacing w:before="0" w:after="120"/>
              <w:ind w:left="216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 toho nástroje s poměrem LTV vyšším než 80 % a nižším nebo rovným 100 %</w:t>
            </w:r>
          </w:p>
          <w:p w14:paraId="29300DF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Instituce uvedou hrubou účetní hodnotu úvěrů a jiných pohledávek s poměrem LTV vyšším než 80 % a nižším nebo rovným 100 %.</w:t>
            </w:r>
          </w:p>
        </w:tc>
      </w:tr>
      <w:tr w:rsidR="00F5723F" w:rsidRPr="007F4CC8" w14:paraId="7957C1FE" w14:textId="77777777" w:rsidTr="00D819DE">
        <w:trPr>
          <w:trHeight w:val="971"/>
        </w:trPr>
        <w:tc>
          <w:tcPr>
            <w:tcW w:w="1384" w:type="dxa"/>
          </w:tcPr>
          <w:p w14:paraId="0BF61FD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060</w:t>
            </w:r>
          </w:p>
        </w:tc>
        <w:tc>
          <w:tcPr>
            <w:tcW w:w="7655" w:type="dxa"/>
          </w:tcPr>
          <w:p w14:paraId="7C30FF8E" w14:textId="77777777" w:rsidR="00F5723F" w:rsidRPr="007F4CC8" w:rsidRDefault="00F5723F" w:rsidP="00D819DE">
            <w:pPr>
              <w:pStyle w:val="Fait"/>
              <w:spacing w:before="0" w:after="120"/>
              <w:ind w:left="216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Z toho nástroje s poměrem LTV vyšším než 100 %</w:t>
            </w:r>
          </w:p>
          <w:p w14:paraId="7EC8D31B" w14:textId="77777777" w:rsidR="00F5723F" w:rsidRPr="007F4CC8" w:rsidRDefault="00F5723F" w:rsidP="00D819DE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Hrubá účetní hodnota úvěrů a jiných pohledávek s poměrem LTV vyšším než 100 %</w:t>
            </w:r>
          </w:p>
        </w:tc>
      </w:tr>
      <w:tr w:rsidR="00F5723F" w:rsidRPr="007F4CC8" w14:paraId="23DE4FA5" w14:textId="77777777" w:rsidTr="00D819DE">
        <w:trPr>
          <w:trHeight w:val="316"/>
        </w:trPr>
        <w:tc>
          <w:tcPr>
            <w:tcW w:w="1384" w:type="dxa"/>
          </w:tcPr>
          <w:p w14:paraId="36BA31F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201BEB4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Kumulovaná ztráta ze znehodnocení zajištěných aktiv</w:t>
            </w:r>
          </w:p>
          <w:p w14:paraId="6A1F04F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U zajištěných dluhových nástrojů se kumulované ztráty ze znehodnocení vypočítají jako zaúčtovaná kumulativní výše ztrát ze znehodnocení bez použití a zrušení, dle potřeby pro každý stupeň znehodnocení (příloha V část druhá odst. 70 prováděcího nařízení Komise (EU) č. 680/2014).</w:t>
            </w:r>
          </w:p>
          <w:p w14:paraId="430EA50A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Do tohoto řádku se zahrnou kumulované ztráty ze znehodnocení týkající se nezajištěné části částečně zajištěné nebo částečně zaručené expozice.</w:t>
            </w:r>
          </w:p>
        </w:tc>
      </w:tr>
      <w:tr w:rsidR="00F5723F" w:rsidRPr="007F4CC8" w14:paraId="05BFD6F3" w14:textId="77777777" w:rsidTr="00D819DE">
        <w:trPr>
          <w:trHeight w:val="316"/>
        </w:trPr>
        <w:tc>
          <w:tcPr>
            <w:tcW w:w="1384" w:type="dxa"/>
          </w:tcPr>
          <w:p w14:paraId="22A22CB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4299E55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Kolaterál - z toho hodnota omezená na hodnotu expozice</w:t>
            </w:r>
          </w:p>
          <w:p w14:paraId="24FFD5F5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Částky pro přijatý kolaterál se vypočítají v souladu s přílohou V částí druhou odst. 239 prováděcího nařízení Komise (EU) č. 680/2014.</w:t>
            </w:r>
            <w:r>
              <w:t xml:space="preserve"> </w:t>
            </w:r>
            <w:r>
              <w:t xml:space="preserve">Součet částek kolaterálu v tomto řádku nepřesáhne účetní hodnotu související expozice.</w:t>
            </w:r>
          </w:p>
        </w:tc>
      </w:tr>
      <w:tr w:rsidR="00F5723F" w:rsidRPr="007F4CC8" w14:paraId="5711A68F" w14:textId="77777777" w:rsidTr="00D819DE">
        <w:trPr>
          <w:trHeight w:val="316"/>
        </w:trPr>
        <w:tc>
          <w:tcPr>
            <w:tcW w:w="1384" w:type="dxa"/>
          </w:tcPr>
          <w:p w14:paraId="2BA5CB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127F68B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 nemovitosti</w:t>
            </w:r>
          </w:p>
          <w:p w14:paraId="3CE13C0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Část kolaterálu sestávající z obytných nebo komerčních nemovitostí (příloha V část druhá odst. 173 písm. a) prováděcího nařízení Komise (EU) č. 680/2014)</w:t>
            </w:r>
          </w:p>
          <w:p w14:paraId="27C8A29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Součet částek kolaterálu v tomto řádku nepřesáhne účetní hodnotu související expozice.</w:t>
            </w:r>
          </w:p>
        </w:tc>
      </w:tr>
      <w:tr w:rsidR="00F5723F" w:rsidRPr="007F4CC8" w14:paraId="097BEC7A" w14:textId="77777777" w:rsidTr="00D819DE">
        <w:trPr>
          <w:trHeight w:val="316"/>
        </w:trPr>
        <w:tc>
          <w:tcPr>
            <w:tcW w:w="1384" w:type="dxa"/>
          </w:tcPr>
          <w:p w14:paraId="5B2FAE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110</w:t>
            </w:r>
          </w:p>
        </w:tc>
        <w:tc>
          <w:tcPr>
            <w:tcW w:w="7655" w:type="dxa"/>
          </w:tcPr>
          <w:p w14:paraId="4F552CB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Kolaterál – z toho hodnota nad horním limitem</w:t>
            </w:r>
          </w:p>
          <w:p w14:paraId="11A1DBDA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V tomto řádku se zpřístupňuje rozdíl mezi skutečnou hodnotou kolaterálu a zastropovanou hodnotou kolaterálu (účetní hodnota související expozice) (instituce nepoužijí k výpočtu skutečné hodnoty kolaterálu přílohu V část druhou odst. 239 prováděcího nařízení Komise (EU) č. 680/2014).</w:t>
            </w:r>
          </w:p>
        </w:tc>
      </w:tr>
      <w:tr w:rsidR="00F5723F" w:rsidRPr="007F4CC8" w14:paraId="7C96F615" w14:textId="77777777" w:rsidTr="00D819DE">
        <w:trPr>
          <w:trHeight w:val="316"/>
        </w:trPr>
        <w:tc>
          <w:tcPr>
            <w:tcW w:w="1384" w:type="dxa"/>
          </w:tcPr>
          <w:p w14:paraId="722BB33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120</w:t>
            </w:r>
          </w:p>
        </w:tc>
        <w:tc>
          <w:tcPr>
            <w:tcW w:w="7655" w:type="dxa"/>
          </w:tcPr>
          <w:p w14:paraId="118786A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toho nemovitosti</w:t>
            </w:r>
          </w:p>
          <w:p w14:paraId="17463CCB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Rozdíl mezi skutečnou a zastropovanou hodnotou části kolaterálu sestávající z obytných nebo komerčních nemovitostí (příloha V část druhá odst. 173 písm. a) prováděcího nařízení Komise (EU) č. 680/2014)</w:t>
            </w:r>
          </w:p>
        </w:tc>
      </w:tr>
      <w:tr w:rsidR="00F5723F" w:rsidRPr="007F4CC8" w14:paraId="1B2EADA1" w14:textId="77777777" w:rsidTr="00D819DE">
        <w:trPr>
          <w:trHeight w:val="316"/>
        </w:trPr>
        <w:tc>
          <w:tcPr>
            <w:tcW w:w="1384" w:type="dxa"/>
          </w:tcPr>
          <w:p w14:paraId="466B88A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130</w:t>
            </w:r>
          </w:p>
        </w:tc>
        <w:tc>
          <w:tcPr>
            <w:tcW w:w="7655" w:type="dxa"/>
          </w:tcPr>
          <w:p w14:paraId="26654BD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Přijaté finanční záruky</w:t>
            </w:r>
          </w:p>
          <w:p w14:paraId="171BA8FD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Ve smyslu přílohy V části druhé odst. 114 prováděcího nařízení Komise (EU) č. 680/2014</w:t>
            </w:r>
          </w:p>
        </w:tc>
      </w:tr>
      <w:tr w:rsidR="00F5723F" w:rsidRPr="007F4CC8" w14:paraId="713A855D" w14:textId="77777777" w:rsidTr="00D819DE">
        <w:trPr>
          <w:trHeight w:val="316"/>
        </w:trPr>
        <w:tc>
          <w:tcPr>
            <w:tcW w:w="1384" w:type="dxa"/>
          </w:tcPr>
          <w:p w14:paraId="68C7CA6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140</w:t>
            </w:r>
          </w:p>
        </w:tc>
        <w:tc>
          <w:tcPr>
            <w:tcW w:w="7655" w:type="dxa"/>
          </w:tcPr>
          <w:p w14:paraId="53ACFE9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Kumulované částečné odpisy</w:t>
            </w:r>
          </w:p>
          <w:p w14:paraId="2EAF44D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Tato položka zahrnuje kumulovanou dílčí hodnotu k referenčnímu datu jistiny a narostlé úroky a poplatky po splatnosti u všech dluhových nástrojů, které byly k dnešnímu dni odúčtovány pomocí jedné z metod popsaných v příloze V části druhé odst. 74 prováděcího nařízení Komise (EU) č. 680/2014, které se zpřístupňují, neboť instituce oprávněně neočekává, že dané smluvní peněžní toky získá zpět.</w:t>
            </w:r>
            <w:r>
              <w:t xml:space="preserve"> </w:t>
            </w:r>
            <w:r>
              <w:t xml:space="preserve">Tyto částky se zpřístupňují až do úplného zániku všech práv dané instituce podle data uplynutí stanovené promlčecí lhůty, prominutí či jiných příčin, nebo až do splacení.</w:t>
            </w:r>
            <w:r>
              <w:t xml:space="preserve"> </w:t>
            </w:r>
            <w:r>
              <w:t xml:space="preserve">Proto v případě, že odepsané částky nebyly splaceny, zpřístupňují se, dokud probíhá vymáhání.</w:t>
            </w:r>
          </w:p>
          <w:p w14:paraId="14F0B41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Odpisy představují odúčtování a vztahují se k finančnímu aktivu jako celku nebo (v případě částečného odpisu) k jeho části, včetně případů, kdy změna aktiva vede instituci k tomu, aby se vzdala práva vybírat peněžní toky buď z části aktiva, nebo z celého aktiva.</w:t>
            </w:r>
          </w:p>
        </w:tc>
      </w:tr>
    </w:tbl>
    <w:p w14:paraId="6D1B2FE7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5644ED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70999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5B207C2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D54041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D123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44CBE89" w14:textId="77777777" w:rsidTr="00D819DE">
        <w:trPr>
          <w:trHeight w:val="841"/>
        </w:trPr>
        <w:tc>
          <w:tcPr>
            <w:tcW w:w="1384" w:type="dxa"/>
          </w:tcPr>
          <w:p w14:paraId="0846E80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233F95C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Úvěry a jiné pohledávky</w:t>
            </w:r>
          </w:p>
          <w:p w14:paraId="5960DEB5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05DA9F15" w14:textId="77777777" w:rsidTr="00D819DE">
        <w:trPr>
          <w:trHeight w:val="841"/>
        </w:trPr>
        <w:tc>
          <w:tcPr>
            <w:tcW w:w="1384" w:type="dxa"/>
          </w:tcPr>
          <w:p w14:paraId="3F36867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9D1E823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Úvěry a jiné pohledávky – z toho výkonné</w:t>
            </w:r>
            <w:r>
              <w:rPr>
                <w:b/>
                <w:i w:val="0"/>
              </w:rPr>
              <w:t xml:space="preserve"> </w:t>
            </w:r>
          </w:p>
          <w:p w14:paraId="74C35D2E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68FB2DE0" w14:textId="77777777" w:rsidTr="00D819DE">
        <w:trPr>
          <w:trHeight w:val="841"/>
        </w:trPr>
        <w:tc>
          <w:tcPr>
            <w:tcW w:w="1384" w:type="dxa"/>
          </w:tcPr>
          <w:p w14:paraId="2F15955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6A0FD51E" w14:textId="77777777" w:rsidR="00F5723F" w:rsidRPr="007F4CC8" w:rsidRDefault="00F5723F" w:rsidP="00D819DE">
            <w:pPr>
              <w:pStyle w:val="Institutionquisigne"/>
              <w:spacing w:before="0" w:after="120"/>
              <w:ind w:left="7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Z toho po splatnosti &gt; 30 dnů ≤ 90 dnů</w:t>
            </w:r>
          </w:p>
          <w:p w14:paraId="7C6FD2E9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Podkategorie výkonných úvěrů a jiných pohledávek, které jsou 31–90 dnů po splatnosti</w:t>
            </w:r>
          </w:p>
        </w:tc>
      </w:tr>
      <w:tr w:rsidR="00F5723F" w:rsidRPr="007F4CC8" w14:paraId="4D549E56" w14:textId="77777777" w:rsidTr="00D819DE">
        <w:trPr>
          <w:trHeight w:val="841"/>
        </w:trPr>
        <w:tc>
          <w:tcPr>
            <w:tcW w:w="1384" w:type="dxa"/>
          </w:tcPr>
          <w:p w14:paraId="071BE6A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546D8829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Úvěry a jiné pohledávky – z toho nevýkonné expozice</w:t>
            </w:r>
          </w:p>
          <w:p w14:paraId="090D7CC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Nevýkonné expozice ve smyslu článku 47a CRR</w:t>
            </w:r>
          </w:p>
          <w:p w14:paraId="657825F2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Viz definice v šabloně EU CR1:</w:t>
            </w:r>
            <w:r>
              <w:t xml:space="preserve"> </w:t>
            </w:r>
            <w:r>
              <w:t xml:space="preserve">Výkonné a nevýkonné expozice a související rezerva</w:t>
            </w:r>
          </w:p>
        </w:tc>
      </w:tr>
      <w:tr w:rsidR="00F5723F" w:rsidRPr="007F4CC8" w14:paraId="7B1B7E03" w14:textId="77777777" w:rsidTr="00D819DE">
        <w:trPr>
          <w:trHeight w:val="316"/>
        </w:trPr>
        <w:tc>
          <w:tcPr>
            <w:tcW w:w="1384" w:type="dxa"/>
          </w:tcPr>
          <w:p w14:paraId="424B38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5AD228AA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</w:rPr>
            </w:pPr>
            <w:r>
              <w:rPr>
                <w:b/>
              </w:rPr>
              <w:t xml:space="preserve">Z toho zřejmě nebudou uhrazeny, ale nejsou po splatnosti, nebo jsou po splatnosti ≤ 90 dnů</w:t>
            </w:r>
          </w:p>
          <w:p w14:paraId="4B6EF78B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Podkategorie úvěrů a jiných pohledávek, které buď nejsou po splatnosti, nebo jsou po splatnosti nejvýše 90 dnů, ale jsou přesto identifikovány jako nevýkonné z důvodu pravděpodobnosti, že nebudou plně splaceny ve smyslu článku 47a CRR</w:t>
            </w:r>
          </w:p>
        </w:tc>
      </w:tr>
      <w:tr w:rsidR="00F5723F" w:rsidRPr="007F4CC8" w14:paraId="10CBED89" w14:textId="77777777" w:rsidTr="00D819DE">
        <w:trPr>
          <w:trHeight w:val="316"/>
        </w:trPr>
        <w:tc>
          <w:tcPr>
            <w:tcW w:w="1384" w:type="dxa"/>
          </w:tcPr>
          <w:p w14:paraId="68BE363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6432E95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 splatnosti &gt; 90 dnů</w:t>
            </w:r>
          </w:p>
          <w:p w14:paraId="102FB1F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Podkategorie úvěrů a jiných pohledávek, které jsou více než 90 dnů po splatnosti</w:t>
            </w:r>
          </w:p>
        </w:tc>
      </w:tr>
      <w:tr w:rsidR="00F5723F" w:rsidRPr="007F4CC8" w14:paraId="3E62B3F7" w14:textId="77777777" w:rsidTr="00D819DE">
        <w:trPr>
          <w:trHeight w:val="316"/>
        </w:trPr>
        <w:tc>
          <w:tcPr>
            <w:tcW w:w="1384" w:type="dxa"/>
          </w:tcPr>
          <w:p w14:paraId="7A6464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78650B0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 toho po splatnosti &gt; 90 dnů ≤ 180 dnů</w:t>
            </w:r>
          </w:p>
          <w:p w14:paraId="5764502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úvěrů a jiných pohledávek, které jsou 91–180 dnů po splatnosti</w:t>
            </w:r>
          </w:p>
        </w:tc>
      </w:tr>
      <w:tr w:rsidR="00F5723F" w:rsidRPr="007F4CC8" w14:paraId="53BF6257" w14:textId="77777777" w:rsidTr="00D819DE">
        <w:trPr>
          <w:trHeight w:val="316"/>
        </w:trPr>
        <w:tc>
          <w:tcPr>
            <w:tcW w:w="1384" w:type="dxa"/>
          </w:tcPr>
          <w:p w14:paraId="6B9EEA7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4A969C7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 toho po splatnosti &gt; 180 dnů ≤ 1 rok</w:t>
            </w:r>
          </w:p>
          <w:p w14:paraId="0EFE7AF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úvěrů a jiných pohledávek, které jsou 181 dnů až 1 rok po splatnosti</w:t>
            </w:r>
          </w:p>
        </w:tc>
      </w:tr>
      <w:tr w:rsidR="00F5723F" w:rsidRPr="007F4CC8" w14:paraId="53C45B08" w14:textId="77777777" w:rsidTr="00D819DE">
        <w:trPr>
          <w:trHeight w:val="316"/>
        </w:trPr>
        <w:tc>
          <w:tcPr>
            <w:tcW w:w="1384" w:type="dxa"/>
          </w:tcPr>
          <w:p w14:paraId="702C87E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7767BDF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 toho po splatnosti &gt; 1 rok ≤ 2 roky</w:t>
            </w:r>
          </w:p>
          <w:p w14:paraId="61F01E3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úvěrů a jiných pohledávek, které jsou 1–2 roky po splatnosti</w:t>
            </w:r>
          </w:p>
        </w:tc>
      </w:tr>
      <w:tr w:rsidR="00F5723F" w:rsidRPr="007F4CC8" w14:paraId="674C942C" w14:textId="77777777" w:rsidTr="00D819DE">
        <w:trPr>
          <w:trHeight w:val="316"/>
        </w:trPr>
        <w:tc>
          <w:tcPr>
            <w:tcW w:w="1384" w:type="dxa"/>
          </w:tcPr>
          <w:p w14:paraId="2EE5121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4F370B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 toho po splatnosti &gt; 2 roky ≤ 5 let</w:t>
            </w:r>
          </w:p>
          <w:p w14:paraId="2A38FCF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úvěrů a jiných pohledávek, které jsou 2–5 let po splatnosti</w:t>
            </w:r>
          </w:p>
        </w:tc>
      </w:tr>
      <w:tr w:rsidR="00F5723F" w:rsidRPr="007F4CC8" w14:paraId="09E821DE" w14:textId="77777777" w:rsidTr="00D819DE">
        <w:trPr>
          <w:trHeight w:val="316"/>
        </w:trPr>
        <w:tc>
          <w:tcPr>
            <w:tcW w:w="1384" w:type="dxa"/>
          </w:tcPr>
          <w:p w14:paraId="7FDD480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672131E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 toho po splatnosti &gt; 5 let ≤ 7 let</w:t>
            </w:r>
          </w:p>
          <w:p w14:paraId="7F841A0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úvěrů a jiných pohledávek, které jsou 5–7 let po splatnosti</w:t>
            </w:r>
          </w:p>
        </w:tc>
      </w:tr>
      <w:tr w:rsidR="00F5723F" w:rsidRPr="007F4CC8" w14:paraId="57791BEF" w14:textId="77777777" w:rsidTr="00D819DE">
        <w:trPr>
          <w:trHeight w:val="316"/>
        </w:trPr>
        <w:tc>
          <w:tcPr>
            <w:tcW w:w="1384" w:type="dxa"/>
          </w:tcPr>
          <w:p w14:paraId="2967FD8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15758FD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 toho po splatnosti &gt; 7 let</w:t>
            </w:r>
          </w:p>
          <w:p w14:paraId="5A1AF6C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Podkategorie úvěrů a jiných pohledávek, které jsou více než 7 let po splatnosti.</w:t>
            </w:r>
          </w:p>
        </w:tc>
      </w:tr>
    </w:tbl>
    <w:p w14:paraId="5C31872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731AA92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CQ7: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Kolaterál získaný převzetím a exekucemi</w:t>
      </w:r>
    </w:p>
    <w:p w14:paraId="60D809AB" w14:textId="6BFE598C" w:rsidR="00F5723F" w:rsidRPr="007F4CC8" w:rsidRDefault="00F5723F" w:rsidP="0090750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 c) CRR zpřístupňují instituce podle následujících pokynů k vyplnění šablony EU CQ7,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00656C6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F7D07E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0B33EBC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E3BE47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AB775E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67CFBCBB" w14:textId="77777777" w:rsidTr="00D819DE">
        <w:trPr>
          <w:trHeight w:val="1286"/>
        </w:trPr>
        <w:tc>
          <w:tcPr>
            <w:tcW w:w="1384" w:type="dxa"/>
          </w:tcPr>
          <w:p w14:paraId="61E7F8BE" w14:textId="77777777" w:rsidR="00F5723F" w:rsidRPr="007F4CC8" w:rsidRDefault="00F5723F" w:rsidP="00D819DE">
            <w:pPr>
              <w:spacing w:after="120"/>
            </w:pPr>
            <w:r>
              <w:t xml:space="preserve">010</w:t>
            </w:r>
          </w:p>
        </w:tc>
        <w:tc>
          <w:tcPr>
            <w:tcW w:w="7655" w:type="dxa"/>
          </w:tcPr>
          <w:p w14:paraId="1B3E829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Pozemky, budovy a zařízení</w:t>
            </w:r>
          </w:p>
          <w:p w14:paraId="4825A8F6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Instituce uvedou stav kolaterálu získaného převzetím, který k rozvahovému dni zůstává vykázán v rozvaze a který je klasifikován jako pozemky, budovy a zařízení.</w:t>
            </w:r>
          </w:p>
        </w:tc>
      </w:tr>
      <w:tr w:rsidR="00F5723F" w:rsidRPr="007F4CC8" w14:paraId="1541F8CB" w14:textId="77777777" w:rsidTr="00D819DE">
        <w:trPr>
          <w:trHeight w:val="620"/>
        </w:trPr>
        <w:tc>
          <w:tcPr>
            <w:tcW w:w="1384" w:type="dxa"/>
          </w:tcPr>
          <w:p w14:paraId="27884A32" w14:textId="77777777" w:rsidR="00F5723F" w:rsidRPr="007F4CC8" w:rsidRDefault="00F5723F" w:rsidP="00D819DE">
            <w:pPr>
              <w:spacing w:after="120"/>
            </w:pPr>
            <w:r>
              <w:t xml:space="preserve">020</w:t>
            </w:r>
          </w:p>
        </w:tc>
        <w:tc>
          <w:tcPr>
            <w:tcW w:w="7655" w:type="dxa"/>
          </w:tcPr>
          <w:p w14:paraId="3293281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Jiné než pozemky, budovy a zařízení</w:t>
            </w:r>
          </w:p>
          <w:p w14:paraId="527608F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V tomto řádku bude automaticky uveden stav kolaterálu získaného převzetím, který k rozvahovému dni zůstává vykázán v rozvaze a není klasifikován jako pozemky, budovy a zařízení.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Celkový stav bude vypočítán s přihlédnutím k počátečnímu stavu (od konce posledního účetního období) a přítoku a odtoku během období, za něž se informace zpřístupňují (od konce posledního účetního období).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Kolaterál získaný převzetím (jiný než pozemky, budovy a zařízení) se v řádcích uvádí podle typu kolaterálu.</w:t>
            </w:r>
          </w:p>
        </w:tc>
      </w:tr>
      <w:tr w:rsidR="00F5723F" w:rsidRPr="007F4CC8" w14:paraId="417A1D6E" w14:textId="77777777" w:rsidTr="00D819DE">
        <w:trPr>
          <w:trHeight w:val="1286"/>
        </w:trPr>
        <w:tc>
          <w:tcPr>
            <w:tcW w:w="1384" w:type="dxa"/>
          </w:tcPr>
          <w:p w14:paraId="1EF24529" w14:textId="77777777" w:rsidR="00F5723F" w:rsidRPr="007F4CC8" w:rsidRDefault="00F5723F" w:rsidP="00D819DE">
            <w:pPr>
              <w:spacing w:after="120"/>
            </w:pPr>
            <w:r>
              <w:t xml:space="preserve">030</w:t>
            </w:r>
          </w:p>
        </w:tc>
        <w:tc>
          <w:tcPr>
            <w:tcW w:w="7655" w:type="dxa"/>
          </w:tcPr>
          <w:p w14:paraId="4F53FF5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Obytné nemovitosti</w:t>
            </w:r>
          </w:p>
          <w:p w14:paraId="6476ED4A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Kolaterál získaný převzetím obytných nemovitostí (např. domů, bytů atd.) nebo nemovitostí s takovým potenciálním budoucím využitím (např. nedokončených obytných nemovitostí atd.).</w:t>
            </w:r>
          </w:p>
        </w:tc>
      </w:tr>
      <w:tr w:rsidR="00F5723F" w:rsidRPr="007F4CC8" w14:paraId="10479C0C" w14:textId="77777777" w:rsidTr="00D819DE">
        <w:trPr>
          <w:trHeight w:val="1286"/>
        </w:trPr>
        <w:tc>
          <w:tcPr>
            <w:tcW w:w="1384" w:type="dxa"/>
          </w:tcPr>
          <w:p w14:paraId="04C7CDDF" w14:textId="77777777" w:rsidR="00F5723F" w:rsidRPr="007F4CC8" w:rsidRDefault="00F5723F" w:rsidP="00D819DE">
            <w:pPr>
              <w:spacing w:after="120"/>
            </w:pPr>
            <w:r>
              <w:t xml:space="preserve">040</w:t>
            </w:r>
          </w:p>
        </w:tc>
        <w:tc>
          <w:tcPr>
            <w:tcW w:w="7655" w:type="dxa"/>
            <w:shd w:val="clear" w:color="auto" w:fill="auto"/>
          </w:tcPr>
          <w:p w14:paraId="00318D6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Obchodní nemovitosti</w:t>
            </w:r>
          </w:p>
          <w:p w14:paraId="0809598B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Kolaterál získaný převzetím komerčních nebo průmyslových nemovitostí, které lze použít pro podnikatelské a/nebo investiční účely, nebo jakýchkoli nemovitostí, které nejsou obytnými nemovitostmi popsanými výše</w:t>
            </w:r>
          </w:p>
          <w:p w14:paraId="69BCEFC7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Do této kategorie se zahrnují i pozemky (nezemědělské i zemědělské).</w:t>
            </w:r>
          </w:p>
        </w:tc>
      </w:tr>
      <w:tr w:rsidR="00F5723F" w:rsidRPr="007F4CC8" w14:paraId="008DCAE5" w14:textId="77777777" w:rsidTr="00D819DE">
        <w:trPr>
          <w:trHeight w:val="1286"/>
        </w:trPr>
        <w:tc>
          <w:tcPr>
            <w:tcW w:w="1384" w:type="dxa"/>
          </w:tcPr>
          <w:p w14:paraId="263A3F18" w14:textId="77777777" w:rsidR="00F5723F" w:rsidRPr="007F4CC8" w:rsidRDefault="00F5723F" w:rsidP="00D819DE">
            <w:pPr>
              <w:spacing w:after="120"/>
            </w:pPr>
            <w:r>
              <w:t xml:space="preserve">050</w:t>
            </w:r>
          </w:p>
        </w:tc>
        <w:tc>
          <w:tcPr>
            <w:tcW w:w="7655" w:type="dxa"/>
            <w:shd w:val="clear" w:color="auto" w:fill="auto"/>
          </w:tcPr>
          <w:p w14:paraId="2393412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Movitý majetek (automobily, přeprava atd.)</w:t>
            </w:r>
          </w:p>
          <w:p w14:paraId="633843C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V tomto řádku se uvádí kolaterál získaný převzetím jiného než nemovitého majetku.</w:t>
            </w:r>
          </w:p>
        </w:tc>
      </w:tr>
      <w:tr w:rsidR="00F5723F" w:rsidRPr="007F4CC8" w14:paraId="7DB13568" w14:textId="77777777" w:rsidTr="00D819DE">
        <w:trPr>
          <w:trHeight w:val="1286"/>
        </w:trPr>
        <w:tc>
          <w:tcPr>
            <w:tcW w:w="1384" w:type="dxa"/>
          </w:tcPr>
          <w:p w14:paraId="5AAD683D" w14:textId="77777777" w:rsidR="00F5723F" w:rsidRPr="007F4CC8" w:rsidRDefault="00F5723F" w:rsidP="00D819DE">
            <w:pPr>
              <w:spacing w:after="120"/>
            </w:pPr>
            <w:r>
              <w:t xml:space="preserve">060</w:t>
            </w:r>
          </w:p>
        </w:tc>
        <w:tc>
          <w:tcPr>
            <w:tcW w:w="7655" w:type="dxa"/>
            <w:shd w:val="clear" w:color="auto" w:fill="auto"/>
          </w:tcPr>
          <w:p w14:paraId="4984DD1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Kapitálové a dluhové nástroje</w:t>
            </w:r>
          </w:p>
          <w:p w14:paraId="0922234F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V tomto řádku se uvádí kolaterál získaný převzetím kapitálových nebo dluhových nástrojů.</w:t>
            </w:r>
          </w:p>
        </w:tc>
      </w:tr>
      <w:tr w:rsidR="00F5723F" w:rsidRPr="007F4CC8" w14:paraId="3C7D9F8F" w14:textId="77777777" w:rsidTr="00D819DE">
        <w:trPr>
          <w:trHeight w:val="1286"/>
        </w:trPr>
        <w:tc>
          <w:tcPr>
            <w:tcW w:w="1384" w:type="dxa"/>
          </w:tcPr>
          <w:p w14:paraId="125AE154" w14:textId="77777777" w:rsidR="00F5723F" w:rsidRPr="007F4CC8" w:rsidRDefault="00F5723F" w:rsidP="00D819DE">
            <w:pPr>
              <w:spacing w:after="120"/>
            </w:pPr>
            <w:r>
              <w:t xml:space="preserve">070</w:t>
            </w:r>
          </w:p>
        </w:tc>
        <w:tc>
          <w:tcPr>
            <w:tcW w:w="7655" w:type="dxa"/>
          </w:tcPr>
          <w:p w14:paraId="438301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Ostatní kolaterál</w:t>
            </w:r>
          </w:p>
          <w:p w14:paraId="13DB598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Kolaterál získaný převzetím, který nespadá do kategorií v ostatních řádcích</w:t>
            </w:r>
          </w:p>
          <w:p w14:paraId="6105F46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Je-li hodnota v tomto řádku poměrně významná, jsou instituce žádány o poskytnutí doplňujících informací v komentáři připojeném k této šabloně.</w:t>
            </w:r>
          </w:p>
        </w:tc>
      </w:tr>
      <w:tr w:rsidR="00F5723F" w:rsidRPr="007F4CC8" w14:paraId="2F438B9F" w14:textId="77777777" w:rsidTr="00D819DE">
        <w:trPr>
          <w:trHeight w:val="316"/>
        </w:trPr>
        <w:tc>
          <w:tcPr>
            <w:tcW w:w="1384" w:type="dxa"/>
          </w:tcPr>
          <w:p w14:paraId="3A5EF4C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67E09F1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4D5025EE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2D207385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6CC0D2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107514E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FC889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30FCE9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77EA31BB" w14:textId="77777777" w:rsidTr="00D819DE">
        <w:trPr>
          <w:trHeight w:val="841"/>
        </w:trPr>
        <w:tc>
          <w:tcPr>
            <w:tcW w:w="1384" w:type="dxa"/>
          </w:tcPr>
          <w:p w14:paraId="76AFB58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4DD454E3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Kolaterál získaný převzetím – Hodnota při prvním zaúčtování</w:t>
            </w:r>
          </w:p>
          <w:p w14:paraId="65C955B7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Instituce v tomto sloupci uvedou hrubou účetní hodnotu kolaterálu získaného převzetím v hodnotě při prvním zaúčtování v rozvaze instituce.</w:t>
            </w:r>
          </w:p>
        </w:tc>
      </w:tr>
      <w:tr w:rsidR="00F5723F" w:rsidRPr="007F4CC8" w14:paraId="22D7A202" w14:textId="77777777" w:rsidTr="00D819DE">
        <w:trPr>
          <w:trHeight w:val="841"/>
        </w:trPr>
        <w:tc>
          <w:tcPr>
            <w:tcW w:w="1384" w:type="dxa"/>
          </w:tcPr>
          <w:p w14:paraId="6E82D47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C1E752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Kolaterál získaný převzetím – Kumulované negativní změny</w:t>
            </w:r>
          </w:p>
          <w:p w14:paraId="27807C5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Kumulované ztráty ze znehodnocení nebo kumulované negativní změny hodnoty kolaterálu získaného převzetím při prvotním zaúčtování, jak je popsáno výše.</w:t>
            </w:r>
          </w:p>
          <w:p w14:paraId="072EA0B3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Instituce rovněž uvedou kumulované negativní změny z důvodu případných odpisů pozemků, budov a zařízení a investičních nemovitostí.</w:t>
            </w:r>
          </w:p>
        </w:tc>
      </w:tr>
    </w:tbl>
    <w:p w14:paraId="456EFC4B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4DD1B3B8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CQ8: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Kolaterál získaný převzetím a exekucemi – podle roku původu</w:t>
      </w:r>
    </w:p>
    <w:p w14:paraId="00E877F5" w14:textId="6C934AD7" w:rsidR="00F5723F" w:rsidRPr="007F4CC8" w:rsidRDefault="00BE49C3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podle čl. 442 písm. c) CRR zpřístupňují velké instituce uvedené v čl. 8 odst. 2 tohoto prováděcího nařízení podle následujících pokynů k vyplnění šablony EU CQ8, obsažené v příloze 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1FE280B" w14:textId="77777777" w:rsidTr="00D819DE">
        <w:trPr>
          <w:trHeight w:val="238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4EAAD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6E990AB7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E531D1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90C9C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142C9332" w14:textId="77777777" w:rsidTr="00D819DE">
        <w:trPr>
          <w:trHeight w:val="1286"/>
        </w:trPr>
        <w:tc>
          <w:tcPr>
            <w:tcW w:w="1384" w:type="dxa"/>
          </w:tcPr>
          <w:p w14:paraId="003CF643" w14:textId="77777777" w:rsidR="00F5723F" w:rsidRPr="007F4CC8" w:rsidRDefault="00F5723F" w:rsidP="00D819DE">
            <w:pPr>
              <w:spacing w:after="120"/>
            </w:pPr>
            <w:r>
              <w:t xml:space="preserve">010</w:t>
            </w:r>
          </w:p>
        </w:tc>
        <w:tc>
          <w:tcPr>
            <w:tcW w:w="7655" w:type="dxa"/>
          </w:tcPr>
          <w:p w14:paraId="3DC00B7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Pozemky, budovy a zařízení</w:t>
            </w:r>
          </w:p>
          <w:p w14:paraId="0B854EC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Instituce uvedou stav kolaterálu získaného převzetím, který k rozvahovému dni zůstává vykázán v rozvaze a který je klasifikován jako pozemky, budovy a zařízení.</w:t>
            </w:r>
          </w:p>
        </w:tc>
      </w:tr>
      <w:tr w:rsidR="00F5723F" w:rsidRPr="007F4CC8" w14:paraId="72BA74D4" w14:textId="77777777" w:rsidTr="00D819DE">
        <w:trPr>
          <w:trHeight w:val="620"/>
        </w:trPr>
        <w:tc>
          <w:tcPr>
            <w:tcW w:w="1384" w:type="dxa"/>
          </w:tcPr>
          <w:p w14:paraId="0D17A9A7" w14:textId="77777777" w:rsidR="00F5723F" w:rsidRPr="007F4CC8" w:rsidRDefault="00F5723F" w:rsidP="00D819DE">
            <w:pPr>
              <w:spacing w:after="120"/>
            </w:pPr>
            <w:r>
              <w:t xml:space="preserve">020</w:t>
            </w:r>
          </w:p>
        </w:tc>
        <w:tc>
          <w:tcPr>
            <w:tcW w:w="7655" w:type="dxa"/>
          </w:tcPr>
          <w:p w14:paraId="5FD41FE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Jiné než pozemky, budovy a zařízení</w:t>
            </w:r>
          </w:p>
          <w:p w14:paraId="67D85ED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V tomto řádku bude automaticky uveden stav kolaterálu získaného převzetím, který k rozvahovému dni zůstává vykázán v rozvaze a není klasifikován jako pozemky, budovy a zařízení.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Celkový stav bude vypočítán s přihlédnutím k počátečnímu stavu (od konce posledního účetního období) a přítoku a odtoku během období, za něž se informace zpřístupňují (od konce posledního účetního období).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Kolaterál získaný převzetím (jiný než pozemky, budovy a zařízení) se v řádcích uvádí podle typu kolaterálu.</w:t>
            </w:r>
          </w:p>
        </w:tc>
      </w:tr>
      <w:tr w:rsidR="00F5723F" w:rsidRPr="007F4CC8" w14:paraId="3670580E" w14:textId="77777777" w:rsidTr="00D819DE">
        <w:trPr>
          <w:trHeight w:val="1286"/>
        </w:trPr>
        <w:tc>
          <w:tcPr>
            <w:tcW w:w="1384" w:type="dxa"/>
          </w:tcPr>
          <w:p w14:paraId="7620E159" w14:textId="77777777" w:rsidR="00F5723F" w:rsidRPr="007F4CC8" w:rsidRDefault="00F5723F" w:rsidP="00D819DE">
            <w:pPr>
              <w:spacing w:after="120"/>
            </w:pPr>
            <w:r>
              <w:t xml:space="preserve">030</w:t>
            </w:r>
          </w:p>
        </w:tc>
        <w:tc>
          <w:tcPr>
            <w:tcW w:w="7655" w:type="dxa"/>
          </w:tcPr>
          <w:p w14:paraId="667208B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Obytné nemovitosti</w:t>
            </w:r>
          </w:p>
          <w:p w14:paraId="3FC65324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Kolaterál získaný převzetím obytných nemovitostí (např. domů, bytů atd.) nebo nemovitostí s takovým potenciálním budoucím využitím (např. nedokončených obytných nemovitostí atd.).</w:t>
            </w:r>
          </w:p>
        </w:tc>
      </w:tr>
      <w:tr w:rsidR="00F5723F" w:rsidRPr="007F4CC8" w14:paraId="6D1969BD" w14:textId="77777777" w:rsidTr="00D819DE">
        <w:trPr>
          <w:trHeight w:val="554"/>
        </w:trPr>
        <w:tc>
          <w:tcPr>
            <w:tcW w:w="1384" w:type="dxa"/>
          </w:tcPr>
          <w:p w14:paraId="0EEEF1F9" w14:textId="77777777" w:rsidR="00F5723F" w:rsidRPr="007F4CC8" w:rsidRDefault="00F5723F" w:rsidP="00D819DE">
            <w:pPr>
              <w:spacing w:after="120"/>
            </w:pPr>
            <w:r>
              <w:t xml:space="preserve">040</w:t>
            </w:r>
          </w:p>
        </w:tc>
        <w:tc>
          <w:tcPr>
            <w:tcW w:w="7655" w:type="dxa"/>
          </w:tcPr>
          <w:p w14:paraId="7FC58B9C" w14:textId="77777777" w:rsidR="00F5723F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Obchodní nemovitosti</w:t>
            </w:r>
          </w:p>
          <w:p w14:paraId="5889DBAD" w14:textId="77777777" w:rsidR="00F5723F" w:rsidRPr="00BE57B5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Kolaterál získaný převzetím komerčních nebo průmyslových nemovitostí, které lze použít pro podnikatelské a/nebo investiční účely, nebo jakýchkoli nemovitostí, které nejsou obytnými nemovitostmi popsanými výše</w:t>
            </w:r>
          </w:p>
          <w:p w14:paraId="3BBD6D5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Do této kategorie se zahrnují i pozemky (nezemědělské i zemědělské).</w:t>
            </w:r>
          </w:p>
        </w:tc>
      </w:tr>
      <w:tr w:rsidR="00F5723F" w:rsidRPr="007F4CC8" w14:paraId="70B2A045" w14:textId="77777777" w:rsidTr="00D819DE">
        <w:trPr>
          <w:trHeight w:val="1003"/>
        </w:trPr>
        <w:tc>
          <w:tcPr>
            <w:tcW w:w="1384" w:type="dxa"/>
          </w:tcPr>
          <w:p w14:paraId="02FA7984" w14:textId="77777777" w:rsidR="00F5723F" w:rsidRPr="007F4CC8" w:rsidRDefault="00F5723F" w:rsidP="00D819DE">
            <w:pPr>
              <w:spacing w:after="120"/>
            </w:pPr>
            <w:r>
              <w:t xml:space="preserve">050</w:t>
            </w:r>
          </w:p>
        </w:tc>
        <w:tc>
          <w:tcPr>
            <w:tcW w:w="7655" w:type="dxa"/>
          </w:tcPr>
          <w:p w14:paraId="5E14682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Movitý majetek (automobily, přeprava atd.)</w:t>
            </w:r>
          </w:p>
          <w:p w14:paraId="4FEDCBD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V tomto řádku se uvádí kolaterál získaný převzetím jiného než nemovitého majetku.</w:t>
            </w:r>
          </w:p>
        </w:tc>
      </w:tr>
      <w:tr w:rsidR="00F5723F" w:rsidRPr="007F4CC8" w14:paraId="068F822C" w14:textId="77777777" w:rsidTr="00D819DE">
        <w:trPr>
          <w:trHeight w:val="636"/>
        </w:trPr>
        <w:tc>
          <w:tcPr>
            <w:tcW w:w="1384" w:type="dxa"/>
          </w:tcPr>
          <w:p w14:paraId="0FBB5FBF" w14:textId="77777777" w:rsidR="00F5723F" w:rsidRPr="007F4CC8" w:rsidRDefault="00F5723F" w:rsidP="00D819DE">
            <w:pPr>
              <w:spacing w:after="120"/>
            </w:pPr>
            <w:r>
              <w:t xml:space="preserve">060</w:t>
            </w:r>
          </w:p>
        </w:tc>
        <w:tc>
          <w:tcPr>
            <w:tcW w:w="7655" w:type="dxa"/>
          </w:tcPr>
          <w:p w14:paraId="2254CC6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Kapitálové a dluhové nástroje</w:t>
            </w:r>
          </w:p>
          <w:p w14:paraId="2A33214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V tomto řádku se uvádí kolaterál získaný převzetím kapitálových nebo dluhových nástrojů.</w:t>
            </w:r>
          </w:p>
        </w:tc>
      </w:tr>
      <w:tr w:rsidR="00F5723F" w:rsidRPr="007F4CC8" w14:paraId="3AADCF39" w14:textId="77777777" w:rsidTr="00D819DE">
        <w:trPr>
          <w:trHeight w:val="1286"/>
        </w:trPr>
        <w:tc>
          <w:tcPr>
            <w:tcW w:w="1384" w:type="dxa"/>
          </w:tcPr>
          <w:p w14:paraId="4A81975E" w14:textId="77777777" w:rsidR="00F5723F" w:rsidRPr="007F4CC8" w:rsidRDefault="00F5723F" w:rsidP="00D819DE">
            <w:pPr>
              <w:spacing w:after="120"/>
            </w:pPr>
            <w:r>
              <w:t xml:space="preserve">070</w:t>
            </w:r>
          </w:p>
        </w:tc>
        <w:tc>
          <w:tcPr>
            <w:tcW w:w="7655" w:type="dxa"/>
          </w:tcPr>
          <w:p w14:paraId="6898D2A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Ostatní kolaterál</w:t>
            </w:r>
          </w:p>
          <w:p w14:paraId="49D55064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Kolaterál získaný převzetím, který nespadá do kategorií v ostatních řádcích.</w:t>
            </w:r>
            <w:r>
              <w:rPr>
                <w:i w:val="0"/>
              </w:rPr>
              <w:t xml:space="preserve"> </w:t>
            </w:r>
          </w:p>
          <w:p w14:paraId="1779E75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Je-li hodnota v tomto řádku poměrně významná, jsou instituce žádány o poskytnutí doplňujících informací v komentáři připojeném k této šabloně.</w:t>
            </w:r>
          </w:p>
        </w:tc>
      </w:tr>
      <w:tr w:rsidR="00F5723F" w:rsidRPr="007F4CC8" w14:paraId="2361FAB6" w14:textId="77777777" w:rsidTr="00D819DE">
        <w:trPr>
          <w:trHeight w:val="316"/>
        </w:trPr>
        <w:tc>
          <w:tcPr>
            <w:tcW w:w="1384" w:type="dxa"/>
          </w:tcPr>
          <w:p w14:paraId="38F3A1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759655A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  <w:tr w:rsidR="00F5723F" w:rsidRPr="007F4CC8" w14:paraId="0B6354CA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0DBCD6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F5723F" w:rsidRPr="007F4CC8" w14:paraId="627D1AD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CB88C9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F685F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5723F" w:rsidRPr="007F4CC8" w14:paraId="1FE0EC5C" w14:textId="77777777" w:rsidTr="00D819DE">
        <w:trPr>
          <w:trHeight w:val="841"/>
        </w:trPr>
        <w:tc>
          <w:tcPr>
            <w:tcW w:w="1384" w:type="dxa"/>
          </w:tcPr>
          <w:p w14:paraId="747B44A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3804B9D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Snížení dluhového zůstatku – hrubá účetní hodnota</w:t>
            </w:r>
          </w:p>
          <w:p w14:paraId="285B4A59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Hrubá hodnota dluhu, který byl zrušen výměnou za kolaterál získaný převzetím, v přesný okamžik výměny, na základě soudního řízení nebo dvoustranné dohody</w:t>
            </w:r>
          </w:p>
          <w:p w14:paraId="514003DC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Hrubá hodnota se vypočítá jako hrubé snížení zůstatku nástroje bez zohlednění rezerv.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Pro vyloučení pochyb, v tomto sloupci se neuvádí snížení zůstatku z jiných důvodů (např. inkasa hotovosti).</w:t>
            </w:r>
          </w:p>
        </w:tc>
      </w:tr>
      <w:tr w:rsidR="00F5723F" w:rsidRPr="007F4CC8" w14:paraId="6B1B3AB3" w14:textId="77777777" w:rsidTr="00D819DE">
        <w:trPr>
          <w:trHeight w:val="841"/>
        </w:trPr>
        <w:tc>
          <w:tcPr>
            <w:tcW w:w="1384" w:type="dxa"/>
          </w:tcPr>
          <w:p w14:paraId="12D84C4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0EF41FB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Snížení dluhového zůstatku – kumulované negativní změny</w:t>
            </w:r>
          </w:p>
          <w:p w14:paraId="46722924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Kumulované ztráty ze znehodnocení nebo kumulované negativní změny hodnoty kolaterálu získaného převzetím při prvotním zaúčtování, jak je popsáno výše.</w:t>
            </w:r>
          </w:p>
          <w:p w14:paraId="24A12C9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Viz definice v šabloně CQ7 „Kolaterál získaný převzetím a exekucemi“.</w:t>
            </w:r>
          </w:p>
          <w:p w14:paraId="5639310A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Instituce uvedou kumulované negativní změny z důvodu případných odpisů pozemků, budov a zařízení a investičních nemovitostí.</w:t>
            </w:r>
          </w:p>
        </w:tc>
      </w:tr>
      <w:tr w:rsidR="00F5723F" w:rsidRPr="007F4CC8" w14:paraId="5F3C8C1C" w14:textId="77777777" w:rsidTr="00D819DE">
        <w:trPr>
          <w:trHeight w:val="841"/>
        </w:trPr>
        <w:tc>
          <w:tcPr>
            <w:tcW w:w="1384" w:type="dxa"/>
          </w:tcPr>
          <w:p w14:paraId="0EA7DEB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5917C55B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hodnota při prvním zaúčtování</w:t>
            </w:r>
          </w:p>
          <w:p w14:paraId="7FFB1AB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Instituce v tomto sloupci uvedou hrubou účetní hodnotu kolaterálu získaného převzetím v hodnotě při prvním zaúčtování v rozvaze instituce.</w:t>
            </w:r>
          </w:p>
        </w:tc>
      </w:tr>
      <w:tr w:rsidR="00F5723F" w:rsidRPr="007F4CC8" w14:paraId="649D757C" w14:textId="77777777" w:rsidTr="00D819DE">
        <w:trPr>
          <w:trHeight w:val="841"/>
        </w:trPr>
        <w:tc>
          <w:tcPr>
            <w:tcW w:w="1384" w:type="dxa"/>
          </w:tcPr>
          <w:p w14:paraId="30D7FFD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697EA3A2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kumulované negativní změny</w:t>
            </w:r>
          </w:p>
          <w:p w14:paraId="3A587776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Kumulované ztráty ze znehodnocení nebo kumulované negativní změny hodnoty kolaterálu získaného převzetím při prvotním zaúčtování, jak je popsáno výše.</w:t>
            </w:r>
            <w:r>
              <w:rPr>
                <w:i w:val="0"/>
              </w:rPr>
              <w:t xml:space="preserve"> </w:t>
            </w:r>
          </w:p>
          <w:p w14:paraId="6EEBBC23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Instituce uvedou kumulované negativní změny z důvodu případných odpisů pozemků, budov a zařízení a investičních nemovitostí.</w:t>
            </w:r>
          </w:p>
        </w:tc>
      </w:tr>
      <w:tr w:rsidR="00F5723F" w:rsidRPr="007F4CC8" w14:paraId="1E52FA3A" w14:textId="77777777" w:rsidTr="00D819DE">
        <w:trPr>
          <w:trHeight w:val="841"/>
        </w:trPr>
        <w:tc>
          <w:tcPr>
            <w:tcW w:w="1384" w:type="dxa"/>
          </w:tcPr>
          <w:p w14:paraId="07B1101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e</w:t>
            </w:r>
          </w:p>
        </w:tc>
        <w:tc>
          <w:tcPr>
            <w:tcW w:w="7655" w:type="dxa"/>
          </w:tcPr>
          <w:p w14:paraId="2EC3B187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Ponechaný ≤ 2 roky – z toho: hodnota při prvním zaúčtování</w:t>
            </w:r>
            <w:r>
              <w:rPr>
                <w:b/>
                <w:i w:val="0"/>
              </w:rPr>
              <w:t xml:space="preserve"> </w:t>
            </w:r>
          </w:p>
          <w:p w14:paraId="247E5A17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Hodnota při prvním zaúčtování kolaterálu získaného převzetím a zaúčtovaného v rozvaze k referenčnímu datu sledovaného období po dobu 2 let nebo méně</w:t>
            </w:r>
          </w:p>
        </w:tc>
      </w:tr>
      <w:tr w:rsidR="00F5723F" w:rsidRPr="007F4CC8" w14:paraId="764F5CF5" w14:textId="77777777" w:rsidTr="00D819DE">
        <w:trPr>
          <w:trHeight w:val="841"/>
        </w:trPr>
        <w:tc>
          <w:tcPr>
            <w:tcW w:w="1384" w:type="dxa"/>
          </w:tcPr>
          <w:p w14:paraId="70563CB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</w:t>
            </w:r>
          </w:p>
        </w:tc>
        <w:tc>
          <w:tcPr>
            <w:tcW w:w="7655" w:type="dxa"/>
          </w:tcPr>
          <w:p w14:paraId="37631FE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Ponechaný ≤ 2 roky – z toho: kumulované negativní změny</w:t>
            </w:r>
          </w:p>
          <w:p w14:paraId="70CCA7D4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Kumulované negativní změny kolaterálu získaného převzetím a zaúčtovaného v rozvaze k referenčnímu datu sledovaného období po dobu 2 let nebo méně</w:t>
            </w:r>
          </w:p>
        </w:tc>
      </w:tr>
      <w:tr w:rsidR="00F5723F" w:rsidRPr="007F4CC8" w14:paraId="5DBC4907" w14:textId="77777777" w:rsidTr="00D819DE">
        <w:trPr>
          <w:trHeight w:val="841"/>
        </w:trPr>
        <w:tc>
          <w:tcPr>
            <w:tcW w:w="1384" w:type="dxa"/>
          </w:tcPr>
          <w:p w14:paraId="5DAE276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g</w:t>
            </w:r>
          </w:p>
        </w:tc>
        <w:tc>
          <w:tcPr>
            <w:tcW w:w="7655" w:type="dxa"/>
          </w:tcPr>
          <w:p w14:paraId="7D2A72C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Ponechaný &gt; 2 roky ≤ 5 let – z toho hodnota při prvním zaúčtování</w:t>
            </w:r>
            <w:r>
              <w:rPr>
                <w:b/>
                <w:i w:val="0"/>
              </w:rPr>
              <w:t xml:space="preserve"> </w:t>
            </w:r>
          </w:p>
          <w:p w14:paraId="60815C3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Hodnota při prvním zaúčtování kolaterálu získaného převzetím a zaúčtovaného v rozvaze k referenčnímu datu sledovaného období po dobu více než 2 roky a méně než 5 let</w:t>
            </w:r>
          </w:p>
        </w:tc>
      </w:tr>
      <w:tr w:rsidR="00F5723F" w:rsidRPr="007F4CC8" w14:paraId="515AAE57" w14:textId="77777777" w:rsidTr="00D819DE">
        <w:trPr>
          <w:trHeight w:val="841"/>
        </w:trPr>
        <w:tc>
          <w:tcPr>
            <w:tcW w:w="1384" w:type="dxa"/>
          </w:tcPr>
          <w:p w14:paraId="1B4A8C9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h</w:t>
            </w:r>
          </w:p>
        </w:tc>
        <w:tc>
          <w:tcPr>
            <w:tcW w:w="7655" w:type="dxa"/>
          </w:tcPr>
          <w:p w14:paraId="15FFC6F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Ponechaný &gt; 2 roky ≤ 5 let – z toho: kumulované negativní změny</w:t>
            </w:r>
          </w:p>
          <w:p w14:paraId="10817463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Kumulované negativní změny kolaterálu získaného převzetím a zaúčtovaného v rozvaze k referenčnímu datu sledovaného období po dobu více než 2 roky a méně než 5 let</w:t>
            </w:r>
          </w:p>
        </w:tc>
      </w:tr>
      <w:tr w:rsidR="00F5723F" w:rsidRPr="007F4CC8" w14:paraId="554E7761" w14:textId="77777777" w:rsidTr="00D819DE">
        <w:trPr>
          <w:trHeight w:val="841"/>
        </w:trPr>
        <w:tc>
          <w:tcPr>
            <w:tcW w:w="1384" w:type="dxa"/>
          </w:tcPr>
          <w:p w14:paraId="1EDF182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</w:t>
            </w:r>
          </w:p>
        </w:tc>
        <w:tc>
          <w:tcPr>
            <w:tcW w:w="7655" w:type="dxa"/>
          </w:tcPr>
          <w:p w14:paraId="6FAF1E48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Ponechaný &gt; 5 let – z toho: hodnota při prvním zaúčtování</w:t>
            </w:r>
          </w:p>
          <w:p w14:paraId="2C29A93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Hodnota při prvním zaúčtování kolaterálu získaného převzetím a zaúčtovaného v rozvaze k referenčnímu datu sledovaného období po dobu více než 5 let</w:t>
            </w:r>
          </w:p>
        </w:tc>
      </w:tr>
      <w:tr w:rsidR="00F5723F" w:rsidRPr="007F4CC8" w14:paraId="3A0CF611" w14:textId="77777777" w:rsidTr="00D819DE">
        <w:trPr>
          <w:trHeight w:val="841"/>
        </w:trPr>
        <w:tc>
          <w:tcPr>
            <w:tcW w:w="1384" w:type="dxa"/>
          </w:tcPr>
          <w:p w14:paraId="3E46A57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j</w:t>
            </w:r>
          </w:p>
        </w:tc>
        <w:tc>
          <w:tcPr>
            <w:tcW w:w="7655" w:type="dxa"/>
          </w:tcPr>
          <w:p w14:paraId="3747CA23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Ponechaný &gt; 5 let – z toho: kumulované negativní změny</w:t>
            </w:r>
          </w:p>
          <w:p w14:paraId="582261C0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Kumulované negativní změny kolaterálu získaného převzetím a zaúčtovaného v rozvaze k referenčnímu datu sledovaného období po dobu více než 5 let</w:t>
            </w:r>
          </w:p>
        </w:tc>
      </w:tr>
      <w:tr w:rsidR="00F5723F" w:rsidRPr="007F4CC8" w14:paraId="05933070" w14:textId="77777777" w:rsidTr="00D819DE">
        <w:trPr>
          <w:trHeight w:val="841"/>
        </w:trPr>
        <w:tc>
          <w:tcPr>
            <w:tcW w:w="1384" w:type="dxa"/>
          </w:tcPr>
          <w:p w14:paraId="1E48B28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k</w:t>
            </w:r>
          </w:p>
        </w:tc>
        <w:tc>
          <w:tcPr>
            <w:tcW w:w="7655" w:type="dxa"/>
          </w:tcPr>
          <w:p w14:paraId="65F6DD42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Z toho neoběžná aktiva určená k prodeji – z toho hodnota při prvním zaúčtování</w:t>
            </w:r>
          </w:p>
          <w:p w14:paraId="4A93077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Zpřístupňuje se hodnota při prvním zaúčtování kolaterálu získaného převzetím, který je klasifikován jako neoběžná aktiva k prodeji.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Není-li tato klasifikace relevantní podle účetního rámce platného pro danou instituci, tyto informace se neposkytují.</w:t>
            </w:r>
          </w:p>
        </w:tc>
      </w:tr>
      <w:tr w:rsidR="00F5723F" w:rsidRPr="007F4CC8" w14:paraId="1F23FA86" w14:textId="77777777" w:rsidTr="00D819DE">
        <w:trPr>
          <w:trHeight w:val="841"/>
        </w:trPr>
        <w:tc>
          <w:tcPr>
            <w:tcW w:w="1384" w:type="dxa"/>
          </w:tcPr>
          <w:p w14:paraId="7AB5ECF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</w:t>
            </w:r>
          </w:p>
        </w:tc>
        <w:tc>
          <w:tcPr>
            <w:tcW w:w="7655" w:type="dxa"/>
          </w:tcPr>
          <w:p w14:paraId="30517782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Celkový kolaterál získaný převzetím – Z toho neoběžná aktiva určená k prodeji – z toho kumulované negativní změny</w:t>
            </w:r>
          </w:p>
          <w:p w14:paraId="406288B9" w14:textId="77777777" w:rsidR="00F5723F" w:rsidRPr="007F4CC8" w:rsidRDefault="00F5723F" w:rsidP="00D819DE">
            <w:pPr>
              <w:pStyle w:val="Personnequisigne"/>
              <w:spacing w:after="120"/>
              <w:jc w:val="both"/>
            </w:pPr>
            <w:r>
              <w:rPr>
                <w:i w:val="0"/>
              </w:rPr>
              <w:t xml:space="preserve">Uvádí se kumulované negativní změny kolaterálu získaného převzetím, který je klasifikován jako neoběžná aktiva k prodeji.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Není-li tato klasifikace relevantní podle účetního rámce platného pro danou instituci, tyto informace se neposkytují.</w:t>
            </w:r>
          </w:p>
        </w:tc>
      </w:tr>
    </w:tbl>
    <w:p w14:paraId="424EADF0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5F73A00F" w14:textId="77777777" w:rsidR="004E3F4D" w:rsidRDefault="004E3F4D" w:rsidP="00F5723F"/>
    <w:sectPr w:rsidR="004E3F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F7E62" w14:textId="77777777" w:rsidR="0090750A" w:rsidRDefault="0090750A" w:rsidP="00F5723F">
      <w:r>
        <w:separator/>
      </w:r>
    </w:p>
  </w:endnote>
  <w:endnote w:type="continuationSeparator" w:id="0">
    <w:p w14:paraId="5A6A37CA" w14:textId="77777777" w:rsidR="0090750A" w:rsidRDefault="0090750A" w:rsidP="00F5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C32C" w14:textId="77777777" w:rsidR="00F5723F" w:rsidRDefault="00F572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6883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85C910" w14:textId="77777777" w:rsidR="00F5723F" w:rsidRDefault="00F572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 w14:paraId="717F50A3" w14:textId="77777777" w:rsidR="00F5723F" w:rsidRDefault="00F572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FADD" w14:textId="77777777" w:rsidR="00F5723F" w:rsidRDefault="00F57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33E9" w14:textId="77777777" w:rsidR="0090750A" w:rsidRDefault="0090750A" w:rsidP="00F5723F">
      <w:r>
        <w:separator/>
      </w:r>
    </w:p>
  </w:footnote>
  <w:footnote w:type="continuationSeparator" w:id="0">
    <w:p w14:paraId="11FB0B57" w14:textId="77777777" w:rsidR="0090750A" w:rsidRDefault="0090750A" w:rsidP="00F5723F">
      <w:r>
        <w:continuationSeparator/>
      </w:r>
    </w:p>
  </w:footnote>
  <w:footnote w:id="1">
    <w:p w14:paraId="302308BD" w14:textId="4CFDCFDF" w:rsidR="003C7180" w:rsidRPr="003C7180" w:rsidRDefault="003C7180" w:rsidP="003C718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Nařízení Evropského parlamentu a Rady (EU) č. 575/2013 ze dne 26. června 2013 o obezřetnostních požadavcích na úvěrové instituce a o změně nařízení (EU) č. 648/2012, ve znění nařízení (EU) 2024/1623 (</w:t>
      </w:r>
      <w:hyperlink r:id="rId1" w:history="1">
        <w:r>
          <w:rPr>
            <w:rStyle w:val="Hyperlink"/>
            <w:color w:val="800080"/>
          </w:rPr>
          <w:t xml:space="preserve">Úř. věst. L 176, 27.6.2013, s. 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CS – EUR-Lex (europa.eu)</w:t>
        </w:r>
      </w:hyperlink>
      <w:r>
        <w:rPr>
          <w:color w:val="444444"/>
        </w:rPr>
        <w:t xml:space="preserve">).</w:t>
      </w:r>
    </w:p>
  </w:footnote>
  <w:footnote w:id="2">
    <w:p w14:paraId="6AEF5B81" w14:textId="169A84A3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ab/>
      </w:r>
      <w:r>
        <w:t xml:space="preserve">Tamtéž.</w:t>
      </w:r>
    </w:p>
  </w:footnote>
  <w:footnote w:id="3">
    <w:p w14:paraId="7B96499D" w14:textId="77777777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PROVÁDĚCÍ NAŘÍZENÍ KOMISE (EU) č. 680/2014 ze dne 16. dubna 2014, kterým se stanoví prováděcí technické normy, pokud jde o podávání zpráv institucí pro účely dohledu podle nařízení Evropského parlamentu a Rady (EU) č. 575/2013 (Úř. věst. L 191, 28.6.2014, s. 1).</w:t>
      </w:r>
    </w:p>
  </w:footnote>
  <w:footnote w:id="4">
    <w:p w14:paraId="4F92FFA6" w14:textId="77777777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NAŘÍZENÍ EVROPSKÉ CENTRÁLNÍ BANKY (EU) č. 1071/2013 ze dne 24. září 2013 o rozvaze sektoru měnových finančních institucí (ECB/2013/33) (Úř. věst. L 297, 7.11.2013, s. 1).</w:t>
      </w:r>
    </w:p>
  </w:footnote>
  <w:footnote w:id="5">
    <w:p w14:paraId="556667A2" w14:textId="77777777" w:rsidR="00F5723F" w:rsidRPr="00BB5993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SMĚRNICE RADY 86/635/EHS ze dne 8. prosince 1986 o ročních účetních závěrkách a konsolidovaných účetních závěrkách bank a ostatních finančních institucí (Úř. věst. L 372, 31.12.1986, s. 1).</w:t>
      </w:r>
    </w:p>
  </w:footnote>
  <w:footnote w:id="6">
    <w:p w14:paraId="54A29402" w14:textId="77777777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DOPORUČENÍ EVROPSKÉ RADY PRO SYSTÉMOVÁ RIZIKA ze dne 31. října 2016 o doplnění chybějících údajů o nemovitostech (ESRB/2016/14) (Úř. věst. C 31, 31.1.2017,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EFC9" w14:textId="077252A9" w:rsidR="00F5723F" w:rsidRDefault="00BE49C3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47D9C51B" wp14:editId="09F4932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397221890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9C581E" w14:textId="4EED78D3" w:rsidR="00BE49C3" w:rsidRPr="00BE49C3" w:rsidRDefault="00BE49C3" w:rsidP="00BE49C3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7D9C5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E9C581E" w14:textId="4EED78D3" w:rsidR="00BE49C3" w:rsidRPr="00BE49C3" w:rsidRDefault="00BE49C3" w:rsidP="00BE49C3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9502" w14:textId="42685AB7" w:rsidR="00F5723F" w:rsidRDefault="00BE49C3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86CEAAF" wp14:editId="2139B35B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692148445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A3204C" w14:textId="361AEA7D" w:rsidR="00BE49C3" w:rsidRPr="00BE49C3" w:rsidRDefault="00BE49C3" w:rsidP="00BE49C3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86CEA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DA3204C" w14:textId="361AEA7D" w:rsidR="00BE49C3" w:rsidRPr="00BE49C3" w:rsidRDefault="00BE49C3" w:rsidP="00BE49C3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EDA6" w14:textId="52688456" w:rsidR="00F5723F" w:rsidRDefault="00BE49C3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0EA9B5F4" wp14:editId="7D1BDEB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783408350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857630" w14:textId="331402D4" w:rsidR="00BE49C3" w:rsidRPr="00BE49C3" w:rsidRDefault="00BE49C3" w:rsidP="00BE49C3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EA9B5F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8857630" w14:textId="331402D4" w:rsidR="00BE49C3" w:rsidRPr="00BE49C3" w:rsidRDefault="00BE49C3" w:rsidP="00BE49C3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E1079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7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031431">
    <w:abstractNumId w:val="13"/>
  </w:num>
  <w:num w:numId="2" w16cid:durableId="135536343">
    <w:abstractNumId w:val="3"/>
  </w:num>
  <w:num w:numId="3" w16cid:durableId="1494296395">
    <w:abstractNumId w:val="7"/>
  </w:num>
  <w:num w:numId="4" w16cid:durableId="524683457">
    <w:abstractNumId w:val="9"/>
  </w:num>
  <w:num w:numId="5" w16cid:durableId="1649742835">
    <w:abstractNumId w:val="17"/>
  </w:num>
  <w:num w:numId="6" w16cid:durableId="105931811">
    <w:abstractNumId w:val="2"/>
  </w:num>
  <w:num w:numId="7" w16cid:durableId="924652707">
    <w:abstractNumId w:val="16"/>
  </w:num>
  <w:num w:numId="8" w16cid:durableId="1245071583">
    <w:abstractNumId w:val="14"/>
  </w:num>
  <w:num w:numId="9" w16cid:durableId="1144355349">
    <w:abstractNumId w:val="1"/>
  </w:num>
  <w:num w:numId="10" w16cid:durableId="1589729186">
    <w:abstractNumId w:val="6"/>
  </w:num>
  <w:num w:numId="11" w16cid:durableId="1517159877">
    <w:abstractNumId w:val="0"/>
  </w:num>
  <w:num w:numId="12" w16cid:durableId="759830881">
    <w:abstractNumId w:val="5"/>
  </w:num>
  <w:num w:numId="13" w16cid:durableId="431166211">
    <w:abstractNumId w:val="15"/>
  </w:num>
  <w:num w:numId="14" w16cid:durableId="901256509">
    <w:abstractNumId w:val="4"/>
  </w:num>
  <w:num w:numId="15" w16cid:durableId="655377329">
    <w:abstractNumId w:val="10"/>
  </w:num>
  <w:num w:numId="16" w16cid:durableId="1455443828">
    <w:abstractNumId w:val="11"/>
  </w:num>
  <w:num w:numId="17" w16cid:durableId="444888124">
    <w:abstractNumId w:val="12"/>
  </w:num>
  <w:num w:numId="18" w16cid:durableId="59267151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257C4"/>
    <w:rsid w:val="00205F17"/>
    <w:rsid w:val="003C7180"/>
    <w:rsid w:val="004E3F4D"/>
    <w:rsid w:val="005F5E08"/>
    <w:rsid w:val="0090750A"/>
    <w:rsid w:val="0098126E"/>
    <w:rsid w:val="00A257C4"/>
    <w:rsid w:val="00BE49C3"/>
    <w:rsid w:val="00CD7E3D"/>
    <w:rsid w:val="00F13FED"/>
    <w:rsid w:val="00F5723F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60490"/>
  <w15:chartTrackingRefBased/>
  <w15:docId w15:val="{3ABF1497-1D8E-458B-9596-748CE877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23F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aliases w:val="Cover title white"/>
    <w:next w:val="Normal"/>
    <w:link w:val="Heading1Char"/>
    <w:qFormat/>
    <w:rsid w:val="00F5723F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cs-CZ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F5723F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F5723F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723F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F5723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cs-CZ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F5723F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F5723F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5723F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5723F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F5723F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723F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cs-CZ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5723F"/>
    <w:rPr>
      <w:rFonts w:asciiTheme="majorHAnsi" w:eastAsiaTheme="majorEastAsia" w:hAnsiTheme="majorHAnsi" w:cstheme="majorBidi"/>
      <w:bCs/>
      <w:color w:val="44546A" w:themeColor="text2"/>
      <w:sz w:val="32"/>
      <w:szCs w:val="24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723F"/>
    <w:rPr>
      <w:rFonts w:asciiTheme="majorHAnsi" w:eastAsiaTheme="majorEastAsia" w:hAnsiTheme="majorHAnsi" w:cstheme="majorBidi"/>
      <w:b/>
      <w:bCs/>
      <w:i/>
      <w:iCs/>
      <w:color w:val="5B9BD5" w:themeColor="accent1"/>
      <w:szCs w:val="24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F5723F"/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23F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723F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72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72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umberedtilelevel1">
    <w:name w:val="Numbered tile level 1"/>
    <w:basedOn w:val="Titlelevel1"/>
    <w:qFormat/>
    <w:rsid w:val="00F5723F"/>
    <w:pPr>
      <w:numPr>
        <w:numId w:val="7"/>
      </w:numPr>
    </w:pPr>
  </w:style>
  <w:style w:type="paragraph" w:customStyle="1" w:styleId="Numberedtitlelevel2">
    <w:name w:val="Numbered title level 2"/>
    <w:basedOn w:val="Titlelevel2"/>
    <w:next w:val="body"/>
    <w:qFormat/>
    <w:rsid w:val="00F5723F"/>
    <w:pPr>
      <w:numPr>
        <w:ilvl w:val="1"/>
        <w:numId w:val="7"/>
      </w:numPr>
    </w:pPr>
  </w:style>
  <w:style w:type="paragraph" w:customStyle="1" w:styleId="Titlelevel2">
    <w:name w:val="Title level 2"/>
    <w:qFormat/>
    <w:rsid w:val="00F5723F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cs-CZ"/>
    </w:rPr>
  </w:style>
  <w:style w:type="paragraph" w:customStyle="1" w:styleId="body">
    <w:name w:val="body"/>
    <w:qFormat/>
    <w:rsid w:val="00F5723F"/>
    <w:pPr>
      <w:spacing w:before="240" w:after="120" w:line="276" w:lineRule="auto"/>
      <w:jc w:val="both"/>
    </w:pPr>
    <w:rPr>
      <w:rFonts w:eastAsiaTheme="minorEastAsia"/>
      <w:szCs w:val="24"/>
      <w:lang w:val="cs-CZ"/>
    </w:rPr>
  </w:style>
  <w:style w:type="paragraph" w:styleId="BalloonText">
    <w:name w:val="Balloon Text"/>
    <w:basedOn w:val="Normal"/>
    <w:link w:val="BalloonTextChar"/>
    <w:uiPriority w:val="99"/>
    <w:semiHidden/>
    <w:rsid w:val="00F572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23F"/>
    <w:rPr>
      <w:rFonts w:ascii="Lucida Grande" w:eastAsiaTheme="minorEastAsia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F5723F"/>
    <w:pPr>
      <w:spacing w:after="80" w:line="240" w:lineRule="auto"/>
    </w:pPr>
    <w:rPr>
      <w:rFonts w:ascii="Calibri" w:eastAsia="Times New Roman" w:hAnsi="Calibri" w:cs="Times New Roman"/>
      <w:b/>
      <w:color w:val="000000"/>
      <w:lang w:val="cs-CZ"/>
    </w:rPr>
  </w:style>
  <w:style w:type="paragraph" w:customStyle="1" w:styleId="Tabledata">
    <w:name w:val="Table data"/>
    <w:basedOn w:val="body"/>
    <w:qFormat/>
    <w:rsid w:val="00F5723F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cs-CZ" w:eastAsia="en-GB"/>
    </w:rPr>
  </w:style>
  <w:style w:type="paragraph" w:customStyle="1" w:styleId="List1">
    <w:name w:val="List1"/>
    <w:autoRedefine/>
    <w:qFormat/>
    <w:rsid w:val="00F5723F"/>
    <w:pPr>
      <w:numPr>
        <w:numId w:val="5"/>
      </w:numPr>
      <w:spacing w:after="0" w:line="240" w:lineRule="auto"/>
    </w:pPr>
    <w:rPr>
      <w:rFonts w:eastAsiaTheme="minorEastAsia"/>
      <w:lang w:val="cs-CZ"/>
    </w:rPr>
  </w:style>
  <w:style w:type="paragraph" w:styleId="Footer">
    <w:name w:val="footer"/>
    <w:basedOn w:val="Normal"/>
    <w:link w:val="FooterChar"/>
    <w:uiPriority w:val="99"/>
    <w:rsid w:val="00F57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23F"/>
    <w:rPr>
      <w:rFonts w:eastAsiaTheme="minorEastAsia"/>
      <w:szCs w:val="24"/>
    </w:rPr>
  </w:style>
  <w:style w:type="table" w:styleId="TableGrid">
    <w:name w:val="Table Grid"/>
    <w:basedOn w:val="TableProfessional"/>
    <w:uiPriority w:val="59"/>
    <w:rsid w:val="00F5723F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5723F"/>
    <w:pPr>
      <w:spacing w:after="0" w:line="240" w:lineRule="auto"/>
    </w:pPr>
    <w:rPr>
      <w:rFonts w:eastAsiaTheme="minorEastAsia"/>
      <w:sz w:val="24"/>
      <w:szCs w:val="24"/>
      <w:lang w:val="cs-C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F5723F"/>
    <w:pPr>
      <w:numPr>
        <w:numId w:val="6"/>
      </w:numPr>
      <w:spacing w:before="240" w:after="120" w:line="240" w:lineRule="auto"/>
      <w:contextualSpacing/>
    </w:pPr>
    <w:rPr>
      <w:rFonts w:eastAsiaTheme="minorEastAsia"/>
      <w:szCs w:val="24"/>
      <w:lang w:val="cs-CZ"/>
    </w:rPr>
  </w:style>
  <w:style w:type="paragraph" w:customStyle="1" w:styleId="Titlelevel1">
    <w:name w:val="Title level 1"/>
    <w:autoRedefine/>
    <w:qFormat/>
    <w:rsid w:val="00F5723F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cs-CZ"/>
    </w:rPr>
  </w:style>
  <w:style w:type="paragraph" w:customStyle="1" w:styleId="Titlelevel3">
    <w:name w:val="Title level 3"/>
    <w:qFormat/>
    <w:rsid w:val="00F5723F"/>
    <w:pPr>
      <w:spacing w:before="240" w:after="240" w:line="240" w:lineRule="auto"/>
    </w:pPr>
    <w:rPr>
      <w:rFonts w:eastAsiaTheme="minorEastAsia"/>
      <w:b/>
      <w:color w:val="44546A" w:themeColor="text2"/>
      <w:sz w:val="24"/>
      <w:szCs w:val="24"/>
      <w:lang w:val="cs-CZ"/>
    </w:rPr>
  </w:style>
  <w:style w:type="paragraph" w:customStyle="1" w:styleId="Titlelevel4">
    <w:name w:val="Title level 4"/>
    <w:next w:val="body"/>
    <w:qFormat/>
    <w:rsid w:val="00F5723F"/>
    <w:pPr>
      <w:spacing w:before="240" w:after="240" w:line="240" w:lineRule="auto"/>
    </w:pPr>
    <w:rPr>
      <w:rFonts w:eastAsiaTheme="minorEastAsia"/>
      <w:color w:val="E7E6E6" w:themeColor="background2"/>
      <w:sz w:val="24"/>
      <w:szCs w:val="24"/>
      <w:lang w:val="cs-CZ"/>
    </w:rPr>
  </w:style>
  <w:style w:type="paragraph" w:customStyle="1" w:styleId="Figuretitle">
    <w:name w:val="Figure title"/>
    <w:basedOn w:val="body"/>
    <w:next w:val="Normal"/>
    <w:autoRedefine/>
    <w:qFormat/>
    <w:rsid w:val="00F5723F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cs-CZ" w:eastAsia="en-GB"/>
    </w:rPr>
  </w:style>
  <w:style w:type="table" w:customStyle="1" w:styleId="EBAtable">
    <w:name w:val="EBA table"/>
    <w:basedOn w:val="TableNormal"/>
    <w:uiPriority w:val="99"/>
    <w:rsid w:val="00F5723F"/>
    <w:pPr>
      <w:spacing w:after="0" w:line="240" w:lineRule="auto"/>
    </w:pPr>
    <w:rPr>
      <w:rFonts w:eastAsiaTheme="minorEastAsia"/>
      <w:sz w:val="24"/>
      <w:szCs w:val="24"/>
      <w:lang w:val="cs-CZ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F5723F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F5723F"/>
    <w:pPr>
      <w:spacing w:after="0" w:line="240" w:lineRule="auto"/>
    </w:pPr>
    <w:rPr>
      <w:rFonts w:eastAsiaTheme="minorEastAsia"/>
      <w:caps/>
      <w:sz w:val="16"/>
      <w:szCs w:val="18"/>
      <w:lang w:val="cs-CZ"/>
    </w:rPr>
  </w:style>
  <w:style w:type="paragraph" w:styleId="FootnoteText">
    <w:name w:val="footnote text"/>
    <w:basedOn w:val="body"/>
    <w:link w:val="FootnoteTextChar"/>
    <w:autoRedefine/>
    <w:qFormat/>
    <w:rsid w:val="00F5723F"/>
    <w:pPr>
      <w:spacing w:before="80" w:after="0" w:line="200" w:lineRule="exact"/>
      <w:ind w:left="567" w:hanging="567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F5723F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F5723F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F5723F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F5723F"/>
    <w:pPr>
      <w:tabs>
        <w:tab w:val="left" w:pos="312"/>
        <w:tab w:val="left" w:pos="421"/>
        <w:tab w:val="right" w:pos="8771"/>
      </w:tabs>
      <w:spacing w:before="120" w:after="120" w:line="240" w:lineRule="auto"/>
      <w:outlineLvl w:val="0"/>
    </w:pPr>
    <w:rPr>
      <w:rFonts w:eastAsiaTheme="minorEastAsia"/>
      <w:b/>
      <w:bCs/>
      <w:noProof/>
      <w:color w:val="44546A" w:themeColor="text2"/>
      <w:lang w:val="cs-CZ"/>
    </w:rPr>
  </w:style>
  <w:style w:type="paragraph" w:styleId="TOC2">
    <w:name w:val="toc 2"/>
    <w:next w:val="Normal"/>
    <w:autoRedefine/>
    <w:uiPriority w:val="39"/>
    <w:qFormat/>
    <w:rsid w:val="00F5723F"/>
    <w:pPr>
      <w:tabs>
        <w:tab w:val="left" w:pos="529"/>
        <w:tab w:val="right" w:pos="8771"/>
      </w:tabs>
      <w:spacing w:before="80" w:after="80" w:line="240" w:lineRule="auto"/>
    </w:pPr>
    <w:rPr>
      <w:rFonts w:eastAsiaTheme="minorEastAsia"/>
      <w:noProof/>
      <w:lang w:val="cs-CZ"/>
    </w:rPr>
  </w:style>
  <w:style w:type="paragraph" w:styleId="TOC3">
    <w:name w:val="toc 3"/>
    <w:basedOn w:val="Normal"/>
    <w:next w:val="Normal"/>
    <w:autoRedefine/>
    <w:uiPriority w:val="39"/>
    <w:qFormat/>
    <w:rsid w:val="00F5723F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F5723F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F5723F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F5723F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5723F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  <w:lang w:val="cs-CZ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5723F"/>
    <w:pPr>
      <w:spacing w:after="0" w:line="240" w:lineRule="auto"/>
    </w:pPr>
    <w:rPr>
      <w:rFonts w:eastAsiaTheme="minorEastAsia"/>
      <w:color w:val="2E74B5" w:themeColor="accent1" w:themeShade="BF"/>
      <w:sz w:val="24"/>
      <w:szCs w:val="24"/>
      <w:lang w:val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F5723F"/>
  </w:style>
  <w:style w:type="paragraph" w:customStyle="1" w:styleId="Numberedtitlelevel4">
    <w:name w:val="Numbered title level 4"/>
    <w:basedOn w:val="Titlelevel4"/>
    <w:qFormat/>
    <w:rsid w:val="00F5723F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F57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23F"/>
    <w:rPr>
      <w:rFonts w:eastAsiaTheme="minorEastAsia"/>
      <w:szCs w:val="24"/>
    </w:rPr>
  </w:style>
  <w:style w:type="paragraph" w:styleId="Title">
    <w:name w:val="Title"/>
    <w:basedOn w:val="Normal"/>
    <w:next w:val="Normal"/>
    <w:link w:val="TitleChar"/>
    <w:qFormat/>
    <w:rsid w:val="00F5723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5723F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F5723F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F5723F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5B9BD5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5723F"/>
    <w:rPr>
      <w:rFonts w:asciiTheme="majorHAnsi" w:eastAsiaTheme="majorEastAsia" w:hAnsiTheme="majorHAnsi" w:cstheme="majorBidi"/>
      <w:color w:val="5B9BD5" w:themeColor="accent1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F5723F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F5723F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F5723F"/>
    <w:rPr>
      <w:bCs/>
      <w:lang w:val="cs-CZ" w:eastAsia="en-GB"/>
    </w:rPr>
  </w:style>
  <w:style w:type="paragraph" w:styleId="ListBullet">
    <w:name w:val="List Bullet"/>
    <w:basedOn w:val="Normal"/>
    <w:semiHidden/>
    <w:qFormat/>
    <w:rsid w:val="00F5723F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F5723F"/>
    <w:rPr>
      <w:color w:val="0563C1" w:themeColor="hyperlink"/>
      <w:u w:val="single"/>
    </w:rPr>
  </w:style>
  <w:style w:type="paragraph" w:customStyle="1" w:styleId="numberedparagraph">
    <w:name w:val="numbered paragraph"/>
    <w:basedOn w:val="body"/>
    <w:qFormat/>
    <w:rsid w:val="00F5723F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F5723F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F5723F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F5723F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F5723F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F5723F"/>
    <w:pPr>
      <w:ind w:left="1760"/>
    </w:pPr>
  </w:style>
  <w:style w:type="paragraph" w:customStyle="1" w:styleId="Default">
    <w:name w:val="Default"/>
    <w:rsid w:val="00F572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qFormat/>
    <w:rsid w:val="00F5723F"/>
    <w:pPr>
      <w:spacing w:before="480"/>
      <w:outlineLvl w:val="9"/>
    </w:pPr>
    <w:rPr>
      <w:caps w:val="0"/>
      <w:color w:val="2E74B5" w:themeColor="accent1" w:themeShade="BF"/>
      <w:sz w:val="28"/>
      <w:szCs w:val="28"/>
    </w:rPr>
  </w:style>
  <w:style w:type="character" w:customStyle="1" w:styleId="Marker">
    <w:name w:val="Marker"/>
    <w:rsid w:val="00F5723F"/>
    <w:rPr>
      <w:color w:val="0000FF"/>
      <w:shd w:val="clear" w:color="auto" w:fill="auto"/>
    </w:rPr>
  </w:style>
  <w:style w:type="character" w:customStyle="1" w:styleId="Marker2">
    <w:name w:val="Marker2"/>
    <w:rsid w:val="00F5723F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F5723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F5723F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F5723F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F5723F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F5723F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F5723F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F5723F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F5723F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F5723F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F5723F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F5723F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F5723F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F5723F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F5723F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572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72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723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2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23F"/>
    <w:rPr>
      <w:rFonts w:eastAsiaTheme="minorEastAsia"/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5723F"/>
    <w:pPr>
      <w:spacing w:after="200"/>
    </w:pPr>
    <w:rPr>
      <w:b/>
      <w:bCs/>
      <w:color w:val="5B9BD5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F5723F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F5723F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cs-CZ"/>
    </w:rPr>
  </w:style>
  <w:style w:type="paragraph" w:customStyle="1" w:styleId="CM31">
    <w:name w:val="CM3+1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cs-CZ"/>
    </w:rPr>
  </w:style>
  <w:style w:type="paragraph" w:customStyle="1" w:styleId="CM13">
    <w:name w:val="CM1+3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cs-CZ"/>
    </w:rPr>
  </w:style>
  <w:style w:type="paragraph" w:customStyle="1" w:styleId="CM33">
    <w:name w:val="CM3+3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cs-CZ"/>
    </w:rPr>
  </w:style>
  <w:style w:type="paragraph" w:styleId="Revision">
    <w:name w:val="Revision"/>
    <w:hidden/>
    <w:uiPriority w:val="99"/>
    <w:semiHidden/>
    <w:rsid w:val="00F5723F"/>
    <w:pPr>
      <w:spacing w:after="0" w:line="240" w:lineRule="auto"/>
    </w:pPr>
    <w:rPr>
      <w:rFonts w:eastAsiaTheme="minorEastAsia"/>
      <w:szCs w:val="24"/>
      <w:lang w:val="cs-CZ"/>
    </w:rPr>
  </w:style>
  <w:style w:type="character" w:customStyle="1" w:styleId="InstructionsTextChar">
    <w:name w:val="Instructions Text Char"/>
    <w:link w:val="InstructionsText"/>
    <w:locked/>
    <w:rsid w:val="00F5723F"/>
    <w:rPr>
      <w:rFonts w:ascii="Times New Roman" w:eastAsia="Times New Roman" w:hAnsi="Times New Roman" w:cs="Times New Roman"/>
      <w:lang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F5723F"/>
    <w:pPr>
      <w:spacing w:after="120"/>
      <w:jc w:val="both"/>
    </w:pPr>
    <w:rPr>
      <w:rFonts w:ascii="Times New Roman" w:eastAsia="Times New Roman" w:hAnsi="Times New Roman" w:cs="Times New Roman"/>
      <w:szCs w:val="22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23F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F5723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/>
    </w:rPr>
  </w:style>
  <w:style w:type="character" w:customStyle="1" w:styleId="Teksttreci">
    <w:name w:val="Tekst treści_"/>
    <w:basedOn w:val="DefaultParagraphFont"/>
    <w:link w:val="Teksttreci0"/>
    <w:rsid w:val="00F5723F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F5723F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F5723F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F5723F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F5723F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723F"/>
    <w:rPr>
      <w:sz w:val="20"/>
      <w:szCs w:val="20"/>
      <w:lang w:val="cs-CZ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723F"/>
    <w:rPr>
      <w:rFonts w:eastAsiaTheme="minorEastAsia"/>
      <w:sz w:val="20"/>
      <w:szCs w:val="20"/>
      <w:lang w:val="cs-CZ"/>
    </w:rPr>
  </w:style>
  <w:style w:type="character" w:styleId="EndnoteReference">
    <w:name w:val="endnote reference"/>
    <w:basedOn w:val="DefaultParagraphFont"/>
    <w:uiPriority w:val="99"/>
    <w:semiHidden/>
    <w:unhideWhenUsed/>
    <w:rsid w:val="00F5723F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F5723F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F5723F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F5723F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F5723F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F5723F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F5723F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F5723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cs-CZ"/>
    </w:rPr>
  </w:style>
  <w:style w:type="character" w:customStyle="1" w:styleId="DeltaViewInsertion">
    <w:name w:val="DeltaView Insertion"/>
    <w:uiPriority w:val="99"/>
    <w:rsid w:val="00F5723F"/>
    <w:rPr>
      <w:b/>
      <w:i/>
      <w:color w:val="00C000"/>
    </w:rPr>
  </w:style>
  <w:style w:type="character" w:customStyle="1" w:styleId="DeltaViewDeletion">
    <w:name w:val="DeltaView Deletion"/>
    <w:uiPriority w:val="99"/>
    <w:rsid w:val="00F5723F"/>
    <w:rPr>
      <w:strike/>
      <w:color w:val="FF0000"/>
    </w:rPr>
  </w:style>
  <w:style w:type="paragraph" w:customStyle="1" w:styleId="BodyText1">
    <w:name w:val="Body Text1"/>
    <w:basedOn w:val="Normal"/>
    <w:qFormat/>
    <w:rsid w:val="00F5723F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F5723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F5723F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F5723F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F5723F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D7D31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F5723F"/>
    <w:pPr>
      <w:numPr>
        <w:numId w:val="11"/>
      </w:numPr>
      <w:contextualSpacing/>
    </w:pPr>
  </w:style>
  <w:style w:type="character" w:customStyle="1" w:styleId="Stopka2">
    <w:name w:val="Stopka2"/>
    <w:basedOn w:val="DefaultParagraphFont"/>
    <w:rsid w:val="00F5723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F5723F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F5723F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F5723F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cs-CZ"/>
    </w:rPr>
  </w:style>
  <w:style w:type="character" w:customStyle="1" w:styleId="Podpistabeli2">
    <w:name w:val="Podpis tabeli (2)_"/>
    <w:basedOn w:val="DefaultParagraphFont"/>
    <w:link w:val="Podpistabeli20"/>
    <w:rsid w:val="00F5723F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F5723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F5723F"/>
    <w:pPr>
      <w:numPr>
        <w:numId w:val="12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F5723F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F5723F"/>
    <w:rPr>
      <w:rFonts w:ascii="Times New Roman" w:eastAsia="Times New Roman" w:hAnsi="Times New Roman" w:cs="Times New Roman"/>
      <w:sz w:val="24"/>
      <w:szCs w:val="24"/>
      <w:lang w:eastAsia="en-GB"/>
    </w:rPr>
  </w:style>
  <w:style w:type="numbering" w:customStyle="1" w:styleId="Style3">
    <w:name w:val="Style3"/>
    <w:rsid w:val="00F5723F"/>
    <w:pPr>
      <w:numPr>
        <w:numId w:val="13"/>
      </w:numPr>
    </w:pPr>
  </w:style>
  <w:style w:type="character" w:customStyle="1" w:styleId="InstructionsTabelleText">
    <w:name w:val="Instructions Tabelle Text"/>
    <w:rsid w:val="00F5723F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5723F"/>
    <w:pPr>
      <w:numPr>
        <w:numId w:val="18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F5723F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TeksttreciTimesNewRoman105ptOdstpy0pt">
    <w:name w:val="Tekst treści + Times New Roman;10;5 pt;Odstępy 0 pt"/>
    <w:basedOn w:val="Teksttreci"/>
    <w:rsid w:val="00F5723F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Teksttreci5">
    <w:name w:val="Tekst treści (5)_"/>
    <w:basedOn w:val="DefaultParagraphFont"/>
    <w:link w:val="Teksttreci50"/>
    <w:rsid w:val="00F5723F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F5723F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6E9EA8-9C58-45A0-94AC-71561A441B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59D2E-7752-475A-80F2-A9F8E66AF9A5}"/>
</file>

<file path=customXml/itemProps3.xml><?xml version="1.0" encoding="utf-8"?>
<ds:datastoreItem xmlns:ds="http://schemas.openxmlformats.org/officeDocument/2006/customXml" ds:itemID="{F839FB26-E2FB-4028-BDC8-41DDC469D5FB}"/>
</file>

<file path=customXml/itemProps4.xml><?xml version="1.0" encoding="utf-8"?>
<ds:datastoreItem xmlns:ds="http://schemas.openxmlformats.org/officeDocument/2006/customXml" ds:itemID="{5D9CBA34-8CF9-4536-B615-A953FB0FB92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27</Pages>
  <Words>9202</Words>
  <Characters>50065</Characters>
  <Application>Microsoft Office Word</Application>
  <DocSecurity>0</DocSecurity>
  <Lines>1283</Lines>
  <Paragraphs>759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58508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7</cp:revision>
  <dcterms:created xsi:type="dcterms:W3CDTF">2021-03-11T12:07:00Z</dcterms:created>
  <dcterms:modified xsi:type="dcterms:W3CDTF">2024-09-26T14:50:00Z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2eb1dcde,5347ea02,64dc22dd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2024-09-26T14:50:22Z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4fac10e8-7355-4194-82db-684ef5159f33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