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p w14:paraId="4677B081" w14:textId="77777777" w:rsidR="00942645" w:rsidRPr="00CA7700" w:rsidRDefault="00942645" w:rsidP="00942645">
      <w:pPr>
        <w:pStyle w:val="Titlelevel2"/>
        <w:spacing w:before="120" w:after="120"/>
        <w:jc w:val="center"/>
        <w:rPr>
          <w:rFonts w:ascii="Times New Roman" w:hAnsi="Times New Roman" w:cs="Times New Roman"/>
          <w:b/>
          <w:color w:val="auto"/>
          <w:sz w:val="24"/>
          <w:u w:val="single"/>
        </w:rPr>
      </w:pPr>
      <w:r>
        <w:rPr>
          <w:rFonts w:ascii="Times New Roman" w:hAnsi="Times New Roman"/>
          <w:noProof/>
          <w:sz w:val="24"/>
        </w:rPr>
        <mc:AlternateContent>
          <mc:Choice Requires="wps">
            <w:drawing>
              <wp:anchor distT="0" distB="0" distL="0" distR="0" simplePos="0" relativeHeight="251659264" behindDoc="0" locked="0" layoutInCell="1" allowOverlap="1" wp14:anchorId="35F219D8" wp14:editId="23D65181">
                <wp:simplePos x="0" y="0"/>
                <wp:positionH relativeFrom="page">
                  <wp:posOffset>156210</wp:posOffset>
                </wp:positionH>
                <wp:positionV relativeFrom="page">
                  <wp:posOffset>39370</wp:posOffset>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81343" w14:textId="77777777" w:rsidR="00942645" w:rsidRPr="00F07F97" w:rsidRDefault="00942645" w:rsidP="00942645">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5F219D8" id="_x0000_t202" coordsize="21600,21600" o:spt="202" path="m,l,21600r21600,l21600,xe">
                <v:stroke joinstyle="miter"/>
                <v:path gradientshapeok="t" o:connecttype="rect"/>
              </v:shapetype>
              <v:shape id="Text Box 3" o:spid="_x0000_s1026" type="#_x0000_t202" alt="EBA Regular Use" style="position:absolute;left:0;text-align:left;margin-left:12.3pt;margin-top:3.1pt;width:34.95pt;height:34.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32281343" w14:textId="77777777" w:rsidR="00942645" w:rsidRPr="00F07F97" w:rsidRDefault="00942645" w:rsidP="00942645">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r>
        <w:rPr>
          <w:rFonts w:ascii="Times New Roman" w:hAnsi="Times New Roman"/>
          <w:b/>
          <w:color w:val="auto"/>
          <w:sz w:val="24"/>
          <w:u w:val="single"/>
        </w:rPr>
        <w:t>XLII PRIEDAS. Kredito vertinimo koregavimo rizikos atskleidimo lentelės ir formos. Nurodymai</w:t>
      </w:r>
    </w:p>
    <w:p w14:paraId="78BB236B" w14:textId="33A761EE" w:rsidR="00942645" w:rsidRPr="00CA7700" w:rsidRDefault="00942645" w:rsidP="00942645">
      <w:pPr>
        <w:pStyle w:val="Titlelevel2"/>
        <w:numPr>
          <w:ilvl w:val="0"/>
          <w:numId w:val="11"/>
        </w:numPr>
        <w:spacing w:before="120" w:after="120"/>
        <w:jc w:val="both"/>
        <w:rPr>
          <w:rFonts w:ascii="Times New Roman" w:hAnsi="Times New Roman" w:cs="Times New Roman"/>
          <w:color w:val="auto"/>
          <w:sz w:val="24"/>
        </w:rPr>
      </w:pPr>
      <w:r>
        <w:rPr>
          <w:rFonts w:ascii="Times New Roman" w:hAnsi="Times New Roman"/>
          <w:color w:val="auto"/>
          <w:sz w:val="24"/>
        </w:rPr>
        <w:t>Šiame priede pateikiami nurodymai, kuriais turi vadovautis įstaigos pagal Reglamento (ES) Nr. 575/2013 445a straipsnį atskleisdamos su savo kredito vertinimo koregavimo rizikos pozicija susijusią informaciją, kaip nurodyta Reglamento (ES) Nr. 575/2013 (toliau – KRR)</w:t>
      </w:r>
      <w:r>
        <w:rPr>
          <w:rStyle w:val="FootnoteReference"/>
          <w:rFonts w:ascii="Times New Roman" w:hAnsi="Times New Roman" w:cs="Times New Roman"/>
          <w:color w:val="auto"/>
          <w:sz w:val="24"/>
          <w:szCs w:val="24"/>
        </w:rPr>
        <w:footnoteReference w:id="2"/>
      </w:r>
      <w:r>
        <w:rPr>
          <w:rFonts w:ascii="Times New Roman" w:hAnsi="Times New Roman"/>
          <w:color w:val="auto"/>
          <w:sz w:val="24"/>
        </w:rPr>
        <w:t xml:space="preserve"> trečios dalies VI antraštinėje dalyje, kai pildo informacijos apie kredito vertinimo koregavimo (CVA) riziką atskleidimo lenteles ir formas, pateiktas EBI IT sprendimų XLI priede. </w:t>
      </w:r>
    </w:p>
    <w:p w14:paraId="3E4AC8EA" w14:textId="77777777" w:rsidR="00942645" w:rsidRPr="00CA7700" w:rsidRDefault="00942645" w:rsidP="00942645">
      <w:pPr>
        <w:pStyle w:val="Titlelevel2"/>
        <w:spacing w:before="120" w:after="120"/>
        <w:rPr>
          <w:rFonts w:ascii="Times New Roman" w:hAnsi="Times New Roman" w:cs="Times New Roman"/>
          <w:color w:val="auto"/>
          <w:sz w:val="24"/>
        </w:rPr>
      </w:pPr>
    </w:p>
    <w:p w14:paraId="560A9B63" w14:textId="77777777"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rPr>
      </w:pPr>
      <w:r>
        <w:rPr>
          <w:rFonts w:ascii="Times New Roman" w:hAnsi="Times New Roman"/>
          <w:b/>
          <w:color w:val="auto"/>
          <w:sz w:val="24"/>
        </w:rPr>
        <w:t>EU CVAA lentelė. Su kredito vertinimo koregavimo rizika susiję kokybinės informacijos atskleidimo reikalavimai</w:t>
      </w:r>
      <w:r>
        <w:rPr>
          <w:rFonts w:ascii="Times New Roman" w:hAnsi="Times New Roman"/>
          <w:sz w:val="24"/>
        </w:rPr>
        <w:t xml:space="preserve"> </w:t>
      </w:r>
      <w:r>
        <w:rPr>
          <w:rFonts w:ascii="Times New Roman" w:hAnsi="Times New Roman"/>
          <w:color w:val="000000"/>
          <w:sz w:val="24"/>
        </w:rPr>
        <w:t xml:space="preserve">Laisvos formos teksto laukeliai </w:t>
      </w:r>
    </w:p>
    <w:p w14:paraId="6FF811C2" w14:textId="4AAED15E" w:rsidR="00942645" w:rsidRPr="00CA7700" w:rsidRDefault="00942645" w:rsidP="00942645">
      <w:pPr>
        <w:pStyle w:val="Titlelevel2"/>
        <w:numPr>
          <w:ilvl w:val="0"/>
          <w:numId w:val="11"/>
        </w:numPr>
        <w:spacing w:before="120"/>
        <w:jc w:val="both"/>
        <w:rPr>
          <w:rFonts w:ascii="Times New Roman" w:hAnsi="Times New Roman" w:cs="Times New Roman"/>
          <w:sz w:val="24"/>
        </w:rPr>
      </w:pPr>
      <w:r>
        <w:rPr>
          <w:rFonts w:ascii="Times New Roman" w:hAnsi="Times New Roman"/>
          <w:color w:val="auto"/>
          <w:sz w:val="24"/>
        </w:rPr>
        <w:t>Pagal</w:t>
      </w:r>
      <w:r>
        <w:rPr>
          <w:rFonts w:ascii="Times New Roman" w:hAnsi="Times New Roman"/>
          <w:sz w:val="24"/>
        </w:rPr>
        <w:t xml:space="preserve"> </w:t>
      </w:r>
      <w:r>
        <w:rPr>
          <w:rFonts w:ascii="Times New Roman" w:hAnsi="Times New Roman"/>
          <w:color w:val="auto"/>
          <w:sz w:val="24"/>
        </w:rPr>
        <w:t>Reglamento (ES) Nr. 575/2013</w:t>
      </w:r>
      <w:r>
        <w:rPr>
          <w:rFonts w:ascii="Times New Roman" w:hAnsi="Times New Roman"/>
          <w:sz w:val="24"/>
        </w:rPr>
        <w:t xml:space="preserve"> </w:t>
      </w:r>
      <w:r>
        <w:rPr>
          <w:rFonts w:ascii="Times New Roman" w:hAnsi="Times New Roman"/>
          <w:color w:val="000000" w:themeColor="text1"/>
          <w:sz w:val="24"/>
        </w:rPr>
        <w:t>445a straipsnio 1 dalies a ir b punktus pildydamos IT sprendimų XLI priede pateiktą EU CVAA lentelę įstaigos vadovaujasi toliau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73F2590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E35CA" w14:textId="77777777" w:rsidR="00942645" w:rsidRPr="00CA7700" w:rsidRDefault="00942645" w:rsidP="00962254">
            <w:pPr>
              <w:rPr>
                <w:rFonts w:ascii="Times New Roman" w:hAnsi="Times New Roman" w:cs="Times New Roman"/>
                <w:b/>
                <w:sz w:val="24"/>
              </w:rPr>
            </w:pPr>
            <w:r>
              <w:rPr>
                <w:rFonts w:ascii="Times New Roman" w:hAnsi="Times New Roman"/>
                <w:b/>
                <w:sz w:val="24"/>
              </w:rPr>
              <w:t>Nuorodos į teisės aktus ir nurodymai</w:t>
            </w:r>
          </w:p>
        </w:tc>
      </w:tr>
      <w:tr w:rsidR="00942645" w:rsidRPr="00CA7700" w14:paraId="337850FE" w14:textId="77777777" w:rsidTr="00962254">
        <w:trPr>
          <w:trHeight w:val="238"/>
        </w:trPr>
        <w:tc>
          <w:tcPr>
            <w:tcW w:w="1384" w:type="dxa"/>
            <w:shd w:val="clear" w:color="auto" w:fill="D9D9D9" w:themeFill="background1" w:themeFillShade="D9"/>
          </w:tcPr>
          <w:p w14:paraId="334E48CC"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5D4B7946"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942645" w:rsidRPr="00CA7700" w14:paraId="3BC35DB9" w14:textId="77777777" w:rsidTr="00962254">
        <w:trPr>
          <w:trHeight w:val="680"/>
        </w:trPr>
        <w:tc>
          <w:tcPr>
            <w:tcW w:w="1384" w:type="dxa"/>
          </w:tcPr>
          <w:p w14:paraId="29C7DC98" w14:textId="77777777" w:rsidR="00942645" w:rsidRPr="00CA7700" w:rsidRDefault="00942645" w:rsidP="00962254">
            <w:pPr>
              <w:pStyle w:val="Applicationdirecte"/>
              <w:spacing w:before="60"/>
              <w:jc w:val="center"/>
            </w:pPr>
            <w:r>
              <w:t>a)</w:t>
            </w:r>
          </w:p>
        </w:tc>
        <w:tc>
          <w:tcPr>
            <w:tcW w:w="7655" w:type="dxa"/>
            <w:vAlign w:val="center"/>
          </w:tcPr>
          <w:p w14:paraId="43DE697C" w14:textId="09014830" w:rsidR="0096186C" w:rsidRPr="00212EDF" w:rsidRDefault="0096186C" w:rsidP="00962254">
            <w:pPr>
              <w:spacing w:before="60" w:after="120"/>
              <w:jc w:val="both"/>
              <w:rPr>
                <w:rFonts w:ascii="Times New Roman" w:hAnsi="Times New Roman" w:cs="Times New Roman"/>
                <w:b/>
                <w:bCs/>
                <w:noProof/>
                <w:sz w:val="24"/>
              </w:rPr>
            </w:pPr>
            <w:r>
              <w:rPr>
                <w:rFonts w:ascii="Times New Roman" w:hAnsi="Times New Roman"/>
                <w:b/>
                <w:sz w:val="24"/>
              </w:rPr>
              <w:t>KRR 445a straipsnio 1 dalies a punktas</w:t>
            </w:r>
          </w:p>
          <w:p w14:paraId="73666F29" w14:textId="497C6292" w:rsidR="00942645" w:rsidRPr="00CA7700" w:rsidRDefault="00942645" w:rsidP="00962254">
            <w:pPr>
              <w:spacing w:before="60" w:after="120"/>
              <w:jc w:val="both"/>
              <w:rPr>
                <w:rFonts w:ascii="Times New Roman" w:hAnsi="Times New Roman" w:cs="Times New Roman"/>
                <w:sz w:val="24"/>
              </w:rPr>
            </w:pPr>
            <w:r>
              <w:rPr>
                <w:rFonts w:ascii="Times New Roman" w:hAnsi="Times New Roman"/>
                <w:sz w:val="24"/>
              </w:rPr>
              <w:t>Atskleisdamos Reglamento (ES) Nr. 575/2013 445a straipsnio 1 dalies a punkte reikalaujamą informaciją, įstaigos turi pateikti procesų, skirtų kredito vertinimo koregavimo rizikai valdyti, aprašymą, įskaitant procesų, įdiegtų įstaigos kredito vertinimo koregavimo rizikai nustatyti, įvertinti, stebėti ir kontroliuoti, aprašymą, apsidraudimo ir rizikos mažinimo politikos, taip pat strategijos ir procesų, skirtų apsidraudimų nuolatinio veiksmingumo stebėsenai vykdyti, aprašymą.</w:t>
            </w:r>
          </w:p>
        </w:tc>
      </w:tr>
      <w:tr w:rsidR="00942645" w:rsidRPr="00CA7700" w14:paraId="44C53E9B" w14:textId="77777777" w:rsidTr="00962254">
        <w:trPr>
          <w:trHeight w:val="680"/>
        </w:trPr>
        <w:tc>
          <w:tcPr>
            <w:tcW w:w="1384" w:type="dxa"/>
          </w:tcPr>
          <w:p w14:paraId="50EF565A" w14:textId="77777777" w:rsidR="00942645" w:rsidRPr="00CA7700" w:rsidRDefault="00942645" w:rsidP="00962254">
            <w:pPr>
              <w:pStyle w:val="Applicationdirecte"/>
              <w:spacing w:before="60"/>
              <w:jc w:val="center"/>
            </w:pPr>
            <w:r>
              <w:t>b)</w:t>
            </w:r>
          </w:p>
        </w:tc>
        <w:tc>
          <w:tcPr>
            <w:tcW w:w="7655" w:type="dxa"/>
          </w:tcPr>
          <w:p w14:paraId="14FA373F" w14:textId="1A83FE77" w:rsidR="0096186C" w:rsidRPr="00212EDF" w:rsidRDefault="0096186C" w:rsidP="00962254">
            <w:pPr>
              <w:spacing w:before="60" w:after="120"/>
              <w:jc w:val="both"/>
              <w:rPr>
                <w:rFonts w:ascii="Times New Roman" w:hAnsi="Times New Roman" w:cs="Times New Roman"/>
                <w:b/>
                <w:bCs/>
                <w:noProof/>
                <w:sz w:val="24"/>
              </w:rPr>
            </w:pPr>
            <w:r>
              <w:rPr>
                <w:rFonts w:ascii="Times New Roman" w:hAnsi="Times New Roman"/>
                <w:b/>
                <w:sz w:val="24"/>
              </w:rPr>
              <w:t>KRR 445a straipsnio 1 dalies b punktas</w:t>
            </w:r>
          </w:p>
          <w:p w14:paraId="08D093DD" w14:textId="666A3EDB"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 xml:space="preserve">Atskleisdamos Reglamento (ES) Nr. 575/2013 445a straipsnio 1 dalies b punkte reikalaujamą informaciją, įstaigos turi paaiškinti, ar tenkinamos visos Reglamento (ES) 575/2013 273a straipsnio 2 dalyje nustatytos sąlygos; jei tos sąlygos tenkinamos – ar įstaiga nuosavų lėšų reikalavimus CVA rizikai padengti nusprendė apskaičiuoti taikydama Reglamento (ES) 575/2013 385 straipsnyje nustatytą supaprastintą metodą; kai įstaigos nuosavų lėšų reikalavimus CVA rizikai padengti nusprendė apskaičiuoti taikydamos supaprastintą metodą, nuosavų lėšų reikalavimus CVA rizikai padengti pagal tą metodą. </w:t>
            </w:r>
          </w:p>
        </w:tc>
      </w:tr>
    </w:tbl>
    <w:p w14:paraId="5DFF986C" w14:textId="77777777" w:rsidR="00942645" w:rsidRPr="00AF4032" w:rsidRDefault="00942645" w:rsidP="00942645">
      <w:pPr>
        <w:pStyle w:val="Titlelevel2"/>
        <w:spacing w:before="120" w:after="120"/>
        <w:rPr>
          <w:rFonts w:ascii="Times New Roman" w:eastAsia="Times New Roman" w:hAnsi="Times New Roman" w:cs="Times New Roman"/>
          <w:bCs w:val="0"/>
          <w:color w:val="auto"/>
          <w:sz w:val="24"/>
        </w:rPr>
      </w:pPr>
    </w:p>
    <w:p w14:paraId="3ABF7F9E" w14:textId="77777777" w:rsidR="00AF4032" w:rsidRDefault="00AF4032" w:rsidP="00942645">
      <w:pPr>
        <w:pStyle w:val="Titlelevel2"/>
        <w:spacing w:before="120" w:after="120"/>
        <w:rPr>
          <w:rFonts w:ascii="Times New Roman" w:hAnsi="Times New Roman"/>
          <w:b/>
          <w:color w:val="auto"/>
          <w:sz w:val="24"/>
        </w:rPr>
      </w:pPr>
    </w:p>
    <w:p w14:paraId="31875874" w14:textId="0771FB39" w:rsidR="00942645" w:rsidRPr="00CA7700" w:rsidRDefault="00942645" w:rsidP="00942645">
      <w:pPr>
        <w:pStyle w:val="Titlelevel2"/>
        <w:spacing w:before="120" w:after="120"/>
        <w:rPr>
          <w:rFonts w:ascii="Times New Roman" w:hAnsi="Times New Roman" w:cs="Times New Roman"/>
          <w:color w:val="auto"/>
          <w:sz w:val="24"/>
        </w:rPr>
      </w:pPr>
      <w:r>
        <w:rPr>
          <w:rFonts w:ascii="Times New Roman" w:hAnsi="Times New Roman"/>
          <w:b/>
          <w:color w:val="auto"/>
          <w:sz w:val="24"/>
        </w:rPr>
        <w:lastRenderedPageBreak/>
        <w:t xml:space="preserve">EU CVA1 forma. Kredito vertinimo koregavimo rizika pagal supaprastintą pagrindinį metodą (R-BA) </w:t>
      </w:r>
      <w:r>
        <w:rPr>
          <w:rFonts w:ascii="Times New Roman" w:hAnsi="Times New Roman"/>
          <w:color w:val="auto"/>
          <w:sz w:val="24"/>
        </w:rPr>
        <w:t>(nustatytasis formatas)</w:t>
      </w:r>
    </w:p>
    <w:p w14:paraId="30591F3A" w14:textId="450864D5" w:rsidR="00942645" w:rsidRPr="00CA7700"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rPr>
      </w:pPr>
      <w:r w:rsidRPr="00AF4032">
        <w:rPr>
          <w:rFonts w:ascii="Times New Roman" w:hAnsi="Times New Roman"/>
          <w:color w:val="auto"/>
          <w:sz w:val="24"/>
        </w:rPr>
        <w:t xml:space="preserve">Pagal </w:t>
      </w:r>
      <w:r>
        <w:rPr>
          <w:rFonts w:ascii="Times New Roman" w:hAnsi="Times New Roman"/>
          <w:color w:val="auto"/>
          <w:sz w:val="24"/>
        </w:rPr>
        <w:t>Reglamento (ES) Nr. 575/2013</w:t>
      </w:r>
      <w:r>
        <w:rPr>
          <w:rFonts w:ascii="Times New Roman" w:hAnsi="Times New Roman"/>
          <w:sz w:val="24"/>
        </w:rPr>
        <w:t xml:space="preserve"> </w:t>
      </w:r>
      <w:r>
        <w:rPr>
          <w:rFonts w:ascii="Times New Roman" w:hAnsi="Times New Roman"/>
          <w:color w:val="000000"/>
          <w:sz w:val="24"/>
        </w:rPr>
        <w:t>445a straipsnio 3 dalies a punktą pildydamos IT sprendimų XLI priede pateiktą EU CVA1 formą įstaigos vadovaujasi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453183D"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FB9AD" w14:textId="77777777" w:rsidR="00942645" w:rsidRPr="00CA7700" w:rsidRDefault="00942645" w:rsidP="00962254">
            <w:pPr>
              <w:rPr>
                <w:rFonts w:ascii="Times New Roman" w:hAnsi="Times New Roman" w:cs="Times New Roman"/>
                <w:b/>
                <w:sz w:val="24"/>
              </w:rPr>
            </w:pPr>
            <w:r>
              <w:rPr>
                <w:rFonts w:ascii="Times New Roman" w:hAnsi="Times New Roman"/>
                <w:b/>
                <w:sz w:val="24"/>
              </w:rPr>
              <w:t>Nuorodos į teisės aktus ir nurodymai</w:t>
            </w:r>
          </w:p>
        </w:tc>
      </w:tr>
      <w:tr w:rsidR="00942645" w:rsidRPr="00CA7700" w14:paraId="5B11034B" w14:textId="77777777" w:rsidTr="00962254">
        <w:trPr>
          <w:trHeight w:val="238"/>
        </w:trPr>
        <w:tc>
          <w:tcPr>
            <w:tcW w:w="1384" w:type="dxa"/>
            <w:shd w:val="clear" w:color="auto" w:fill="D9D9D9" w:themeFill="background1" w:themeFillShade="D9"/>
          </w:tcPr>
          <w:p w14:paraId="02D58F57" w14:textId="77777777" w:rsidR="00942645" w:rsidRPr="00CA7700" w:rsidRDefault="00942645" w:rsidP="00962254">
            <w:pPr>
              <w:autoSpaceDE w:val="0"/>
              <w:autoSpaceDN w:val="0"/>
              <w:adjustRightInd w:val="0"/>
              <w:jc w:val="center"/>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55E8B267"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942645" w:rsidRPr="00CA7700" w14:paraId="2FEBD55E" w14:textId="77777777" w:rsidTr="00962254">
        <w:trPr>
          <w:trHeight w:val="680"/>
        </w:trPr>
        <w:tc>
          <w:tcPr>
            <w:tcW w:w="1384" w:type="dxa"/>
          </w:tcPr>
          <w:p w14:paraId="36B837FA" w14:textId="77777777" w:rsidR="00942645" w:rsidRPr="00CA7700" w:rsidRDefault="00942645" w:rsidP="00962254">
            <w:pPr>
              <w:pStyle w:val="Applicationdirecte"/>
              <w:spacing w:before="60" w:after="0"/>
              <w:jc w:val="center"/>
            </w:pPr>
            <w:r>
              <w:t>1</w:t>
            </w:r>
          </w:p>
        </w:tc>
        <w:tc>
          <w:tcPr>
            <w:tcW w:w="7655" w:type="dxa"/>
          </w:tcPr>
          <w:p w14:paraId="54484298"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 xml:space="preserve">Sisteminių CVA rizikos komponentų sumavimas </w:t>
            </w:r>
          </w:p>
          <w:p w14:paraId="732F93B6" w14:textId="4D694000" w:rsidR="00942645" w:rsidRPr="00CA7700" w:rsidRDefault="00942645" w:rsidP="00962254">
            <w:pPr>
              <w:jc w:val="both"/>
              <w:rPr>
                <w:rFonts w:ascii="Times New Roman" w:hAnsi="Times New Roman" w:cs="Times New Roman"/>
                <w:sz w:val="24"/>
              </w:rPr>
            </w:pPr>
            <w:r>
              <w:rPr>
                <w:rFonts w:ascii="Times New Roman" w:hAnsi="Times New Roman"/>
                <w:sz w:val="24"/>
              </w:rPr>
              <w:t>Reglamento (ES) Nr. 575/2013 384 straipsnio 3 dalis. Nuosavų lėšų reikalavimų komponentas pagal tobulos koreliacijos prielaidą (</w:t>
            </w:r>
            <m:oMath>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nary>
            </m:oMath>
            <w:r>
              <w:rPr>
                <w:rFonts w:ascii="Times New Roman" w:hAnsi="Times New Roman"/>
                <w:sz w:val="24"/>
                <w:vertAlign w:val="subscript"/>
              </w:rPr>
              <w:t xml:space="preserve">). </w:t>
            </w:r>
            <w:r>
              <w:rPr>
                <w:rFonts w:ascii="Times New Roman" w:hAnsi="Times New Roman"/>
                <w:sz w:val="24"/>
              </w:rPr>
              <w:t>0,65 diskonto koeficientas netaikomas.</w:t>
            </w:r>
          </w:p>
          <w:p w14:paraId="0342ACCD" w14:textId="77777777" w:rsidR="00942645" w:rsidRPr="00CA7700" w:rsidRDefault="00942645" w:rsidP="00962254">
            <w:pPr>
              <w:rPr>
                <w:rFonts w:ascii="Times New Roman" w:hAnsi="Times New Roman" w:cs="Times New Roman"/>
                <w:sz w:val="24"/>
                <w:lang w:val="en-GB"/>
              </w:rPr>
            </w:pPr>
          </w:p>
        </w:tc>
      </w:tr>
      <w:tr w:rsidR="00942645" w:rsidRPr="00CA7700" w14:paraId="3CBFCA02" w14:textId="77777777" w:rsidTr="00962254">
        <w:trPr>
          <w:trHeight w:val="680"/>
        </w:trPr>
        <w:tc>
          <w:tcPr>
            <w:tcW w:w="1384" w:type="dxa"/>
          </w:tcPr>
          <w:p w14:paraId="05654707" w14:textId="77777777" w:rsidR="00942645" w:rsidRPr="00CA7700" w:rsidRDefault="00942645" w:rsidP="00962254">
            <w:pPr>
              <w:pStyle w:val="Applicationdirecte"/>
              <w:spacing w:before="60" w:after="0"/>
              <w:jc w:val="center"/>
            </w:pPr>
            <w:r>
              <w:t>2</w:t>
            </w:r>
          </w:p>
        </w:tc>
        <w:tc>
          <w:tcPr>
            <w:tcW w:w="7655" w:type="dxa"/>
          </w:tcPr>
          <w:p w14:paraId="196293CA"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 xml:space="preserve">Išskirtinių CVA komponentų sumavimas </w:t>
            </w:r>
          </w:p>
          <w:p w14:paraId="75CC615B" w14:textId="674604A6" w:rsidR="00942645" w:rsidRPr="00CA7700" w:rsidRDefault="00942645" w:rsidP="00962254">
            <w:pPr>
              <w:jc w:val="both"/>
              <w:rPr>
                <w:rFonts w:ascii="Times New Roman" w:hAnsi="Times New Roman" w:cs="Times New Roman"/>
                <w:sz w:val="24"/>
              </w:rPr>
            </w:pPr>
            <w:r>
              <w:rPr>
                <w:rFonts w:ascii="Times New Roman" w:hAnsi="Times New Roman"/>
                <w:sz w:val="24"/>
              </w:rPr>
              <w:t>Reglamento (ES) Nr. 575/2013 384 straipsnio 3 dalis. Nuosavų lėšų reikalavimų komponentas pagal nulinės koreliacijos prielaidą (</w:t>
            </w:r>
            <m:oMath>
              <m:rad>
                <m:radPr>
                  <m:degHide m:val="1"/>
                  <m:ctrlPr>
                    <w:rPr>
                      <w:rFonts w:ascii="Cambria Math" w:hAnsi="Cambria Math" w:cs="Times New Roman"/>
                      <w:i/>
                      <w:sz w:val="24"/>
                      <w:vertAlign w:val="subscript"/>
                    </w:rPr>
                  </m:ctrlPr>
                </m:radPr>
                <m:deg/>
                <m:e>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p>
                        <m:sSupPr>
                          <m:ctrlPr>
                            <w:rPr>
                              <w:rFonts w:ascii="Cambria Math" w:hAnsi="Cambria Math" w:cs="Times New Roman"/>
                              <w:i/>
                              <w:sz w:val="24"/>
                              <w:vertAlign w:val="subscript"/>
                            </w:rPr>
                          </m:ctrlPr>
                        </m:sSupPr>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sup>
                          <m:r>
                            <w:rPr>
                              <w:rFonts w:ascii="Cambria Math" w:hAnsi="Cambria Math" w:cs="Times New Roman"/>
                              <w:sz w:val="24"/>
                              <w:vertAlign w:val="subscript"/>
                            </w:rPr>
                            <m:t>2</m:t>
                          </m:r>
                        </m:sup>
                      </m:sSup>
                    </m:e>
                  </m:nary>
                </m:e>
              </m:rad>
            </m:oMath>
            <w:r>
              <w:rPr>
                <w:rFonts w:ascii="Times New Roman" w:hAnsi="Times New Roman"/>
                <w:sz w:val="24"/>
              </w:rPr>
              <w:t>). 0,65 diskonto koeficientas netaikomas.</w:t>
            </w:r>
          </w:p>
        </w:tc>
      </w:tr>
      <w:tr w:rsidR="00942645" w:rsidRPr="00CA7700" w14:paraId="34141E36" w14:textId="77777777" w:rsidTr="00962254">
        <w:trPr>
          <w:trHeight w:val="680"/>
        </w:trPr>
        <w:tc>
          <w:tcPr>
            <w:tcW w:w="1384" w:type="dxa"/>
          </w:tcPr>
          <w:p w14:paraId="24B58293" w14:textId="77777777" w:rsidR="00942645" w:rsidRPr="00CA7700" w:rsidRDefault="00942645" w:rsidP="00962254">
            <w:pPr>
              <w:pStyle w:val="Applicationdirecte"/>
              <w:spacing w:before="60" w:after="0"/>
              <w:jc w:val="center"/>
            </w:pPr>
            <w:r>
              <w:t>3</w:t>
            </w:r>
          </w:p>
        </w:tc>
        <w:tc>
          <w:tcPr>
            <w:tcW w:w="7655" w:type="dxa"/>
          </w:tcPr>
          <w:p w14:paraId="625EFEB1"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 xml:space="preserve">Iš viso </w:t>
            </w:r>
          </w:p>
          <w:p w14:paraId="715DBC77" w14:textId="042D3A66" w:rsidR="00942645" w:rsidRPr="00CA7700" w:rsidRDefault="00942645" w:rsidP="00962254">
            <w:pPr>
              <w:pStyle w:val="Default"/>
              <w:spacing w:after="120"/>
              <w:jc w:val="both"/>
              <w:rPr>
                <w:rFonts w:ascii="Times New Roman" w:hAnsi="Times New Roman" w:cs="Times New Roman"/>
                <w:iCs/>
              </w:rPr>
            </w:pPr>
            <w:r>
              <w:rPr>
                <w:rFonts w:ascii="Times New Roman" w:hAnsi="Times New Roman"/>
              </w:rPr>
              <w:t>Bendra nuosavų lėšų reikalavimų CVA rizikai padengti suma pagal supaprastintą pagrindinį metodą. Jeigu įstaiga CVA riziką vertina pagal supaprastintą pagrindinį metodą, ši suma yra lygi sumai, atskleistai EU OV1 formos EU 10b eilutės c skiltyje.</w:t>
            </w:r>
          </w:p>
        </w:tc>
      </w:tr>
      <w:tr w:rsidR="00942645" w:rsidRPr="00CA7700" w14:paraId="495C220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7D690" w14:textId="77777777" w:rsidR="00942645" w:rsidRPr="00CA7700" w:rsidRDefault="00942645" w:rsidP="00962254">
            <w:pPr>
              <w:pStyle w:val="Applicationdirecte"/>
              <w:spacing w:before="60" w:after="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F6BB"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Paaiškinimas</w:t>
            </w:r>
          </w:p>
        </w:tc>
      </w:tr>
      <w:tr w:rsidR="00942645" w:rsidRPr="00CA7700" w14:paraId="2D500ECF"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932D74" w14:textId="77777777" w:rsidR="00942645" w:rsidRPr="00CA7700" w:rsidRDefault="00942645" w:rsidP="00962254">
            <w:pPr>
              <w:pStyle w:val="Applicationdirecte"/>
              <w:spacing w:before="6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F43A817" w14:textId="77777777" w:rsidR="00942645" w:rsidRPr="00212EDF" w:rsidRDefault="00942645" w:rsidP="00962254">
            <w:pPr>
              <w:pStyle w:val="Default"/>
              <w:spacing w:after="120"/>
              <w:jc w:val="both"/>
              <w:rPr>
                <w:rFonts w:ascii="Times New Roman" w:hAnsi="Times New Roman" w:cs="Times New Roman"/>
                <w:b/>
                <w:bCs/>
              </w:rPr>
            </w:pPr>
            <w:r>
              <w:rPr>
                <w:rFonts w:ascii="Times New Roman" w:hAnsi="Times New Roman"/>
                <w:b/>
              </w:rPr>
              <w:t>Nuosavų lėšų reikalavimų komponentai</w:t>
            </w:r>
          </w:p>
          <w:p w14:paraId="01943208" w14:textId="2AB15DE7"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Nuosavų lėšų reikalavimų komponentas pagal Reglamento (ES) Nr. 575/2013 384 straipsnio 3 dalį įstaigai, atitinkančiai Reglamento (ES) Nr. 575/2013 384 straipsnio 1 dalies b punkte nustatytą sąlygą.</w:t>
            </w:r>
          </w:p>
        </w:tc>
      </w:tr>
    </w:tbl>
    <w:p w14:paraId="7354F3FD" w14:textId="77777777" w:rsidR="00942645" w:rsidRPr="00CA7700" w:rsidRDefault="00942645" w:rsidP="00942645">
      <w:pPr>
        <w:pStyle w:val="Titlelevel2"/>
        <w:spacing w:before="120" w:after="120"/>
        <w:rPr>
          <w:rFonts w:ascii="Times New Roman" w:hAnsi="Times New Roman" w:cs="Times New Roman"/>
          <w:b/>
          <w:color w:val="auto"/>
          <w:sz w:val="24"/>
        </w:rPr>
      </w:pPr>
    </w:p>
    <w:p w14:paraId="1D211F9F" w14:textId="47105C95" w:rsidR="00942645" w:rsidRPr="00CA7700" w:rsidRDefault="00942645" w:rsidP="00942645">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EU CVA2 forma. Kredito vertinimo koregavimo rizika pagal išsamų pagrindinį metodą (F-BA) </w:t>
      </w:r>
      <w:r>
        <w:rPr>
          <w:rFonts w:ascii="Times New Roman" w:hAnsi="Times New Roman"/>
          <w:color w:val="auto"/>
          <w:sz w:val="24"/>
        </w:rPr>
        <w:t>(nustatytasis formatas)</w:t>
      </w:r>
    </w:p>
    <w:p w14:paraId="1AC6C572" w14:textId="77777777" w:rsidR="00942645" w:rsidRPr="00CA7700"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rPr>
      </w:pPr>
      <w:r>
        <w:rPr>
          <w:rFonts w:ascii="Times New Roman" w:hAnsi="Times New Roman"/>
          <w:sz w:val="24"/>
        </w:rPr>
        <w:t xml:space="preserve">Pagal </w:t>
      </w:r>
      <w:r>
        <w:rPr>
          <w:rFonts w:ascii="Times New Roman" w:hAnsi="Times New Roman"/>
          <w:color w:val="auto"/>
          <w:sz w:val="24"/>
        </w:rPr>
        <w:t>Reglamento (ES) Nr. 575/2013</w:t>
      </w:r>
      <w:r>
        <w:rPr>
          <w:rFonts w:ascii="Times New Roman" w:hAnsi="Times New Roman"/>
          <w:sz w:val="24"/>
        </w:rPr>
        <w:t xml:space="preserve"> </w:t>
      </w:r>
      <w:r>
        <w:rPr>
          <w:rFonts w:ascii="Times New Roman" w:hAnsi="Times New Roman"/>
          <w:color w:val="000000"/>
          <w:sz w:val="24"/>
        </w:rPr>
        <w:t>445a straipsnio 3 dalies a ir b punktus pildydamos IT sprendimų XLI priede pateiktą EU CVA2 formą įstaigos vadovaujasi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2220E6C5"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601C" w14:textId="77777777" w:rsidR="00942645" w:rsidRPr="00CA7700" w:rsidRDefault="00942645" w:rsidP="00962254">
            <w:pPr>
              <w:rPr>
                <w:rFonts w:ascii="Times New Roman" w:hAnsi="Times New Roman" w:cs="Times New Roman"/>
                <w:b/>
                <w:sz w:val="24"/>
              </w:rPr>
            </w:pPr>
            <w:r>
              <w:rPr>
                <w:rFonts w:ascii="Times New Roman" w:hAnsi="Times New Roman"/>
                <w:b/>
                <w:sz w:val="24"/>
              </w:rPr>
              <w:t>Nuorodos į teisės aktus ir nurodymai</w:t>
            </w:r>
          </w:p>
        </w:tc>
      </w:tr>
      <w:tr w:rsidR="00942645" w:rsidRPr="00CA7700" w14:paraId="7CCF4176" w14:textId="77777777" w:rsidTr="00962254">
        <w:trPr>
          <w:trHeight w:val="238"/>
        </w:trPr>
        <w:tc>
          <w:tcPr>
            <w:tcW w:w="1384" w:type="dxa"/>
            <w:shd w:val="clear" w:color="auto" w:fill="D9D9D9" w:themeFill="background1" w:themeFillShade="D9"/>
          </w:tcPr>
          <w:p w14:paraId="6341C9D0" w14:textId="77777777" w:rsidR="00942645" w:rsidRPr="00CA7700" w:rsidRDefault="00942645" w:rsidP="00962254">
            <w:pPr>
              <w:autoSpaceDE w:val="0"/>
              <w:autoSpaceDN w:val="0"/>
              <w:adjustRightInd w:val="0"/>
              <w:jc w:val="center"/>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6DE81DE1"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942645" w:rsidRPr="00CA7700" w14:paraId="3A8E3855" w14:textId="77777777" w:rsidTr="00962254">
        <w:trPr>
          <w:trHeight w:val="680"/>
        </w:trPr>
        <w:tc>
          <w:tcPr>
            <w:tcW w:w="1384" w:type="dxa"/>
          </w:tcPr>
          <w:p w14:paraId="360F4E78" w14:textId="77777777" w:rsidR="00942645" w:rsidRPr="00CA7700" w:rsidRDefault="00942645" w:rsidP="00962254">
            <w:pPr>
              <w:pStyle w:val="Applicationdirecte"/>
              <w:spacing w:before="60" w:after="0"/>
              <w:jc w:val="center"/>
            </w:pPr>
            <w:r>
              <w:t>1</w:t>
            </w:r>
          </w:p>
        </w:tc>
        <w:tc>
          <w:tcPr>
            <w:tcW w:w="7655" w:type="dxa"/>
          </w:tcPr>
          <w:p w14:paraId="04421C27"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 xml:space="preserve">BACVA </w:t>
            </w:r>
            <w:proofErr w:type="spellStart"/>
            <w:r>
              <w:rPr>
                <w:rFonts w:ascii="Times New Roman" w:hAnsi="Times New Roman"/>
                <w:b/>
                <w:sz w:val="24"/>
                <w:vertAlign w:val="superscript"/>
              </w:rPr>
              <w:t>csr-unhedged</w:t>
            </w:r>
            <w:proofErr w:type="spellEnd"/>
            <w:r>
              <w:rPr>
                <w:rFonts w:ascii="Times New Roman" w:hAnsi="Times New Roman"/>
                <w:b/>
                <w:sz w:val="24"/>
              </w:rPr>
              <w:t xml:space="preserve"> </w:t>
            </w:r>
          </w:p>
          <w:p w14:paraId="773EAD60" w14:textId="5EA45F2D" w:rsidR="00942645" w:rsidRPr="00CA7700" w:rsidRDefault="00942645" w:rsidP="00962254">
            <w:pPr>
              <w:pStyle w:val="TableMainHeading"/>
              <w:spacing w:before="60"/>
              <w:jc w:val="both"/>
              <w:rPr>
                <w:rFonts w:ascii="Times New Roman" w:hAnsi="Times New Roman"/>
                <w:i/>
                <w:sz w:val="24"/>
                <w:szCs w:val="24"/>
              </w:rPr>
            </w:pPr>
            <w:r>
              <w:rPr>
                <w:rFonts w:ascii="Times New Roman" w:hAnsi="Times New Roman"/>
                <w:sz w:val="24"/>
              </w:rPr>
              <w:lastRenderedPageBreak/>
              <w:t xml:space="preserve">Nuosavų lėšų reikalavimų komponentas pagal 384 straipsnio 3 dalį įstaigai, atitinkančiai Reglamento (ES) Nr. 575/2013 384 straipsnio 1 dalies b punkte nustatytą sąlygą. </w:t>
            </w:r>
          </w:p>
        </w:tc>
      </w:tr>
      <w:tr w:rsidR="00942645" w:rsidRPr="00CA7700" w14:paraId="4D01A6DA" w14:textId="77777777" w:rsidTr="00962254">
        <w:trPr>
          <w:trHeight w:val="680"/>
        </w:trPr>
        <w:tc>
          <w:tcPr>
            <w:tcW w:w="1384" w:type="dxa"/>
          </w:tcPr>
          <w:p w14:paraId="7D13E37A" w14:textId="77777777" w:rsidR="00942645" w:rsidRPr="00CA7700" w:rsidRDefault="00942645" w:rsidP="00962254">
            <w:pPr>
              <w:pStyle w:val="Applicationdirecte"/>
              <w:spacing w:before="60" w:after="0"/>
              <w:jc w:val="center"/>
            </w:pPr>
            <w:r>
              <w:lastRenderedPageBreak/>
              <w:t>2</w:t>
            </w:r>
          </w:p>
        </w:tc>
        <w:tc>
          <w:tcPr>
            <w:tcW w:w="7655" w:type="dxa"/>
          </w:tcPr>
          <w:p w14:paraId="7F0AADE9" w14:textId="77777777" w:rsidR="00942645" w:rsidRPr="00212EDF" w:rsidRDefault="00942645" w:rsidP="00962254">
            <w:pPr>
              <w:pStyle w:val="TableMainHeading"/>
              <w:spacing w:before="60" w:after="60"/>
              <w:jc w:val="both"/>
              <w:rPr>
                <w:rFonts w:ascii="Times New Roman" w:hAnsi="Times New Roman"/>
                <w:b/>
                <w:bCs/>
                <w:iCs/>
                <w:sz w:val="24"/>
                <w:szCs w:val="24"/>
              </w:rPr>
            </w:pPr>
            <w:r>
              <w:rPr>
                <w:rFonts w:ascii="Times New Roman" w:hAnsi="Times New Roman"/>
                <w:b/>
                <w:sz w:val="24"/>
              </w:rPr>
              <w:t xml:space="preserve">BACVA </w:t>
            </w:r>
            <w:proofErr w:type="spellStart"/>
            <w:r>
              <w:rPr>
                <w:rFonts w:ascii="Times New Roman" w:hAnsi="Times New Roman"/>
                <w:b/>
                <w:sz w:val="24"/>
                <w:vertAlign w:val="superscript"/>
              </w:rPr>
              <w:t>csr-hedged</w:t>
            </w:r>
            <w:proofErr w:type="spellEnd"/>
            <w:r>
              <w:rPr>
                <w:rFonts w:ascii="Times New Roman" w:hAnsi="Times New Roman"/>
                <w:b/>
                <w:sz w:val="24"/>
              </w:rPr>
              <w:t xml:space="preserve"> </w:t>
            </w:r>
          </w:p>
          <w:p w14:paraId="57BEC7BE" w14:textId="56260E01" w:rsidR="00942645" w:rsidRPr="00CA7700" w:rsidRDefault="00942645" w:rsidP="00962254">
            <w:pPr>
              <w:pStyle w:val="TableMainHeading"/>
              <w:spacing w:before="60"/>
              <w:jc w:val="both"/>
              <w:rPr>
                <w:rFonts w:ascii="Times New Roman" w:hAnsi="Times New Roman"/>
                <w:sz w:val="24"/>
                <w:szCs w:val="24"/>
              </w:rPr>
            </w:pPr>
            <w:r>
              <w:rPr>
                <w:rFonts w:ascii="Times New Roman" w:hAnsi="Times New Roman"/>
                <w:sz w:val="24"/>
              </w:rPr>
              <w:t>Nuosavų lėšų reikalavimų komponentas pagal 384 straipsnio 2 dalį įstaigai, atitinkančiai Reglamento (ES) Nr. 575/2013 384 straipsnio 1 dalies a punkte nustatytą sąlygą.</w:t>
            </w:r>
          </w:p>
        </w:tc>
      </w:tr>
      <w:tr w:rsidR="00942645" w:rsidRPr="00CA7700" w14:paraId="22AF0F68" w14:textId="77777777" w:rsidTr="00962254">
        <w:trPr>
          <w:trHeight w:val="680"/>
        </w:trPr>
        <w:tc>
          <w:tcPr>
            <w:tcW w:w="1384" w:type="dxa"/>
          </w:tcPr>
          <w:p w14:paraId="536AE970" w14:textId="77777777" w:rsidR="00942645" w:rsidRPr="00CA7700" w:rsidRDefault="00942645" w:rsidP="00962254">
            <w:pPr>
              <w:pStyle w:val="Applicationdirecte"/>
              <w:spacing w:before="60" w:after="0"/>
              <w:jc w:val="center"/>
            </w:pPr>
            <w:r>
              <w:t>3</w:t>
            </w:r>
          </w:p>
        </w:tc>
        <w:tc>
          <w:tcPr>
            <w:tcW w:w="7655" w:type="dxa"/>
          </w:tcPr>
          <w:p w14:paraId="478A4B46"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 xml:space="preserve">Iš viso </w:t>
            </w:r>
          </w:p>
          <w:p w14:paraId="1F769140" w14:textId="5695C89E" w:rsidR="00942645" w:rsidRPr="00CA7700" w:rsidRDefault="00942645" w:rsidP="00962254">
            <w:pPr>
              <w:pStyle w:val="Default"/>
              <w:spacing w:after="120"/>
              <w:jc w:val="both"/>
              <w:rPr>
                <w:rFonts w:ascii="Times New Roman" w:hAnsi="Times New Roman" w:cs="Times New Roman"/>
                <w:i/>
              </w:rPr>
            </w:pPr>
            <w:r>
              <w:rPr>
                <w:rFonts w:ascii="Times New Roman" w:hAnsi="Times New Roman"/>
              </w:rPr>
              <w:t>Bendra nuosavų lėšų reikalavimų sandoriams, kuriems taikomas išsamus pagrindinis metodas, suma, apskaičiuota pagal 384 straipsnio 2 dalį įstaigai, atitinkančiai Reglamento (ES) Nr. 575/2013 384 straipsnio 1 dalies a punkte nustatytą sąlygą. Jeigu įstaiga CVA riziką vertina pagal išsamų pagrindinį metodą, ši suma yra lygi sumai, atskleistai EU OV1 formos EU 10b eilutės c skiltyje.</w:t>
            </w:r>
          </w:p>
        </w:tc>
      </w:tr>
      <w:tr w:rsidR="00942645" w:rsidRPr="00CA7700" w14:paraId="49A23C27" w14:textId="77777777" w:rsidTr="00962254">
        <w:trPr>
          <w:trHeight w:val="680"/>
        </w:trPr>
        <w:tc>
          <w:tcPr>
            <w:tcW w:w="1384" w:type="dxa"/>
          </w:tcPr>
          <w:p w14:paraId="30EEC360" w14:textId="77777777" w:rsidR="00942645" w:rsidRPr="00CA7700" w:rsidRDefault="00942645" w:rsidP="00962254">
            <w:pPr>
              <w:pStyle w:val="Applicationdirecte"/>
              <w:spacing w:before="60" w:after="0"/>
              <w:jc w:val="center"/>
            </w:pPr>
            <w:r>
              <w:t>EU 4-EU 6</w:t>
            </w:r>
          </w:p>
        </w:tc>
        <w:tc>
          <w:tcPr>
            <w:tcW w:w="7655" w:type="dxa"/>
          </w:tcPr>
          <w:p w14:paraId="52CA155D" w14:textId="77777777" w:rsidR="00942645" w:rsidRPr="00212EDF" w:rsidRDefault="00942645" w:rsidP="00962254">
            <w:pPr>
              <w:pStyle w:val="Default"/>
              <w:spacing w:before="60" w:after="120"/>
              <w:jc w:val="both"/>
              <w:rPr>
                <w:rFonts w:ascii="Times New Roman" w:hAnsi="Times New Roman" w:cs="Times New Roman"/>
                <w:b/>
                <w:bCs/>
                <w:iCs/>
              </w:rPr>
            </w:pPr>
            <w:r>
              <w:rPr>
                <w:rFonts w:ascii="Times New Roman" w:hAnsi="Times New Roman"/>
                <w:b/>
              </w:rPr>
              <w:t>Apsidraudimai nuo CVA rizikos</w:t>
            </w:r>
          </w:p>
          <w:p w14:paraId="2DA2624F" w14:textId="77777777" w:rsidR="00942645" w:rsidRPr="00CA7700" w:rsidRDefault="00942645" w:rsidP="00962254">
            <w:pPr>
              <w:pStyle w:val="Default"/>
              <w:spacing w:after="120"/>
              <w:jc w:val="both"/>
              <w:rPr>
                <w:rFonts w:ascii="Times New Roman" w:hAnsi="Times New Roman" w:cs="Times New Roman"/>
                <w:i/>
              </w:rPr>
            </w:pPr>
            <w:r>
              <w:rPr>
                <w:rFonts w:ascii="Times New Roman" w:hAnsi="Times New Roman"/>
              </w:rPr>
              <w:t xml:space="preserve">Reglamento (ES) Nr. 575/2013 386 straipsnis.                                                                                                                                                                                 </w:t>
            </w:r>
          </w:p>
        </w:tc>
      </w:tr>
      <w:tr w:rsidR="00942645" w:rsidRPr="00CA7700" w14:paraId="7F165970"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A7AA2" w14:textId="77777777" w:rsidR="00942645" w:rsidRPr="00CA7700" w:rsidRDefault="00942645" w:rsidP="00962254">
            <w:pPr>
              <w:pStyle w:val="Applicationdirecte"/>
              <w:spacing w:before="60" w:after="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F8A39"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Paaiškinimas</w:t>
            </w:r>
          </w:p>
        </w:tc>
      </w:tr>
      <w:tr w:rsidR="00942645" w:rsidRPr="00CA7700" w14:paraId="132006D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7720863" w14:textId="77777777" w:rsidR="00942645" w:rsidRPr="00CA7700" w:rsidRDefault="00942645" w:rsidP="00962254">
            <w:pPr>
              <w:pStyle w:val="Applicationdirecte"/>
              <w:spacing w:before="6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EE77491" w14:textId="77777777" w:rsidR="004D0F6F" w:rsidRPr="00212EDF" w:rsidRDefault="00F94A07" w:rsidP="00962254">
            <w:pPr>
              <w:pStyle w:val="Default"/>
              <w:spacing w:after="120"/>
              <w:jc w:val="both"/>
              <w:rPr>
                <w:rFonts w:ascii="Times New Roman" w:hAnsi="Times New Roman" w:cs="Times New Roman"/>
                <w:b/>
                <w:bCs/>
                <w:iCs/>
              </w:rPr>
            </w:pPr>
            <w:r>
              <w:rPr>
                <w:rFonts w:ascii="Times New Roman" w:hAnsi="Times New Roman"/>
                <w:b/>
              </w:rPr>
              <w:t>Nuosavų lėšų reikalavimai</w:t>
            </w:r>
          </w:p>
          <w:p w14:paraId="1EAAA246" w14:textId="6BD90025"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Reglamento (ES) Nr. 575/2013 382 straipsnis.</w:t>
            </w:r>
          </w:p>
        </w:tc>
      </w:tr>
      <w:tr w:rsidR="00942645" w:rsidRPr="00CA7700" w14:paraId="4CF3202E"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EB3FEF0" w14:textId="77777777" w:rsidR="00942645" w:rsidRPr="00CA7700" w:rsidRDefault="00942645" w:rsidP="00962254">
            <w:pPr>
              <w:pStyle w:val="Applicationdirecte"/>
              <w:spacing w:before="60" w:after="0"/>
              <w:jc w:val="center"/>
            </w:pPr>
            <w:r>
              <w:t>EU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480EEF"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Apsidraudimų nuo CVA rizikos tariamoji suma</w:t>
            </w:r>
          </w:p>
          <w:p w14:paraId="6971C72E" w14:textId="002E6959" w:rsidR="00942645" w:rsidRPr="00CA7700" w:rsidRDefault="00942645" w:rsidP="00962254">
            <w:pPr>
              <w:pStyle w:val="Default"/>
              <w:spacing w:after="120"/>
              <w:jc w:val="both"/>
              <w:rPr>
                <w:rFonts w:ascii="Times New Roman" w:hAnsi="Times New Roman" w:cs="Times New Roman"/>
                <w:b/>
              </w:rPr>
            </w:pPr>
            <w:r>
              <w:rPr>
                <w:rFonts w:ascii="Times New Roman" w:hAnsi="Times New Roman"/>
              </w:rPr>
              <w:t>Reikalavimus atitinkančių apsidraudimų nuo CVA rizikos tariamoji suma (bendros sumos), pripažįstama pagal Reglamento (ES) Nr. 575/2013 386 straipsnį.</w:t>
            </w:r>
          </w:p>
        </w:tc>
      </w:tr>
    </w:tbl>
    <w:p w14:paraId="262650D7" w14:textId="77777777" w:rsidR="00942645" w:rsidRPr="00CA7700" w:rsidRDefault="00942645" w:rsidP="00942645">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 </w:t>
      </w:r>
    </w:p>
    <w:p w14:paraId="26F81090" w14:textId="2356F62C"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rPr>
      </w:pPr>
      <w:r>
        <w:rPr>
          <w:rFonts w:ascii="Times New Roman" w:hAnsi="Times New Roman"/>
          <w:b/>
          <w:color w:val="auto"/>
          <w:sz w:val="24"/>
        </w:rPr>
        <w:t>EU CVAB lentelė. Su CVA rizika susiję kokybinės informacijos atskleidimo reikalavimai standartizuotą metodą taikančioms įstaigoms</w:t>
      </w:r>
      <w:r>
        <w:rPr>
          <w:rFonts w:ascii="Times New Roman" w:hAnsi="Times New Roman"/>
          <w:sz w:val="24"/>
        </w:rPr>
        <w:t xml:space="preserve"> </w:t>
      </w:r>
      <w:r>
        <w:rPr>
          <w:rFonts w:ascii="Times New Roman" w:hAnsi="Times New Roman"/>
          <w:color w:val="000000"/>
          <w:sz w:val="24"/>
        </w:rPr>
        <w:t xml:space="preserve">Laisvos formos teksto laukeliai </w:t>
      </w:r>
    </w:p>
    <w:p w14:paraId="15A03098" w14:textId="5A4C11E9" w:rsidR="00942645" w:rsidRPr="00CA7700" w:rsidRDefault="00942645" w:rsidP="00942645">
      <w:pPr>
        <w:pStyle w:val="Titlelevel2"/>
        <w:numPr>
          <w:ilvl w:val="0"/>
          <w:numId w:val="14"/>
        </w:numPr>
        <w:spacing w:before="120"/>
        <w:jc w:val="both"/>
        <w:rPr>
          <w:rFonts w:ascii="Times New Roman" w:hAnsi="Times New Roman" w:cs="Times New Roman"/>
          <w:sz w:val="24"/>
        </w:rPr>
      </w:pPr>
      <w:r>
        <w:rPr>
          <w:rFonts w:ascii="Times New Roman" w:hAnsi="Times New Roman"/>
          <w:color w:val="auto"/>
          <w:sz w:val="24"/>
        </w:rPr>
        <w:t>Pagal</w:t>
      </w:r>
      <w:r w:rsidRPr="00AF4032">
        <w:rPr>
          <w:rFonts w:ascii="Times New Roman" w:hAnsi="Times New Roman"/>
          <w:color w:val="auto"/>
          <w:sz w:val="24"/>
        </w:rPr>
        <w:t xml:space="preserve"> Reglamento (ES) Nr. 575/2013 445a straipsnio</w:t>
      </w:r>
      <w:r>
        <w:rPr>
          <w:rFonts w:ascii="Times New Roman" w:hAnsi="Times New Roman"/>
          <w:color w:val="000000"/>
          <w:sz w:val="24"/>
        </w:rPr>
        <w:t xml:space="preserve"> 2 dalies a punktą pildydamos IT sprendimų XLI priede pateiktą EU CVAB lentelę įstaigos vadovaujasi toliau pateiktais nurodymais</w:t>
      </w:r>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48D84649"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74E740" w14:textId="77777777" w:rsidR="00942645" w:rsidRPr="00CA7700" w:rsidRDefault="00942645" w:rsidP="00962254">
            <w:pPr>
              <w:rPr>
                <w:rFonts w:ascii="Times New Roman" w:hAnsi="Times New Roman" w:cs="Times New Roman"/>
                <w:b/>
                <w:sz w:val="24"/>
              </w:rPr>
            </w:pPr>
            <w:r>
              <w:rPr>
                <w:rFonts w:ascii="Times New Roman" w:hAnsi="Times New Roman"/>
                <w:b/>
                <w:sz w:val="24"/>
              </w:rPr>
              <w:t>Nuorodos į teisės aktus ir nurodymai</w:t>
            </w:r>
          </w:p>
        </w:tc>
      </w:tr>
      <w:tr w:rsidR="00942645" w:rsidRPr="00CA7700" w14:paraId="058ED50C" w14:textId="77777777" w:rsidTr="00962254">
        <w:trPr>
          <w:trHeight w:val="238"/>
        </w:trPr>
        <w:tc>
          <w:tcPr>
            <w:tcW w:w="1384" w:type="dxa"/>
            <w:shd w:val="clear" w:color="auto" w:fill="D9D9D9" w:themeFill="background1" w:themeFillShade="D9"/>
          </w:tcPr>
          <w:p w14:paraId="2C0D35AA"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11D077C1"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942645" w:rsidRPr="00CA7700" w14:paraId="7FC943AA" w14:textId="77777777" w:rsidTr="00962254">
        <w:trPr>
          <w:trHeight w:val="680"/>
        </w:trPr>
        <w:tc>
          <w:tcPr>
            <w:tcW w:w="1384" w:type="dxa"/>
          </w:tcPr>
          <w:p w14:paraId="538FEE19" w14:textId="77777777" w:rsidR="00942645" w:rsidRPr="00CA7700" w:rsidRDefault="00942645" w:rsidP="00962254">
            <w:pPr>
              <w:pStyle w:val="Applicationdirecte"/>
              <w:spacing w:before="60"/>
              <w:jc w:val="center"/>
            </w:pPr>
            <w:r>
              <w:t>a)</w:t>
            </w:r>
          </w:p>
        </w:tc>
        <w:tc>
          <w:tcPr>
            <w:tcW w:w="7655" w:type="dxa"/>
            <w:vAlign w:val="center"/>
          </w:tcPr>
          <w:p w14:paraId="5723498B" w14:textId="6623C4D9" w:rsidR="00942645" w:rsidRPr="00CA7700" w:rsidRDefault="00942645" w:rsidP="00C2380E">
            <w:pPr>
              <w:spacing w:before="60" w:after="120"/>
              <w:jc w:val="both"/>
              <w:rPr>
                <w:rFonts w:ascii="Times New Roman" w:hAnsi="Times New Roman" w:cs="Times New Roman"/>
                <w:sz w:val="24"/>
              </w:rPr>
            </w:pPr>
            <w:r>
              <w:rPr>
                <w:rFonts w:ascii="Times New Roman" w:hAnsi="Times New Roman"/>
                <w:sz w:val="24"/>
              </w:rPr>
              <w:t xml:space="preserve">Atskleisdamos Reglamento (ES) Nr. 575/2013 445a straipsnio 2 dalies a punkte reikalaujamą informaciją, įstaigos turi aprašyti vidaus CVA rizikos valdymo funkcijos ir valdymo struktūrą bei organizavimą, įskaitant banko CVA rizikos valdymo sistemos aprašymą. </w:t>
            </w:r>
          </w:p>
        </w:tc>
      </w:tr>
      <w:tr w:rsidR="00942645" w:rsidRPr="00CA7700" w14:paraId="2C14B87C" w14:textId="77777777" w:rsidTr="00962254">
        <w:trPr>
          <w:trHeight w:val="680"/>
        </w:trPr>
        <w:tc>
          <w:tcPr>
            <w:tcW w:w="1384" w:type="dxa"/>
          </w:tcPr>
          <w:p w14:paraId="6735DFB8" w14:textId="77777777" w:rsidR="00942645" w:rsidRPr="00CA7700" w:rsidRDefault="00942645" w:rsidP="00962254">
            <w:pPr>
              <w:pStyle w:val="Applicationdirecte"/>
              <w:spacing w:before="60"/>
              <w:jc w:val="center"/>
            </w:pPr>
            <w:r>
              <w:lastRenderedPageBreak/>
              <w:t>b)</w:t>
            </w:r>
          </w:p>
        </w:tc>
        <w:tc>
          <w:tcPr>
            <w:tcW w:w="7655" w:type="dxa"/>
            <w:vAlign w:val="center"/>
          </w:tcPr>
          <w:p w14:paraId="18D48591" w14:textId="77777777" w:rsidR="00942645" w:rsidRPr="00CA7700" w:rsidRDefault="00942645" w:rsidP="00962254">
            <w:pPr>
              <w:spacing w:before="60" w:after="120"/>
              <w:jc w:val="both"/>
              <w:rPr>
                <w:rFonts w:ascii="Times New Roman" w:hAnsi="Times New Roman" w:cs="Times New Roman"/>
                <w:noProof/>
                <w:sz w:val="24"/>
              </w:rPr>
            </w:pPr>
            <w:r>
              <w:rPr>
                <w:rFonts w:ascii="Times New Roman" w:hAnsi="Times New Roman"/>
                <w:sz w:val="24"/>
              </w:rPr>
              <w:t>Vyresniosios vadovybės dalyvavimo CVA rizikos valdymo sistemoje aprašymas.</w:t>
            </w:r>
          </w:p>
        </w:tc>
      </w:tr>
      <w:tr w:rsidR="00942645" w:rsidRPr="00CA7700" w14:paraId="23888D51" w14:textId="77777777" w:rsidTr="00962254">
        <w:trPr>
          <w:trHeight w:val="680"/>
        </w:trPr>
        <w:tc>
          <w:tcPr>
            <w:tcW w:w="1384" w:type="dxa"/>
          </w:tcPr>
          <w:p w14:paraId="31F6385A" w14:textId="77777777" w:rsidR="00942645" w:rsidRPr="00CA7700" w:rsidRDefault="00942645" w:rsidP="00962254">
            <w:pPr>
              <w:pStyle w:val="Applicationdirecte"/>
              <w:spacing w:before="60"/>
              <w:jc w:val="center"/>
            </w:pPr>
            <w:r>
              <w:t>c)</w:t>
            </w:r>
          </w:p>
        </w:tc>
        <w:tc>
          <w:tcPr>
            <w:tcW w:w="7655" w:type="dxa"/>
            <w:vAlign w:val="center"/>
          </w:tcPr>
          <w:p w14:paraId="4DDC9D3A" w14:textId="77777777" w:rsidR="00942645" w:rsidRPr="00CA7700" w:rsidRDefault="00942645" w:rsidP="00962254">
            <w:pPr>
              <w:spacing w:before="60" w:after="120"/>
              <w:jc w:val="both"/>
              <w:rPr>
                <w:rFonts w:ascii="Times New Roman" w:hAnsi="Times New Roman" w:cs="Times New Roman"/>
                <w:noProof/>
                <w:sz w:val="24"/>
              </w:rPr>
            </w:pPr>
            <w:r>
              <w:rPr>
                <w:rFonts w:ascii="Times New Roman" w:hAnsi="Times New Roman"/>
                <w:sz w:val="24"/>
              </w:rPr>
              <w:t>CVA rizikos valdymo sistemos valdymo apžvalga (pvz., dokumentacija, nepriklausomas kontrolės padalinys, nepriklausoma peržiūra, duomenų gavimo nepriklausomumas nuo veiklos rūšių).</w:t>
            </w:r>
          </w:p>
        </w:tc>
      </w:tr>
    </w:tbl>
    <w:p w14:paraId="48A22EB2" w14:textId="77777777" w:rsidR="00942645" w:rsidRPr="00CA7700" w:rsidRDefault="00942645" w:rsidP="00942645">
      <w:pPr>
        <w:pStyle w:val="Titlelevel2"/>
        <w:spacing w:before="120" w:after="120"/>
        <w:rPr>
          <w:rFonts w:ascii="Times New Roman" w:hAnsi="Times New Roman" w:cs="Times New Roman"/>
          <w:b/>
          <w:color w:val="auto"/>
          <w:sz w:val="24"/>
        </w:rPr>
      </w:pPr>
    </w:p>
    <w:p w14:paraId="10E64D71" w14:textId="77777777" w:rsidR="00942645" w:rsidRPr="00CA7700" w:rsidRDefault="00942645" w:rsidP="00942645">
      <w:pPr>
        <w:pStyle w:val="Titlelevel2"/>
        <w:spacing w:before="120" w:after="120"/>
        <w:rPr>
          <w:rFonts w:ascii="Times New Roman" w:hAnsi="Times New Roman" w:cs="Times New Roman"/>
          <w:b/>
          <w:color w:val="auto"/>
          <w:sz w:val="24"/>
        </w:rPr>
      </w:pPr>
    </w:p>
    <w:p w14:paraId="6E35954E" w14:textId="05CD8C39" w:rsidR="00942645" w:rsidRPr="00CA7700" w:rsidRDefault="00942645" w:rsidP="00942645">
      <w:pPr>
        <w:spacing w:after="120"/>
        <w:jc w:val="both"/>
        <w:rPr>
          <w:rFonts w:ascii="Times New Roman" w:hAnsi="Times New Roman" w:cs="Times New Roman"/>
          <w:sz w:val="24"/>
        </w:rPr>
      </w:pPr>
      <w:r>
        <w:rPr>
          <w:rFonts w:ascii="Times New Roman" w:hAnsi="Times New Roman"/>
          <w:b/>
          <w:sz w:val="24"/>
        </w:rPr>
        <w:t xml:space="preserve">EU CVA3 forma. Kredito vertinimo koregavimo rizika pagal standartizuotą metodą (SA) </w:t>
      </w:r>
      <w:r>
        <w:rPr>
          <w:rFonts w:ascii="Times New Roman" w:hAnsi="Times New Roman"/>
          <w:sz w:val="24"/>
        </w:rPr>
        <w:t>(nustatytasis formatas)</w:t>
      </w:r>
    </w:p>
    <w:p w14:paraId="18ADC674" w14:textId="77777777" w:rsidR="00942645" w:rsidRPr="00CA7700" w:rsidRDefault="00942645" w:rsidP="00942645">
      <w:pPr>
        <w:pStyle w:val="Titlelevel2"/>
        <w:numPr>
          <w:ilvl w:val="0"/>
          <w:numId w:val="14"/>
        </w:numPr>
        <w:spacing w:before="120"/>
        <w:jc w:val="both"/>
        <w:rPr>
          <w:rFonts w:ascii="Times New Roman" w:hAnsi="Times New Roman" w:cs="Times New Roman"/>
          <w:b/>
          <w:color w:val="auto"/>
          <w:sz w:val="24"/>
        </w:rPr>
      </w:pPr>
      <w:r>
        <w:rPr>
          <w:rFonts w:ascii="Times New Roman" w:hAnsi="Times New Roman"/>
          <w:sz w:val="24"/>
        </w:rPr>
        <w:t xml:space="preserve">Pagal </w:t>
      </w:r>
      <w:r>
        <w:rPr>
          <w:rFonts w:ascii="Times New Roman" w:hAnsi="Times New Roman"/>
          <w:color w:val="auto"/>
          <w:sz w:val="24"/>
        </w:rPr>
        <w:t>Reglamento (ES) Nr. 575/2013</w:t>
      </w:r>
      <w:r>
        <w:rPr>
          <w:rFonts w:ascii="Times New Roman" w:hAnsi="Times New Roman"/>
          <w:sz w:val="24"/>
        </w:rPr>
        <w:t xml:space="preserve"> </w:t>
      </w:r>
      <w:r>
        <w:rPr>
          <w:rFonts w:ascii="Times New Roman" w:hAnsi="Times New Roman"/>
          <w:color w:val="000000"/>
          <w:sz w:val="24"/>
        </w:rPr>
        <w:t>445a straipsnio 1 dalies c punktą ir 445a straipsnio 2 dalies b ir c punktus pildydamos XLI priede pateiktą EU CVA3 formą įstaigos vadovaujasi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51449C4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30005" w14:textId="77777777" w:rsidR="00942645" w:rsidRPr="00CA7700" w:rsidRDefault="00942645" w:rsidP="00962254">
            <w:pPr>
              <w:rPr>
                <w:rFonts w:ascii="Times New Roman" w:hAnsi="Times New Roman" w:cs="Times New Roman"/>
                <w:b/>
                <w:sz w:val="24"/>
              </w:rPr>
            </w:pPr>
            <w:r>
              <w:rPr>
                <w:rFonts w:ascii="Times New Roman" w:hAnsi="Times New Roman"/>
                <w:b/>
                <w:sz w:val="24"/>
              </w:rPr>
              <w:t>Nuorodos į teisės aktus ir nurodymai</w:t>
            </w:r>
          </w:p>
        </w:tc>
      </w:tr>
      <w:tr w:rsidR="00942645" w:rsidRPr="00CA7700" w14:paraId="7D7672FA" w14:textId="77777777" w:rsidTr="00962254">
        <w:trPr>
          <w:trHeight w:val="238"/>
        </w:trPr>
        <w:tc>
          <w:tcPr>
            <w:tcW w:w="1384" w:type="dxa"/>
            <w:shd w:val="clear" w:color="auto" w:fill="D9D9D9" w:themeFill="background1" w:themeFillShade="D9"/>
          </w:tcPr>
          <w:p w14:paraId="502C2F2D"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4A1AB3F4"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942645" w:rsidRPr="00CA7700" w14:paraId="0BAD186E" w14:textId="77777777" w:rsidTr="00962254">
        <w:trPr>
          <w:trHeight w:val="680"/>
        </w:trPr>
        <w:tc>
          <w:tcPr>
            <w:tcW w:w="1384" w:type="dxa"/>
          </w:tcPr>
          <w:p w14:paraId="4425CAC5" w14:textId="77777777" w:rsidR="00942645" w:rsidRPr="00CA7700" w:rsidRDefault="00942645" w:rsidP="00962254">
            <w:pPr>
              <w:pStyle w:val="Applicationdirecte"/>
              <w:spacing w:before="60" w:after="0"/>
              <w:jc w:val="center"/>
            </w:pPr>
            <w:r>
              <w:t>1–6</w:t>
            </w:r>
          </w:p>
        </w:tc>
        <w:tc>
          <w:tcPr>
            <w:tcW w:w="7655" w:type="dxa"/>
            <w:vAlign w:val="center"/>
          </w:tcPr>
          <w:p w14:paraId="78E0BB68" w14:textId="77777777" w:rsidR="00942645" w:rsidRPr="00212EDF" w:rsidRDefault="00942645" w:rsidP="00962254">
            <w:pPr>
              <w:pStyle w:val="TableNote"/>
              <w:rPr>
                <w:rFonts w:ascii="Times New Roman" w:hAnsi="Times New Roman"/>
                <w:b/>
                <w:iCs/>
                <w:sz w:val="24"/>
                <w:szCs w:val="24"/>
              </w:rPr>
            </w:pPr>
            <w:r>
              <w:rPr>
                <w:rFonts w:ascii="Times New Roman" w:hAnsi="Times New Roman"/>
                <w:b/>
                <w:sz w:val="24"/>
              </w:rPr>
              <w:t>Rizikos klasės</w:t>
            </w:r>
          </w:p>
          <w:p w14:paraId="60828ECC" w14:textId="4B3E3F32" w:rsidR="00942645" w:rsidRPr="00CA7700" w:rsidRDefault="00942645" w:rsidP="00962254">
            <w:pPr>
              <w:pStyle w:val="TableNote"/>
              <w:rPr>
                <w:rFonts w:ascii="Times New Roman" w:hAnsi="Times New Roman"/>
                <w:i/>
                <w:sz w:val="24"/>
                <w:szCs w:val="24"/>
              </w:rPr>
            </w:pPr>
            <w:r>
              <w:rPr>
                <w:rFonts w:ascii="Times New Roman" w:hAnsi="Times New Roman"/>
                <w:sz w:val="24"/>
              </w:rPr>
              <w:t>Nuosavų lėšų reikalavimų, apskaičiuojamų pagal standartizuotą metodą (standartizuotas metodas CVA rizika) pagal Reglamento (ES) Nr. 575/2013 383 straipsnį, komponentai, įskaitant suskirstymą pagal rizikos klases, kaip nustatyta Reglamento (ES) Nr. 575/2013 383 straipsnio 2 dalies 1 punkte.</w:t>
            </w:r>
          </w:p>
        </w:tc>
      </w:tr>
      <w:tr w:rsidR="00942645" w:rsidRPr="00CA7700" w14:paraId="08B80DC9" w14:textId="77777777" w:rsidTr="00962254">
        <w:trPr>
          <w:trHeight w:val="680"/>
        </w:trPr>
        <w:tc>
          <w:tcPr>
            <w:tcW w:w="1384" w:type="dxa"/>
          </w:tcPr>
          <w:p w14:paraId="0A8EF228" w14:textId="77777777" w:rsidR="00942645" w:rsidRPr="00CA7700" w:rsidRDefault="00942645" w:rsidP="00962254">
            <w:pPr>
              <w:pStyle w:val="Applicationdirecte"/>
              <w:spacing w:before="60" w:after="0"/>
              <w:jc w:val="center"/>
            </w:pPr>
            <w:r>
              <w:t>1</w:t>
            </w:r>
          </w:p>
        </w:tc>
        <w:tc>
          <w:tcPr>
            <w:tcW w:w="7655" w:type="dxa"/>
            <w:vAlign w:val="center"/>
          </w:tcPr>
          <w:p w14:paraId="28EC92DE" w14:textId="02A0C77C"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Palūkanų normos rizika</w:t>
            </w:r>
          </w:p>
          <w:p w14:paraId="16CB1A2E" w14:textId="2B6C4833" w:rsidR="00942645" w:rsidRPr="00CA7700" w:rsidRDefault="00942645" w:rsidP="00962254">
            <w:pPr>
              <w:pStyle w:val="TableNote"/>
              <w:rPr>
                <w:rFonts w:ascii="Times New Roman" w:hAnsi="Times New Roman"/>
                <w:i/>
                <w:sz w:val="24"/>
                <w:szCs w:val="24"/>
              </w:rPr>
            </w:pPr>
            <w:r>
              <w:rPr>
                <w:rFonts w:ascii="Times New Roman" w:hAnsi="Times New Roman"/>
                <w:sz w:val="24"/>
              </w:rPr>
              <w:t xml:space="preserve">Reglamento (ES) Nr. 575/2013 383c, 383i, 383j, 383k, 383l ir 383m straipsniai. </w:t>
            </w:r>
          </w:p>
        </w:tc>
      </w:tr>
      <w:tr w:rsidR="00942645" w:rsidRPr="00CA7700" w14:paraId="66D65198" w14:textId="77777777" w:rsidTr="00962254">
        <w:trPr>
          <w:trHeight w:val="680"/>
        </w:trPr>
        <w:tc>
          <w:tcPr>
            <w:tcW w:w="1384" w:type="dxa"/>
          </w:tcPr>
          <w:p w14:paraId="17F59EE8" w14:textId="77777777" w:rsidR="00942645" w:rsidRPr="00CA7700" w:rsidRDefault="00942645" w:rsidP="00962254">
            <w:pPr>
              <w:pStyle w:val="Applicationdirecte"/>
              <w:spacing w:before="60" w:after="0"/>
              <w:jc w:val="center"/>
            </w:pPr>
            <w:r>
              <w:t>2</w:t>
            </w:r>
          </w:p>
        </w:tc>
        <w:tc>
          <w:tcPr>
            <w:tcW w:w="7655" w:type="dxa"/>
            <w:vAlign w:val="center"/>
          </w:tcPr>
          <w:p w14:paraId="44DDD750"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 xml:space="preserve">Užsienio valiutos kurso rizika </w:t>
            </w:r>
          </w:p>
          <w:p w14:paraId="0D99F846" w14:textId="21475511" w:rsidR="00942645" w:rsidRPr="00CA7700" w:rsidRDefault="00942645" w:rsidP="00962254">
            <w:pPr>
              <w:pStyle w:val="TableNote"/>
              <w:rPr>
                <w:rFonts w:ascii="Times New Roman" w:hAnsi="Times New Roman"/>
                <w:i/>
                <w:sz w:val="24"/>
                <w:szCs w:val="24"/>
              </w:rPr>
            </w:pPr>
            <w:r>
              <w:rPr>
                <w:rFonts w:ascii="Times New Roman" w:hAnsi="Times New Roman"/>
                <w:sz w:val="24"/>
              </w:rPr>
              <w:t>Reglamento (ES) Nr. 575/2013 383d, 383i, 383j, 383n ir 383o straipsniai.</w:t>
            </w:r>
          </w:p>
        </w:tc>
      </w:tr>
      <w:tr w:rsidR="00942645" w:rsidRPr="00CA7700" w14:paraId="1E7CC2E9" w14:textId="77777777" w:rsidTr="00962254">
        <w:trPr>
          <w:trHeight w:val="680"/>
        </w:trPr>
        <w:tc>
          <w:tcPr>
            <w:tcW w:w="1384" w:type="dxa"/>
          </w:tcPr>
          <w:p w14:paraId="47052EF4" w14:textId="77777777" w:rsidR="00942645" w:rsidRPr="00CA7700" w:rsidRDefault="00942645" w:rsidP="00962254">
            <w:pPr>
              <w:pStyle w:val="Applicationdirecte"/>
              <w:spacing w:before="60" w:after="0"/>
              <w:jc w:val="center"/>
            </w:pPr>
            <w:r>
              <w:t>3</w:t>
            </w:r>
          </w:p>
        </w:tc>
        <w:tc>
          <w:tcPr>
            <w:tcW w:w="7655" w:type="dxa"/>
            <w:vAlign w:val="center"/>
          </w:tcPr>
          <w:p w14:paraId="2CE70E59" w14:textId="77777777" w:rsidR="00942645" w:rsidRPr="00212EDF" w:rsidRDefault="00942645" w:rsidP="00962254">
            <w:pPr>
              <w:spacing w:after="120"/>
              <w:jc w:val="both"/>
              <w:rPr>
                <w:rFonts w:ascii="Times New Roman" w:hAnsi="Times New Roman" w:cs="Times New Roman"/>
                <w:b/>
                <w:bCs/>
                <w:iCs/>
                <w:sz w:val="24"/>
              </w:rPr>
            </w:pPr>
            <w:r>
              <w:rPr>
                <w:rFonts w:ascii="Times New Roman" w:hAnsi="Times New Roman"/>
                <w:b/>
                <w:sz w:val="24"/>
              </w:rPr>
              <w:t>Pagrindinės kredito maržos rizika</w:t>
            </w:r>
          </w:p>
          <w:p w14:paraId="371E3FA7" w14:textId="67089DA8" w:rsidR="00942645" w:rsidRPr="00CA7700" w:rsidRDefault="00942645" w:rsidP="00962254">
            <w:pPr>
              <w:pStyle w:val="TableNote"/>
              <w:rPr>
                <w:rFonts w:ascii="Times New Roman" w:hAnsi="Times New Roman"/>
                <w:i/>
                <w:sz w:val="24"/>
                <w:szCs w:val="24"/>
              </w:rPr>
            </w:pPr>
            <w:r>
              <w:rPr>
                <w:rFonts w:ascii="Times New Roman" w:hAnsi="Times New Roman"/>
                <w:sz w:val="24"/>
              </w:rPr>
              <w:t>Reglamento (ES) Nr. 575/2013 383f, 383i, 383j, 383s ir 383u straipsniai.</w:t>
            </w:r>
          </w:p>
        </w:tc>
      </w:tr>
      <w:tr w:rsidR="00942645" w:rsidRPr="00CA7700" w14:paraId="63127EE0" w14:textId="77777777" w:rsidTr="00962254">
        <w:trPr>
          <w:trHeight w:val="680"/>
        </w:trPr>
        <w:tc>
          <w:tcPr>
            <w:tcW w:w="1384" w:type="dxa"/>
          </w:tcPr>
          <w:p w14:paraId="334E24EF" w14:textId="77777777" w:rsidR="00942645" w:rsidRPr="00CA7700" w:rsidRDefault="00942645" w:rsidP="00962254">
            <w:pPr>
              <w:pStyle w:val="Applicationdirecte"/>
              <w:spacing w:before="60" w:after="0"/>
              <w:jc w:val="center"/>
            </w:pPr>
            <w:r>
              <w:t>4</w:t>
            </w:r>
          </w:p>
        </w:tc>
        <w:tc>
          <w:tcPr>
            <w:tcW w:w="7655" w:type="dxa"/>
            <w:vAlign w:val="center"/>
          </w:tcPr>
          <w:p w14:paraId="57EBB8D1"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Nuosavybės vertybinių popierių rizika</w:t>
            </w:r>
          </w:p>
          <w:p w14:paraId="091E1B85" w14:textId="4452A32D" w:rsidR="00942645" w:rsidRPr="00CA7700" w:rsidRDefault="00942645" w:rsidP="00962254">
            <w:pPr>
              <w:pStyle w:val="TableNote"/>
              <w:rPr>
                <w:rFonts w:ascii="Times New Roman" w:hAnsi="Times New Roman"/>
                <w:i/>
                <w:sz w:val="24"/>
                <w:szCs w:val="24"/>
              </w:rPr>
            </w:pPr>
            <w:r>
              <w:rPr>
                <w:rFonts w:ascii="Times New Roman" w:hAnsi="Times New Roman"/>
                <w:sz w:val="24"/>
              </w:rPr>
              <w:t>Reglamento (ES) Nr. 575/2013 383g, 383i, 383j, 383v ir 383w straipsniai.</w:t>
            </w:r>
          </w:p>
        </w:tc>
      </w:tr>
      <w:tr w:rsidR="00942645" w:rsidRPr="00CA7700" w14:paraId="52C23ACC" w14:textId="77777777" w:rsidTr="00962254">
        <w:trPr>
          <w:trHeight w:val="680"/>
        </w:trPr>
        <w:tc>
          <w:tcPr>
            <w:tcW w:w="1384" w:type="dxa"/>
          </w:tcPr>
          <w:p w14:paraId="579A551B" w14:textId="77777777" w:rsidR="00942645" w:rsidRPr="00CA7700" w:rsidRDefault="00942645" w:rsidP="00962254">
            <w:pPr>
              <w:pStyle w:val="Applicationdirecte"/>
              <w:spacing w:before="60" w:after="0"/>
              <w:jc w:val="center"/>
            </w:pPr>
            <w:r>
              <w:t>5</w:t>
            </w:r>
          </w:p>
        </w:tc>
        <w:tc>
          <w:tcPr>
            <w:tcW w:w="7655" w:type="dxa"/>
            <w:vAlign w:val="center"/>
          </w:tcPr>
          <w:p w14:paraId="56BFBEB4"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Biržos prekių kainos rizika</w:t>
            </w:r>
          </w:p>
          <w:p w14:paraId="1503EDB0" w14:textId="5095156A" w:rsidR="00942645" w:rsidRPr="00CA7700" w:rsidRDefault="00942645" w:rsidP="00962254">
            <w:pPr>
              <w:pStyle w:val="TableNote"/>
              <w:rPr>
                <w:rFonts w:ascii="Times New Roman" w:hAnsi="Times New Roman"/>
                <w:i/>
                <w:sz w:val="24"/>
                <w:szCs w:val="24"/>
              </w:rPr>
            </w:pPr>
            <w:r>
              <w:rPr>
                <w:rFonts w:ascii="Times New Roman" w:hAnsi="Times New Roman"/>
                <w:sz w:val="24"/>
              </w:rPr>
              <w:t>Reglamento (ES) Nr. 575/2013 383h, 383i, 383j, 383x ir 383z straipsniai.</w:t>
            </w:r>
          </w:p>
        </w:tc>
      </w:tr>
      <w:tr w:rsidR="00942645" w:rsidRPr="00CA7700" w14:paraId="7B9ACC73" w14:textId="77777777" w:rsidTr="00962254">
        <w:trPr>
          <w:trHeight w:val="680"/>
        </w:trPr>
        <w:tc>
          <w:tcPr>
            <w:tcW w:w="1384" w:type="dxa"/>
          </w:tcPr>
          <w:p w14:paraId="0056975A" w14:textId="77777777" w:rsidR="00942645" w:rsidRPr="00CA7700" w:rsidRDefault="00942645" w:rsidP="00962254">
            <w:pPr>
              <w:pStyle w:val="Applicationdirecte"/>
              <w:spacing w:before="60" w:after="0"/>
              <w:jc w:val="center"/>
            </w:pPr>
            <w:r>
              <w:t>6</w:t>
            </w:r>
          </w:p>
        </w:tc>
        <w:tc>
          <w:tcPr>
            <w:tcW w:w="7655" w:type="dxa"/>
            <w:vAlign w:val="center"/>
          </w:tcPr>
          <w:p w14:paraId="14F9191C"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Sandorio šalies kredito maržos rizika</w:t>
            </w:r>
          </w:p>
          <w:p w14:paraId="3345109B" w14:textId="5DC9DECF" w:rsidR="00942645" w:rsidRPr="00CA7700" w:rsidRDefault="00942645" w:rsidP="00962254">
            <w:pPr>
              <w:pStyle w:val="TableNote"/>
              <w:rPr>
                <w:rFonts w:ascii="Times New Roman" w:hAnsi="Times New Roman"/>
                <w:i/>
                <w:sz w:val="24"/>
                <w:szCs w:val="24"/>
              </w:rPr>
            </w:pPr>
            <w:r>
              <w:rPr>
                <w:rFonts w:ascii="Times New Roman" w:hAnsi="Times New Roman"/>
                <w:sz w:val="24"/>
              </w:rPr>
              <w:t>Reglamento (ES) Nr. 575/2013 383e, 383i, 383j, 383p, 383q ir 383r straipsniai.</w:t>
            </w:r>
          </w:p>
        </w:tc>
      </w:tr>
      <w:tr w:rsidR="00942645" w:rsidRPr="00CA7700" w14:paraId="223E2B2A" w14:textId="77777777" w:rsidTr="00962254">
        <w:trPr>
          <w:trHeight w:val="680"/>
        </w:trPr>
        <w:tc>
          <w:tcPr>
            <w:tcW w:w="1384" w:type="dxa"/>
          </w:tcPr>
          <w:p w14:paraId="7CA24864" w14:textId="77777777" w:rsidR="00942645" w:rsidRPr="00CA7700" w:rsidRDefault="00942645" w:rsidP="00962254">
            <w:pPr>
              <w:pStyle w:val="Applicationdirecte"/>
              <w:spacing w:before="60" w:after="0"/>
              <w:jc w:val="center"/>
            </w:pPr>
            <w:r>
              <w:lastRenderedPageBreak/>
              <w:t>7</w:t>
            </w:r>
          </w:p>
        </w:tc>
        <w:tc>
          <w:tcPr>
            <w:tcW w:w="7655" w:type="dxa"/>
          </w:tcPr>
          <w:p w14:paraId="78C024D4"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Iš viso</w:t>
            </w:r>
          </w:p>
          <w:p w14:paraId="7E51C6A2" w14:textId="0EF0E48B" w:rsidR="00942645" w:rsidRPr="00CA7700" w:rsidRDefault="00942645" w:rsidP="00962254">
            <w:pPr>
              <w:spacing w:before="60" w:after="120"/>
              <w:rPr>
                <w:rFonts w:ascii="Times New Roman" w:hAnsi="Times New Roman" w:cs="Times New Roman"/>
                <w:b/>
                <w:iCs/>
                <w:sz w:val="24"/>
              </w:rPr>
            </w:pPr>
            <w:r>
              <w:rPr>
                <w:rFonts w:ascii="Times New Roman" w:hAnsi="Times New Roman"/>
                <w:sz w:val="24"/>
              </w:rPr>
              <w:t>1–6 eilučių verčių suma. Ši suma yra lygi sumai, atskleistai EU OV1 formos EU 10a eilutės c skiltyje.</w:t>
            </w:r>
          </w:p>
        </w:tc>
      </w:tr>
      <w:tr w:rsidR="00942645" w:rsidRPr="00CA7700" w14:paraId="2D9384A0" w14:textId="77777777" w:rsidTr="00962254">
        <w:trPr>
          <w:trHeight w:val="680"/>
        </w:trPr>
        <w:tc>
          <w:tcPr>
            <w:tcW w:w="1384" w:type="dxa"/>
          </w:tcPr>
          <w:p w14:paraId="460ABCE7" w14:textId="77777777" w:rsidR="00942645" w:rsidRPr="00CA7700" w:rsidRDefault="00942645" w:rsidP="00962254">
            <w:pPr>
              <w:pStyle w:val="Applicationdirecte"/>
              <w:spacing w:before="60" w:after="0"/>
              <w:jc w:val="center"/>
            </w:pPr>
            <w:r>
              <w:t>EU 8-EU 13</w:t>
            </w:r>
          </w:p>
        </w:tc>
        <w:tc>
          <w:tcPr>
            <w:tcW w:w="7655" w:type="dxa"/>
          </w:tcPr>
          <w:p w14:paraId="24FDD12C"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 xml:space="preserve">Kitos sandorio šalies sandorių rūšys </w:t>
            </w:r>
          </w:p>
          <w:p w14:paraId="384E4400" w14:textId="489739D4" w:rsidR="00942645" w:rsidRPr="00212EDF" w:rsidRDefault="00942645" w:rsidP="00E60D1B">
            <w:pPr>
              <w:spacing w:before="60" w:after="120"/>
              <w:rPr>
                <w:rFonts w:ascii="Times New Roman" w:hAnsi="Times New Roman" w:cs="Times New Roman"/>
                <w:sz w:val="24"/>
              </w:rPr>
            </w:pPr>
            <w:r>
              <w:rPr>
                <w:rFonts w:ascii="Times New Roman" w:hAnsi="Times New Roman"/>
                <w:sz w:val="24"/>
              </w:rPr>
              <w:t>Sandorių sandorio šalių skaičius, suskirstytas pagal rūšį pagal IT sprendimo „Finansinės informacijos teikimas pagal TFAS ir BAP informaciją pagal 2024 m. 1 versiją“ (angl. “</w:t>
            </w:r>
            <w:proofErr w:type="spellStart"/>
            <w:r>
              <w:rPr>
                <w:rFonts w:ascii="Times New Roman" w:hAnsi="Times New Roman"/>
                <w:sz w:val="24"/>
              </w:rPr>
              <w:t>Reporting</w:t>
            </w:r>
            <w:proofErr w:type="spellEnd"/>
            <w:r>
              <w:rPr>
                <w:rFonts w:ascii="Times New Roman" w:hAnsi="Times New Roman"/>
                <w:sz w:val="24"/>
              </w:rPr>
              <w:t xml:space="preserve"> </w:t>
            </w:r>
            <w:proofErr w:type="spellStart"/>
            <w:r>
              <w:rPr>
                <w:rFonts w:ascii="Times New Roman" w:hAnsi="Times New Roman"/>
                <w:sz w:val="24"/>
              </w:rPr>
              <w:t>on</w:t>
            </w:r>
            <w:proofErr w:type="spellEnd"/>
            <w:r>
              <w:rPr>
                <w:rFonts w:ascii="Times New Roman" w:hAnsi="Times New Roman"/>
                <w:sz w:val="24"/>
              </w:rPr>
              <w:t xml:space="preserve"> Financial </w:t>
            </w:r>
            <w:proofErr w:type="spellStart"/>
            <w:r>
              <w:rPr>
                <w:rFonts w:ascii="Times New Roman" w:hAnsi="Times New Roman"/>
                <w:sz w:val="24"/>
              </w:rPr>
              <w:t>information</w:t>
            </w:r>
            <w:proofErr w:type="spellEnd"/>
            <w:r>
              <w:rPr>
                <w:rFonts w:ascii="Times New Roman" w:hAnsi="Times New Roman"/>
                <w:sz w:val="24"/>
              </w:rPr>
              <w:t xml:space="preserve"> </w:t>
            </w:r>
            <w:proofErr w:type="spellStart"/>
            <w:r>
              <w:rPr>
                <w:rFonts w:ascii="Times New Roman" w:hAnsi="Times New Roman"/>
                <w:sz w:val="24"/>
              </w:rPr>
              <w:t>according</w:t>
            </w:r>
            <w:proofErr w:type="spellEnd"/>
            <w:r>
              <w:rPr>
                <w:rFonts w:ascii="Times New Roman" w:hAnsi="Times New Roman"/>
                <w:sz w:val="24"/>
              </w:rPr>
              <w:t xml:space="preserve"> to IFRS </w:t>
            </w:r>
            <w:proofErr w:type="spellStart"/>
            <w:r>
              <w:rPr>
                <w:rFonts w:ascii="Times New Roman" w:hAnsi="Times New Roman"/>
                <w:sz w:val="24"/>
              </w:rPr>
              <w:t>and</w:t>
            </w:r>
            <w:proofErr w:type="spellEnd"/>
            <w:r>
              <w:rPr>
                <w:rFonts w:ascii="Times New Roman" w:hAnsi="Times New Roman"/>
                <w:sz w:val="24"/>
              </w:rPr>
              <w:t xml:space="preserve"> GAAP </w:t>
            </w:r>
            <w:proofErr w:type="spellStart"/>
            <w:r>
              <w:rPr>
                <w:rFonts w:ascii="Times New Roman" w:hAnsi="Times New Roman"/>
                <w:sz w:val="24"/>
              </w:rPr>
              <w:t>information</w:t>
            </w:r>
            <w:proofErr w:type="spellEnd"/>
            <w:r>
              <w:rPr>
                <w:rFonts w:ascii="Times New Roman" w:hAnsi="Times New Roman"/>
                <w:sz w:val="24"/>
              </w:rPr>
              <w:t xml:space="preserve"> </w:t>
            </w:r>
            <w:proofErr w:type="spellStart"/>
            <w:r>
              <w:rPr>
                <w:rFonts w:ascii="Times New Roman" w:hAnsi="Times New Roman"/>
                <w:sz w:val="24"/>
              </w:rPr>
              <w:t>according</w:t>
            </w:r>
            <w:proofErr w:type="spellEnd"/>
            <w:r>
              <w:rPr>
                <w:rFonts w:ascii="Times New Roman" w:hAnsi="Times New Roman"/>
                <w:sz w:val="24"/>
              </w:rPr>
              <w:t xml:space="preserve">- 2024 - </w:t>
            </w:r>
            <w:proofErr w:type="spellStart"/>
            <w:r>
              <w:rPr>
                <w:rFonts w:ascii="Times New Roman" w:hAnsi="Times New Roman"/>
                <w:sz w:val="24"/>
              </w:rPr>
              <w:t>version</w:t>
            </w:r>
            <w:proofErr w:type="spellEnd"/>
            <w:r>
              <w:rPr>
                <w:rFonts w:ascii="Times New Roman" w:hAnsi="Times New Roman"/>
                <w:sz w:val="24"/>
              </w:rPr>
              <w:t xml:space="preserve"> 1”) V priedo 1 dalies 6 skirsnio 42–44 punktuose pateiktus nurodymus [paskelbtas EBI interneto svetainėje]. </w:t>
            </w:r>
          </w:p>
        </w:tc>
      </w:tr>
      <w:tr w:rsidR="00942645" w:rsidRPr="00CA7700" w14:paraId="52F521D6" w14:textId="77777777" w:rsidTr="00962254">
        <w:trPr>
          <w:trHeight w:val="680"/>
        </w:trPr>
        <w:tc>
          <w:tcPr>
            <w:tcW w:w="1384" w:type="dxa"/>
          </w:tcPr>
          <w:p w14:paraId="0F53B2B0" w14:textId="77777777" w:rsidR="00942645" w:rsidRPr="00CA7700" w:rsidRDefault="00942645" w:rsidP="00962254">
            <w:pPr>
              <w:pStyle w:val="Applicationdirecte"/>
              <w:spacing w:before="60" w:after="0"/>
              <w:jc w:val="center"/>
            </w:pPr>
            <w:r>
              <w:t>EU 14</w:t>
            </w:r>
          </w:p>
        </w:tc>
        <w:tc>
          <w:tcPr>
            <w:tcW w:w="7655" w:type="dxa"/>
          </w:tcPr>
          <w:p w14:paraId="18FAC522"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Iš viso</w:t>
            </w:r>
          </w:p>
          <w:p w14:paraId="67696FDB" w14:textId="77777777" w:rsidR="00942645" w:rsidRPr="00CA7700" w:rsidRDefault="00942645" w:rsidP="00962254">
            <w:pPr>
              <w:spacing w:before="60" w:after="120"/>
              <w:rPr>
                <w:rFonts w:ascii="Times New Roman" w:hAnsi="Times New Roman" w:cs="Times New Roman"/>
                <w:iCs/>
                <w:sz w:val="24"/>
              </w:rPr>
            </w:pPr>
            <w:r>
              <w:rPr>
                <w:rFonts w:ascii="Times New Roman" w:hAnsi="Times New Roman"/>
                <w:sz w:val="24"/>
              </w:rPr>
              <w:t>Bendras sandorio šalių skaičius kaip EU 8–EU 13 eilučių suma.</w:t>
            </w:r>
          </w:p>
        </w:tc>
      </w:tr>
      <w:tr w:rsidR="00942645" w:rsidRPr="00CA7700" w14:paraId="3BA0F782" w14:textId="77777777" w:rsidTr="00962254">
        <w:trPr>
          <w:trHeight w:val="680"/>
        </w:trPr>
        <w:tc>
          <w:tcPr>
            <w:tcW w:w="1384" w:type="dxa"/>
          </w:tcPr>
          <w:p w14:paraId="2120038F" w14:textId="77777777" w:rsidR="00942645" w:rsidRPr="00CA7700" w:rsidRDefault="00942645" w:rsidP="00962254">
            <w:pPr>
              <w:pStyle w:val="Applicationdirecte"/>
              <w:spacing w:before="60" w:after="0"/>
              <w:jc w:val="center"/>
            </w:pPr>
            <w:r>
              <w:t>EU 15–EU 17</w:t>
            </w:r>
          </w:p>
        </w:tc>
        <w:tc>
          <w:tcPr>
            <w:tcW w:w="7655" w:type="dxa"/>
          </w:tcPr>
          <w:p w14:paraId="64353F3E"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Apsidraudimai nuo CVA rizikos</w:t>
            </w:r>
          </w:p>
          <w:p w14:paraId="69C81380" w14:textId="77777777" w:rsidR="00942645" w:rsidRPr="00CA7700" w:rsidRDefault="00942645" w:rsidP="00962254">
            <w:pPr>
              <w:spacing w:before="60" w:after="120"/>
              <w:rPr>
                <w:rFonts w:ascii="Times New Roman" w:hAnsi="Times New Roman" w:cs="Times New Roman"/>
                <w:i/>
                <w:sz w:val="24"/>
              </w:rPr>
            </w:pPr>
            <w:r>
              <w:rPr>
                <w:rFonts w:ascii="Times New Roman" w:hAnsi="Times New Roman"/>
                <w:sz w:val="24"/>
              </w:rPr>
              <w:t>Reglamento (ES) Nr. 575/2013 386 straipsnis.</w:t>
            </w:r>
          </w:p>
        </w:tc>
      </w:tr>
      <w:tr w:rsidR="00942645" w:rsidRPr="00CA7700" w14:paraId="1FDF68F3" w14:textId="77777777" w:rsidTr="00962254">
        <w:trPr>
          <w:trHeight w:val="680"/>
        </w:trPr>
        <w:tc>
          <w:tcPr>
            <w:tcW w:w="1384" w:type="dxa"/>
          </w:tcPr>
          <w:p w14:paraId="2944002F" w14:textId="77777777" w:rsidR="00942645" w:rsidRPr="00CA7700" w:rsidRDefault="00942645" w:rsidP="00962254">
            <w:pPr>
              <w:pStyle w:val="Applicationdirecte"/>
              <w:spacing w:before="60" w:after="0"/>
              <w:jc w:val="center"/>
            </w:pPr>
            <w:r>
              <w:t>EU 18</w:t>
            </w:r>
          </w:p>
        </w:tc>
        <w:tc>
          <w:tcPr>
            <w:tcW w:w="7655" w:type="dxa"/>
          </w:tcPr>
          <w:p w14:paraId="30C7C944"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Iš viso</w:t>
            </w:r>
          </w:p>
          <w:p w14:paraId="7B810666" w14:textId="77777777" w:rsidR="00942645" w:rsidRPr="00CA7700" w:rsidRDefault="00942645" w:rsidP="00962254">
            <w:pPr>
              <w:spacing w:before="60" w:after="120"/>
              <w:rPr>
                <w:rFonts w:ascii="Times New Roman" w:hAnsi="Times New Roman" w:cs="Times New Roman"/>
                <w:bCs/>
                <w:iCs/>
                <w:sz w:val="24"/>
              </w:rPr>
            </w:pPr>
            <w:r>
              <w:rPr>
                <w:rFonts w:ascii="Times New Roman" w:hAnsi="Times New Roman"/>
                <w:sz w:val="24"/>
              </w:rPr>
              <w:t>EU 15–EU 17 eilučių verčių suma.</w:t>
            </w:r>
          </w:p>
        </w:tc>
      </w:tr>
      <w:tr w:rsidR="00942645" w:rsidRPr="00CA7700" w14:paraId="782C4928"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9E959" w14:textId="77777777" w:rsidR="00942645" w:rsidRPr="00CA7700" w:rsidRDefault="00942645" w:rsidP="00962254">
            <w:pPr>
              <w:pStyle w:val="Applicationdirecte"/>
              <w:spacing w:before="60" w:after="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9E894"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Paaiškinimas</w:t>
            </w:r>
          </w:p>
        </w:tc>
      </w:tr>
      <w:tr w:rsidR="00942645" w:rsidRPr="00CA7700" w14:paraId="1F604F82" w14:textId="77777777" w:rsidTr="00962254">
        <w:trPr>
          <w:trHeight w:val="680"/>
        </w:trPr>
        <w:tc>
          <w:tcPr>
            <w:tcW w:w="1384" w:type="dxa"/>
          </w:tcPr>
          <w:p w14:paraId="55FF8A1A" w14:textId="77777777" w:rsidR="00942645" w:rsidRPr="00CA7700" w:rsidRDefault="00942645" w:rsidP="00962254">
            <w:pPr>
              <w:pStyle w:val="Applicationdirecte"/>
              <w:spacing w:before="60" w:after="0"/>
              <w:jc w:val="center"/>
            </w:pPr>
            <w:r>
              <w:t>a</w:t>
            </w:r>
          </w:p>
        </w:tc>
        <w:tc>
          <w:tcPr>
            <w:tcW w:w="7655" w:type="dxa"/>
            <w:vAlign w:val="center"/>
          </w:tcPr>
          <w:p w14:paraId="2B901479" w14:textId="77777777" w:rsidR="004D0F6F" w:rsidRPr="00212EDF" w:rsidRDefault="009B4C5B" w:rsidP="00962254">
            <w:pPr>
              <w:spacing w:after="120"/>
              <w:jc w:val="both"/>
              <w:rPr>
                <w:rFonts w:ascii="Times New Roman" w:eastAsia="Times New Roman" w:hAnsi="Times New Roman" w:cs="Times New Roman"/>
                <w:b/>
                <w:bCs/>
                <w:iCs/>
                <w:sz w:val="24"/>
                <w:szCs w:val="20"/>
              </w:rPr>
            </w:pPr>
            <w:r>
              <w:rPr>
                <w:rFonts w:ascii="Times New Roman" w:hAnsi="Times New Roman"/>
                <w:i/>
                <w:sz w:val="24"/>
              </w:rPr>
              <w:t xml:space="preserve"> </w:t>
            </w:r>
            <w:r>
              <w:rPr>
                <w:rFonts w:ascii="Times New Roman" w:hAnsi="Times New Roman"/>
                <w:b/>
                <w:sz w:val="24"/>
              </w:rPr>
              <w:t>Nuosavų lėšų reikalavimai</w:t>
            </w:r>
          </w:p>
          <w:p w14:paraId="1259F031" w14:textId="106FC974" w:rsidR="00942645" w:rsidRPr="00CA7700" w:rsidRDefault="00942645" w:rsidP="00962254">
            <w:pPr>
              <w:spacing w:after="120"/>
              <w:jc w:val="both"/>
              <w:rPr>
                <w:rFonts w:ascii="Times New Roman" w:hAnsi="Times New Roman" w:cs="Times New Roman"/>
                <w:sz w:val="24"/>
              </w:rPr>
            </w:pPr>
            <w:r>
              <w:rPr>
                <w:rFonts w:ascii="Times New Roman" w:hAnsi="Times New Roman"/>
                <w:sz w:val="24"/>
              </w:rPr>
              <w:t>Reglamento (ES) Nr. 575/2013 382 straipsnis.</w:t>
            </w:r>
          </w:p>
        </w:tc>
      </w:tr>
      <w:tr w:rsidR="00942645" w:rsidRPr="00CA7700" w14:paraId="27C16A71" w14:textId="77777777" w:rsidTr="00962254">
        <w:trPr>
          <w:trHeight w:val="412"/>
        </w:trPr>
        <w:tc>
          <w:tcPr>
            <w:tcW w:w="1384" w:type="dxa"/>
          </w:tcPr>
          <w:p w14:paraId="4CD7018C" w14:textId="77777777" w:rsidR="00942645" w:rsidRPr="00CA7700" w:rsidRDefault="00942645" w:rsidP="00962254">
            <w:pPr>
              <w:pStyle w:val="Applicationdirecte"/>
              <w:spacing w:before="60" w:after="0"/>
              <w:jc w:val="center"/>
            </w:pPr>
            <w:r>
              <w:t>b</w:t>
            </w:r>
          </w:p>
        </w:tc>
        <w:tc>
          <w:tcPr>
            <w:tcW w:w="7655" w:type="dxa"/>
            <w:vAlign w:val="center"/>
          </w:tcPr>
          <w:p w14:paraId="6F633119"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Sandorio šalių skaičius</w:t>
            </w:r>
          </w:p>
          <w:p w14:paraId="4B5F72BC" w14:textId="48FA7F47" w:rsidR="00942645" w:rsidRPr="00CA7700" w:rsidRDefault="00942645" w:rsidP="00962254">
            <w:pPr>
              <w:pStyle w:val="TableNote"/>
              <w:rPr>
                <w:rFonts w:ascii="Times New Roman" w:hAnsi="Times New Roman"/>
                <w:sz w:val="24"/>
                <w:szCs w:val="24"/>
              </w:rPr>
            </w:pPr>
            <w:r>
              <w:rPr>
                <w:rFonts w:ascii="Times New Roman" w:hAnsi="Times New Roman"/>
                <w:sz w:val="24"/>
              </w:rPr>
              <w:t xml:space="preserve">Sandorio šalių skaičius pagal Reglamento (ES) Nr. 575/2013 383 straipsnio 1 dalį, įtrauktas nuosavų lėšų reikalavimus CVA rizikai padengti apskaičiuojant pagal supaprastintą metodą. </w:t>
            </w:r>
          </w:p>
        </w:tc>
      </w:tr>
      <w:tr w:rsidR="00942645" w:rsidRPr="00CA7700" w14:paraId="4F7F003A" w14:textId="77777777" w:rsidTr="00962254">
        <w:trPr>
          <w:trHeight w:val="412"/>
        </w:trPr>
        <w:tc>
          <w:tcPr>
            <w:tcW w:w="1384" w:type="dxa"/>
          </w:tcPr>
          <w:p w14:paraId="421D4A37" w14:textId="77777777" w:rsidR="00942645" w:rsidRPr="00CA7700" w:rsidDel="000073FA" w:rsidRDefault="00942645" w:rsidP="00962254">
            <w:pPr>
              <w:pStyle w:val="Applicationdirecte"/>
              <w:spacing w:before="60" w:after="0"/>
              <w:jc w:val="center"/>
            </w:pPr>
            <w:r>
              <w:t>EU c)</w:t>
            </w:r>
          </w:p>
        </w:tc>
        <w:tc>
          <w:tcPr>
            <w:tcW w:w="7655" w:type="dxa"/>
            <w:vAlign w:val="center"/>
          </w:tcPr>
          <w:p w14:paraId="78B4FFA9"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Apsidraudimų nuo CVA rizikos tariamoji suma</w:t>
            </w:r>
          </w:p>
          <w:p w14:paraId="52C0F4DF" w14:textId="77777777" w:rsidR="00942645" w:rsidRPr="00CA7700" w:rsidDel="000073FA" w:rsidRDefault="00942645" w:rsidP="00962254">
            <w:pPr>
              <w:pStyle w:val="TableNote"/>
              <w:rPr>
                <w:rFonts w:ascii="Times New Roman" w:hAnsi="Times New Roman"/>
                <w:i/>
                <w:sz w:val="24"/>
                <w:szCs w:val="24"/>
              </w:rPr>
            </w:pPr>
            <w:r>
              <w:rPr>
                <w:rFonts w:ascii="Times New Roman" w:hAnsi="Times New Roman"/>
                <w:sz w:val="24"/>
              </w:rPr>
              <w:t>Reikalavimus atitinkančių apsidraudimų nuo CVA rizikos tariamoji suma, pripažįstama pagal Reglamento (ES) Nr. 575/2013 386 straipsnį.</w:t>
            </w:r>
          </w:p>
        </w:tc>
      </w:tr>
    </w:tbl>
    <w:p w14:paraId="56389C84"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54D95FED"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3241D71F" w14:textId="199C0077" w:rsidR="00942645" w:rsidRPr="00CA7700" w:rsidRDefault="00942645" w:rsidP="00942645">
      <w:pPr>
        <w:pStyle w:val="Titlelevel2"/>
        <w:spacing w:before="120" w:after="120"/>
        <w:jc w:val="both"/>
        <w:rPr>
          <w:rFonts w:ascii="Times New Roman" w:hAnsi="Times New Roman" w:cs="Times New Roman"/>
          <w:color w:val="auto"/>
          <w:sz w:val="24"/>
        </w:rPr>
      </w:pPr>
      <w:r>
        <w:rPr>
          <w:rFonts w:ascii="Times New Roman" w:hAnsi="Times New Roman"/>
          <w:b/>
          <w:color w:val="auto"/>
          <w:sz w:val="24"/>
        </w:rPr>
        <w:t xml:space="preserve">EU CVA4 forma. Kredito vertinimo koregavimo rizikos pagal standartizuotą metodą (SA) RWEA srautų ataskaitos </w:t>
      </w:r>
      <w:r>
        <w:rPr>
          <w:rFonts w:ascii="Times New Roman" w:hAnsi="Times New Roman"/>
          <w:color w:val="auto"/>
          <w:sz w:val="24"/>
        </w:rPr>
        <w:t>(nustatytasis formatas)</w:t>
      </w:r>
    </w:p>
    <w:p w14:paraId="22E699CE" w14:textId="5A78E63F"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Pr>
          <w:rFonts w:ascii="Times New Roman" w:hAnsi="Times New Roman"/>
          <w:color w:val="000000"/>
          <w:sz w:val="24"/>
        </w:rPr>
        <w:t xml:space="preserve">Pagal Reglamento (ES) Nr. 575/2013 438 straipsnio d ir h punktus pildydamos IT sprendimų XLI priede pateiktą EU CVA4 formą įstaigos vadovaujasi toliau pateiktais nurodymais. </w:t>
      </w:r>
    </w:p>
    <w:p w14:paraId="03A729A3" w14:textId="77777777"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Pr>
          <w:rFonts w:ascii="Times New Roman" w:hAnsi="Times New Roman"/>
          <w:color w:val="000000"/>
          <w:sz w:val="24"/>
        </w:rPr>
        <w:t xml:space="preserve">Įstaigos turi papildyti šią formą aiškinamosiomis pastabomis ir paaiškinti bet kokius reikšmingus pokyčius, įvykusius per ataskaitinį laikotarpį, ir pagrindinius šių </w:t>
      </w:r>
      <w:r>
        <w:rPr>
          <w:rFonts w:ascii="Times New Roman" w:hAnsi="Times New Roman"/>
          <w:color w:val="000000"/>
          <w:sz w:val="24"/>
        </w:rPr>
        <w:lastRenderedPageBreak/>
        <w:t>pokyčių veiksnius. Pokyčius lemiantys veiksniai galėtų būti rizikos lygių pokyčiai, apimties pokyčiai (pvz., užskaitos grupės keičia taikomą CVA rizikos metodą – standartizuotą metodą arba pagrindinį metodą), verslo ir (arba) produktų linijų ar subjektų įsigijimas ir pardavimas arba užsienio valiutos perskaičiavimo pokyčiai.</w:t>
      </w:r>
    </w:p>
    <w:p w14:paraId="3EF515BA" w14:textId="77777777" w:rsidR="00942645" w:rsidRPr="00CA7700" w:rsidRDefault="00942645" w:rsidP="00942645">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C553674"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F4D4C" w14:textId="77777777" w:rsidR="00942645" w:rsidRPr="00CA7700" w:rsidRDefault="00942645" w:rsidP="00962254">
            <w:pPr>
              <w:rPr>
                <w:rFonts w:ascii="Times New Roman" w:hAnsi="Times New Roman" w:cs="Times New Roman"/>
                <w:b/>
                <w:color w:val="000000"/>
                <w:sz w:val="24"/>
              </w:rPr>
            </w:pPr>
            <w:r>
              <w:rPr>
                <w:rFonts w:ascii="Times New Roman" w:hAnsi="Times New Roman"/>
                <w:b/>
                <w:color w:val="000000"/>
                <w:sz w:val="24"/>
              </w:rPr>
              <w:t>Nuorodos į teisės aktus ir nurodymai</w:t>
            </w:r>
          </w:p>
        </w:tc>
      </w:tr>
      <w:tr w:rsidR="00942645" w:rsidRPr="00CA7700" w14:paraId="6B2A23D8" w14:textId="77777777" w:rsidTr="00962254">
        <w:trPr>
          <w:trHeight w:val="238"/>
        </w:trPr>
        <w:tc>
          <w:tcPr>
            <w:tcW w:w="1384" w:type="dxa"/>
            <w:shd w:val="clear" w:color="auto" w:fill="D9D9D9" w:themeFill="background1" w:themeFillShade="D9"/>
          </w:tcPr>
          <w:p w14:paraId="3C16AB73"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4CBC342B"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942645" w:rsidRPr="00CA7700" w14:paraId="3B818BBB" w14:textId="77777777" w:rsidTr="00962254">
        <w:trPr>
          <w:trHeight w:val="680"/>
        </w:trPr>
        <w:tc>
          <w:tcPr>
            <w:tcW w:w="1384" w:type="dxa"/>
          </w:tcPr>
          <w:p w14:paraId="4AAE0796" w14:textId="77777777" w:rsidR="00942645" w:rsidRPr="00CA7700" w:rsidRDefault="00942645" w:rsidP="00962254">
            <w:pPr>
              <w:pStyle w:val="Applicationdirecte"/>
              <w:spacing w:before="60" w:after="0"/>
              <w:jc w:val="center"/>
            </w:pPr>
            <w:r>
              <w:t>1</w:t>
            </w:r>
          </w:p>
        </w:tc>
        <w:tc>
          <w:tcPr>
            <w:tcW w:w="7655" w:type="dxa"/>
            <w:vAlign w:val="center"/>
          </w:tcPr>
          <w:p w14:paraId="1165D18C" w14:textId="77777777"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 xml:space="preserve">Pagal riziką įvertintų pozicijų suma ankstesnio ataskaitinio laikotarpio pabaigoje </w:t>
            </w:r>
          </w:p>
          <w:p w14:paraId="0A24A95A" w14:textId="77777777"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Ši suma yra lygi sumai, atskleistai EU OV1 formos EU 10a eilutės b skiltyje.</w:t>
            </w:r>
          </w:p>
        </w:tc>
      </w:tr>
      <w:tr w:rsidR="00942645" w:rsidRPr="00CA7700" w14:paraId="707CAAFF" w14:textId="77777777" w:rsidTr="00962254">
        <w:trPr>
          <w:trHeight w:val="680"/>
        </w:trPr>
        <w:tc>
          <w:tcPr>
            <w:tcW w:w="1384" w:type="dxa"/>
          </w:tcPr>
          <w:p w14:paraId="73DA5AF3" w14:textId="77777777" w:rsidR="00942645" w:rsidRPr="00CA7700" w:rsidRDefault="00942645" w:rsidP="00962254">
            <w:pPr>
              <w:pStyle w:val="Applicationdirecte"/>
              <w:spacing w:before="60" w:after="0"/>
              <w:jc w:val="center"/>
            </w:pPr>
            <w:r>
              <w:t>2</w:t>
            </w:r>
          </w:p>
        </w:tc>
        <w:tc>
          <w:tcPr>
            <w:tcW w:w="7655" w:type="dxa"/>
            <w:vAlign w:val="center"/>
          </w:tcPr>
          <w:p w14:paraId="1AE00A33" w14:textId="77777777"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Pagal riziką įvertintų pozicijų suma einamojo ataskaitinio laikotarpio pabaigoje</w:t>
            </w:r>
          </w:p>
          <w:p w14:paraId="1FF40BFD" w14:textId="77777777"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Ši suma yra lygi sumai, atskleistai EU OV1 formos EU 10a eilutės a skiltyje.</w:t>
            </w:r>
          </w:p>
        </w:tc>
      </w:tr>
      <w:tr w:rsidR="00942645" w:rsidRPr="00CA7700" w14:paraId="6F869904"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8DA6A" w14:textId="77777777" w:rsidR="00942645" w:rsidRPr="00CA7700" w:rsidRDefault="00942645" w:rsidP="00962254">
            <w:pPr>
              <w:pStyle w:val="Applicationdirecte"/>
              <w:spacing w:before="0"/>
              <w:jc w:val="left"/>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0165C"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Paaiškinimas</w:t>
            </w:r>
          </w:p>
        </w:tc>
      </w:tr>
      <w:tr w:rsidR="00942645" w:rsidRPr="00DD6E2F" w14:paraId="2782C770" w14:textId="77777777" w:rsidTr="00962254">
        <w:trPr>
          <w:trHeight w:val="680"/>
        </w:trPr>
        <w:tc>
          <w:tcPr>
            <w:tcW w:w="1384" w:type="dxa"/>
          </w:tcPr>
          <w:p w14:paraId="19A9273D" w14:textId="77777777" w:rsidR="00942645" w:rsidRPr="00CA7700" w:rsidRDefault="00942645" w:rsidP="00962254">
            <w:pPr>
              <w:pStyle w:val="Applicationdirecte"/>
              <w:spacing w:before="60" w:after="0"/>
              <w:jc w:val="center"/>
            </w:pPr>
            <w:r>
              <w:t>a</w:t>
            </w:r>
          </w:p>
          <w:p w14:paraId="09532183" w14:textId="77777777" w:rsidR="00942645" w:rsidRPr="00CA7700" w:rsidRDefault="00942645" w:rsidP="00962254">
            <w:pPr>
              <w:jc w:val="center"/>
              <w:rPr>
                <w:rFonts w:ascii="Times New Roman" w:hAnsi="Times New Roman" w:cs="Times New Roman"/>
                <w:sz w:val="24"/>
                <w:lang w:val="en-GB"/>
              </w:rPr>
            </w:pPr>
          </w:p>
        </w:tc>
        <w:tc>
          <w:tcPr>
            <w:tcW w:w="7655" w:type="dxa"/>
            <w:vAlign w:val="center"/>
          </w:tcPr>
          <w:p w14:paraId="5539439A" w14:textId="77777777"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Pagal riziką įvertintų pozicijų suma</w:t>
            </w:r>
          </w:p>
          <w:p w14:paraId="10E360D0" w14:textId="4CD692C9"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Reglamento (ES) Nr. 575/2013 92 straipsnio 4 dalies e punktas.</w:t>
            </w:r>
          </w:p>
          <w:p w14:paraId="7E05B452" w14:textId="77777777" w:rsidR="00942645" w:rsidRPr="00DD6E2F"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Reikšmė, gauta nuosavų lėšų reikalavimus padauginus iš 12,5.</w:t>
            </w:r>
          </w:p>
          <w:p w14:paraId="3BE3A6CD" w14:textId="77777777" w:rsidR="00942645" w:rsidRPr="00DD6E2F" w:rsidRDefault="00942645" w:rsidP="00962254">
            <w:pPr>
              <w:spacing w:before="60" w:after="120"/>
              <w:jc w:val="both"/>
              <w:rPr>
                <w:rFonts w:ascii="Times New Roman" w:eastAsia="Times New Roman" w:hAnsi="Times New Roman" w:cs="Times New Roman"/>
                <w:i/>
                <w:sz w:val="24"/>
              </w:rPr>
            </w:pPr>
          </w:p>
        </w:tc>
      </w:tr>
    </w:tbl>
    <w:p w14:paraId="5F29D9AB" w14:textId="77777777" w:rsidR="00942645" w:rsidRPr="00DD6E2F" w:rsidRDefault="00942645" w:rsidP="00942645">
      <w:pPr>
        <w:pStyle w:val="Titlelevel2"/>
        <w:spacing w:before="120" w:after="120"/>
        <w:rPr>
          <w:rFonts w:ascii="Times New Roman" w:hAnsi="Times New Roman" w:cs="Times New Roman"/>
          <w:color w:val="auto"/>
          <w:sz w:val="24"/>
        </w:rPr>
      </w:pPr>
    </w:p>
    <w:bookmarkEnd w:id="0"/>
    <w:bookmarkEnd w:id="1"/>
    <w:bookmarkEnd w:id="2"/>
    <w:bookmarkEnd w:id="3"/>
    <w:bookmarkEnd w:id="4"/>
    <w:bookmarkEnd w:id="5"/>
    <w:bookmarkEnd w:id="6"/>
    <w:bookmarkEnd w:id="7"/>
    <w:bookmarkEnd w:id="8"/>
    <w:bookmarkEnd w:id="9"/>
    <w:p w14:paraId="639067FC" w14:textId="77777777" w:rsidR="00942645" w:rsidRPr="00DD6E2F" w:rsidRDefault="00942645" w:rsidP="00942645">
      <w:pPr>
        <w:rPr>
          <w:rFonts w:ascii="Times New Roman" w:hAnsi="Times New Roman" w:cs="Times New Roman"/>
          <w:sz w:val="24"/>
        </w:rPr>
      </w:pPr>
    </w:p>
    <w:p w14:paraId="01A50A67" w14:textId="0EE3B3D1" w:rsidR="00FE0C92" w:rsidRPr="00DA6D4D" w:rsidRDefault="00FE0C92" w:rsidP="00942645">
      <w:pPr>
        <w:rPr>
          <w:rFonts w:ascii="Times New Roman" w:hAnsi="Times New Roman" w:cs="Times New Roman"/>
          <w:sz w:val="24"/>
        </w:rPr>
      </w:pPr>
    </w:p>
    <w:sectPr w:rsidR="00FE0C92" w:rsidRPr="00DA6D4D" w:rsidSect="00FD464E">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DF961" w14:textId="77777777" w:rsidR="00165B6B" w:rsidRDefault="00165B6B" w:rsidP="00A00E34">
      <w:r>
        <w:separator/>
      </w:r>
    </w:p>
    <w:p w14:paraId="2324C460" w14:textId="77777777" w:rsidR="00165B6B" w:rsidRDefault="00165B6B"/>
  </w:endnote>
  <w:endnote w:type="continuationSeparator" w:id="0">
    <w:p w14:paraId="71DE2F54" w14:textId="77777777" w:rsidR="00165B6B" w:rsidRDefault="00165B6B" w:rsidP="00A00E34">
      <w:r>
        <w:continuationSeparator/>
      </w:r>
    </w:p>
    <w:p w14:paraId="73CAAEA9" w14:textId="77777777" w:rsidR="00165B6B" w:rsidRDefault="00165B6B"/>
  </w:endnote>
  <w:endnote w:type="continuationNotice" w:id="1">
    <w:p w14:paraId="05B2D313" w14:textId="77777777" w:rsidR="00165B6B" w:rsidRDefault="00165B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EBA73BD" w14:textId="77777777" w:rsidR="009B1B59" w:rsidRDefault="009B1B59" w:rsidP="00610305">
    <w:pPr>
      <w:pStyle w:val="Footer"/>
      <w:ind w:right="360"/>
    </w:pPr>
    <w:r>
      <w:rPr>
        <w:noProof/>
      </w:rP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EC9FA" w14:textId="77777777" w:rsidR="00165B6B" w:rsidRPr="00DB5E8F" w:rsidRDefault="00165B6B">
      <w:pPr>
        <w:rPr>
          <w:sz w:val="12"/>
          <w:szCs w:val="12"/>
        </w:rPr>
      </w:pPr>
      <w:r>
        <w:rPr>
          <w:sz w:val="12"/>
          <w:szCs w:val="12"/>
        </w:rPr>
        <w:separator/>
      </w:r>
    </w:p>
  </w:footnote>
  <w:footnote w:type="continuationSeparator" w:id="0">
    <w:p w14:paraId="47F02317" w14:textId="77777777" w:rsidR="00165B6B" w:rsidRDefault="00165B6B" w:rsidP="00A00E34">
      <w:r>
        <w:continuationSeparator/>
      </w:r>
    </w:p>
    <w:p w14:paraId="627F170C" w14:textId="77777777" w:rsidR="00165B6B" w:rsidRDefault="00165B6B"/>
  </w:footnote>
  <w:footnote w:type="continuationNotice" w:id="1">
    <w:p w14:paraId="741B9628" w14:textId="77777777" w:rsidR="00165B6B" w:rsidRDefault="00165B6B"/>
  </w:footnote>
  <w:footnote w:id="2">
    <w:p w14:paraId="70019A20" w14:textId="68F937AF" w:rsidR="00942645" w:rsidRDefault="00942645" w:rsidP="00942645">
      <w:pPr>
        <w:pStyle w:val="FootnoteText"/>
      </w:pPr>
      <w:r>
        <w:rPr>
          <w:rStyle w:val="FootnoteReference"/>
        </w:rPr>
        <w:footnoteRef/>
      </w:r>
      <w:r w:rsidR="00B21A58">
        <w:t xml:space="preserve"> </w:t>
      </w:r>
      <w:r>
        <w:t>2013 m. birželio 26 d. Europos Parlamento ir Tarybos reglamentas (ES) Nr. 575/2013 dėl riziką ribojančių reikalavimų kredito įstaigoms, kuriuo iš dalies keičiamas Reglamentas (ES) Nr. 648/2012, su pakeitimais, padarytais Reglamentu (ES) 2024/1623, (</w:t>
      </w:r>
      <w:hyperlink r:id="rId1" w:history="1">
        <w:r>
          <w:rPr>
            <w:rStyle w:val="Hyperlink"/>
            <w:color w:val="800080"/>
          </w:rPr>
          <w:t>OL L 176, 2013 6 27, p. 1;</w:t>
        </w:r>
      </w:hyperlink>
      <w:r>
        <w:rPr>
          <w:color w:val="800080"/>
          <w:u w:val="single"/>
        </w:rPr>
        <w:t xml:space="preserve"> </w:t>
      </w:r>
      <w:hyperlink r:id="rId2" w:history="1">
        <w:r>
          <w:rPr>
            <w:rStyle w:val="Hyperlink"/>
          </w:rPr>
          <w:t>Reglamentas (ES) 2024/1623 - LT - EUR-</w:t>
        </w:r>
        <w:proofErr w:type="spellStart"/>
        <w:r>
          <w:rPr>
            <w:rStyle w:val="Hyperlink"/>
          </w:rPr>
          <w:t>Lex</w:t>
        </w:r>
        <w:proofErr w:type="spellEnd"/>
        <w:r>
          <w:rPr>
            <w:rStyle w:val="Hyperlink"/>
          </w:rPr>
          <w:t xml:space="preserve">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78EB" w14:textId="0A1F5B85" w:rsidR="009B1B59" w:rsidRDefault="0027780B">
    <w:r>
      <w:rPr>
        <w:noProof/>
      </w:rP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3E938AB6" w:rsidR="0027780B" w:rsidRPr="0027780B" w:rsidRDefault="0027780B" w:rsidP="0027780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3E938AB6" w:rsidR="0027780B" w:rsidRPr="0027780B" w:rsidRDefault="0027780B" w:rsidP="0027780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sdt>
      <w:sdtPr>
        <w:id w:val="-1905980668"/>
        <w:temporary/>
        <w:showingPlcHdr/>
      </w:sdtPr>
      <w:sdtEndPr/>
      <w:sdtContent>
        <w:r>
          <w:t>[Type text]</w:t>
        </w:r>
      </w:sdtContent>
    </w:sdt>
    <w:r>
      <w:ptab w:relativeTo="margin" w:alignment="center" w:leader="none"/>
    </w:r>
    <w:sdt>
      <w:sdtPr>
        <w:id w:val="-476227318"/>
        <w:temporary/>
        <w:showingPlcHdr/>
      </w:sdtPr>
      <w:sdtEndPr/>
      <w:sdtContent>
        <w:r>
          <w:t>[Type text]</w:t>
        </w:r>
      </w:sdtContent>
    </w:sdt>
    <w:r>
      <w:ptab w:relativeTo="margin" w:alignment="right" w:leader="none"/>
    </w:r>
    <w:sdt>
      <w:sdtPr>
        <w:id w:val="807362839"/>
        <w:temporary/>
        <w:showingPlcHdr/>
      </w:sdtPr>
      <w:sdtEndPr/>
      <w:sdtContent>
        <w:r>
          <w:t>[Type text]</w:t>
        </w:r>
      </w:sdtContent>
    </w:sdt>
  </w:p>
  <w:p w14:paraId="3AAE931B" w14:textId="77777777" w:rsidR="009B1B59" w:rsidRDefault="009B1B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4088" w14:textId="0AB0615E" w:rsidR="009B1B59" w:rsidRPr="00F9452C" w:rsidRDefault="00AA0895" w:rsidP="00224D96">
    <w:pPr>
      <w:pStyle w:val="Runningtitle"/>
    </w:pPr>
    <w:r>
      <w:rPr>
        <w:noProof/>
      </w:rP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Šiame priede pateiktose teisinėse nuorodose remiamasi KRR 3 redakcijos projektu.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Šiame priede pateiktose teisinėse nuorodose remiamasi KRR 3 redakcijos projektu.</w:t>
                    </w:r>
                  </w:p>
                </w:txbxContent>
              </v:textbox>
              <w10:wrap type="square"/>
            </v:shape>
          </w:pict>
        </mc:Fallback>
      </mc:AlternateContent>
    </w:r>
  </w:p>
  <w:p w14:paraId="225A4DD7" w14:textId="4A56A70C" w:rsidR="009B1B59" w:rsidRDefault="009B1B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18B0" w14:textId="22F7DF3B" w:rsidR="009B1B59" w:rsidRDefault="0027780B" w:rsidP="00E677EF">
    <w:pPr>
      <w:pStyle w:val="Runningtitle"/>
    </w:pPr>
    <w:r>
      <w:rPr>
        <w:noProof/>
      </w:rP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0C224026" w:rsidR="0027780B" w:rsidRPr="0027780B" w:rsidRDefault="0027780B" w:rsidP="0027780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0C224026" w:rsidR="0027780B" w:rsidRPr="0027780B" w:rsidRDefault="0027780B" w:rsidP="0027780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r>
      <w:t>running title comes here in running title style</w:t>
    </w:r>
    <w:r>
      <w:rPr>
        <w:noProof/>
      </w:rP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63540D8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activeWritingStyle w:appName="MSWord" w:lang="en-GB" w:vendorID="64" w:dllVersion="0" w:nlCheck="1" w:checkStyle="0"/>
  <w:activeWritingStyle w:appName="MSWord" w:lang="en-US"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A3"/>
    <w:rsid w:val="000073FA"/>
    <w:rsid w:val="00007B41"/>
    <w:rsid w:val="00013281"/>
    <w:rsid w:val="00015DE4"/>
    <w:rsid w:val="000217A7"/>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2C09"/>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C5D"/>
    <w:rsid w:val="00133A78"/>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5B6B"/>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2EDF"/>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2BEC"/>
    <w:rsid w:val="00373BAF"/>
    <w:rsid w:val="00373E86"/>
    <w:rsid w:val="00374FD3"/>
    <w:rsid w:val="0038076A"/>
    <w:rsid w:val="0038077E"/>
    <w:rsid w:val="00385292"/>
    <w:rsid w:val="00387480"/>
    <w:rsid w:val="00392385"/>
    <w:rsid w:val="00394697"/>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28C0"/>
    <w:rsid w:val="00403AA2"/>
    <w:rsid w:val="00406D59"/>
    <w:rsid w:val="00407991"/>
    <w:rsid w:val="00412567"/>
    <w:rsid w:val="004131BA"/>
    <w:rsid w:val="00417272"/>
    <w:rsid w:val="004172D1"/>
    <w:rsid w:val="00424530"/>
    <w:rsid w:val="0042486A"/>
    <w:rsid w:val="00425CE3"/>
    <w:rsid w:val="00426518"/>
    <w:rsid w:val="00431B48"/>
    <w:rsid w:val="00433C8C"/>
    <w:rsid w:val="00434252"/>
    <w:rsid w:val="0043432B"/>
    <w:rsid w:val="0043577F"/>
    <w:rsid w:val="0043675A"/>
    <w:rsid w:val="004409EF"/>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A05"/>
    <w:rsid w:val="004B2FC0"/>
    <w:rsid w:val="004B3092"/>
    <w:rsid w:val="004B6C03"/>
    <w:rsid w:val="004B7517"/>
    <w:rsid w:val="004B7784"/>
    <w:rsid w:val="004C098A"/>
    <w:rsid w:val="004C1B19"/>
    <w:rsid w:val="004C320A"/>
    <w:rsid w:val="004C6290"/>
    <w:rsid w:val="004C6392"/>
    <w:rsid w:val="004D0F6F"/>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63F"/>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F2A"/>
    <w:rsid w:val="005F76FB"/>
    <w:rsid w:val="00600900"/>
    <w:rsid w:val="006017FA"/>
    <w:rsid w:val="00601D17"/>
    <w:rsid w:val="006034D4"/>
    <w:rsid w:val="00603ADA"/>
    <w:rsid w:val="006042D1"/>
    <w:rsid w:val="006059B2"/>
    <w:rsid w:val="00606B03"/>
    <w:rsid w:val="00606EE4"/>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35C"/>
    <w:rsid w:val="00633DC7"/>
    <w:rsid w:val="00636E1D"/>
    <w:rsid w:val="0063793A"/>
    <w:rsid w:val="006400F5"/>
    <w:rsid w:val="0064190D"/>
    <w:rsid w:val="00644017"/>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6637"/>
    <w:rsid w:val="006A73AB"/>
    <w:rsid w:val="006B06BF"/>
    <w:rsid w:val="006B10D4"/>
    <w:rsid w:val="006B5580"/>
    <w:rsid w:val="006C186D"/>
    <w:rsid w:val="006C6A86"/>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17FE9"/>
    <w:rsid w:val="00721FBA"/>
    <w:rsid w:val="007226EB"/>
    <w:rsid w:val="00730352"/>
    <w:rsid w:val="00731F9A"/>
    <w:rsid w:val="0073246F"/>
    <w:rsid w:val="00733C3F"/>
    <w:rsid w:val="007354E5"/>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10B9"/>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46ECC"/>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09DA"/>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2645"/>
    <w:rsid w:val="00943B87"/>
    <w:rsid w:val="00943C57"/>
    <w:rsid w:val="009448BC"/>
    <w:rsid w:val="009450B0"/>
    <w:rsid w:val="00946F9F"/>
    <w:rsid w:val="00947B78"/>
    <w:rsid w:val="00950374"/>
    <w:rsid w:val="009531CB"/>
    <w:rsid w:val="00953E50"/>
    <w:rsid w:val="009559E1"/>
    <w:rsid w:val="0096160F"/>
    <w:rsid w:val="0096186C"/>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4C5B"/>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0E9F"/>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032"/>
    <w:rsid w:val="00AF4B4A"/>
    <w:rsid w:val="00AF52C9"/>
    <w:rsid w:val="00AF5FB0"/>
    <w:rsid w:val="00AF7442"/>
    <w:rsid w:val="00AF7F7B"/>
    <w:rsid w:val="00B03BF6"/>
    <w:rsid w:val="00B04D5C"/>
    <w:rsid w:val="00B10EE4"/>
    <w:rsid w:val="00B115D7"/>
    <w:rsid w:val="00B11EB1"/>
    <w:rsid w:val="00B13C87"/>
    <w:rsid w:val="00B14F07"/>
    <w:rsid w:val="00B1710D"/>
    <w:rsid w:val="00B213DF"/>
    <w:rsid w:val="00B21A58"/>
    <w:rsid w:val="00B21D0B"/>
    <w:rsid w:val="00B249FB"/>
    <w:rsid w:val="00B25B60"/>
    <w:rsid w:val="00B32510"/>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3E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4B43"/>
    <w:rsid w:val="00BF5A15"/>
    <w:rsid w:val="00C03AE7"/>
    <w:rsid w:val="00C05D9D"/>
    <w:rsid w:val="00C06BF3"/>
    <w:rsid w:val="00C07AC6"/>
    <w:rsid w:val="00C1164E"/>
    <w:rsid w:val="00C12FA8"/>
    <w:rsid w:val="00C14801"/>
    <w:rsid w:val="00C17044"/>
    <w:rsid w:val="00C21218"/>
    <w:rsid w:val="00C2380E"/>
    <w:rsid w:val="00C23F0F"/>
    <w:rsid w:val="00C251D2"/>
    <w:rsid w:val="00C261D1"/>
    <w:rsid w:val="00C2685D"/>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64D4"/>
    <w:rsid w:val="00C87617"/>
    <w:rsid w:val="00C90DD3"/>
    <w:rsid w:val="00C95708"/>
    <w:rsid w:val="00C964B8"/>
    <w:rsid w:val="00CA2627"/>
    <w:rsid w:val="00CA41A8"/>
    <w:rsid w:val="00CA749E"/>
    <w:rsid w:val="00CA7700"/>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2067"/>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A6D4D"/>
    <w:rsid w:val="00DB0727"/>
    <w:rsid w:val="00DB4809"/>
    <w:rsid w:val="00DB5E8F"/>
    <w:rsid w:val="00DB70BC"/>
    <w:rsid w:val="00DC0972"/>
    <w:rsid w:val="00DC3E99"/>
    <w:rsid w:val="00DC562A"/>
    <w:rsid w:val="00DC7C3E"/>
    <w:rsid w:val="00DD1BAA"/>
    <w:rsid w:val="00DD51C1"/>
    <w:rsid w:val="00DD6E2F"/>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0210"/>
    <w:rsid w:val="00E513B6"/>
    <w:rsid w:val="00E52D11"/>
    <w:rsid w:val="00E53A75"/>
    <w:rsid w:val="00E53BA2"/>
    <w:rsid w:val="00E55AB5"/>
    <w:rsid w:val="00E574A1"/>
    <w:rsid w:val="00E60D1B"/>
    <w:rsid w:val="00E61F96"/>
    <w:rsid w:val="00E62DB8"/>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321"/>
    <w:rsid w:val="00EB0731"/>
    <w:rsid w:val="00EC0C41"/>
    <w:rsid w:val="00EC11F0"/>
    <w:rsid w:val="00EC14FA"/>
    <w:rsid w:val="00EC1594"/>
    <w:rsid w:val="00EC1C8C"/>
    <w:rsid w:val="00EC2821"/>
    <w:rsid w:val="00EC3212"/>
    <w:rsid w:val="00EC41C5"/>
    <w:rsid w:val="00EC5FD5"/>
    <w:rsid w:val="00EC679E"/>
    <w:rsid w:val="00ED008A"/>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2ABF"/>
    <w:rsid w:val="00F1579B"/>
    <w:rsid w:val="00F160D2"/>
    <w:rsid w:val="00F2068C"/>
    <w:rsid w:val="00F20817"/>
    <w:rsid w:val="00F20A4B"/>
    <w:rsid w:val="00F21021"/>
    <w:rsid w:val="00F2110A"/>
    <w:rsid w:val="00F25F24"/>
    <w:rsid w:val="00F2714B"/>
    <w:rsid w:val="00F27241"/>
    <w:rsid w:val="00F274EC"/>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4A07"/>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lt-LT"/>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T/TXT/?uri=OJ:L_202401623" TargetMode="External"/><Relationship Id="rId1" Type="http://schemas.openxmlformats.org/officeDocument/2006/relationships/hyperlink" Target="https://eur-lex.europa.eu/legal-content/LT/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customXml/itemProps2.xml><?xml version="1.0" encoding="utf-8"?>
<ds:datastoreItem xmlns:ds="http://schemas.openxmlformats.org/officeDocument/2006/customXml" ds:itemID="{EDC746A6-666F-4BD3-9D29-5751F1110605}"/>
</file>

<file path=customXml/itemProps3.xml><?xml version="1.0" encoding="utf-8"?>
<ds:datastoreItem xmlns:ds="http://schemas.openxmlformats.org/officeDocument/2006/customXml" ds:itemID="{1AC7D5A8-707F-4F6F-93A3-AC5394CBABFD}"/>
</file>

<file path=customXml/itemProps4.xml><?xml version="1.0" encoding="utf-8"?>
<ds:datastoreItem xmlns:ds="http://schemas.openxmlformats.org/officeDocument/2006/customXml" ds:itemID="{3EFC183A-9B37-49A3-8FC7-12479CCC1A1F}"/>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1598</Words>
  <Characters>8569</Characters>
  <Application>Microsoft Office Word</Application>
  <DocSecurity>0</DocSecurity>
  <Lines>259</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2024-06-07T08:09:00Z</dcterms:created>
  <dcterms:modified xsi:type="dcterms:W3CDTF">2024-10-18T17:02:00Z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2024-09-26T14:34:40Z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363807a0-c3df-4606-871c-e720967e40f1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