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 xml:space="preserve">II PIELIKUMS</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 xml:space="preserve">Norādījumi par pārskata informācijas atklāšanas veidnēm</w:t>
      </w:r>
    </w:p>
    <w:p w14:paraId="161E3440" w14:textId="7BE8C9A0" w:rsidR="00662487" w:rsidRPr="00232C88" w:rsidRDefault="007F5865" w:rsidP="00662487">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Veidne EU OV1 – Pārskats par kopējām riska darījumu vērtībām.</w:t>
      </w:r>
      <w:r>
        <w:rPr>
          <w:color w:val="auto"/>
          <w:sz w:val="24"/>
          <w:b/>
          <w:rFonts w:ascii="Times New Roman" w:hAnsi="Times New Roman"/>
        </w:rPr>
        <w:t xml:space="preserve"> </w:t>
      </w:r>
      <w:r>
        <w:rPr>
          <w:color w:val="auto"/>
          <w:sz w:val="24"/>
          <w:rFonts w:ascii="Times New Roman" w:hAnsi="Times New Roman"/>
        </w:rPr>
        <w:t xml:space="preserve">Fiksēts formāts.</w:t>
      </w:r>
    </w:p>
    <w:p w14:paraId="1FC729B5" w14:textId="1B5E08A3" w:rsidR="007E14C6" w:rsidRPr="00232C88" w:rsidRDefault="00501BEB" w:rsidP="00F96224">
      <w:pPr>
        <w:pStyle w:val="Titlelevel2"/>
        <w:numPr>
          <w:ilvl w:val="0"/>
          <w:numId w:val="14"/>
        </w:numPr>
        <w:spacing w:before="120" w:after="120"/>
        <w:ind w:left="426"/>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piemēro turpmāk sniegtos norādījumus, lai aizpildītu veidni EU OV1, kas sniegta EBI IT risinājumu I pielikumā, piemērojot Regulas (ES) Nr. 575/2013</w:t>
      </w:r>
      <w:r w:rsidR="006C0184" w:rsidRPr="00232C88">
        <w:rPr>
          <w:rStyle w:val="FootnoteReference"/>
          <w:rFonts w:ascii="Times New Roman" w:eastAsiaTheme="minorEastAsia" w:hAnsi="Times New Roman" w:cs="Times New Roman"/>
          <w:bCs w:val="0"/>
          <w:color w:val="auto"/>
          <w:lang w:val="en-GB"/>
        </w:rPr>
        <w:footnoteReference w:id="2"/>
      </w:r>
      <w:r>
        <w:rPr>
          <w:color w:val="auto"/>
          <w:sz w:val="24"/>
          <w:rFonts w:ascii="Times New Roman" w:hAnsi="Times New Roman"/>
        </w:rPr>
        <w:t xml:space="preserve"> (“</w:t>
      </w:r>
      <w:r>
        <w:rPr>
          <w:color w:val="auto"/>
          <w:sz w:val="24"/>
          <w:i/>
          <w:rFonts w:ascii="Times New Roman" w:hAnsi="Times New Roman"/>
        </w:rPr>
        <w:t xml:space="preserve">CRR</w:t>
      </w:r>
      <w:r>
        <w:rPr>
          <w:color w:val="auto"/>
          <w:sz w:val="24"/>
          <w:rFonts w:ascii="Times New Roman" w:hAnsi="Times New Roman"/>
        </w:rPr>
        <w:t xml:space="preserve">”) 438. panta d) punktu.</w:t>
      </w:r>
    </w:p>
    <w:p w14:paraId="790FD83C" w14:textId="45C15C09" w:rsidR="00C31378" w:rsidRPr="00232C88" w:rsidRDefault="00720050" w:rsidP="00AD7048">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Attiecīgā gadījumā iestādes veidnei pievienotajā izklāsta daļā paskaidro, kā pašu kapitāla un riska darījumu vērtību aprēķināšanu ietekmē kapitāla minimuma piemērošana un posteņu neatskaitīšana no pašu kapitāla.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 xml:space="preserve">a</w:t>
            </w:r>
          </w:p>
        </w:tc>
        <w:tc>
          <w:tcPr>
            <w:tcW w:w="7655" w:type="dxa"/>
            <w:vAlign w:val="center"/>
          </w:tcPr>
          <w:p w14:paraId="5A1D2BEB" w14:textId="501B155B" w:rsidR="00677CC7" w:rsidRPr="00232C88" w:rsidRDefault="00476E72" w:rsidP="00785478">
            <w:pPr>
              <w:spacing w:before="60" w:after="120"/>
              <w:jc w:val="both"/>
              <w:rPr>
                <w:b/>
                <w:sz w:val="24"/>
                <w:rFonts w:ascii="Times New Roman" w:hAnsi="Times New Roman" w:cs="Times New Roman"/>
              </w:rPr>
            </w:pPr>
            <w:r>
              <w:rPr>
                <w:b/>
                <w:sz w:val="24"/>
                <w:rFonts w:ascii="Times New Roman" w:hAnsi="Times New Roman"/>
              </w:rPr>
              <w:t xml:space="preserve">Kopējās riska darījumu vērtības (</w:t>
            </w:r>
            <w:r>
              <w:rPr>
                <w:b/>
                <w:sz w:val="24"/>
                <w:i/>
                <w:rFonts w:ascii="Times New Roman" w:hAnsi="Times New Roman"/>
              </w:rPr>
              <w:t xml:space="preserve">TREA</w:t>
            </w:r>
            <w:r>
              <w:rPr>
                <w:b/>
                <w:sz w:val="24"/>
                <w:rFonts w:ascii="Times New Roman" w:hAnsi="Times New Roman"/>
              </w:rPr>
              <w:t xml:space="preserve">)</w:t>
            </w:r>
            <w:r>
              <w:rPr>
                <w:b/>
                <w:sz w:val="24"/>
                <w:rFonts w:ascii="Times New Roman" w:hAnsi="Times New Roman"/>
              </w:rPr>
              <w:t xml:space="preserve"> </w:t>
            </w:r>
          </w:p>
          <w:p w14:paraId="2C2ABAC7" w14:textId="79B1D280" w:rsidR="007F5865" w:rsidRPr="00232C88" w:rsidRDefault="00476E72" w:rsidP="00476E72">
            <w:pPr>
              <w:spacing w:before="60" w:after="120"/>
              <w:jc w:val="both"/>
              <w:rPr>
                <w:sz w:val="24"/>
                <w:rFonts w:ascii="Times New Roman" w:hAnsi="Times New Roman" w:cs="Times New Roman"/>
              </w:rPr>
            </w:pPr>
            <w:r>
              <w:rPr>
                <w:sz w:val="24"/>
                <w:rFonts w:ascii="Times New Roman" w:hAnsi="Times New Roman"/>
              </w:rPr>
              <w:t xml:space="preserve">Kopējā riska darījumu vērtība, kas aprēķināta saskaņā ar Regulas (ES) Nr. 575/2013 92. panta 4. punktu attiecībā uz 1.–28. rindu, saskaņā ar minētās regulas 92. panta 3. punktu attiecībā uz 29. rindu, kā arī Regulas (ES) Nr. 575/2013 95., 96. un 98. pantu.</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 xml:space="preserve">b</w:t>
            </w:r>
          </w:p>
        </w:tc>
        <w:tc>
          <w:tcPr>
            <w:tcW w:w="7655" w:type="dxa"/>
          </w:tcPr>
          <w:p w14:paraId="22370966" w14:textId="4C946B1E" w:rsidR="00677CC7" w:rsidRPr="00232C88" w:rsidRDefault="00476E72" w:rsidP="00B2180A">
            <w:pPr>
              <w:spacing w:before="60" w:after="120"/>
              <w:jc w:val="both"/>
              <w:rPr>
                <w:b/>
                <w:sz w:val="24"/>
                <w:rFonts w:ascii="Times New Roman" w:hAnsi="Times New Roman" w:cs="Times New Roman"/>
              </w:rPr>
            </w:pPr>
            <w:r>
              <w:rPr>
                <w:b/>
                <w:sz w:val="24"/>
                <w:i/>
                <w:rFonts w:ascii="Times New Roman" w:hAnsi="Times New Roman"/>
              </w:rPr>
              <w:t xml:space="preserve">TREA</w:t>
            </w:r>
            <w:r>
              <w:rPr>
                <w:b/>
                <w:sz w:val="24"/>
                <w:rFonts w:ascii="Times New Roman" w:hAnsi="Times New Roman"/>
              </w:rPr>
              <w:t xml:space="preserve"> (T−1)</w:t>
            </w:r>
            <w:r>
              <w:rPr>
                <w:b/>
                <w:sz w:val="24"/>
                <w:rFonts w:ascii="Times New Roman" w:hAnsi="Times New Roman"/>
              </w:rPr>
              <w:t xml:space="preserve"> </w:t>
            </w:r>
          </w:p>
          <w:p w14:paraId="3470438E" w14:textId="65A77898" w:rsidR="00720050" w:rsidRPr="00232C88" w:rsidRDefault="00476E72" w:rsidP="00B74E92">
            <w:pPr>
              <w:spacing w:before="60" w:after="120"/>
              <w:jc w:val="both"/>
              <w:rPr>
                <w:sz w:val="24"/>
                <w:rFonts w:ascii="Times New Roman" w:eastAsia="Times New Roman" w:hAnsi="Times New Roman" w:cs="Times New Roman"/>
              </w:rPr>
            </w:pPr>
            <w:r>
              <w:rPr>
                <w:sz w:val="24"/>
                <w:i/>
                <w:rFonts w:ascii="Times New Roman" w:hAnsi="Times New Roman"/>
              </w:rPr>
              <w:t xml:space="preserve">TREA</w:t>
            </w:r>
            <w:r>
              <w:rPr>
                <w:sz w:val="24"/>
                <w:rFonts w:ascii="Times New Roman" w:hAnsi="Times New Roman"/>
              </w:rPr>
              <w:t xml:space="preserve">, kas atklāta iepriekšējā informācijas atklāšanas periodā.</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 xml:space="preserve">c</w:t>
            </w:r>
          </w:p>
        </w:tc>
        <w:tc>
          <w:tcPr>
            <w:tcW w:w="7655" w:type="dxa"/>
          </w:tcPr>
          <w:p w14:paraId="4BB538BB" w14:textId="77777777" w:rsidR="007F5865" w:rsidRPr="00232C88" w:rsidRDefault="00720050" w:rsidP="004606A7">
            <w:pPr>
              <w:spacing w:before="60" w:after="120"/>
              <w:jc w:val="both"/>
              <w:rPr>
                <w:b/>
                <w:sz w:val="24"/>
                <w:rFonts w:ascii="Times New Roman" w:hAnsi="Times New Roman" w:cs="Times New Roman"/>
              </w:rPr>
            </w:pPr>
            <w:r>
              <w:rPr>
                <w:b/>
                <w:sz w:val="24"/>
                <w:rFonts w:ascii="Times New Roman" w:hAnsi="Times New Roman"/>
              </w:rPr>
              <w:t xml:space="preserve">Kopējās pašu kapitāla prasības</w:t>
            </w:r>
          </w:p>
          <w:p w14:paraId="024E3DB2" w14:textId="6D4564E6" w:rsidR="00720050" w:rsidRPr="00232C88" w:rsidRDefault="00720050" w:rsidP="004606A7">
            <w:pPr>
              <w:spacing w:before="60" w:after="120"/>
              <w:jc w:val="both"/>
              <w:rPr>
                <w:sz w:val="24"/>
                <w:rFonts w:ascii="Times New Roman" w:eastAsia="Times New Roman" w:hAnsi="Times New Roman" w:cs="Times New Roman"/>
              </w:rPr>
            </w:pPr>
            <w:r>
              <w:rPr>
                <w:sz w:val="24"/>
                <w:rFonts w:ascii="Times New Roman" w:hAnsi="Times New Roman"/>
              </w:rPr>
              <w:t xml:space="preserve">Pašu kapitāla prasības, kas atbilst </w:t>
            </w:r>
            <w:r>
              <w:rPr>
                <w:sz w:val="24"/>
                <w:i/>
                <w:rFonts w:ascii="Times New Roman" w:hAnsi="Times New Roman"/>
              </w:rPr>
              <w:t xml:space="preserve">TREA</w:t>
            </w:r>
            <w:r>
              <w:rPr>
                <w:sz w:val="24"/>
                <w:rFonts w:ascii="Times New Roman" w:hAnsi="Times New Roman"/>
              </w:rPr>
              <w:t xml:space="preserve">, attiecībā uz dažādajām riska kategorijām.</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 xml:space="preserve">1.</w:t>
            </w:r>
          </w:p>
        </w:tc>
        <w:tc>
          <w:tcPr>
            <w:tcW w:w="7655" w:type="dxa"/>
            <w:vAlign w:val="center"/>
          </w:tcPr>
          <w:p w14:paraId="156E0E42" w14:textId="77777777" w:rsidR="004606A7" w:rsidRPr="00232C88" w:rsidRDefault="004606A7" w:rsidP="00260404">
            <w:pPr>
              <w:spacing w:before="60" w:after="120"/>
              <w:jc w:val="both"/>
              <w:rPr>
                <w:b/>
                <w:sz w:val="24"/>
                <w:rFonts w:ascii="Times New Roman" w:hAnsi="Times New Roman" w:cs="Times New Roman"/>
              </w:rPr>
            </w:pPr>
            <w:r>
              <w:rPr>
                <w:b/>
                <w:sz w:val="24"/>
                <w:rFonts w:ascii="Times New Roman" w:hAnsi="Times New Roman"/>
              </w:rPr>
              <w:t xml:space="preserve">Kredītrisks (izņemot darījuma partnera kredītrisku (</w:t>
            </w:r>
            <w:r>
              <w:rPr>
                <w:b/>
                <w:sz w:val="24"/>
                <w:i/>
                <w:rFonts w:ascii="Times New Roman" w:hAnsi="Times New Roman"/>
              </w:rPr>
              <w:t xml:space="preserve">CCR</w:t>
            </w:r>
            <w:r>
              <w:rPr>
                <w:b/>
                <w:sz w:val="24"/>
                <w:rFonts w:ascii="Times New Roman" w:hAnsi="Times New Roman"/>
              </w:rPr>
              <w:t xml:space="preserve">))</w:t>
            </w:r>
          </w:p>
          <w:p w14:paraId="3A25A955" w14:textId="4673C726" w:rsidR="001A0C8D" w:rsidRPr="00232C88" w:rsidRDefault="000A4A93" w:rsidP="00A25707">
            <w:pPr>
              <w:spacing w:before="60" w:after="120"/>
              <w:jc w:val="both"/>
              <w:rPr>
                <w:sz w:val="24"/>
                <w:rFonts w:ascii="Times New Roman" w:hAnsi="Times New Roman" w:cs="Times New Roman"/>
              </w:rPr>
            </w:pPr>
            <w:r>
              <w:rPr>
                <w:sz w:val="24"/>
                <w:rFonts w:ascii="Times New Roman" w:hAnsi="Times New Roman"/>
              </w:rPr>
              <w:t xml:space="preserve">Riska darījumu riska svērtās vērtības (</w:t>
            </w: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II sadaļas 1.–4. nodaļu un Regulas (ES) Nr. 575/2013 379. pantu.</w:t>
            </w:r>
            <w:r>
              <w:rPr>
                <w:sz w:val="24"/>
                <w:rFonts w:ascii="Times New Roman" w:hAnsi="Times New Roman"/>
              </w:rPr>
              <w:t xml:space="preserve"> </w:t>
            </w:r>
            <w:r>
              <w:rPr>
                <w:sz w:val="24"/>
                <w:i/>
                <w:rFonts w:ascii="Times New Roman" w:hAnsi="Times New Roman"/>
              </w:rPr>
              <w:t xml:space="preserve">RWEA</w:t>
            </w:r>
            <w:r>
              <w:rPr>
                <w:sz w:val="24"/>
                <w:rFonts w:ascii="Times New Roman" w:hAnsi="Times New Roman"/>
              </w:rPr>
              <w:t xml:space="preserve"> attiecībā uz darījuma partnera kredītrisku (Regula (ES) Nr. 575/2013) un vērtspapīrošanas riska darījumiem netirdzniecības portfelī izslēdz un atklāj šīs veidnes 6. un 16. rindā.</w:t>
            </w:r>
            <w:r>
              <w:rPr>
                <w:sz w:val="24"/>
                <w:rFonts w:ascii="Times New Roman" w:hAnsi="Times New Roman"/>
              </w:rPr>
              <w:t xml:space="preserve"> </w:t>
            </w:r>
            <w:r>
              <w:rPr>
                <w:sz w:val="24"/>
                <w:rFonts w:ascii="Times New Roman" w:hAnsi="Times New Roman"/>
              </w:rPr>
              <w:t xml:space="preserve">Iestādes šajā rindā atklātajā summā iekļauj </w:t>
            </w:r>
            <w:r>
              <w:rPr>
                <w:sz w:val="24"/>
                <w:i/>
                <w:rFonts w:ascii="Times New Roman" w:hAnsi="Times New Roman"/>
              </w:rPr>
              <w:t xml:space="preserve">RWEA</w:t>
            </w:r>
            <w:r>
              <w:rPr>
                <w:sz w:val="24"/>
                <w:rFonts w:ascii="Times New Roman" w:hAnsi="Times New Roman"/>
              </w:rPr>
              <w:t xml:space="preserve"> un pašu kapitāla prasības par neapmaksātās piegādes risku, kas aprēķināts saskaņā ar Regulas (ES) Nr. 575/2013 379. pantu.</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t xml:space="preserve">2.</w:t>
            </w:r>
          </w:p>
        </w:tc>
        <w:tc>
          <w:tcPr>
            <w:tcW w:w="7655" w:type="dxa"/>
          </w:tcPr>
          <w:p w14:paraId="19A303B7" w14:textId="77777777" w:rsidR="008B269B" w:rsidRPr="00232C88" w:rsidRDefault="008B269B" w:rsidP="008B269B">
            <w:pPr>
              <w:spacing w:before="60" w:after="120"/>
              <w:jc w:val="both"/>
              <w:rPr>
                <w:b/>
                <w:sz w:val="24"/>
                <w:rFonts w:ascii="Times New Roman" w:hAnsi="Times New Roman" w:cs="Times New Roman"/>
              </w:rPr>
            </w:pPr>
            <w:r>
              <w:rPr>
                <w:b/>
                <w:sz w:val="24"/>
                <w:rFonts w:ascii="Times New Roman" w:hAnsi="Times New Roman"/>
              </w:rPr>
              <w:t xml:space="preserve">Kredītrisks (izņemot </w:t>
            </w:r>
            <w:r>
              <w:rPr>
                <w:b/>
                <w:sz w:val="24"/>
                <w:i/>
                <w:rFonts w:ascii="Times New Roman" w:hAnsi="Times New Roman"/>
              </w:rPr>
              <w:t xml:space="preserve">CCR</w:t>
            </w:r>
            <w:r>
              <w:rPr>
                <w:b/>
                <w:sz w:val="24"/>
                <w:rFonts w:ascii="Times New Roman" w:hAnsi="Times New Roman"/>
              </w:rPr>
              <w:t xml:space="preserve">), t. sk. standartizētā pieeja</w:t>
            </w:r>
          </w:p>
          <w:p w14:paraId="1DD2511C" w14:textId="7328A2B3" w:rsidR="004A5BCD" w:rsidRPr="00232C88" w:rsidRDefault="009A4635" w:rsidP="0097538A">
            <w:pPr>
              <w:spacing w:before="60" w:after="120"/>
              <w:jc w:val="both"/>
              <w:rPr>
                <w:sz w:val="24"/>
                <w:rFonts w:ascii="Times New Roman" w:eastAsia="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standartizēto pieeju attiecībā uz kredītrisku (Regulas (ES) Nr. 575/2013 trešās daļas II sadaļas 2. nodaļa un Regulas (ES) Nr. 575/2013 379. pants).</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 xml:space="preserve">3.</w:t>
            </w:r>
          </w:p>
        </w:tc>
        <w:tc>
          <w:tcPr>
            <w:tcW w:w="7655" w:type="dxa"/>
          </w:tcPr>
          <w:p w14:paraId="6D300D26" w14:textId="2612B8E7" w:rsidR="008B269B" w:rsidRPr="00232C88" w:rsidRDefault="008B269B" w:rsidP="008B269B">
            <w:pPr>
              <w:spacing w:before="60" w:after="120"/>
              <w:jc w:val="both"/>
              <w:rPr>
                <w:b/>
                <w:sz w:val="24"/>
                <w:rFonts w:ascii="Times New Roman" w:hAnsi="Times New Roman" w:cs="Times New Roman"/>
              </w:rPr>
            </w:pPr>
            <w:r>
              <w:rPr>
                <w:b/>
                <w:sz w:val="24"/>
                <w:rFonts w:ascii="Times New Roman" w:hAnsi="Times New Roman"/>
              </w:rPr>
              <w:t xml:space="preserve">Kredītrisks (izņemot </w:t>
            </w:r>
            <w:r>
              <w:rPr>
                <w:b/>
                <w:sz w:val="24"/>
                <w:i/>
                <w:rFonts w:ascii="Times New Roman" w:hAnsi="Times New Roman"/>
              </w:rPr>
              <w:t xml:space="preserve">CCR</w:t>
            </w:r>
            <w:r>
              <w:rPr>
                <w:b/>
                <w:sz w:val="24"/>
                <w:rFonts w:ascii="Times New Roman" w:hAnsi="Times New Roman"/>
              </w:rPr>
              <w:t xml:space="preserve">), t. sk. </w:t>
            </w:r>
            <w:r>
              <w:rPr>
                <w:b/>
                <w:sz w:val="24"/>
                <w:i/>
                <w:rFonts w:ascii="Times New Roman" w:hAnsi="Times New Roman"/>
              </w:rPr>
              <w:t xml:space="preserve">IRB</w:t>
            </w:r>
            <w:r>
              <w:rPr>
                <w:b/>
                <w:sz w:val="24"/>
                <w:rFonts w:ascii="Times New Roman" w:hAnsi="Times New Roman"/>
              </w:rPr>
              <w:t xml:space="preserve"> pamatpieeja (</w:t>
            </w:r>
            <w:r>
              <w:rPr>
                <w:b/>
                <w:sz w:val="24"/>
                <w:i/>
                <w:rFonts w:ascii="Times New Roman" w:hAnsi="Times New Roman"/>
              </w:rPr>
              <w:t xml:space="preserve">F-IRB</w:t>
            </w:r>
            <w:r>
              <w:rPr>
                <w:b/>
                <w:sz w:val="24"/>
                <w:rFonts w:ascii="Times New Roman" w:hAnsi="Times New Roman"/>
              </w:rPr>
              <w:t xml:space="preserve">)</w:t>
            </w:r>
            <w:r>
              <w:rPr>
                <w:b/>
                <w:sz w:val="24"/>
                <w:rFonts w:ascii="Times New Roman" w:hAnsi="Times New Roman"/>
              </w:rPr>
              <w:t xml:space="preserve"> </w:t>
            </w:r>
          </w:p>
          <w:p w14:paraId="67755B7F" w14:textId="6B3A98C3" w:rsidR="008B269B" w:rsidRPr="00232C88" w:rsidRDefault="009A4635" w:rsidP="4D769726">
            <w:pPr>
              <w:spacing w:before="60" w:after="120"/>
              <w:jc w:val="both"/>
              <w:rPr>
                <w:sz w:val="24"/>
                <w:rFonts w:ascii="Times New Roman" w:eastAsia="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w:t>
            </w:r>
            <w:r>
              <w:rPr>
                <w:sz w:val="24"/>
                <w:i/>
                <w:rFonts w:ascii="Times New Roman" w:hAnsi="Times New Roman"/>
              </w:rPr>
              <w:t xml:space="preserve">CR</w:t>
            </w:r>
            <w:r>
              <w:rPr>
                <w:sz w:val="24"/>
                <w:rFonts w:ascii="Times New Roman" w:hAnsi="Times New Roman"/>
              </w:rPr>
              <w:t xml:space="preserve"> — uz iekšējiem reitingiem balstītā pamatpieeja (Regulas (ES) Nr. 575/2013 trešās daļas II sadaļas 3. nodaļa), izņemot </w:t>
            </w:r>
            <w:r>
              <w:rPr>
                <w:sz w:val="24"/>
                <w:i/>
                <w:rFonts w:ascii="Times New Roman" w:hAnsi="Times New Roman"/>
              </w:rPr>
              <w:t xml:space="preserve">RWEA</w:t>
            </w:r>
            <w:r>
              <w:rPr>
                <w:sz w:val="24"/>
                <w:rFonts w:ascii="Times New Roman" w:hAnsi="Times New Roman"/>
              </w:rPr>
              <w:t xml:space="preserve">, kas atklātas 4. rindā par specializētās kreditēšanas riska darījumiem, uz kuriem attiecas grupēšanas pieeja, un EU 4.a rindā par kapitāla vērtspapīriem saskaņā ar vienkāršo riska pakāpju pieeju, un ieskaitot </w:t>
            </w: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379. pantu.</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 xml:space="preserve">4.</w:t>
            </w:r>
          </w:p>
        </w:tc>
        <w:tc>
          <w:tcPr>
            <w:tcW w:w="7655" w:type="dxa"/>
          </w:tcPr>
          <w:p w14:paraId="370308AB" w14:textId="0FFC281F"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Kredītrisks (izņemot </w:t>
            </w:r>
            <w:r>
              <w:rPr>
                <w:b/>
                <w:sz w:val="24"/>
                <w:i/>
                <w:rFonts w:ascii="Times New Roman" w:hAnsi="Times New Roman"/>
              </w:rPr>
              <w:t xml:space="preserve">CCR</w:t>
            </w:r>
            <w:r>
              <w:rPr>
                <w:b/>
                <w:sz w:val="24"/>
                <w:rFonts w:ascii="Times New Roman" w:hAnsi="Times New Roman"/>
              </w:rPr>
              <w:t xml:space="preserve">), t. sk.:</w:t>
            </w:r>
            <w:r>
              <w:rPr>
                <w:b/>
                <w:sz w:val="24"/>
                <w:rFonts w:ascii="Times New Roman" w:hAnsi="Times New Roman"/>
              </w:rPr>
              <w:t xml:space="preserve"> </w:t>
            </w:r>
            <w:r>
              <w:rPr>
                <w:b/>
                <w:sz w:val="24"/>
                <w:rFonts w:ascii="Times New Roman" w:hAnsi="Times New Roman"/>
              </w:rPr>
              <w:t xml:space="preserve">grupēšanas pieeja</w:t>
            </w:r>
          </w:p>
          <w:p w14:paraId="0A705407" w14:textId="42036DAC" w:rsidR="00FA1376" w:rsidRPr="00232C88" w:rsidRDefault="009A4635" w:rsidP="0077689B">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specializētās kreditēšanas riska darījumiem, uz kuriem attiecas grupēšanas pieeja, kas aprēķinātas saskaņā ar Regulas (ES) Nr. 575/2013 153. panta 5. punktu.</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 xml:space="preserve">EU 4.a</w:t>
            </w:r>
          </w:p>
        </w:tc>
        <w:tc>
          <w:tcPr>
            <w:tcW w:w="7655" w:type="dxa"/>
          </w:tcPr>
          <w:p w14:paraId="37370FB1" w14:textId="77777777"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Kredītrisks (izņemot </w:t>
            </w:r>
            <w:r>
              <w:rPr>
                <w:b/>
                <w:sz w:val="24"/>
                <w:i/>
                <w:rFonts w:ascii="Times New Roman" w:hAnsi="Times New Roman"/>
              </w:rPr>
              <w:t xml:space="preserve">CCR</w:t>
            </w:r>
            <w:r>
              <w:rPr>
                <w:b/>
                <w:sz w:val="24"/>
                <w:rFonts w:ascii="Times New Roman" w:hAnsi="Times New Roman"/>
              </w:rPr>
              <w:t xml:space="preserve">), t. sk.:</w:t>
            </w:r>
            <w:r>
              <w:rPr>
                <w:b/>
                <w:sz w:val="24"/>
                <w:rFonts w:ascii="Times New Roman" w:hAnsi="Times New Roman"/>
              </w:rPr>
              <w:t xml:space="preserve"> </w:t>
            </w:r>
            <w:r>
              <w:rPr>
                <w:b/>
                <w:sz w:val="24"/>
                <w:rFonts w:ascii="Times New Roman" w:hAnsi="Times New Roman"/>
              </w:rPr>
              <w:t xml:space="preserve">kapitāla vērtspapīri saskaņā ar vienkāršo riska pakāpju pieeju</w:t>
            </w:r>
          </w:p>
          <w:p w14:paraId="5661C7E6" w14:textId="45F15349" w:rsidR="00FA1376" w:rsidRPr="00232C88" w:rsidRDefault="009A4635" w:rsidP="0077689B">
            <w:pPr>
              <w:spacing w:before="60" w:after="120"/>
              <w:jc w:val="both"/>
              <w:rPr>
                <w:sz w:val="24"/>
                <w:rFonts w:ascii="Times New Roman" w:eastAsia="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riska darījumiem ar kapitāla vērtspapīriem, ja piemēro Regulas (ES) Nr. 575/2013 495. panta 1. punkta b) apakšpunkta pārejas noteikumus.</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 xml:space="preserve">5.</w:t>
            </w:r>
          </w:p>
        </w:tc>
        <w:tc>
          <w:tcPr>
            <w:tcW w:w="7655" w:type="dxa"/>
          </w:tcPr>
          <w:p w14:paraId="3AFF7CE4" w14:textId="27FE8FDF" w:rsidR="00460FF6" w:rsidRPr="00232C88" w:rsidRDefault="00460FF6" w:rsidP="00B2180A">
            <w:pPr>
              <w:spacing w:before="60" w:after="120"/>
              <w:jc w:val="both"/>
              <w:rPr>
                <w:b/>
                <w:sz w:val="24"/>
                <w:rFonts w:ascii="Times New Roman" w:hAnsi="Times New Roman" w:cs="Times New Roman"/>
              </w:rPr>
            </w:pPr>
            <w:r>
              <w:rPr>
                <w:b/>
                <w:sz w:val="24"/>
                <w:rFonts w:ascii="Times New Roman" w:hAnsi="Times New Roman"/>
              </w:rPr>
              <w:t xml:space="preserve">Kredītrisks (izņemot </w:t>
            </w:r>
            <w:r>
              <w:rPr>
                <w:b/>
                <w:sz w:val="24"/>
                <w:i/>
                <w:rFonts w:ascii="Times New Roman" w:hAnsi="Times New Roman"/>
              </w:rPr>
              <w:t xml:space="preserve">CCR</w:t>
            </w:r>
            <w:r>
              <w:rPr>
                <w:b/>
                <w:sz w:val="24"/>
                <w:rFonts w:ascii="Times New Roman" w:hAnsi="Times New Roman"/>
              </w:rPr>
              <w:t xml:space="preserve">), t. sk. attīstītā </w:t>
            </w:r>
            <w:r>
              <w:rPr>
                <w:b/>
                <w:sz w:val="24"/>
                <w:i/>
                <w:rFonts w:ascii="Times New Roman" w:hAnsi="Times New Roman"/>
              </w:rPr>
              <w:t xml:space="preserve">IRB</w:t>
            </w:r>
            <w:r>
              <w:rPr>
                <w:b/>
                <w:sz w:val="24"/>
                <w:rFonts w:ascii="Times New Roman" w:hAnsi="Times New Roman"/>
              </w:rPr>
              <w:t xml:space="preserve"> pieeja (</w:t>
            </w:r>
            <w:r>
              <w:rPr>
                <w:b/>
                <w:sz w:val="24"/>
                <w:i/>
                <w:rFonts w:ascii="Times New Roman" w:hAnsi="Times New Roman"/>
              </w:rPr>
              <w:t xml:space="preserve">A-IRB</w:t>
            </w:r>
            <w:r>
              <w:rPr>
                <w:b/>
                <w:sz w:val="24"/>
                <w:rFonts w:ascii="Times New Roman" w:hAnsi="Times New Roman"/>
              </w:rPr>
              <w:t xml:space="preserve">)</w:t>
            </w:r>
          </w:p>
          <w:p w14:paraId="7667081C" w14:textId="5A6E8BF3" w:rsidR="00460FF6" w:rsidRPr="00232C88" w:rsidRDefault="00460FF6" w:rsidP="4D769726">
            <w:pPr>
              <w:spacing w:before="60" w:after="120"/>
              <w:jc w:val="both"/>
              <w:rPr>
                <w:sz w:val="24"/>
                <w:rFonts w:ascii="Times New Roman" w:eastAsia="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w:t>
            </w:r>
            <w:r>
              <w:rPr>
                <w:sz w:val="24"/>
                <w:i/>
                <w:rFonts w:ascii="Times New Roman" w:hAnsi="Times New Roman"/>
              </w:rPr>
              <w:t xml:space="preserve">CR</w:t>
            </w:r>
            <w:r>
              <w:rPr>
                <w:sz w:val="24"/>
                <w:rFonts w:ascii="Times New Roman" w:hAnsi="Times New Roman"/>
              </w:rPr>
              <w:t xml:space="preserve"> – uz iekšējiem reitingiem balstītā attīstītā pieeja (Regulas (ES) Nr. 575/2013 trešās daļas II sadaļas 3. nodaļa), izņemot </w:t>
            </w:r>
            <w:r>
              <w:rPr>
                <w:sz w:val="24"/>
                <w:i/>
                <w:rFonts w:ascii="Times New Roman" w:hAnsi="Times New Roman"/>
              </w:rPr>
              <w:t xml:space="preserve">RWEA</w:t>
            </w:r>
            <w:r>
              <w:rPr>
                <w:sz w:val="24"/>
                <w:rFonts w:ascii="Times New Roman" w:hAnsi="Times New Roman"/>
              </w:rPr>
              <w:t xml:space="preserve">, kas atklātas 4. rindā par specializētās kreditēšanas riska darījumiem, uz kuriem attiecas grupēšanas pieeja, un EU 4.a rindā par kapitāla vērtspapīriem saskaņā ar vienkāršo riska pakāpju pieeju, un ieskaitot </w:t>
            </w: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379. pantu.</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t xml:space="preserve">6.</w:t>
            </w:r>
          </w:p>
        </w:tc>
        <w:tc>
          <w:tcPr>
            <w:tcW w:w="7655" w:type="dxa"/>
          </w:tcPr>
          <w:p w14:paraId="7F11F1D5" w14:textId="77777777"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Darījuma partnera kredītrisks – </w:t>
            </w:r>
            <w:r>
              <w:rPr>
                <w:b/>
                <w:sz w:val="24"/>
                <w:i/>
                <w:rFonts w:ascii="Times New Roman" w:hAnsi="Times New Roman"/>
              </w:rPr>
              <w:t xml:space="preserve">CCR</w:t>
            </w:r>
            <w:r>
              <w:rPr>
                <w:b/>
                <w:sz w:val="24"/>
                <w:rFonts w:ascii="Times New Roman" w:hAnsi="Times New Roman"/>
              </w:rPr>
              <w:t xml:space="preserve"> </w:t>
            </w:r>
          </w:p>
          <w:p w14:paraId="6E778278" w14:textId="12E427A1" w:rsidR="00FA1376" w:rsidRPr="00232C88" w:rsidRDefault="009A4635" w:rsidP="4D769726">
            <w:pPr>
              <w:spacing w:before="60" w:after="120"/>
              <w:jc w:val="both"/>
              <w:rPr>
                <w:sz w:val="24"/>
                <w:rFonts w:ascii="Times New Roman" w:eastAsia="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II sadaļas 6. nodaļu par darījuma partnera kredītrisku.</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t xml:space="preserve">7.</w:t>
            </w:r>
          </w:p>
        </w:tc>
        <w:tc>
          <w:tcPr>
            <w:tcW w:w="7655" w:type="dxa"/>
          </w:tcPr>
          <w:p w14:paraId="5528A31C" w14:textId="62213072" w:rsidR="00FA1376" w:rsidRPr="00232C88" w:rsidRDefault="00FA1376" w:rsidP="00FA1376">
            <w:pPr>
              <w:spacing w:before="60" w:after="120"/>
              <w:jc w:val="both"/>
              <w:rPr>
                <w:b/>
                <w:sz w:val="24"/>
                <w:rFonts w:ascii="Times New Roman" w:hAnsi="Times New Roman" w:cs="Times New Roman"/>
              </w:rPr>
            </w:pPr>
            <w:r>
              <w:rPr>
                <w:b/>
                <w:sz w:val="24"/>
                <w:i/>
                <w:rFonts w:ascii="Times New Roman" w:hAnsi="Times New Roman"/>
              </w:rPr>
              <w:t xml:space="preserve">CCR</w:t>
            </w:r>
            <w:r>
              <w:rPr>
                <w:b/>
                <w:sz w:val="24"/>
                <w:rFonts w:ascii="Times New Roman" w:hAnsi="Times New Roman"/>
              </w:rPr>
              <w:t xml:space="preserve">, t. sk. standartizētā pieeja</w:t>
            </w:r>
            <w:r>
              <w:rPr>
                <w:b/>
                <w:sz w:val="24"/>
                <w:rFonts w:ascii="Times New Roman" w:hAnsi="Times New Roman"/>
              </w:rPr>
              <w:t xml:space="preserve"> </w:t>
            </w:r>
          </w:p>
          <w:p w14:paraId="13065A05" w14:textId="21562698" w:rsidR="00FA1376" w:rsidRPr="00232C88" w:rsidRDefault="009A4635"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II sadaļas 6. nodaļas 3. iedaļu.</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 xml:space="preserve">8.</w:t>
            </w:r>
          </w:p>
        </w:tc>
        <w:tc>
          <w:tcPr>
            <w:tcW w:w="7655" w:type="dxa"/>
          </w:tcPr>
          <w:p w14:paraId="2C150D6B" w14:textId="77777777" w:rsidR="00FA1376" w:rsidRPr="00232C88" w:rsidRDefault="00FA1376" w:rsidP="00FA1376">
            <w:pPr>
              <w:spacing w:before="60" w:after="120"/>
              <w:jc w:val="both"/>
              <w:rPr>
                <w:b/>
                <w:sz w:val="24"/>
                <w:rFonts w:ascii="Times New Roman" w:hAnsi="Times New Roman" w:cs="Times New Roman"/>
              </w:rPr>
            </w:pPr>
            <w:r>
              <w:rPr>
                <w:b/>
                <w:sz w:val="24"/>
                <w:i/>
                <w:rFonts w:ascii="Times New Roman" w:hAnsi="Times New Roman"/>
              </w:rPr>
              <w:t xml:space="preserve">CCR</w:t>
            </w:r>
            <w:r>
              <w:rPr>
                <w:b/>
                <w:sz w:val="24"/>
                <w:rFonts w:ascii="Times New Roman" w:hAnsi="Times New Roman"/>
              </w:rPr>
              <w:t xml:space="preserve">, t. sk. iekšējā modeļa metode (IMM)</w:t>
            </w:r>
            <w:r>
              <w:rPr>
                <w:b/>
                <w:sz w:val="24"/>
                <w:rFonts w:ascii="Times New Roman" w:hAnsi="Times New Roman"/>
              </w:rPr>
              <w:t xml:space="preserve"> </w:t>
            </w:r>
          </w:p>
          <w:p w14:paraId="3EB08D8D" w14:textId="01135F8D" w:rsidR="00FA1376" w:rsidRPr="00232C88" w:rsidRDefault="009A4635" w:rsidP="002635C4">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283. pantu.</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 xml:space="preserve">EU 8.a</w:t>
            </w:r>
          </w:p>
        </w:tc>
        <w:tc>
          <w:tcPr>
            <w:tcW w:w="7655" w:type="dxa"/>
          </w:tcPr>
          <w:p w14:paraId="78F13FD4" w14:textId="77777777" w:rsidR="004D588F" w:rsidRPr="00232C88" w:rsidRDefault="004D588F" w:rsidP="004D588F">
            <w:pPr>
              <w:spacing w:before="60" w:after="120"/>
              <w:jc w:val="both"/>
              <w:rPr>
                <w:b/>
                <w:sz w:val="24"/>
                <w:rFonts w:ascii="Times New Roman" w:hAnsi="Times New Roman" w:cs="Times New Roman"/>
              </w:rPr>
            </w:pPr>
            <w:r>
              <w:rPr>
                <w:b/>
                <w:sz w:val="24"/>
                <w:i/>
                <w:rFonts w:ascii="Times New Roman" w:hAnsi="Times New Roman"/>
              </w:rPr>
              <w:t xml:space="preserve">CCR</w:t>
            </w:r>
            <w:r>
              <w:rPr>
                <w:b/>
                <w:sz w:val="24"/>
                <w:rFonts w:ascii="Times New Roman" w:hAnsi="Times New Roman"/>
              </w:rPr>
              <w:t xml:space="preserve">, t. sk. riska darījumi ar </w:t>
            </w:r>
            <w:r>
              <w:rPr>
                <w:b/>
                <w:sz w:val="24"/>
                <w:i/>
                <w:rFonts w:ascii="Times New Roman" w:hAnsi="Times New Roman"/>
              </w:rPr>
              <w:t xml:space="preserve">CCP</w:t>
            </w:r>
          </w:p>
          <w:p w14:paraId="316A5F55" w14:textId="5F455EE4" w:rsidR="00194611" w:rsidRPr="00232C88" w:rsidRDefault="004D588F"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II sadaļas 6. nodaļas 9. iedaļu.</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 xml:space="preserve">9.</w:t>
            </w:r>
          </w:p>
        </w:tc>
        <w:tc>
          <w:tcPr>
            <w:tcW w:w="7655" w:type="dxa"/>
          </w:tcPr>
          <w:p w14:paraId="1F211550" w14:textId="77777777" w:rsidR="004D588F" w:rsidRPr="00232C88" w:rsidRDefault="004D588F" w:rsidP="004D588F">
            <w:pPr>
              <w:spacing w:before="60" w:after="120"/>
              <w:jc w:val="both"/>
              <w:rPr>
                <w:b/>
                <w:sz w:val="24"/>
                <w:rFonts w:ascii="Times New Roman" w:hAnsi="Times New Roman" w:cs="Times New Roman"/>
              </w:rPr>
            </w:pPr>
            <w:r>
              <w:rPr>
                <w:b/>
                <w:sz w:val="24"/>
                <w:i/>
                <w:rFonts w:ascii="Times New Roman" w:hAnsi="Times New Roman"/>
              </w:rPr>
              <w:t xml:space="preserve">CCR</w:t>
            </w:r>
            <w:r>
              <w:rPr>
                <w:b/>
                <w:sz w:val="24"/>
                <w:rFonts w:ascii="Times New Roman" w:hAnsi="Times New Roman"/>
              </w:rPr>
              <w:t xml:space="preserve">, t. sk. cits </w:t>
            </w:r>
            <w:r>
              <w:rPr>
                <w:b/>
                <w:sz w:val="24"/>
                <w:i/>
                <w:rFonts w:ascii="Times New Roman" w:hAnsi="Times New Roman"/>
              </w:rPr>
              <w:t xml:space="preserve">CCR</w:t>
            </w:r>
          </w:p>
          <w:p w14:paraId="533B5356" w14:textId="2A949FC3" w:rsidR="004D588F" w:rsidRPr="00232C88" w:rsidRDefault="48604EBF" w:rsidP="7A5B4152">
            <w:pPr>
              <w:spacing w:before="60" w:after="120"/>
              <w:jc w:val="both"/>
              <w:rPr>
                <w:sz w:val="24"/>
                <w:rFonts w:ascii="Times New Roman" w:hAnsi="Times New Roman" w:cs="Times New Roman"/>
              </w:rPr>
            </w:pPr>
            <w:r>
              <w:rPr>
                <w:sz w:val="24"/>
                <w:i/>
                <w:rFonts w:ascii="Times New Roman" w:hAnsi="Times New Roman"/>
              </w:rPr>
              <w:t xml:space="preserve">CCR RWEA</w:t>
            </w:r>
            <w:r>
              <w:rPr>
                <w:sz w:val="24"/>
                <w:rFonts w:ascii="Times New Roman" w:hAnsi="Times New Roman"/>
              </w:rPr>
              <w:t xml:space="preserve"> un pašu kapitāla prasības, kas nav atklātas 7., 8., un EU 8.a rindā.</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 xml:space="preserve">10.</w:t>
            </w:r>
          </w:p>
        </w:tc>
        <w:tc>
          <w:tcPr>
            <w:tcW w:w="7655" w:type="dxa"/>
          </w:tcPr>
          <w:p w14:paraId="6FBF49C6" w14:textId="22C1CF03" w:rsidR="004D588F" w:rsidRPr="00232C88" w:rsidRDefault="6B84787B" w:rsidP="7A5B4152">
            <w:pPr>
              <w:spacing w:before="60" w:after="120" w:line="259" w:lineRule="auto"/>
              <w:jc w:val="both"/>
              <w:rPr>
                <w:b/>
                <w:bCs/>
                <w:sz w:val="24"/>
                <w:rFonts w:ascii="Times New Roman" w:hAnsi="Times New Roman" w:cs="Times New Roman"/>
              </w:rPr>
            </w:pPr>
            <w:r>
              <w:rPr>
                <w:b/>
                <w:sz w:val="24"/>
                <w:rFonts w:ascii="Times New Roman" w:hAnsi="Times New Roman"/>
              </w:rPr>
              <w:t xml:space="preserve">Kredīta vērtības korekcijas risks – </w:t>
            </w:r>
            <w:r>
              <w:rPr>
                <w:b/>
                <w:sz w:val="24"/>
                <w:i/>
                <w:rFonts w:ascii="Times New Roman" w:hAnsi="Times New Roman"/>
              </w:rPr>
              <w:t xml:space="preserve">CVA</w:t>
            </w:r>
            <w:r>
              <w:rPr>
                <w:b/>
                <w:sz w:val="24"/>
                <w:rFonts w:ascii="Times New Roman" w:hAnsi="Times New Roman"/>
              </w:rPr>
              <w:t xml:space="preserve"> risks</w:t>
            </w:r>
          </w:p>
          <w:p w14:paraId="49EF2829" w14:textId="6B25E794" w:rsidR="004D588F" w:rsidRPr="00232C88" w:rsidRDefault="7031397C" w:rsidP="4D769726">
            <w:pPr>
              <w:spacing w:before="60" w:after="120" w:line="259" w:lineRule="auto"/>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VI sadaļu.</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 xml:space="preserve">EU 10.a</w:t>
            </w:r>
          </w:p>
        </w:tc>
        <w:tc>
          <w:tcPr>
            <w:tcW w:w="7655" w:type="dxa"/>
          </w:tcPr>
          <w:p w14:paraId="6CC156C7" w14:textId="4E5A33FC" w:rsidR="6B84787B" w:rsidRPr="00232C88" w:rsidRDefault="6B84787B" w:rsidP="00254EDB">
            <w:pPr>
              <w:spacing w:before="60" w:after="120" w:line="259" w:lineRule="auto"/>
              <w:jc w:val="both"/>
              <w:rPr>
                <w:b/>
                <w:bCs/>
                <w:sz w:val="24"/>
                <w:rFonts w:ascii="Times New Roman" w:hAnsi="Times New Roman" w:cs="Times New Roman"/>
              </w:rPr>
            </w:pPr>
            <w:r>
              <w:rPr>
                <w:b/>
                <w:sz w:val="24"/>
                <w:i/>
                <w:rFonts w:ascii="Times New Roman" w:hAnsi="Times New Roman"/>
              </w:rPr>
              <w:t xml:space="preserve">CVA</w:t>
            </w:r>
            <w:r>
              <w:rPr>
                <w:b/>
                <w:sz w:val="24"/>
                <w:rFonts w:ascii="Times New Roman" w:hAnsi="Times New Roman"/>
              </w:rPr>
              <w:t xml:space="preserve"> risks, t. sk. standartizētā pieeja (</w:t>
            </w:r>
            <w:r>
              <w:rPr>
                <w:b/>
                <w:sz w:val="24"/>
                <w:i/>
                <w:rFonts w:ascii="Times New Roman" w:hAnsi="Times New Roman"/>
              </w:rPr>
              <w:t xml:space="preserve">SA</w:t>
            </w:r>
            <w:r>
              <w:rPr>
                <w:b/>
                <w:sz w:val="24"/>
                <w:rFonts w:ascii="Times New Roman" w:hAnsi="Times New Roman"/>
              </w:rPr>
              <w:t xml:space="preserve">)</w:t>
            </w:r>
          </w:p>
          <w:p w14:paraId="1299BEF8" w14:textId="002F7166" w:rsidR="15A479FF" w:rsidRPr="00232C88" w:rsidRDefault="15A479FF" w:rsidP="00254EDB">
            <w:pPr>
              <w:spacing w:before="60" w:after="120" w:line="259" w:lineRule="auto"/>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383. pantu.</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 xml:space="preserve">EU 10.b</w:t>
            </w:r>
          </w:p>
        </w:tc>
        <w:tc>
          <w:tcPr>
            <w:tcW w:w="7655" w:type="dxa"/>
          </w:tcPr>
          <w:p w14:paraId="1888B262" w14:textId="387A46E5" w:rsidR="2B63221F" w:rsidRPr="00232C88" w:rsidRDefault="2B63221F" w:rsidP="00254EDB">
            <w:pPr>
              <w:spacing w:line="259" w:lineRule="auto"/>
              <w:rPr>
                <w:b/>
                <w:bCs/>
                <w:sz w:val="24"/>
                <w:rFonts w:ascii="Times New Roman" w:hAnsi="Times New Roman" w:cs="Times New Roman"/>
              </w:rPr>
            </w:pPr>
            <w:r>
              <w:rPr>
                <w:b/>
                <w:sz w:val="24"/>
                <w:i/>
                <w:rFonts w:ascii="Times New Roman" w:hAnsi="Times New Roman"/>
              </w:rPr>
              <w:t xml:space="preserve">CVA</w:t>
            </w:r>
            <w:r>
              <w:rPr>
                <w:b/>
                <w:sz w:val="24"/>
                <w:rFonts w:ascii="Times New Roman" w:hAnsi="Times New Roman"/>
              </w:rPr>
              <w:t xml:space="preserve"> risks – t. sk. pamatpieeja (</w:t>
            </w:r>
            <w:r>
              <w:rPr>
                <w:b/>
                <w:sz w:val="24"/>
                <w:i/>
                <w:rFonts w:ascii="Times New Roman" w:hAnsi="Times New Roman"/>
              </w:rPr>
              <w:t xml:space="preserve">F-BA</w:t>
            </w:r>
            <w:r>
              <w:rPr>
                <w:b/>
                <w:sz w:val="24"/>
                <w:rFonts w:ascii="Times New Roman" w:hAnsi="Times New Roman"/>
              </w:rPr>
              <w:t xml:space="preserve"> un </w:t>
            </w:r>
            <w:r>
              <w:rPr>
                <w:b/>
                <w:sz w:val="24"/>
                <w:i/>
                <w:rFonts w:ascii="Times New Roman" w:hAnsi="Times New Roman"/>
              </w:rPr>
              <w:t xml:space="preserve">R-BA</w:t>
            </w:r>
            <w:r>
              <w:rPr>
                <w:b/>
                <w:sz w:val="24"/>
                <w:rFonts w:ascii="Times New Roman" w:hAnsi="Times New Roman"/>
              </w:rPr>
              <w:t xml:space="preserve">)</w:t>
            </w:r>
          </w:p>
          <w:p w14:paraId="08A9D4FC" w14:textId="371DF839" w:rsidR="5E3E7C8C" w:rsidRPr="00232C88" w:rsidRDefault="5E3E7C8C" w:rsidP="00254EDB">
            <w:pPr>
              <w:spacing w:before="60" w:after="120" w:line="259" w:lineRule="auto"/>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384. pantu.</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 xml:space="preserve">EU 10.c</w:t>
            </w:r>
          </w:p>
        </w:tc>
        <w:tc>
          <w:tcPr>
            <w:tcW w:w="7655" w:type="dxa"/>
          </w:tcPr>
          <w:p w14:paraId="1606F92D" w14:textId="3DD380FC" w:rsidR="3812DD51" w:rsidRPr="00232C88" w:rsidRDefault="3812DD51" w:rsidP="00254EDB">
            <w:pPr>
              <w:spacing w:line="259" w:lineRule="auto"/>
              <w:rPr>
                <w:b/>
                <w:bCs/>
                <w:sz w:val="24"/>
                <w:rFonts w:ascii="Times New Roman" w:hAnsi="Times New Roman" w:cs="Times New Roman"/>
              </w:rPr>
            </w:pPr>
            <w:r>
              <w:rPr>
                <w:b/>
                <w:sz w:val="24"/>
                <w:i/>
                <w:rFonts w:ascii="Times New Roman" w:hAnsi="Times New Roman"/>
              </w:rPr>
              <w:t xml:space="preserve">CVA</w:t>
            </w:r>
            <w:r>
              <w:rPr>
                <w:b/>
                <w:sz w:val="24"/>
                <w:rFonts w:ascii="Times New Roman" w:hAnsi="Times New Roman"/>
              </w:rPr>
              <w:t xml:space="preserve"> risks, tajā skaitā vienkāršotā pieeja</w:t>
            </w:r>
          </w:p>
          <w:p w14:paraId="07A5F206" w14:textId="5A791739" w:rsidR="27833950" w:rsidRPr="00232C88" w:rsidRDefault="27833950" w:rsidP="00254EDB">
            <w:pPr>
              <w:spacing w:before="60" w:after="120" w:line="259" w:lineRule="auto"/>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385. pantu.</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 xml:space="preserve">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sz w:val="24"/>
                <w:rFonts w:ascii="Times New Roman" w:hAnsi="Times New Roman" w:cs="Times New Roman"/>
              </w:rPr>
            </w:pPr>
            <w:r>
              <w:rPr>
                <w:rFonts w:ascii="Times New Roman" w:hAnsi="Times New Roman"/>
              </w:rPr>
              <w:t xml:space="preserve">Neattiecas</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 xml:space="preserve">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sz w:val="24"/>
                <w:rFonts w:ascii="Times New Roman" w:hAnsi="Times New Roman" w:cs="Times New Roman"/>
              </w:rPr>
            </w:pPr>
            <w:r>
              <w:rPr>
                <w:rFonts w:ascii="Times New Roman" w:hAnsi="Times New Roman"/>
              </w:rPr>
              <w:t xml:space="preserve">Neattiecas</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 xml:space="preserve">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sz w:val="24"/>
                <w:rFonts w:ascii="Times New Roman" w:hAnsi="Times New Roman" w:cs="Times New Roman"/>
              </w:rPr>
            </w:pPr>
            <w:r>
              <w:rPr>
                <w:rFonts w:ascii="Times New Roman" w:hAnsi="Times New Roman"/>
              </w:rPr>
              <w:t xml:space="preserve">Neattiecas</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 xml:space="preserve">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sz w:val="24"/>
                <w:rFonts w:ascii="Times New Roman" w:hAnsi="Times New Roman" w:cs="Times New Roman"/>
              </w:rPr>
            </w:pPr>
            <w:r>
              <w:rPr>
                <w:rFonts w:ascii="Times New Roman" w:hAnsi="Times New Roman"/>
              </w:rPr>
              <w:t xml:space="preserve">Neattiecas</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 xml:space="preserve">15.</w:t>
            </w:r>
          </w:p>
        </w:tc>
        <w:tc>
          <w:tcPr>
            <w:tcW w:w="7655" w:type="dxa"/>
          </w:tcPr>
          <w:p w14:paraId="54F87CB3" w14:textId="77777777"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Norēķinu risks</w:t>
            </w:r>
            <w:r>
              <w:rPr>
                <w:b/>
                <w:sz w:val="24"/>
                <w:rFonts w:ascii="Times New Roman" w:hAnsi="Times New Roman"/>
              </w:rPr>
              <w:t xml:space="preserve"> </w:t>
            </w:r>
          </w:p>
          <w:p w14:paraId="5BD4C7C7" w14:textId="245CE380" w:rsidR="00FA1376" w:rsidRPr="00232C88" w:rsidRDefault="76C231EB" w:rsidP="7A5B4152">
            <w:pPr>
              <w:spacing w:before="60" w:after="120"/>
              <w:jc w:val="both"/>
              <w:rPr>
                <w:sz w:val="24"/>
                <w:rFonts w:ascii="Times New Roman" w:hAnsi="Times New Roman" w:cs="Times New Roman"/>
              </w:rPr>
            </w:pPr>
            <w:r>
              <w:rPr>
                <w:sz w:val="24"/>
                <w:rFonts w:ascii="Times New Roman" w:hAnsi="Times New Roman"/>
              </w:rPr>
              <w:t xml:space="preserve"> </w:t>
            </w:r>
            <w:r>
              <w:rPr>
                <w:sz w:val="24"/>
                <w:i/>
                <w:rFonts w:ascii="Times New Roman" w:hAnsi="Times New Roman"/>
              </w:rPr>
              <w:t xml:space="preserve">RWEA</w:t>
            </w:r>
            <w:r>
              <w:rPr>
                <w:sz w:val="24"/>
                <w:rFonts w:ascii="Times New Roman" w:hAnsi="Times New Roman"/>
              </w:rPr>
              <w:t xml:space="preserve"> un pašu kapitāla prasības, kas aprēķinātas par norēķinu/piegādes risku saskaņā ar Regulas (ES) Nr. 575/2013 378. pantu.</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 xml:space="preserve">16.</w:t>
            </w:r>
          </w:p>
        </w:tc>
        <w:tc>
          <w:tcPr>
            <w:tcW w:w="7655" w:type="dxa"/>
          </w:tcPr>
          <w:p w14:paraId="290EA04A" w14:textId="77777777"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Vērtspapīrošanas riska darījumi netirdzniecības portfelī (pēc maksimālās robežvērtības piemērošanas)</w:t>
            </w:r>
          </w:p>
          <w:p w14:paraId="3127F872" w14:textId="727CB966" w:rsidR="00FA1376" w:rsidRPr="00232C88" w:rsidRDefault="009A4635"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II sadaļas 5. nodaļu.</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 xml:space="preserve">17.</w:t>
            </w:r>
          </w:p>
        </w:tc>
        <w:tc>
          <w:tcPr>
            <w:tcW w:w="7655" w:type="dxa"/>
          </w:tcPr>
          <w:p w14:paraId="60EB9584" w14:textId="77777777"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Vērtspapīrošana, t. sk. </w:t>
            </w:r>
            <w:r>
              <w:rPr>
                <w:b/>
                <w:sz w:val="24"/>
                <w:i/>
                <w:rFonts w:ascii="Times New Roman" w:hAnsi="Times New Roman"/>
              </w:rPr>
              <w:t xml:space="preserve">SEC-IRBA</w:t>
            </w:r>
            <w:r>
              <w:rPr>
                <w:b/>
                <w:sz w:val="24"/>
                <w:rFonts w:ascii="Times New Roman" w:hAnsi="Times New Roman"/>
              </w:rPr>
              <w:t xml:space="preserve"> pieeja</w:t>
            </w:r>
            <w:r>
              <w:rPr>
                <w:b/>
                <w:sz w:val="24"/>
                <w:rFonts w:ascii="Times New Roman" w:hAnsi="Times New Roman"/>
              </w:rPr>
              <w:t xml:space="preserve"> </w:t>
            </w:r>
          </w:p>
          <w:p w14:paraId="48D3D12E" w14:textId="321099B2" w:rsidR="00FA1376" w:rsidRPr="00232C88" w:rsidRDefault="009A4635" w:rsidP="0097538A">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w:t>
            </w:r>
            <w:r>
              <w:rPr>
                <w:sz w:val="24"/>
                <w:i/>
                <w:rFonts w:ascii="Times New Roman" w:hAnsi="Times New Roman"/>
              </w:rPr>
              <w:t xml:space="preserve">SEC-IRBA</w:t>
            </w:r>
            <w:r>
              <w:rPr>
                <w:sz w:val="24"/>
                <w:rFonts w:ascii="Times New Roman" w:hAnsi="Times New Roman"/>
              </w:rPr>
              <w:t xml:space="preserve"> regulatīvo pieeju, kuru izmanto saskaņā ar Regulas (ES) Nr. 575/2013 254. pantā noteikto pieeju hierarhiju.</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 xml:space="preserve">18.</w:t>
            </w:r>
          </w:p>
        </w:tc>
        <w:tc>
          <w:tcPr>
            <w:tcW w:w="7655" w:type="dxa"/>
          </w:tcPr>
          <w:p w14:paraId="3D0BC87F" w14:textId="77777777" w:rsidR="004D588F" w:rsidRPr="00232C88" w:rsidRDefault="004D588F" w:rsidP="00B2180A">
            <w:pPr>
              <w:spacing w:before="60" w:after="120"/>
              <w:jc w:val="both"/>
              <w:rPr>
                <w:b/>
                <w:sz w:val="24"/>
                <w:rFonts w:ascii="Times New Roman" w:hAnsi="Times New Roman" w:cs="Times New Roman"/>
              </w:rPr>
            </w:pPr>
            <w:r>
              <w:rPr>
                <w:b/>
                <w:sz w:val="24"/>
                <w:rFonts w:ascii="Times New Roman" w:hAnsi="Times New Roman"/>
              </w:rPr>
              <w:t xml:space="preserve">Vērtspapīrošana, t. sk. </w:t>
            </w:r>
            <w:r>
              <w:rPr>
                <w:b/>
                <w:sz w:val="24"/>
                <w:i/>
                <w:rFonts w:ascii="Times New Roman" w:hAnsi="Times New Roman"/>
              </w:rPr>
              <w:t xml:space="preserve">SEC-ERBA</w:t>
            </w:r>
            <w:r>
              <w:rPr>
                <w:b/>
                <w:sz w:val="24"/>
                <w:rFonts w:ascii="Times New Roman" w:hAnsi="Times New Roman"/>
              </w:rPr>
              <w:t xml:space="preserve"> (ieskaitot iekšējā novērtējuma pieeju)</w:t>
            </w:r>
          </w:p>
          <w:p w14:paraId="081795BE" w14:textId="41E5125D" w:rsidR="004D588F" w:rsidRPr="00232C88" w:rsidRDefault="004D588F" w:rsidP="0077689B">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w:t>
            </w:r>
            <w:r>
              <w:rPr>
                <w:sz w:val="24"/>
                <w:i/>
                <w:rFonts w:ascii="Times New Roman" w:hAnsi="Times New Roman"/>
              </w:rPr>
              <w:t xml:space="preserve">SEC-ERBA</w:t>
            </w:r>
            <w:r>
              <w:rPr>
                <w:sz w:val="24"/>
                <w:rFonts w:ascii="Times New Roman" w:hAnsi="Times New Roman"/>
              </w:rPr>
              <w:t xml:space="preserve"> (ieskaitot iekšējā novērtējuma pieeju) regulatīvo pieeju, kuru izmanto saskaņā ar Regulas (ES) Nr. 575/2013 254. pantā noteikto pieeju hierarhiju.</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 xml:space="preserve">19.</w:t>
            </w:r>
          </w:p>
        </w:tc>
        <w:tc>
          <w:tcPr>
            <w:tcW w:w="7655" w:type="dxa"/>
          </w:tcPr>
          <w:p w14:paraId="59496D51" w14:textId="77777777"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Vērtspapīrošana, t. sk. </w:t>
            </w:r>
            <w:r>
              <w:rPr>
                <w:b/>
                <w:sz w:val="24"/>
                <w:i/>
                <w:rFonts w:ascii="Times New Roman" w:hAnsi="Times New Roman"/>
              </w:rPr>
              <w:t xml:space="preserve">SEC-SA</w:t>
            </w:r>
            <w:r>
              <w:rPr>
                <w:b/>
                <w:sz w:val="24"/>
                <w:rFonts w:ascii="Times New Roman" w:hAnsi="Times New Roman"/>
              </w:rPr>
              <w:t xml:space="preserve"> pieeja</w:t>
            </w:r>
            <w:r>
              <w:rPr>
                <w:b/>
                <w:sz w:val="24"/>
                <w:rFonts w:ascii="Times New Roman" w:hAnsi="Times New Roman"/>
              </w:rPr>
              <w:t xml:space="preserve"> </w:t>
            </w:r>
          </w:p>
          <w:p w14:paraId="70F39EBB" w14:textId="0BFE4551" w:rsidR="00FA1376" w:rsidRPr="00232C88" w:rsidRDefault="009A4635" w:rsidP="0077689B">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w:t>
            </w:r>
            <w:r>
              <w:rPr>
                <w:sz w:val="24"/>
                <w:i/>
                <w:rFonts w:ascii="Times New Roman" w:hAnsi="Times New Roman"/>
              </w:rPr>
              <w:t xml:space="preserve">SEC-SA</w:t>
            </w:r>
            <w:r>
              <w:rPr>
                <w:sz w:val="24"/>
                <w:rFonts w:ascii="Times New Roman" w:hAnsi="Times New Roman"/>
              </w:rPr>
              <w:t xml:space="preserve"> regulatīvo pieeju, kuru izmanto saskaņā ar Regulas (ES) Nr. 575/2013 254. pantā noteikto pieeju hierarhiju.</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 xml:space="preserve">EU 19.a</w:t>
            </w:r>
          </w:p>
        </w:tc>
        <w:tc>
          <w:tcPr>
            <w:tcW w:w="7655" w:type="dxa"/>
          </w:tcPr>
          <w:p w14:paraId="571291B6" w14:textId="4C543ECF"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Vērtspapīrošana, t. sk. 1250 % / atskaitījums</w:t>
            </w:r>
          </w:p>
          <w:p w14:paraId="7E6CD2F2" w14:textId="35E17A23" w:rsidR="00FA1376" w:rsidRPr="00232C88" w:rsidRDefault="009A4635" w:rsidP="0077689B">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vērtspapīrošanas riska darījumiem netirdzniecības portfelī ar riska pakāpi 1250 % vai atskaitījumu no pašu kapitāla saskaņā ar Regulas (ES) Nr. 575/2013 trešās daļas II sadaļas 5. nodaļu.</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 xml:space="preserve">20.</w:t>
            </w:r>
          </w:p>
        </w:tc>
        <w:tc>
          <w:tcPr>
            <w:tcW w:w="7655" w:type="dxa"/>
          </w:tcPr>
          <w:p w14:paraId="403A7459" w14:textId="77777777" w:rsidR="004D588F" w:rsidRPr="00232C88"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Pozīcijas risks, ārvalstu valūtas risks un preču risks (tirgus risks)</w:t>
            </w:r>
          </w:p>
          <w:p w14:paraId="1D8E5705" w14:textId="261762C3" w:rsidR="001F53F8" w:rsidRPr="00232C88" w:rsidRDefault="004D588F"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IV sadaļu.</w:t>
            </w:r>
            <w:r>
              <w:rPr>
                <w:sz w:val="24"/>
                <w:rFonts w:ascii="Times New Roman" w:hAnsi="Times New Roman"/>
              </w:rPr>
              <w:t xml:space="preserve">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 xml:space="preserve">21.</w:t>
            </w:r>
          </w:p>
        </w:tc>
        <w:tc>
          <w:tcPr>
            <w:tcW w:w="7655" w:type="dxa"/>
            <w:shd w:val="clear" w:color="auto" w:fill="auto"/>
          </w:tcPr>
          <w:p w14:paraId="094F283E" w14:textId="6A34A8B5" w:rsidR="004D588F" w:rsidRPr="00232C88" w:rsidRDefault="48604EBF" w:rsidP="7A5B4152">
            <w:pPr>
              <w:spacing w:before="60" w:after="120"/>
              <w:jc w:val="both"/>
              <w:rPr>
                <w:b/>
                <w:bCs/>
                <w:sz w:val="24"/>
                <w:rFonts w:ascii="Times New Roman" w:hAnsi="Times New Roman" w:cs="Times New Roman"/>
              </w:rPr>
            </w:pPr>
            <w:r>
              <w:rPr>
                <w:b/>
                <w:sz w:val="24"/>
                <w:rFonts w:ascii="Times New Roman" w:hAnsi="Times New Roman"/>
              </w:rPr>
              <w:t xml:space="preserve">Tirgus risks, t. sk. alternatīvā standartizētā pieeja (</w:t>
            </w:r>
            <w:r>
              <w:rPr>
                <w:b/>
                <w:sz w:val="24"/>
                <w:i/>
                <w:rFonts w:ascii="Times New Roman" w:hAnsi="Times New Roman"/>
              </w:rPr>
              <w:t xml:space="preserve">A-SA</w:t>
            </w:r>
            <w:r>
              <w:rPr>
                <w:b/>
                <w:sz w:val="24"/>
                <w:rFonts w:ascii="Times New Roman" w:hAnsi="Times New Roman"/>
              </w:rPr>
              <w:t xml:space="preserve">)</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IV sadaļas 1.a nodaļu.</w:t>
            </w:r>
          </w:p>
          <w:p w14:paraId="3CC79283" w14:textId="7D88AFDB" w:rsidR="001F53F8" w:rsidRPr="00232C88" w:rsidRDefault="001F53F8" w:rsidP="7A5B4152">
            <w:pPr>
              <w:spacing w:before="60" w:after="120"/>
              <w:jc w:val="both"/>
              <w:rPr>
                <w:sz w:val="24"/>
                <w:rFonts w:ascii="Times New Roman" w:hAnsi="Times New Roman" w:cs="Times New Roman"/>
              </w:rPr>
            </w:pPr>
            <w:r>
              <w:rPr>
                <w:sz w:val="24"/>
                <w:rFonts w:ascii="Times New Roman" w:hAnsi="Times New Roman"/>
              </w:rPr>
              <w:t xml:space="preserve">Šo rindu nepiemēro līdz dienai, kad sāk piemērot Regulas (ES) Nr. 575/2013 trešās daļas IV sadaļas 1.a un 1.b nodaļā izklāstītās alternatīvās pieejas, lai faktiski aprēķinātu minētās regulas 92. panta 4. punkta b) apakšpunkta i) punktā un c) apakšpunktā un 92. panta 5. punkta b) un c) apakšpunktā minētās pašu kapitāla prasības.</w:t>
            </w:r>
            <w:r>
              <w:rPr>
                <w:sz w:val="24"/>
                <w:rFonts w:ascii="Times New Roman" w:hAnsi="Times New Roman"/>
              </w:rPr>
              <w:t xml:space="preserve">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 xml:space="preserve">EU 21.a</w:t>
            </w:r>
          </w:p>
        </w:tc>
        <w:tc>
          <w:tcPr>
            <w:tcW w:w="7655" w:type="dxa"/>
          </w:tcPr>
          <w:p w14:paraId="511B7362" w14:textId="68D54C08" w:rsidR="7CB62396" w:rsidRPr="00232C88" w:rsidRDefault="7CB62396" w:rsidP="233ACBB4">
            <w:pPr>
              <w:jc w:val="both"/>
              <w:rPr>
                <w:b/>
                <w:bCs/>
                <w:sz w:val="24"/>
                <w:rFonts w:ascii="Times New Roman" w:hAnsi="Times New Roman" w:cs="Times New Roman"/>
              </w:rPr>
            </w:pPr>
            <w:r>
              <w:rPr>
                <w:b/>
                <w:sz w:val="24"/>
                <w:rFonts w:ascii="Times New Roman" w:hAnsi="Times New Roman"/>
              </w:rPr>
              <w:t xml:space="preserve">Tirgus risks, t. sk. vienkāršotā standartizētā pieeja (</w:t>
            </w:r>
            <w:r>
              <w:rPr>
                <w:b/>
                <w:sz w:val="24"/>
                <w:i/>
                <w:rFonts w:ascii="Times New Roman" w:hAnsi="Times New Roman"/>
              </w:rPr>
              <w:t xml:space="preserve">S-SA</w:t>
            </w:r>
            <w:r>
              <w:rPr>
                <w:b/>
                <w:sz w:val="24"/>
                <w:rFonts w:ascii="Times New Roman" w:hAnsi="Times New Roman"/>
              </w:rPr>
              <w:t xml:space="preserve">)</w:t>
            </w:r>
          </w:p>
          <w:p w14:paraId="405FFF8B" w14:textId="77777777" w:rsidR="7CB62396" w:rsidRPr="00232C88" w:rsidRDefault="7CB62396" w:rsidP="233ACBB4">
            <w:pPr>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325.a pantu.</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sz w:val="24"/>
                <w:rFonts w:ascii="Times New Roman" w:hAnsi="Times New Roman" w:cs="Times New Roman"/>
              </w:rPr>
            </w:pPr>
            <w:r>
              <w:rPr>
                <w:sz w:val="24"/>
                <w:rFonts w:ascii="Times New Roman" w:hAnsi="Times New Roman"/>
              </w:rPr>
              <w:t xml:space="preserve">Šo rindu nepiemēro līdz dienai, kad sāk piemērot Regulas (ES) Nr. 575/2013 trešās daļas IV sadaļas 1.a un 1.b nodaļā izklāstītās alternatīvās pieejas, lai faktiski aprēķinātu minētās regulas 92. panta 4. punkta b) apakšpunkta i) punktā un c) apakšpunktā un 92. panta 5. punkta b) un c) apakšpunktā minētās pašu kapitāla prasības.</w:t>
            </w:r>
            <w:r>
              <w:rPr>
                <w:sz w:val="24"/>
                <w:rFonts w:ascii="Times New Roman" w:hAnsi="Times New Roman"/>
              </w:rPr>
              <w:t xml:space="preserve">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 xml:space="preserve">22.</w:t>
            </w:r>
          </w:p>
        </w:tc>
        <w:tc>
          <w:tcPr>
            <w:tcW w:w="7655" w:type="dxa"/>
          </w:tcPr>
          <w:p w14:paraId="7F8B2B75" w14:textId="1EA83C77" w:rsidR="004D588F" w:rsidRPr="00232C88" w:rsidRDefault="48604EBF" w:rsidP="7A5B4152">
            <w:pPr>
              <w:spacing w:before="60" w:after="120"/>
              <w:jc w:val="both"/>
              <w:rPr>
                <w:b/>
                <w:bCs/>
                <w:sz w:val="24"/>
                <w:rFonts w:ascii="Times New Roman" w:hAnsi="Times New Roman" w:cs="Times New Roman"/>
              </w:rPr>
            </w:pPr>
            <w:r>
              <w:rPr>
                <w:b/>
                <w:sz w:val="24"/>
                <w:rFonts w:ascii="Times New Roman" w:hAnsi="Times New Roman"/>
              </w:rPr>
              <w:t xml:space="preserve">Tirgus risks, t. sk. alternatīvā iekšējā modeļa pieeja (</w:t>
            </w:r>
            <w:r>
              <w:rPr>
                <w:b/>
                <w:sz w:val="24"/>
                <w:i/>
                <w:rFonts w:ascii="Times New Roman" w:hAnsi="Times New Roman"/>
              </w:rPr>
              <w:t xml:space="preserve">A-IMA</w:t>
            </w:r>
            <w:r>
              <w:rPr>
                <w:b/>
                <w:sz w:val="24"/>
                <w:rFonts w:ascii="Times New Roman" w:hAnsi="Times New Roman"/>
              </w:rPr>
              <w:t xml:space="preserve">)</w:t>
            </w:r>
          </w:p>
          <w:p w14:paraId="115A7DEC" w14:textId="013907BE" w:rsidR="004D588F" w:rsidRPr="00232C88" w:rsidRDefault="48604EBF"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IV sadaļas 1.b nodaļu.</w:t>
            </w:r>
          </w:p>
          <w:p w14:paraId="190F3353" w14:textId="2AF57C1F" w:rsidR="001F53F8" w:rsidRPr="00232C88" w:rsidRDefault="001F53F8" w:rsidP="4D769726">
            <w:pPr>
              <w:spacing w:before="60" w:after="120"/>
              <w:jc w:val="both"/>
              <w:rPr>
                <w:sz w:val="24"/>
                <w:rFonts w:ascii="Times New Roman" w:hAnsi="Times New Roman" w:cs="Times New Roman"/>
              </w:rPr>
            </w:pPr>
            <w:r>
              <w:rPr>
                <w:sz w:val="24"/>
                <w:rFonts w:ascii="Times New Roman" w:hAnsi="Times New Roman"/>
              </w:rPr>
              <w:t xml:space="preserve">Šo rindu nepiemēro līdz dienai, kad sāk piemērot Regulas (ES) Nr. 575/2013 trešās daļas IV sadaļas 1.a un 1.b nodaļā izklāstītās alternatīvās pieejas, lai faktiski aprēķinātu minētās regulas 92. panta 4. punkta b) apakšpunkta i) punktā un c) apakšpunktā un 92. panta 5. punkta b) un c) apakšpunktā minētās pašu kapitāla prasības.</w:t>
            </w:r>
            <w:r>
              <w:rPr>
                <w:sz w:val="24"/>
                <w:rFonts w:ascii="Times New Roman" w:hAnsi="Times New Roman"/>
              </w:rPr>
              <w:t xml:space="preserve">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 xml:space="preserve">EU 22.a</w:t>
            </w:r>
          </w:p>
        </w:tc>
        <w:tc>
          <w:tcPr>
            <w:tcW w:w="7655" w:type="dxa"/>
          </w:tcPr>
          <w:p w14:paraId="3C6ECD7F" w14:textId="77777777"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Lieli riska darījumi</w:t>
            </w:r>
          </w:p>
          <w:p w14:paraId="01CE52D0" w14:textId="03EAAB4A" w:rsidR="00FA1376" w:rsidRPr="00232C88" w:rsidRDefault="43EB62D7" w:rsidP="7A5B4152">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92. panta 4. punkta b) apakšpunkta ii) punktu.</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 xml:space="preserve">23.</w:t>
            </w:r>
          </w:p>
        </w:tc>
        <w:tc>
          <w:tcPr>
            <w:tcW w:w="7655" w:type="dxa"/>
          </w:tcPr>
          <w:p w14:paraId="3A8A51A2" w14:textId="77777777" w:rsidR="008D0CBA" w:rsidRDefault="00886EA4" w:rsidP="00310C93">
            <w:pPr>
              <w:spacing w:before="60" w:after="120"/>
              <w:jc w:val="both"/>
              <w:rPr>
                <w:b/>
                <w:sz w:val="24"/>
                <w:rFonts w:ascii="Times New Roman" w:hAnsi="Times New Roman" w:cs="Times New Roman"/>
              </w:rPr>
            </w:pPr>
            <w:r>
              <w:rPr>
                <w:b/>
                <w:sz w:val="24"/>
                <w:rFonts w:ascii="Times New Roman" w:hAnsi="Times New Roman"/>
              </w:rPr>
              <w:t xml:space="preserve"> </w:t>
            </w:r>
            <w:r>
              <w:rPr>
                <w:b/>
                <w:sz w:val="24"/>
                <w:rFonts w:ascii="Times New Roman" w:hAnsi="Times New Roman"/>
              </w:rPr>
              <w:t xml:space="preserve">Pārklasificēšana starp tirdzniecības un netirdzniecības portfeļiem</w:t>
            </w:r>
            <w:r>
              <w:rPr>
                <w:b/>
                <w:sz w:val="24"/>
                <w:rFonts w:ascii="Times New Roman" w:hAnsi="Times New Roman"/>
              </w:rPr>
              <w:t xml:space="preserve"> </w:t>
            </w:r>
          </w:p>
          <w:p w14:paraId="37B20D25" w14:textId="4A79B7BB" w:rsidR="7A5B4152" w:rsidRPr="00232C88" w:rsidRDefault="00310C93" w:rsidP="00310C93">
            <w:pPr>
              <w:spacing w:before="60" w:after="120"/>
              <w:jc w:val="both"/>
              <w:rPr>
                <w:bCs/>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104.a panta 3., 4. un 6. punktu.</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 xml:space="preserve">24.</w:t>
            </w:r>
          </w:p>
        </w:tc>
        <w:tc>
          <w:tcPr>
            <w:tcW w:w="7655" w:type="dxa"/>
          </w:tcPr>
          <w:p w14:paraId="62D84362" w14:textId="77777777" w:rsidR="00064A87" w:rsidRPr="00232C88" w:rsidRDefault="00064A87" w:rsidP="00064A87">
            <w:pPr>
              <w:spacing w:before="60" w:after="120"/>
              <w:jc w:val="both"/>
              <w:rPr>
                <w:b/>
                <w:sz w:val="24"/>
                <w:rFonts w:ascii="Times New Roman" w:hAnsi="Times New Roman" w:cs="Times New Roman"/>
              </w:rPr>
            </w:pPr>
            <w:r>
              <w:rPr>
                <w:b/>
                <w:sz w:val="24"/>
                <w:rFonts w:ascii="Times New Roman" w:hAnsi="Times New Roman"/>
              </w:rPr>
              <w:t xml:space="preserve">Operacionālais risks</w:t>
            </w:r>
            <w:r>
              <w:rPr>
                <w:b/>
                <w:sz w:val="24"/>
                <w:rFonts w:ascii="Times New Roman" w:hAnsi="Times New Roman"/>
              </w:rPr>
              <w:t xml:space="preserve"> </w:t>
            </w:r>
          </w:p>
          <w:p w14:paraId="1D9DEFE1" w14:textId="5CB9F040" w:rsidR="004D588F" w:rsidRPr="00232C88" w:rsidRDefault="1346BE8D" w:rsidP="4D769726">
            <w:pPr>
              <w:spacing w:before="60" w:after="120"/>
              <w:jc w:val="both"/>
              <w:rPr>
                <w:i/>
                <w:iCs/>
                <w:sz w:val="24"/>
                <w:rFonts w:ascii="Times New Roman" w:hAnsi="Times New Roman" w:cs="Times New Roman"/>
              </w:rPr>
            </w:pPr>
            <w:r>
              <w:rPr>
                <w:sz w:val="24"/>
                <w:rFonts w:ascii="Times New Roman" w:hAnsi="Times New Roman"/>
              </w:rPr>
              <w:t xml:space="preserve"> </w:t>
            </w: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trešās daļas III sadaļu.</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 xml:space="preserve">EU 24.a</w:t>
            </w:r>
          </w:p>
        </w:tc>
        <w:tc>
          <w:tcPr>
            <w:tcW w:w="7655" w:type="dxa"/>
          </w:tcPr>
          <w:p w14:paraId="13B64018" w14:textId="77777777" w:rsidR="00797C68" w:rsidRPr="00232C88" w:rsidRDefault="00797C68" w:rsidP="001C2D18">
            <w:pPr>
              <w:spacing w:before="60" w:after="120"/>
              <w:jc w:val="both"/>
              <w:rPr>
                <w:b/>
                <w:sz w:val="24"/>
                <w:rFonts w:ascii="Times New Roman" w:hAnsi="Times New Roman" w:cs="Times New Roman"/>
              </w:rPr>
            </w:pPr>
            <w:r>
              <w:rPr>
                <w:b/>
                <w:sz w:val="24"/>
                <w:rFonts w:ascii="Times New Roman" w:hAnsi="Times New Roman"/>
              </w:rPr>
              <w:t xml:space="preserve">Riska darījumi ar kriptoaktīviem</w:t>
            </w:r>
            <w:r>
              <w:rPr>
                <w:b/>
                <w:sz w:val="24"/>
                <w:rFonts w:ascii="Times New Roman" w:hAnsi="Times New Roman"/>
              </w:rPr>
              <w:t xml:space="preserve"> </w:t>
            </w:r>
          </w:p>
          <w:p w14:paraId="66AC7A81" w14:textId="4CE1C0D1" w:rsidR="00797C68" w:rsidRPr="00232C88" w:rsidRDefault="00797C68" w:rsidP="001C2D18">
            <w:pPr>
              <w:spacing w:before="60" w:after="120"/>
              <w:jc w:val="both"/>
              <w:rPr>
                <w:bCs/>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un pašu kapitāla prasības, kas aprēķinātas saskaņā ar Regulas (ES) Nr. 575/2013 501.d panta 2. punktā minēto pārejas prudenciālo režīmu.</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w:t>
            </w:r>
            <w:r>
              <w:t xml:space="preserve">25.</w:t>
            </w:r>
          </w:p>
        </w:tc>
        <w:tc>
          <w:tcPr>
            <w:tcW w:w="7655" w:type="dxa"/>
          </w:tcPr>
          <w:p w14:paraId="46C5B971" w14:textId="03E962D8" w:rsidR="00355D90" w:rsidRPr="00232C88" w:rsidRDefault="00355D90" w:rsidP="001C2D18">
            <w:pPr>
              <w:spacing w:before="60" w:after="120"/>
              <w:jc w:val="both"/>
              <w:rPr>
                <w:b/>
                <w:sz w:val="24"/>
                <w:rFonts w:ascii="Times New Roman" w:hAnsi="Times New Roman" w:cs="Times New Roman"/>
              </w:rPr>
            </w:pPr>
            <w:r>
              <w:rPr>
                <w:b/>
                <w:sz w:val="24"/>
                <w:rFonts w:ascii="Times New Roman" w:hAnsi="Times New Roman"/>
              </w:rPr>
              <w:t xml:space="preserve">Summa, kas nepārsniedz atskaitījumu sliekšņus (piemērojot 250 % riska pakāpi)</w:t>
            </w:r>
            <w:r>
              <w:rPr>
                <w:b/>
                <w:sz w:val="24"/>
                <w:rFonts w:ascii="Times New Roman" w:hAnsi="Times New Roman"/>
              </w:rPr>
              <w:t xml:space="preserve"> </w:t>
            </w:r>
          </w:p>
          <w:p w14:paraId="2A67FBCB" w14:textId="71D73BE9" w:rsidR="00355D90" w:rsidRPr="00232C88" w:rsidRDefault="00355D90" w:rsidP="001C2D18">
            <w:pPr>
              <w:spacing w:before="60" w:after="120"/>
              <w:jc w:val="both"/>
              <w:rPr>
                <w:sz w:val="24"/>
                <w:rFonts w:ascii="Times New Roman" w:hAnsi="Times New Roman" w:cs="Times New Roman"/>
              </w:rPr>
            </w:pPr>
            <w:r>
              <w:rPr>
                <w:sz w:val="24"/>
                <w:rFonts w:ascii="Times New Roman" w:hAnsi="Times New Roman"/>
              </w:rPr>
              <w:t xml:space="preserve">Summa atbilst to posteņu summu kopsummai, kuriem piemēro 250 % riska pakāpi, kas minēta Regulas (ES) Nr. 575/2013 48. panta 4. punktā, pēc 250 % riska pakāpes piemērošanas.</w:t>
            </w:r>
            <w:r>
              <w:rPr>
                <w:sz w:val="24"/>
                <w:rFonts w:ascii="Times New Roman" w:hAnsi="Times New Roman"/>
              </w:rPr>
              <w:t xml:space="preserve"> </w:t>
            </w:r>
            <w:r>
              <w:rPr>
                <w:sz w:val="24"/>
                <w:rFonts w:ascii="Times New Roman" w:hAnsi="Times New Roman"/>
              </w:rPr>
              <w:t xml:space="preserve">Minētās summas ietver:</w:t>
            </w:r>
          </w:p>
          <w:p w14:paraId="7233691E" w14:textId="63D2831D" w:rsidR="00355D90" w:rsidRPr="00232C88" w:rsidRDefault="00355D90" w:rsidP="00E70D84">
            <w:pPr>
              <w:pStyle w:val="ListParagraph"/>
              <w:numPr>
                <w:ilvl w:val="0"/>
                <w:numId w:val="16"/>
              </w:numPr>
              <w:spacing w:before="60" w:after="120"/>
              <w:jc w:val="both"/>
              <w:rPr>
                <w:sz w:val="24"/>
                <w:rFonts w:ascii="Times New Roman" w:hAnsi="Times New Roman"/>
              </w:rPr>
            </w:pPr>
            <w:r>
              <w:rPr>
                <w:sz w:val="24"/>
                <w:rFonts w:ascii="Times New Roman" w:hAnsi="Times New Roman"/>
              </w:rPr>
              <w:t xml:space="preserve">atliktā nodokļa aktīvus, kuru realizācija ir atkarīga no peļņas gūšanas nākotnē un kuri izriet no laika noviržu izraisītas pagaidu starpības, un kuri kopā atbilst 10 % vai ir mazāk par 10 % no iestādes pirmā līmeņa pamata kapitāla posteņiem, ko aprēķina saskaņā ar Regulas (ES) Nr. 575/2013 48. panta 1. punkta a) apakšpunktu,</w:t>
            </w:r>
          </w:p>
          <w:p w14:paraId="3954A3F4" w14:textId="09EAE9D4" w:rsidR="00355D90" w:rsidRPr="009260D6" w:rsidRDefault="00355D90" w:rsidP="000A2CE0">
            <w:pPr>
              <w:pStyle w:val="ListParagraph"/>
              <w:numPr>
                <w:ilvl w:val="0"/>
                <w:numId w:val="16"/>
              </w:numPr>
              <w:spacing w:before="60" w:after="120"/>
              <w:jc w:val="both"/>
              <w:rPr>
                <w:sz w:val="24"/>
                <w:rFonts w:ascii="Times New Roman" w:hAnsi="Times New Roman"/>
              </w:rPr>
            </w:pPr>
            <w:r>
              <w:rPr>
                <w:sz w:val="24"/>
                <w:rFonts w:ascii="Times New Roman" w:hAnsi="Times New Roman"/>
              </w:rPr>
              <w:t xml:space="preserve">būtiskus ieguldījumus finanšu sektora sabiedrībā, šīs iestādes tiešo, netiešo līdzdalību un sintētisko līdzdalību šo sabiedrību kopējā pirmā līmeņa pamata kapitāla instrumentos, kas kopā atbilst 10 % vai ir mazāk par 10 % no iestādes pirmā līmeņa pamata kapitāla posteņiem, kurus aprēķina saskaņā ar Regulas (ES) Nr. 575/2013 48. panta 1. punkta b) apakšpunktu.</w:t>
            </w:r>
          </w:p>
          <w:p w14:paraId="6B4CA360" w14:textId="138451FC" w:rsidR="00355D90" w:rsidRPr="00232C88" w:rsidRDefault="00355D90" w:rsidP="00544FF5">
            <w:pPr>
              <w:spacing w:before="60" w:after="120"/>
              <w:jc w:val="both"/>
              <w:rPr>
                <w:sz w:val="24"/>
                <w:rFonts w:ascii="Times New Roman" w:hAnsi="Times New Roman" w:cs="Times New Roman"/>
              </w:rPr>
            </w:pPr>
            <w:r>
              <w:rPr>
                <w:sz w:val="24"/>
                <w:rFonts w:ascii="Times New Roman" w:hAnsi="Times New Roman"/>
              </w:rPr>
              <w:t xml:space="preserve">Informāciju šajā rindā atklāj tikai informatīvos nolūkos, jo šeit iekļautā summa tiek iekļauta arī 1. rindā, kur iestādēm ir prasīts atklāt informāciju par kredītrisku.</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t xml:space="preserve">26.</w:t>
            </w:r>
          </w:p>
        </w:tc>
        <w:tc>
          <w:tcPr>
            <w:tcW w:w="7655" w:type="dxa"/>
          </w:tcPr>
          <w:p w14:paraId="1BEF8E20" w14:textId="773DF94B" w:rsidR="00601608" w:rsidRPr="00232C88" w:rsidRDefault="0F81387E" w:rsidP="7A5B4152">
            <w:pPr>
              <w:spacing w:before="60" w:after="120"/>
              <w:jc w:val="both"/>
              <w:rPr>
                <w:b/>
                <w:bCs/>
                <w:sz w:val="24"/>
                <w:rFonts w:ascii="Times New Roman" w:hAnsi="Times New Roman" w:cs="Times New Roman"/>
              </w:rPr>
            </w:pPr>
            <w:r>
              <w:rPr>
                <w:b/>
                <w:sz w:val="24"/>
                <w:rFonts w:ascii="Times New Roman" w:hAnsi="Times New Roman"/>
              </w:rPr>
              <w:t xml:space="preserve">Piemērotā riska darījumu vērtības minimālā robežvērtība (</w:t>
            </w:r>
            <w:r>
              <w:rPr>
                <w:b/>
                <w:sz w:val="24"/>
                <w:i/>
                <w:rFonts w:ascii="Times New Roman" w:hAnsi="Times New Roman"/>
              </w:rPr>
              <w:t xml:space="preserve">output floor</w:t>
            </w:r>
            <w:r>
              <w:rPr>
                <w:b/>
                <w:sz w:val="24"/>
                <w:rFonts w:ascii="Times New Roman" w:hAnsi="Times New Roman"/>
              </w:rPr>
              <w:t xml:space="preserve">) (%)</w:t>
            </w:r>
          </w:p>
          <w:p w14:paraId="73B26D34" w14:textId="7D1A3BF4" w:rsidR="00601608" w:rsidRPr="00232C88" w:rsidRDefault="157A8E5C" w:rsidP="00254EDB">
            <w:pPr>
              <w:spacing w:before="60"/>
              <w:rPr>
                <w:sz w:val="24"/>
                <w:rFonts w:ascii="Times New Roman" w:hAnsi="Times New Roman" w:cs="Times New Roman"/>
              </w:rPr>
            </w:pPr>
            <w:r>
              <w:rPr>
                <w:sz w:val="24"/>
                <w:rFonts w:ascii="Times New Roman" w:hAnsi="Times New Roman"/>
              </w:rPr>
              <w:t xml:space="preserve">Riska darījumu vērtības minimālā robežvērtība, kas izteikta procentos un ko iestāde piemēro,</w:t>
            </w:r>
          </w:p>
          <w:p w14:paraId="0351E143" w14:textId="729E0684" w:rsidR="00601608" w:rsidRPr="00232C88" w:rsidRDefault="157A8E5C" w:rsidP="5C82E46C">
            <w:pPr>
              <w:spacing w:before="60" w:after="120"/>
              <w:jc w:val="both"/>
              <w:rPr>
                <w:rFonts w:ascii="Times New Roman" w:hAnsi="Times New Roman" w:cs="Times New Roman"/>
              </w:rPr>
            </w:pPr>
            <w:r>
              <w:rPr>
                <w:sz w:val="24"/>
                <w:rFonts w:ascii="Times New Roman" w:hAnsi="Times New Roman"/>
              </w:rPr>
              <w:t xml:space="preserve">aprēķinot minimālās robežvērtības korekcijas vērtību 27. un 28. rindā –</w:t>
            </w:r>
            <w:r>
              <w:rPr>
                <w:sz w:val="24"/>
                <w:rFonts w:ascii="Times New Roman" w:hAnsi="Times New Roman"/>
              </w:rPr>
              <w:t xml:space="preserve"> </w:t>
            </w:r>
            <w:r>
              <w:rPr>
                <w:sz w:val="24"/>
                <w:rFonts w:ascii="Times New Roman" w:hAnsi="Times New Roman"/>
              </w:rPr>
              <w:t xml:space="preserve">“x” pakāpe atbilstīgi Regulas (ES) Nr. 575/2013 92. panta 3. punktam un 465. panta 1. punktam.</w:t>
            </w:r>
          </w:p>
          <w:p w14:paraId="2C4F5B91" w14:textId="6FC0CE3A" w:rsidR="00601608" w:rsidRPr="00232C88" w:rsidRDefault="00D92B8D" w:rsidP="00254EDB">
            <w:pPr>
              <w:spacing w:before="60" w:after="120"/>
              <w:jc w:val="both"/>
              <w:rPr>
                <w:sz w:val="24"/>
                <w:rFonts w:ascii="Times New Roman" w:hAnsi="Times New Roman" w:cs="Times New Roman"/>
              </w:rPr>
            </w:pPr>
            <w:r>
              <w:rPr>
                <w:sz w:val="24"/>
                <w:rFonts w:ascii="Times New Roman" w:hAnsi="Times New Roman"/>
              </w:rPr>
              <w:t xml:space="preserve">Šī rinda neattiecas uz iestādēm, uz kurām attiecas Regulas (ES) Nr. 575/2013 92. panta 3. punkta otrajā daļā paredzētais atbrīvojums.</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 xml:space="preserve">27.</w:t>
            </w:r>
          </w:p>
        </w:tc>
        <w:tc>
          <w:tcPr>
            <w:tcW w:w="7655" w:type="dxa"/>
          </w:tcPr>
          <w:p w14:paraId="038223EE" w14:textId="6A6326D3" w:rsidR="00601608" w:rsidRPr="00232C88" w:rsidRDefault="4856FF09" w:rsidP="7A5B4152">
            <w:pPr>
              <w:spacing w:before="60" w:after="120"/>
              <w:jc w:val="both"/>
              <w:rPr>
                <w:b/>
                <w:bCs/>
                <w:sz w:val="24"/>
                <w:rFonts w:ascii="Times New Roman" w:hAnsi="Times New Roman" w:cs="Times New Roman"/>
              </w:rPr>
            </w:pPr>
            <w:r>
              <w:rPr>
                <w:b/>
                <w:sz w:val="24"/>
                <w:rFonts w:ascii="Times New Roman" w:hAnsi="Times New Roman"/>
              </w:rPr>
              <w:t xml:space="preserve">Minimālās robežvērtības korekcija (pirms pārejas perioda maksimālās robežvērtības piemērošanas)</w:t>
            </w:r>
          </w:p>
          <w:p w14:paraId="771706A8" w14:textId="5435A532" w:rsidR="00601608" w:rsidRPr="00232C88" w:rsidRDefault="00010D29" w:rsidP="7A5B4152">
            <w:pPr>
              <w:spacing w:before="60" w:after="120"/>
              <w:jc w:val="both"/>
              <w:rPr>
                <w:sz w:val="24"/>
                <w:rFonts w:ascii="Times New Roman" w:hAnsi="Times New Roman" w:cs="Times New Roman"/>
              </w:rPr>
            </w:pPr>
            <w:r>
              <w:rPr>
                <w:sz w:val="24"/>
                <w:rFonts w:ascii="Times New Roman" w:hAnsi="Times New Roman"/>
              </w:rPr>
              <w:t xml:space="preserve">Iestādēm, uz kurām attiecas riska darījumu vērtības minimālā robežvērtība saskaņā ar Regulas (ES) Nr. 575/2013 92. panta 3. punkta a) apakšpunktu, – </w:t>
            </w:r>
            <w:r>
              <w:rPr>
                <w:sz w:val="24"/>
                <w:i/>
                <w:rFonts w:ascii="Times New Roman" w:hAnsi="Times New Roman"/>
              </w:rPr>
              <w:t xml:space="preserve">TREA</w:t>
            </w:r>
            <w:r>
              <w:rPr>
                <w:sz w:val="24"/>
                <w:rFonts w:ascii="Times New Roman" w:hAnsi="Times New Roman"/>
              </w:rPr>
              <w:t xml:space="preserve"> summas palielinājums, pamatojoties uz riska darījumu vērtības minimālo robežvērtību, ko norāda 26. rindā, nepiemērojot pārejas perioda maksimālo robežvērtību, kā noteikts Regulas (ES) Nr. 575/2013 465. panta 2. punktā.</w:t>
            </w:r>
          </w:p>
          <w:p w14:paraId="38B9BF8A" w14:textId="52B47A9C" w:rsidR="00D92B8D" w:rsidRPr="00232C88" w:rsidRDefault="00D92B8D" w:rsidP="7A5B4152">
            <w:pPr>
              <w:spacing w:before="60" w:after="120"/>
              <w:jc w:val="both"/>
              <w:rPr>
                <w:sz w:val="24"/>
                <w:rFonts w:ascii="Times New Roman" w:hAnsi="Times New Roman" w:cs="Times New Roman"/>
              </w:rPr>
            </w:pPr>
            <w:r>
              <w:rPr>
                <w:sz w:val="24"/>
                <w:rFonts w:ascii="Times New Roman" w:hAnsi="Times New Roman"/>
              </w:rPr>
              <w:t xml:space="preserve">Šī rinda neattiecas uz iestādēm, uz kurām attiecas Regulas (ES) Nr. 575/2013 92. panta 3. punkta otrajā daļā paredzētais atbrīvojums.</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 xml:space="preserve">28.</w:t>
            </w:r>
          </w:p>
        </w:tc>
        <w:tc>
          <w:tcPr>
            <w:tcW w:w="7655" w:type="dxa"/>
          </w:tcPr>
          <w:p w14:paraId="10893528" w14:textId="1056E6F0" w:rsidR="00601608" w:rsidRPr="00232C88" w:rsidRDefault="3853AA5F" w:rsidP="7A5B4152">
            <w:pPr>
              <w:spacing w:before="60" w:after="120"/>
              <w:jc w:val="both"/>
              <w:rPr>
                <w:sz w:val="24"/>
                <w:rFonts w:ascii="Times New Roman" w:hAnsi="Times New Roman" w:cs="Times New Roman"/>
              </w:rPr>
            </w:pPr>
            <w:r>
              <w:rPr>
                <w:sz w:val="24"/>
                <w:b/>
                <w:rFonts w:ascii="Times New Roman" w:hAnsi="Times New Roman"/>
              </w:rPr>
              <w:t xml:space="preserve">Minimālās robežvērtības korekcija (pēc pārejas perioda maksimālās robežvērtības piemērošanas)</w:t>
            </w:r>
            <w:r>
              <w:rPr>
                <w:sz w:val="24"/>
                <w:rFonts w:ascii="Times New Roman" w:hAnsi="Times New Roman"/>
              </w:rPr>
              <w:t xml:space="preserve"> </w:t>
            </w:r>
          </w:p>
          <w:p w14:paraId="3461108E" w14:textId="499B5D53" w:rsidR="00601608" w:rsidRPr="00232C88" w:rsidRDefault="119238F7" w:rsidP="7A5B4152">
            <w:pPr>
              <w:spacing w:before="60" w:after="120"/>
              <w:jc w:val="both"/>
              <w:rPr>
                <w:sz w:val="24"/>
                <w:rFonts w:ascii="Times New Roman" w:hAnsi="Times New Roman" w:cs="Times New Roman"/>
              </w:rPr>
            </w:pPr>
            <w:r>
              <w:rPr>
                <w:sz w:val="24"/>
                <w:rFonts w:ascii="Times New Roman" w:hAnsi="Times New Roman"/>
              </w:rPr>
              <w:t xml:space="preserve">Iestādēm, uz kurām attiecas riska darījumu vērtības minimālā robežvērtība saskaņā ar Regulas (ES) Nr. 575/2013 92. panta 3. punkta a) apakšpunktu, – </w:t>
            </w:r>
            <w:r>
              <w:rPr>
                <w:sz w:val="24"/>
                <w:i/>
                <w:rFonts w:ascii="Times New Roman" w:hAnsi="Times New Roman"/>
              </w:rPr>
              <w:t xml:space="preserve">TREA</w:t>
            </w:r>
            <w:r>
              <w:rPr>
                <w:sz w:val="24"/>
                <w:rFonts w:ascii="Times New Roman" w:hAnsi="Times New Roman"/>
              </w:rPr>
              <w:t xml:space="preserve"> summas palielinājums, pamatojoties uz riska darījumu vērtības minimālo robežvērtību, ko norāda 26. rindā, pēc pārejas perioda maksimālās robežvērtības piemērošanas, kā noteikts Regulas (ES) Nr. 575/2013 465. panta 2. punktā.</w:t>
            </w:r>
          </w:p>
          <w:p w14:paraId="32CACDED" w14:textId="70D0901B" w:rsidR="00D92B8D" w:rsidRPr="00232C88" w:rsidRDefault="00D92B8D" w:rsidP="7A5B4152">
            <w:pPr>
              <w:spacing w:before="60" w:after="120"/>
              <w:jc w:val="both"/>
              <w:rPr>
                <w:sz w:val="24"/>
                <w:rFonts w:ascii="Times New Roman" w:hAnsi="Times New Roman" w:cs="Times New Roman"/>
              </w:rPr>
            </w:pPr>
            <w:r>
              <w:rPr>
                <w:sz w:val="24"/>
                <w:rFonts w:ascii="Times New Roman" w:hAnsi="Times New Roman"/>
              </w:rPr>
              <w:t xml:space="preserve">Šī rinda neattiecas uz iestādēm, uz kurām attiecas Regulas (ES) Nr. 575/2013 92. panta 3. punkta otrajā daļā paredzētais atbrīvojums.</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 xml:space="preserve">29.</w:t>
            </w:r>
          </w:p>
        </w:tc>
        <w:tc>
          <w:tcPr>
            <w:tcW w:w="7655" w:type="dxa"/>
          </w:tcPr>
          <w:p w14:paraId="05D40AFF" w14:textId="77777777" w:rsidR="00FA1376" w:rsidRPr="00232C88"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Kopā</w:t>
            </w:r>
          </w:p>
          <w:p w14:paraId="4DE2E57F" w14:textId="77777777" w:rsidR="008D0CBA" w:rsidRDefault="00FA1376" w:rsidP="00601608">
            <w:pPr>
              <w:spacing w:before="60" w:after="120"/>
              <w:jc w:val="both"/>
              <w:rPr>
                <w:sz w:val="24"/>
                <w:rFonts w:ascii="Times New Roman" w:hAnsi="Times New Roman" w:cs="Times New Roman"/>
              </w:rPr>
            </w:pPr>
            <w:r>
              <w:rPr>
                <w:sz w:val="24"/>
                <w:rFonts w:ascii="Times New Roman" w:hAnsi="Times New Roman"/>
              </w:rPr>
              <w:t xml:space="preserve">Kopējā riska darījumu vērtība, kas aprēķināta saskaņā ar Regulas (ES) Nr. 575/2013 92. panta 3. punktu un 95., 96. un 98. pantu.</w:t>
            </w:r>
            <w:r>
              <w:rPr>
                <w:sz w:val="24"/>
                <w:rFonts w:ascii="Times New Roman" w:hAnsi="Times New Roman"/>
              </w:rPr>
              <w:t xml:space="preserve"> </w:t>
            </w:r>
          </w:p>
          <w:p w14:paraId="32B689CA" w14:textId="0C35490F" w:rsidR="00FA1376" w:rsidRPr="00232C88" w:rsidRDefault="00D072CD" w:rsidP="00601608">
            <w:pPr>
              <w:spacing w:before="60" w:after="120"/>
              <w:jc w:val="both"/>
              <w:rPr>
                <w:sz w:val="24"/>
                <w:rFonts w:ascii="Times New Roman" w:hAnsi="Times New Roman" w:cs="Times New Roman"/>
              </w:rPr>
            </w:pPr>
            <w:r>
              <w:rPr>
                <w:sz w:val="24"/>
                <w:rFonts w:ascii="Times New Roman" w:hAnsi="Times New Roman"/>
              </w:rPr>
              <w:t xml:space="preserve">Šī rinda ir vienāda ar šādu rindu summu:</w:t>
            </w:r>
            <w:r>
              <w:rPr>
                <w:sz w:val="24"/>
                <w:rFonts w:ascii="Times New Roman" w:hAnsi="Times New Roman"/>
              </w:rPr>
              <w:t xml:space="preserve"> </w:t>
            </w:r>
            <w:r>
              <w:rPr>
                <w:sz w:val="24"/>
                <w:rFonts w:ascii="Times New Roman" w:hAnsi="Times New Roman"/>
              </w:rPr>
              <w:t xml:space="preserve">1., 6., 10., 15., 16., 20., EU 22.a, 23., 24., EU 24.a, 28.</w:t>
            </w:r>
          </w:p>
        </w:tc>
      </w:tr>
    </w:tbl>
    <w:p w14:paraId="2CB62609" w14:textId="77777777" w:rsidR="00C41C25" w:rsidRPr="00232C88" w:rsidRDefault="00C41C25" w:rsidP="00501CEC">
      <w:pPr>
        <w:pStyle w:val="Titlelevel2"/>
        <w:spacing w:before="120" w:after="120"/>
        <w:rPr>
          <w:rFonts w:ascii="Times New Roman" w:hAnsi="Times New Roman" w:cs="Times New Roman"/>
          <w:b/>
          <w:color w:val="auto"/>
          <w:sz w:val="24"/>
          <w:lang w:val="en-GB"/>
        </w:rPr>
      </w:pPr>
    </w:p>
    <w:p w14:paraId="62DDE9E1" w14:textId="413A13B5" w:rsidR="00501CEC" w:rsidRPr="00232C88" w:rsidRDefault="00BD36EC" w:rsidP="00501CEC">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Veidne EU KM1 – Galveno rādītāju veidne.</w:t>
      </w:r>
      <w:r>
        <w:rPr>
          <w:color w:val="auto"/>
          <w:sz w:val="24"/>
          <w:b/>
          <w:rFonts w:ascii="Times New Roman" w:hAnsi="Times New Roman"/>
        </w:rPr>
        <w:t xml:space="preserve"> </w:t>
      </w:r>
      <w:r>
        <w:rPr>
          <w:color w:val="auto"/>
          <w:sz w:val="24"/>
          <w:rFonts w:ascii="Times New Roman" w:hAnsi="Times New Roman"/>
        </w:rPr>
        <w:t xml:space="preserve">Fiksēts formāts.</w:t>
      </w:r>
    </w:p>
    <w:p w14:paraId="3394DDC1" w14:textId="250762C7" w:rsidR="00A919FB" w:rsidRPr="00232C88" w:rsidRDefault="00C41C25" w:rsidP="00254EDB">
      <w:pPr>
        <w:pStyle w:val="Titlelevel2"/>
        <w:numPr>
          <w:ilvl w:val="0"/>
          <w:numId w:val="14"/>
        </w:numPr>
        <w:spacing w:before="120" w:after="120"/>
        <w:jc w:val="both"/>
        <w:rPr>
          <w:b/>
          <w:color w:val="auto"/>
          <w:sz w:val="24"/>
          <w:rFonts w:ascii="Times New Roman" w:hAnsi="Times New Roman" w:cs="Times New Roman"/>
        </w:rPr>
      </w:pPr>
      <w:r>
        <w:rPr>
          <w:color w:val="auto"/>
          <w:sz w:val="24"/>
          <w:rFonts w:ascii="Times New Roman" w:hAnsi="Times New Roman"/>
        </w:rPr>
        <w:t xml:space="preserve">Iestādes piemēro turpmāk šajā pielikumā sniegtos norādījumus, lai aizpildītu EBI IT risinājumu I pielikumā sniegto veidni EU KM1, piemērojot Regulas (ES) Nr. 575/2013 447. panta a)–g) punktu un Regulas (ES) Nr. 575/2013 438. panta b) punktu.</w:t>
      </w:r>
      <w:r>
        <w:rPr>
          <w:color w:val="auto"/>
          <w:sz w:val="24"/>
          <w:b/>
          <w:rFonts w:ascii="Times New Roman" w:hAnsi="Times New Roman"/>
        </w:rPr>
        <w:t xml:space="preserve"> </w:t>
      </w:r>
    </w:p>
    <w:p w14:paraId="61B6BC46" w14:textId="4370DEB2" w:rsidR="0CF4BDBF" w:rsidRPr="0023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 xml:space="preserve">a–e</w:t>
            </w:r>
          </w:p>
        </w:tc>
        <w:tc>
          <w:tcPr>
            <w:tcW w:w="7655" w:type="dxa"/>
            <w:vAlign w:val="center"/>
          </w:tcPr>
          <w:p w14:paraId="01DAA312" w14:textId="53CA3AA7" w:rsidR="00A919FB" w:rsidRPr="00232C88" w:rsidRDefault="00187C4B" w:rsidP="00A919FB">
            <w:pPr>
              <w:spacing w:before="60" w:after="120"/>
              <w:jc w:val="both"/>
              <w:rPr>
                <w:sz w:val="24"/>
                <w:rFonts w:ascii="Times New Roman" w:hAnsi="Times New Roman" w:cs="Times New Roman"/>
              </w:rPr>
            </w:pPr>
            <w:r>
              <w:rPr>
                <w:sz w:val="24"/>
                <w:rFonts w:ascii="Times New Roman" w:hAnsi="Times New Roman"/>
              </w:rPr>
              <w:t xml:space="preserve">Informācijas atklāšanas periodus T, T-1, T-2, T-3 un T-4 definē kā ceturkšņa periodus, un informāciju par tiem norāda atkarībā no Regulas (ES) Nr. 575/2013 433., 433.a, 433.b un 433.c pantā noteiktā biežuma.</w:t>
            </w:r>
          </w:p>
          <w:p w14:paraId="3BAEA110" w14:textId="7DE115C7" w:rsidR="00A919FB" w:rsidRPr="00232C88" w:rsidRDefault="00A919FB" w:rsidP="00A919FB">
            <w:pPr>
              <w:spacing w:before="60" w:after="120"/>
              <w:jc w:val="both"/>
              <w:rPr>
                <w:sz w:val="24"/>
                <w:rFonts w:ascii="Times New Roman" w:hAnsi="Times New Roman" w:cs="Times New Roman"/>
              </w:rPr>
            </w:pPr>
            <w:r>
              <w:rPr>
                <w:sz w:val="24"/>
                <w:rFonts w:ascii="Times New Roman" w:hAnsi="Times New Roman"/>
              </w:rPr>
              <w:t xml:space="preserve">Iestādes, kas šajā veidnē ietverto informāciju atklāj reizi ceturksnī, sniedz datus par periodiem T, T-1, T-2, T-3 un T-4,</w:t>
            </w:r>
            <w:r>
              <w:rPr>
                <w:sz w:val="24"/>
                <w:rFonts w:ascii="Times New Roman" w:hAnsi="Times New Roman"/>
              </w:rPr>
              <w:t xml:space="preserve"> </w:t>
            </w:r>
            <w:r>
              <w:rPr>
                <w:sz w:val="24"/>
                <w:rFonts w:ascii="Times New Roman" w:hAnsi="Times New Roman"/>
              </w:rPr>
              <w:t xml:space="preserve">iestādes, kas informāciju šajā veidnē atklāj reizi pusgadā, sniedz datus par periodiem T, T-2 un T-4</w:t>
            </w:r>
            <w:r>
              <w:rPr>
                <w:sz w:val="24"/>
                <w:rFonts w:ascii="Times New Roman" w:hAnsi="Times New Roman"/>
              </w:rPr>
              <w:t xml:space="preserve"> </w:t>
            </w:r>
            <w:r>
              <w:rPr>
                <w:sz w:val="24"/>
                <w:rFonts w:ascii="Times New Roman" w:hAnsi="Times New Roman"/>
              </w:rPr>
              <w:t xml:space="preserve">un iestādes, kas informāciju šajā veidnē atklāj reizi gadā, sniedz datus par periodiem T un T-4.</w:t>
            </w:r>
          </w:p>
          <w:p w14:paraId="3565AD25" w14:textId="00DB4F0F" w:rsidR="00A919FB" w:rsidRPr="00232C88" w:rsidRDefault="00A919FB" w:rsidP="00A919FB">
            <w:pPr>
              <w:spacing w:before="60" w:after="120"/>
              <w:jc w:val="both"/>
              <w:rPr>
                <w:sz w:val="24"/>
                <w:rFonts w:ascii="Times New Roman" w:hAnsi="Times New Roman" w:cs="Times New Roman"/>
              </w:rPr>
            </w:pPr>
            <w:r>
              <w:rPr>
                <w:sz w:val="24"/>
                <w:rFonts w:ascii="Times New Roman" w:hAnsi="Times New Roman"/>
              </w:rPr>
              <w:t xml:space="preserve">Iestādes atklāj datumus, kas atbilst informācijas atklāšanas periodiem.</w:t>
            </w:r>
          </w:p>
          <w:p w14:paraId="18B0361E" w14:textId="77777777" w:rsidR="00A919FB" w:rsidRPr="00232C88" w:rsidRDefault="00A919FB" w:rsidP="00C0296F">
            <w:pPr>
              <w:spacing w:before="60" w:after="120"/>
              <w:jc w:val="both"/>
              <w:rPr>
                <w:sz w:val="24"/>
                <w:rFonts w:ascii="Times New Roman" w:hAnsi="Times New Roman" w:cs="Times New Roman"/>
              </w:rPr>
            </w:pPr>
            <w:r>
              <w:rPr>
                <w:sz w:val="24"/>
                <w:rFonts w:ascii="Times New Roman" w:hAnsi="Times New Roman"/>
              </w:rPr>
              <w:t xml:space="preserve">Datu atklāšana par iepriekšējiem periodiem nav vajadzīga, ja datus atklāj pirmo reizi.</w:t>
            </w:r>
            <w:r>
              <w:rPr>
                <w:sz w:val="24"/>
                <w:rFonts w:ascii="Times New Roman" w:hAnsi="Times New Roman"/>
              </w:rPr>
              <w:t xml:space="preserve">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 xml:space="preserve">1.</w:t>
            </w:r>
          </w:p>
        </w:tc>
        <w:tc>
          <w:tcPr>
            <w:tcW w:w="7655" w:type="dxa"/>
          </w:tcPr>
          <w:p w14:paraId="28E8D7BE" w14:textId="77777777" w:rsidR="00EC3DC7" w:rsidRPr="00232C88" w:rsidRDefault="00EC3DC7" w:rsidP="00EC3DC7">
            <w:pPr>
              <w:spacing w:before="60" w:after="120"/>
              <w:jc w:val="both"/>
              <w:rPr>
                <w:b/>
                <w:sz w:val="24"/>
                <w:rFonts w:ascii="Times New Roman" w:hAnsi="Times New Roman" w:cs="Times New Roman"/>
              </w:rPr>
            </w:pPr>
            <w:r>
              <w:rPr>
                <w:b/>
                <w:sz w:val="24"/>
                <w:rFonts w:ascii="Times New Roman" w:hAnsi="Times New Roman"/>
              </w:rPr>
              <w:t xml:space="preserve">Pirmā līmeņa pamata kapitāls (</w:t>
            </w:r>
            <w:r>
              <w:rPr>
                <w:b/>
                <w:sz w:val="24"/>
                <w:i/>
                <w:rFonts w:ascii="Times New Roman" w:hAnsi="Times New Roman"/>
              </w:rPr>
              <w:t xml:space="preserve">CET1</w:t>
            </w:r>
            <w:r>
              <w:rPr>
                <w:b/>
                <w:sz w:val="24"/>
                <w:rFonts w:ascii="Times New Roman" w:hAnsi="Times New Roman"/>
              </w:rPr>
              <w:t xml:space="preserve">)</w:t>
            </w:r>
          </w:p>
          <w:p w14:paraId="07A96E2A" w14:textId="537329F0" w:rsidR="00EC3DC7" w:rsidRPr="00232C88" w:rsidRDefault="00EC3DC7" w:rsidP="00BD5160">
            <w:pPr>
              <w:spacing w:before="60" w:after="120"/>
              <w:jc w:val="both"/>
              <w:rPr>
                <w:sz w:val="24"/>
                <w:rFonts w:ascii="Times New Roman" w:hAnsi="Times New Roman" w:cs="Times New Roman"/>
              </w:rPr>
            </w:pPr>
            <w:r>
              <w:rPr>
                <w:sz w:val="24"/>
                <w:i/>
                <w:rFonts w:ascii="Times New Roman" w:hAnsi="Times New Roman"/>
              </w:rPr>
              <w:t xml:space="preserve">CET1</w:t>
            </w:r>
            <w:r>
              <w:rPr>
                <w:sz w:val="24"/>
                <w:rFonts w:ascii="Times New Roman" w:hAnsi="Times New Roman"/>
              </w:rPr>
              <w:t xml:space="preserve"> kapitāla summa ir summa, ko iestādes atklāj EBI IT risinājumu VII pielikumā (veidnes EU CC1 “Regulatīvām prasībām atbilstošā pašu kapitāla sastāvs” 29. rinda).</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 xml:space="preserve">2.</w:t>
            </w:r>
          </w:p>
        </w:tc>
        <w:tc>
          <w:tcPr>
            <w:tcW w:w="7655" w:type="dxa"/>
          </w:tcPr>
          <w:p w14:paraId="50A949BA" w14:textId="77777777" w:rsidR="00EC3DC7" w:rsidRPr="00232C88" w:rsidRDefault="00EC3DC7" w:rsidP="00EC3DC7">
            <w:pPr>
              <w:spacing w:before="60" w:after="120"/>
              <w:jc w:val="both"/>
              <w:rPr>
                <w:b/>
                <w:sz w:val="24"/>
                <w:rFonts w:ascii="Times New Roman" w:hAnsi="Times New Roman" w:cs="Times New Roman"/>
              </w:rPr>
            </w:pPr>
            <w:r>
              <w:rPr>
                <w:b/>
                <w:sz w:val="24"/>
                <w:rFonts w:ascii="Times New Roman" w:hAnsi="Times New Roman"/>
              </w:rPr>
              <w:t xml:space="preserve">Pirmā līmeņa kapitāls</w:t>
            </w:r>
          </w:p>
          <w:p w14:paraId="097E489A" w14:textId="1AD80C12" w:rsidR="00EC3DC7" w:rsidRPr="00232C88" w:rsidRDefault="00EC3DC7" w:rsidP="00605635">
            <w:pPr>
              <w:spacing w:before="60" w:after="120"/>
              <w:jc w:val="both"/>
              <w:rPr>
                <w:sz w:val="24"/>
                <w:rFonts w:ascii="Times New Roman" w:eastAsia="Times New Roman" w:hAnsi="Times New Roman" w:cs="Times New Roman"/>
              </w:rPr>
            </w:pPr>
            <w:r>
              <w:rPr>
                <w:sz w:val="24"/>
                <w:rFonts w:ascii="Times New Roman" w:hAnsi="Times New Roman"/>
              </w:rPr>
              <w:t xml:space="preserve">Pirmā līmeņa kapitāla summa ir summa, ko iestādes atklāj EBI IT risinājumu VII pielikumā (veidnes EU CC1 “Regulatīvām prasībām atbilstošā pašu kapitāla sastāvs” 45. rinda).</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 xml:space="preserve">3.</w:t>
            </w:r>
          </w:p>
        </w:tc>
        <w:tc>
          <w:tcPr>
            <w:tcW w:w="7655" w:type="dxa"/>
          </w:tcPr>
          <w:p w14:paraId="437C173A" w14:textId="77777777" w:rsidR="009D2A94" w:rsidRPr="00232C88" w:rsidRDefault="009D2A94" w:rsidP="00EC3DC7">
            <w:pPr>
              <w:spacing w:before="60" w:after="120"/>
              <w:jc w:val="both"/>
              <w:rPr>
                <w:b/>
                <w:sz w:val="24"/>
                <w:rFonts w:ascii="Times New Roman" w:hAnsi="Times New Roman" w:cs="Times New Roman"/>
              </w:rPr>
            </w:pPr>
            <w:r>
              <w:rPr>
                <w:b/>
                <w:sz w:val="24"/>
                <w:rFonts w:ascii="Times New Roman" w:hAnsi="Times New Roman"/>
              </w:rPr>
              <w:t xml:space="preserve">Kopējais kapitāls</w:t>
            </w:r>
          </w:p>
          <w:p w14:paraId="0A93EB9C" w14:textId="0DED50A4" w:rsidR="00EC3DC7" w:rsidRPr="00232C88" w:rsidRDefault="00EC3DC7" w:rsidP="00605635">
            <w:pPr>
              <w:spacing w:before="60" w:after="120"/>
              <w:jc w:val="both"/>
              <w:rPr>
                <w:sz w:val="24"/>
                <w:rFonts w:ascii="Times New Roman" w:hAnsi="Times New Roman" w:cs="Times New Roman"/>
              </w:rPr>
            </w:pPr>
            <w:r>
              <w:rPr>
                <w:sz w:val="24"/>
                <w:rFonts w:ascii="Times New Roman" w:hAnsi="Times New Roman"/>
              </w:rPr>
              <w:t xml:space="preserve">Kopējā kapitāla summa ir summa, ko iestādes atklāj EBI IT risinājumu VII pielikumā (veidnes EU CC1 “Regulatīvām prasībām atbilstošā pašu kapitāla sastāvs” 59. rinda).</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 xml:space="preserve">4.</w:t>
            </w:r>
          </w:p>
        </w:tc>
        <w:tc>
          <w:tcPr>
            <w:tcW w:w="7655" w:type="dxa"/>
          </w:tcPr>
          <w:p w14:paraId="7C61908F" w14:textId="1295D816" w:rsidR="009D2A94" w:rsidRPr="00232C88" w:rsidRDefault="009D2A94" w:rsidP="009D2A94">
            <w:pPr>
              <w:spacing w:before="60" w:after="120"/>
              <w:jc w:val="both"/>
              <w:rPr>
                <w:b/>
                <w:sz w:val="24"/>
                <w:rFonts w:ascii="Times New Roman" w:hAnsi="Times New Roman" w:cs="Times New Roman"/>
              </w:rPr>
            </w:pPr>
            <w:r>
              <w:rPr>
                <w:b/>
                <w:sz w:val="24"/>
                <w:rFonts w:ascii="Times New Roman" w:hAnsi="Times New Roman"/>
              </w:rPr>
              <w:t xml:space="preserve">Kopējā riska darījumu vērtība</w:t>
            </w:r>
          </w:p>
          <w:p w14:paraId="45F3B0F7" w14:textId="72865B99" w:rsidR="00EC3DC7" w:rsidRPr="00232C88" w:rsidRDefault="00EC3DC7" w:rsidP="00402F34">
            <w:pPr>
              <w:spacing w:before="60" w:after="120"/>
              <w:jc w:val="both"/>
              <w:rPr>
                <w:sz w:val="24"/>
                <w:rFonts w:ascii="Times New Roman" w:hAnsi="Times New Roman" w:cs="Times New Roman"/>
              </w:rPr>
            </w:pPr>
            <w:r>
              <w:rPr>
                <w:sz w:val="24"/>
                <w:rFonts w:ascii="Times New Roman" w:hAnsi="Times New Roman"/>
              </w:rPr>
              <w:t xml:space="preserve">Kopējās riska darījumu vērtības (</w:t>
            </w:r>
            <w:r>
              <w:rPr>
                <w:sz w:val="24"/>
                <w:i/>
                <w:rFonts w:ascii="Times New Roman" w:hAnsi="Times New Roman"/>
              </w:rPr>
              <w:t xml:space="preserve">TREA</w:t>
            </w:r>
            <w:r>
              <w:rPr>
                <w:sz w:val="24"/>
                <w:rFonts w:ascii="Times New Roman" w:hAnsi="Times New Roman"/>
              </w:rPr>
              <w:t xml:space="preserve">) summa ir summa, ko iestādes atklāj EBI IT risinājumu VII pielikumā (veidnes EU CC1 “Regulatīvām prasībām atbilstošā pašu kapitāla sastāvs” 60. rinda).</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 xml:space="preserve">4.a</w:t>
            </w:r>
          </w:p>
        </w:tc>
        <w:tc>
          <w:tcPr>
            <w:tcW w:w="7655" w:type="dxa"/>
          </w:tcPr>
          <w:p w14:paraId="0936DD42" w14:textId="45382108" w:rsidR="00C77B80" w:rsidRPr="00232C88" w:rsidRDefault="00C77B80" w:rsidP="00475381">
            <w:pPr>
              <w:spacing w:before="60" w:after="120"/>
              <w:jc w:val="both"/>
              <w:rPr>
                <w:b/>
                <w:sz w:val="24"/>
                <w:rFonts w:ascii="Times New Roman" w:hAnsi="Times New Roman" w:cs="Times New Roman"/>
              </w:rPr>
            </w:pPr>
            <w:r>
              <w:rPr>
                <w:b/>
                <w:sz w:val="24"/>
                <w:rFonts w:ascii="Times New Roman" w:hAnsi="Times New Roman"/>
              </w:rPr>
              <w:t xml:space="preserve">Kopējā riska darījumu vērtība pirms zemākās robežvērtības piemērošanas</w:t>
            </w:r>
          </w:p>
          <w:p w14:paraId="5D48E490" w14:textId="041CBAFA" w:rsidR="00C77B80" w:rsidRPr="00232C88" w:rsidRDefault="00C77B80" w:rsidP="00BD5160">
            <w:pPr>
              <w:spacing w:before="60" w:after="120"/>
              <w:jc w:val="both"/>
              <w:rPr>
                <w:sz w:val="24"/>
                <w:rFonts w:ascii="Times New Roman" w:hAnsi="Times New Roman" w:cs="Times New Roman"/>
              </w:rPr>
            </w:pPr>
            <w:r>
              <w:rPr>
                <w:sz w:val="24"/>
                <w:rFonts w:ascii="Times New Roman" w:hAnsi="Times New Roman"/>
              </w:rPr>
              <w:t xml:space="preserve">Iestādēm, uz kurām attiecas riska darījumu vērtības minimālā robežvērtība saskaņā ar Regulas (ES) Nr. 575/2013 92. panta 3. punktu, – </w:t>
            </w:r>
            <w:r>
              <w:rPr>
                <w:sz w:val="24"/>
                <w:i/>
                <w:rFonts w:ascii="Times New Roman" w:hAnsi="Times New Roman"/>
              </w:rPr>
              <w:t xml:space="preserve">TREA</w:t>
            </w:r>
            <w:r>
              <w:rPr>
                <w:sz w:val="24"/>
                <w:rFonts w:ascii="Times New Roman" w:hAnsi="Times New Roman"/>
              </w:rPr>
              <w:t xml:space="preserve"> summa pirms minimālās robežvērtības piemērošanas, kā noteikts Regulas (ES) Nr. 575/2013 92. panta 4. punktā.</w:t>
            </w:r>
            <w:r>
              <w:rPr>
                <w:sz w:val="24"/>
                <w:rFonts w:ascii="Times New Roman" w:hAnsi="Times New Roman"/>
              </w:rPr>
              <w:t xml:space="preserve"> </w:t>
            </w:r>
          </w:p>
          <w:p w14:paraId="18771BA3" w14:textId="288ABF45" w:rsidR="00C77B80" w:rsidRPr="00232C88" w:rsidRDefault="00C77B80" w:rsidP="00BD5160">
            <w:pPr>
              <w:spacing w:before="60" w:after="120"/>
              <w:jc w:val="both"/>
              <w:rPr>
                <w:sz w:val="24"/>
                <w:rFonts w:ascii="Times New Roman" w:hAnsi="Times New Roman" w:cs="Times New Roman"/>
              </w:rPr>
            </w:pPr>
            <w:r>
              <w:rPr>
                <w:sz w:val="24"/>
                <w:rFonts w:ascii="Times New Roman" w:hAnsi="Times New Roman"/>
              </w:rPr>
              <w:t xml:space="preserve">No atklātās summas par </w:t>
            </w:r>
            <w:r>
              <w:rPr>
                <w:sz w:val="24"/>
                <w:i/>
                <w:rFonts w:ascii="Times New Roman" w:hAnsi="Times New Roman"/>
              </w:rPr>
              <w:t xml:space="preserve">TREA</w:t>
            </w:r>
            <w:r>
              <w:rPr>
                <w:sz w:val="24"/>
                <w:rFonts w:ascii="Times New Roman" w:hAnsi="Times New Roman"/>
              </w:rPr>
              <w:t xml:space="preserve"> pirms minimālās robežvērtības piemērošanas būtu jāizslēdz visas </w:t>
            </w:r>
            <w:r>
              <w:rPr>
                <w:sz w:val="24"/>
                <w:i/>
                <w:rFonts w:ascii="Times New Roman" w:hAnsi="Times New Roman"/>
              </w:rPr>
              <w:t xml:space="preserve">TREA</w:t>
            </w:r>
            <w:r>
              <w:rPr>
                <w:sz w:val="24"/>
                <w:rFonts w:ascii="Times New Roman" w:hAnsi="Times New Roman"/>
              </w:rPr>
              <w:t xml:space="preserve"> veiktās korekcijas pēc riska darījumu vērtības minimālās robežvērtības piemērošanas.</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 xml:space="preserve">5.</w:t>
            </w:r>
          </w:p>
        </w:tc>
        <w:tc>
          <w:tcPr>
            <w:tcW w:w="7655" w:type="dxa"/>
          </w:tcPr>
          <w:p w14:paraId="5872B091" w14:textId="77777777" w:rsidR="00475381" w:rsidRPr="00232C88"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Pirmā līmeņa pamata kapitāla rādītājs (%)</w:t>
            </w:r>
          </w:p>
          <w:p w14:paraId="42EC7CCC" w14:textId="2AD941C5" w:rsidR="00EC3DC7" w:rsidRPr="00232C88" w:rsidRDefault="00EC3DC7" w:rsidP="00605635">
            <w:pPr>
              <w:spacing w:before="60" w:after="120"/>
              <w:jc w:val="both"/>
              <w:rPr>
                <w:sz w:val="24"/>
                <w:rFonts w:ascii="Times New Roman" w:hAnsi="Times New Roman" w:cs="Times New Roman"/>
              </w:rPr>
            </w:pPr>
            <w:r>
              <w:rPr>
                <w:sz w:val="24"/>
                <w:i/>
                <w:rFonts w:ascii="Times New Roman" w:hAnsi="Times New Roman"/>
              </w:rPr>
              <w:t xml:space="preserve">CET1</w:t>
            </w:r>
            <w:r>
              <w:rPr>
                <w:sz w:val="24"/>
                <w:rFonts w:ascii="Times New Roman" w:hAnsi="Times New Roman"/>
              </w:rPr>
              <w:t xml:space="preserve"> kapitāla rādītājs ir vērtība, ko iestādes atklāj EBI IT risinājumu VII pielikumā (veidnes EU CC1 “Regulatīvām prasībām atbilstošā pašu kapitāla sastāvs” 61. rinda).</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 xml:space="preserve">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b/>
                <w:sz w:val="24"/>
                <w:rFonts w:ascii="Times New Roman" w:hAnsi="Times New Roman" w:cs="Times New Roman"/>
              </w:rPr>
            </w:pPr>
            <w:r>
              <w:rPr>
                <w:rFonts w:ascii="Times New Roman" w:hAnsi="Times New Roman"/>
              </w:rPr>
              <w:t xml:space="preserve">Neattiecas</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 xml:space="preserve">5.b</w:t>
            </w:r>
          </w:p>
        </w:tc>
        <w:tc>
          <w:tcPr>
            <w:tcW w:w="7655" w:type="dxa"/>
          </w:tcPr>
          <w:p w14:paraId="74894655" w14:textId="1A88B999" w:rsidR="0082753B" w:rsidRPr="00232C88" w:rsidRDefault="0082753B" w:rsidP="00475381">
            <w:pPr>
              <w:spacing w:before="60" w:after="120"/>
              <w:jc w:val="both"/>
              <w:rPr>
                <w:b/>
                <w:sz w:val="24"/>
                <w:rFonts w:ascii="Times New Roman" w:hAnsi="Times New Roman" w:cs="Times New Roman"/>
              </w:rPr>
            </w:pPr>
            <w:r>
              <w:rPr>
                <w:b/>
                <w:sz w:val="24"/>
                <w:rFonts w:ascii="Times New Roman" w:hAnsi="Times New Roman"/>
              </w:rPr>
              <w:t xml:space="preserve">Pirmā līmeņa pamata kapitāla rādītājs, ņemot vērā </w:t>
            </w:r>
            <w:r>
              <w:rPr>
                <w:b/>
                <w:sz w:val="24"/>
                <w:i/>
                <w:rFonts w:ascii="Times New Roman" w:hAnsi="Times New Roman"/>
              </w:rPr>
              <w:t xml:space="preserve">TREA</w:t>
            </w:r>
            <w:r>
              <w:rPr>
                <w:b/>
                <w:sz w:val="24"/>
                <w:rFonts w:ascii="Times New Roman" w:hAnsi="Times New Roman"/>
              </w:rPr>
              <w:t xml:space="preserve"> pirms minimālās robežvērtības piemērošanas (%)</w:t>
            </w:r>
          </w:p>
          <w:p w14:paraId="18127CE4" w14:textId="61371E95" w:rsidR="00C77B80" w:rsidRPr="00232C88" w:rsidRDefault="0082753B" w:rsidP="00BD5160">
            <w:pPr>
              <w:spacing w:before="60" w:after="120"/>
              <w:jc w:val="both"/>
              <w:rPr>
                <w:sz w:val="24"/>
                <w:rFonts w:ascii="Times New Roman" w:hAnsi="Times New Roman" w:cs="Times New Roman"/>
              </w:rPr>
            </w:pPr>
            <w:r>
              <w:rPr>
                <w:sz w:val="24"/>
                <w:i/>
                <w:rFonts w:ascii="Times New Roman" w:hAnsi="Times New Roman"/>
              </w:rPr>
              <w:t xml:space="preserve">CET1</w:t>
            </w:r>
            <w:r>
              <w:rPr>
                <w:sz w:val="24"/>
                <w:rFonts w:ascii="Times New Roman" w:hAnsi="Times New Roman"/>
              </w:rPr>
              <w:t xml:space="preserve"> kapitāla rādītājs, kā noteikts Regulas (ES) Nr. 575/2013 92. panta 2. punkta a) apakšpunktā, izteikts kā procentuālā daļa no kopējās riska darījumu vērtības, kas aprēķināta, izslēdzot riska darījumu vērtības minimālās robežvērtības ietekmi saskaņā ar Regulas (ES) Nr. 575/2013 92. panta 4. punktu.</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 xml:space="preserve">6.</w:t>
            </w:r>
          </w:p>
        </w:tc>
        <w:tc>
          <w:tcPr>
            <w:tcW w:w="7655" w:type="dxa"/>
          </w:tcPr>
          <w:p w14:paraId="016AAD4C" w14:textId="77777777" w:rsidR="00475381" w:rsidRPr="00232C88" w:rsidRDefault="00475381" w:rsidP="00EC3DC7">
            <w:pPr>
              <w:spacing w:before="60" w:after="120"/>
              <w:jc w:val="both"/>
              <w:rPr>
                <w:b/>
                <w:sz w:val="24"/>
                <w:rFonts w:ascii="Times New Roman" w:hAnsi="Times New Roman" w:cs="Times New Roman"/>
              </w:rPr>
            </w:pPr>
            <w:r>
              <w:rPr>
                <w:b/>
                <w:sz w:val="24"/>
                <w:rFonts w:ascii="Times New Roman" w:hAnsi="Times New Roman"/>
              </w:rPr>
              <w:t xml:space="preserve">Pirmā līmeņa kapitāla rādītājs (%)</w:t>
            </w:r>
          </w:p>
          <w:p w14:paraId="7486F374" w14:textId="0901D9FC" w:rsidR="00EC3DC7" w:rsidRPr="00232C88" w:rsidRDefault="00EC3DC7" w:rsidP="00605635">
            <w:pPr>
              <w:spacing w:before="60" w:after="120"/>
              <w:jc w:val="both"/>
              <w:rPr>
                <w:sz w:val="24"/>
                <w:rFonts w:ascii="Times New Roman" w:hAnsi="Times New Roman" w:cs="Times New Roman"/>
              </w:rPr>
            </w:pPr>
            <w:r>
              <w:rPr>
                <w:sz w:val="24"/>
                <w:rFonts w:ascii="Times New Roman" w:hAnsi="Times New Roman"/>
              </w:rPr>
              <w:t xml:space="preserve">Pirmā līmeņa kapitāla rādītājs ir vērtība, ko iestādes atklāj EBI IT risinājumu VII pielikumā (veidnes EU CC1 “Regulatīvām prasībām atbilstošā pašu kapitāla sastāvs” 62. rinda).</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 xml:space="preserve">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b/>
                <w:sz w:val="24"/>
                <w:rFonts w:ascii="Times New Roman" w:hAnsi="Times New Roman" w:cs="Times New Roman"/>
              </w:rPr>
            </w:pPr>
            <w:r>
              <w:rPr>
                <w:rFonts w:ascii="Times New Roman" w:hAnsi="Times New Roman"/>
              </w:rPr>
              <w:t xml:space="preserve">Neattiecas</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 xml:space="preserve">6.b</w:t>
            </w:r>
          </w:p>
        </w:tc>
        <w:tc>
          <w:tcPr>
            <w:tcW w:w="7655" w:type="dxa"/>
          </w:tcPr>
          <w:p w14:paraId="2E9727DE" w14:textId="57531F92" w:rsidR="0082753B" w:rsidRPr="00232C88" w:rsidRDefault="0082753B" w:rsidP="00EC3DC7">
            <w:pPr>
              <w:spacing w:before="60" w:after="120"/>
              <w:jc w:val="both"/>
              <w:rPr>
                <w:b/>
                <w:sz w:val="24"/>
                <w:rFonts w:ascii="Times New Roman" w:hAnsi="Times New Roman" w:cs="Times New Roman"/>
              </w:rPr>
            </w:pPr>
            <w:r>
              <w:rPr>
                <w:b/>
                <w:sz w:val="24"/>
                <w:rFonts w:ascii="Times New Roman" w:hAnsi="Times New Roman"/>
              </w:rPr>
              <w:t xml:space="preserve">Pirmā līmeņa kapitāla rādītājs, ņemot vērā </w:t>
            </w:r>
            <w:r>
              <w:rPr>
                <w:b/>
                <w:sz w:val="24"/>
                <w:i/>
                <w:rFonts w:ascii="Times New Roman" w:hAnsi="Times New Roman"/>
              </w:rPr>
              <w:t xml:space="preserve">TREA</w:t>
            </w:r>
            <w:r>
              <w:rPr>
                <w:b/>
                <w:sz w:val="24"/>
                <w:rFonts w:ascii="Times New Roman" w:hAnsi="Times New Roman"/>
              </w:rPr>
              <w:t xml:space="preserve"> pirms minimālās robežvērtības piemērošanas (%)</w:t>
            </w:r>
          </w:p>
          <w:p w14:paraId="0F74D0FB" w14:textId="424C6FBD" w:rsidR="00C77B80" w:rsidRPr="00232C88" w:rsidRDefault="006D6654" w:rsidP="006D6654">
            <w:pPr>
              <w:spacing w:before="60" w:after="120"/>
              <w:jc w:val="both"/>
              <w:rPr>
                <w:sz w:val="24"/>
                <w:rFonts w:ascii="Times New Roman" w:hAnsi="Times New Roman" w:cs="Times New Roman"/>
              </w:rPr>
            </w:pPr>
            <w:r>
              <w:rPr>
                <w:sz w:val="24"/>
                <w:rFonts w:ascii="Times New Roman" w:hAnsi="Times New Roman"/>
              </w:rPr>
              <w:t xml:space="preserve">Pirmā līmeņa kapitāla rādītājs, kā noteikts Regulas (ES) Nr. 575/2013 92. panta 2. punkta b) apakšpunktā, izteikts kā procentuālā daļa no kopējās riska darījumu vērtības, kas aprēķināta, izslēdzot riska darījumu vērtības minimālās robežvērtības ietekmi saskaņā ar Regulas (ES) Nr. 575/2013 92. panta 4. punktu.</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 xml:space="preserve">7.</w:t>
            </w:r>
          </w:p>
        </w:tc>
        <w:tc>
          <w:tcPr>
            <w:tcW w:w="7655" w:type="dxa"/>
          </w:tcPr>
          <w:p w14:paraId="08AAC130" w14:textId="77777777" w:rsidR="00475381" w:rsidRPr="00232C88"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Kopējais kapitāla rādītājs (%)</w:t>
            </w:r>
          </w:p>
          <w:p w14:paraId="19C20331" w14:textId="00E3DB52" w:rsidR="00EC3DC7" w:rsidRPr="00232C88" w:rsidRDefault="00EC3DC7" w:rsidP="00605635">
            <w:pPr>
              <w:spacing w:before="60" w:after="120"/>
              <w:jc w:val="both"/>
              <w:rPr>
                <w:sz w:val="24"/>
                <w:rFonts w:ascii="Times New Roman" w:hAnsi="Times New Roman" w:cs="Times New Roman"/>
              </w:rPr>
            </w:pPr>
            <w:r>
              <w:rPr>
                <w:sz w:val="24"/>
                <w:rFonts w:ascii="Times New Roman" w:hAnsi="Times New Roman"/>
              </w:rPr>
              <w:t xml:space="preserve">Kopējais kapitāla rādītājs ir vērtība, ko iestādes atklāj EBI IT risinājumu VII pielikumā (veidnes EU CC1 “Regulatīvām prasībām atbilstošā pašu kapitāla sastāvs” 63. rinda).</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 xml:space="preserve">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b/>
                <w:sz w:val="24"/>
                <w:rFonts w:ascii="Times New Roman" w:hAnsi="Times New Roman" w:cs="Times New Roman"/>
              </w:rPr>
            </w:pPr>
            <w:r>
              <w:rPr>
                <w:rFonts w:ascii="Times New Roman" w:hAnsi="Times New Roman"/>
              </w:rPr>
              <w:t xml:space="preserve">Neattiecas</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 xml:space="preserve">7.b</w:t>
            </w:r>
          </w:p>
        </w:tc>
        <w:tc>
          <w:tcPr>
            <w:tcW w:w="7655" w:type="dxa"/>
          </w:tcPr>
          <w:p w14:paraId="14B57CE4" w14:textId="77777777" w:rsidR="006D6654" w:rsidRPr="00232C88" w:rsidRDefault="006D6654" w:rsidP="00475381">
            <w:pPr>
              <w:spacing w:before="60" w:after="120"/>
              <w:jc w:val="both"/>
              <w:rPr>
                <w:b/>
                <w:sz w:val="24"/>
                <w:rFonts w:ascii="Times New Roman" w:hAnsi="Times New Roman" w:cs="Times New Roman"/>
              </w:rPr>
            </w:pPr>
            <w:r>
              <w:rPr>
                <w:b/>
                <w:sz w:val="24"/>
                <w:rFonts w:ascii="Times New Roman" w:hAnsi="Times New Roman"/>
              </w:rPr>
              <w:t xml:space="preserve">Kopējais kapitāla rādītājs, ņemot vērā </w:t>
            </w:r>
            <w:r>
              <w:rPr>
                <w:b/>
                <w:sz w:val="24"/>
                <w:i/>
                <w:rFonts w:ascii="Times New Roman" w:hAnsi="Times New Roman"/>
              </w:rPr>
              <w:t xml:space="preserve">TREA</w:t>
            </w:r>
            <w:r>
              <w:rPr>
                <w:b/>
                <w:sz w:val="24"/>
                <w:rFonts w:ascii="Times New Roman" w:hAnsi="Times New Roman"/>
              </w:rPr>
              <w:t xml:space="preserve"> pirms minimālās robežvērtības piemērošanas (%)</w:t>
            </w:r>
          </w:p>
          <w:p w14:paraId="21F4A0BE" w14:textId="255C233C" w:rsidR="00C77B80" w:rsidRPr="00232C88" w:rsidRDefault="006D6654" w:rsidP="006D6654">
            <w:pPr>
              <w:spacing w:before="60" w:after="120"/>
              <w:jc w:val="both"/>
              <w:rPr>
                <w:sz w:val="24"/>
                <w:rFonts w:ascii="Times New Roman" w:hAnsi="Times New Roman" w:cs="Times New Roman"/>
              </w:rPr>
            </w:pPr>
            <w:r>
              <w:rPr>
                <w:sz w:val="24"/>
                <w:rFonts w:ascii="Times New Roman" w:hAnsi="Times New Roman"/>
              </w:rPr>
              <w:t xml:space="preserve">Kopējais kapitāla rādītājs, kā definēts Regulas (ES) Nr. 575/2013 92. panta 2. punkta c) apakšpunktā, izteikts kā procentuālā daļa no kopējās riska darījumu vērtības, ko aprēķina, izslēdzot riska darījumu minimālās robežvērtības ietekmi saskaņā ar Regulas (ES) Nr. 575/2013 92. panta 4. punktu.</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 xml:space="preserve">EU 7.d</w:t>
            </w:r>
          </w:p>
        </w:tc>
        <w:tc>
          <w:tcPr>
            <w:tcW w:w="7655" w:type="dxa"/>
          </w:tcPr>
          <w:p w14:paraId="2C65689E" w14:textId="168A8882" w:rsidR="002D5755" w:rsidRPr="00232C88" w:rsidRDefault="00974607" w:rsidP="002D5755">
            <w:pPr>
              <w:spacing w:before="60" w:after="120"/>
              <w:jc w:val="both"/>
              <w:rPr>
                <w:b/>
                <w:sz w:val="24"/>
                <w:rFonts w:ascii="Times New Roman" w:hAnsi="Times New Roman" w:cs="Times New Roman"/>
              </w:rPr>
            </w:pPr>
            <w:r>
              <w:rPr>
                <w:b/>
                <w:sz w:val="24"/>
                <w:rFonts w:ascii="Times New Roman" w:hAnsi="Times New Roman"/>
              </w:rPr>
              <w:t xml:space="preserve">Pašu kapitāla papildu prasības risku novēršanai (izņemot pārmērīgas sviras risku) (%)</w:t>
            </w:r>
          </w:p>
          <w:p w14:paraId="496B5202" w14:textId="406185AC" w:rsidR="002D5755" w:rsidRPr="00232C88" w:rsidRDefault="6A3DBE6D" w:rsidP="4D769726">
            <w:pPr>
              <w:spacing w:before="60" w:after="120"/>
              <w:jc w:val="both"/>
              <w:rPr>
                <w:sz w:val="24"/>
                <w:rFonts w:ascii="Times New Roman" w:hAnsi="Times New Roman" w:cs="Times New Roman"/>
              </w:rPr>
            </w:pPr>
            <w:r>
              <w:rPr>
                <w:sz w:val="24"/>
                <w:rFonts w:ascii="Times New Roman" w:hAnsi="Times New Roman"/>
              </w:rPr>
              <w:t xml:space="preserve">Pašu kapitāla papildu prasības risku novēršanai (izņemot pārmērīgas sviras risku), ko kompetentā iestāde piemērojusi saskaņā ar Direktīvas 2013/36/ES 104. panta 1. punkta a) apakšpunktu, izteiktas procentos no kopējās riska darījumu vērtības.</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 xml:space="preserve">EU 7.e</w:t>
            </w:r>
          </w:p>
        </w:tc>
        <w:tc>
          <w:tcPr>
            <w:tcW w:w="7655" w:type="dxa"/>
          </w:tcPr>
          <w:p w14:paraId="407C074B" w14:textId="466990AF" w:rsidR="002D5755" w:rsidRPr="00232C88" w:rsidRDefault="002B7ED3" w:rsidP="002D5755">
            <w:pPr>
              <w:spacing w:before="60" w:after="120"/>
              <w:jc w:val="both"/>
              <w:rPr>
                <w:b/>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t. sk.:</w:t>
            </w:r>
            <w:r>
              <w:rPr>
                <w:sz w:val="24"/>
                <w:b/>
                <w:rFonts w:ascii="Times New Roman" w:hAnsi="Times New Roman"/>
              </w:rPr>
              <w:t xml:space="preserve"> </w:t>
            </w:r>
            <w:r>
              <w:rPr>
                <w:sz w:val="24"/>
                <w:b/>
                <w:rFonts w:ascii="Times New Roman" w:hAnsi="Times New Roman"/>
              </w:rPr>
              <w:t xml:space="preserve">kuras jāizpilda ar </w:t>
            </w:r>
            <w:r>
              <w:rPr>
                <w:sz w:val="24"/>
                <w:b/>
                <w:i/>
                <w:rFonts w:ascii="Times New Roman" w:hAnsi="Times New Roman"/>
              </w:rPr>
              <w:t xml:space="preserve">CET1</w:t>
            </w:r>
            <w:r>
              <w:rPr>
                <w:sz w:val="24"/>
                <w:b/>
                <w:rFonts w:ascii="Times New Roman" w:hAnsi="Times New Roman"/>
              </w:rPr>
              <w:t xml:space="preserve"> kapitālu (procentpunkti)</w:t>
            </w:r>
          </w:p>
          <w:p w14:paraId="7130AB39" w14:textId="7851E9C1" w:rsidR="003F72E2" w:rsidRPr="00232C88" w:rsidRDefault="37B2E115" w:rsidP="4D769726">
            <w:pPr>
              <w:spacing w:before="60" w:after="120"/>
              <w:jc w:val="both"/>
              <w:rPr>
                <w:sz w:val="24"/>
                <w:rFonts w:ascii="Times New Roman" w:hAnsi="Times New Roman" w:cs="Times New Roman"/>
              </w:rPr>
            </w:pPr>
            <w:r>
              <w:rPr>
                <w:sz w:val="24"/>
                <w:rFonts w:ascii="Times New Roman" w:hAnsi="Times New Roman"/>
              </w:rPr>
              <w:t xml:space="preserve">Tā daļa no pašu kapitāla papildu prasībām risku novēršanai (izņemot pārmērīgas sviras risku), ko kompetentā iestāde piemērojusi saskaņā ar Direktīvas 2013/36/ES 104. panta 1. punkta a) apakšpunktu, kura jāizpilda ar pirmā līmeņa pamata kapitālu saskaņā ar 104.a panta 4. punkta pirmo un trešo daļu.</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 xml:space="preserve">EU 7.f</w:t>
            </w:r>
          </w:p>
        </w:tc>
        <w:tc>
          <w:tcPr>
            <w:tcW w:w="7655" w:type="dxa"/>
          </w:tcPr>
          <w:p w14:paraId="3D41CED8" w14:textId="5A42D7CA" w:rsidR="002D5755" w:rsidRPr="00232C88" w:rsidRDefault="002B7ED3" w:rsidP="002D5755">
            <w:pPr>
              <w:spacing w:before="60" w:after="120"/>
              <w:jc w:val="both"/>
              <w:rPr>
                <w:b/>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t. sk.:</w:t>
            </w:r>
            <w:r>
              <w:rPr>
                <w:sz w:val="24"/>
                <w:b/>
                <w:rFonts w:ascii="Times New Roman" w:hAnsi="Times New Roman"/>
              </w:rPr>
              <w:t xml:space="preserve"> </w:t>
            </w:r>
            <w:r>
              <w:rPr>
                <w:sz w:val="24"/>
                <w:b/>
                <w:rFonts w:ascii="Times New Roman" w:hAnsi="Times New Roman"/>
              </w:rPr>
              <w:t xml:space="preserve">ko veido pirmā līmeņa kapitāls (procentpunkti)</w:t>
            </w:r>
          </w:p>
          <w:p w14:paraId="20A8FF8D" w14:textId="79818759" w:rsidR="003F72E2" w:rsidRPr="00232C88" w:rsidRDefault="6A3DBE6D" w:rsidP="4D769726">
            <w:pPr>
              <w:spacing w:before="60" w:after="120"/>
              <w:jc w:val="both"/>
              <w:rPr>
                <w:sz w:val="24"/>
                <w:rFonts w:ascii="Times New Roman" w:hAnsi="Times New Roman" w:cs="Times New Roman"/>
              </w:rPr>
            </w:pPr>
            <w:r>
              <w:rPr>
                <w:sz w:val="24"/>
                <w:rFonts w:ascii="Times New Roman" w:hAnsi="Times New Roman"/>
              </w:rPr>
              <w:t xml:space="preserve">Tā daļa no pašu kapitāla papildu prasībām risku novēršanai (izņemot pārmērīgas sviras risku), ko kompetentā iestāde piemērojusi saskaņā ar Direktīvas 2013/36/ES 104. panta 1. punkta a) apakšpunktu, kura jāizpilda ar pirmā līmeņa kapitālu saskaņā ar 104.a panta 4. punkta pirmo un trešo daļu.</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 xml:space="preserve">EU 7.g</w:t>
            </w:r>
          </w:p>
        </w:tc>
        <w:tc>
          <w:tcPr>
            <w:tcW w:w="7655" w:type="dxa"/>
          </w:tcPr>
          <w:p w14:paraId="020B8334" w14:textId="77777777" w:rsidR="002D5755" w:rsidRPr="00232C88" w:rsidRDefault="002D5755" w:rsidP="002D5755">
            <w:pPr>
              <w:spacing w:before="60" w:after="120"/>
              <w:jc w:val="both"/>
              <w:rPr>
                <w:b/>
                <w:sz w:val="24"/>
                <w:rFonts w:ascii="Times New Roman" w:hAnsi="Times New Roman" w:cs="Times New Roman"/>
              </w:rPr>
            </w:pPr>
            <w:r>
              <w:rPr>
                <w:b/>
                <w:sz w:val="24"/>
                <w:rFonts w:ascii="Times New Roman" w:hAnsi="Times New Roman"/>
              </w:rPr>
              <w:t xml:space="preserve">Kopējās </w:t>
            </w:r>
            <w:r>
              <w:rPr>
                <w:b/>
                <w:sz w:val="24"/>
                <w:i/>
                <w:rFonts w:ascii="Times New Roman" w:hAnsi="Times New Roman"/>
              </w:rPr>
              <w:t xml:space="preserve">SREP</w:t>
            </w:r>
            <w:r>
              <w:rPr>
                <w:b/>
                <w:sz w:val="24"/>
                <w:rFonts w:ascii="Times New Roman" w:hAnsi="Times New Roman"/>
              </w:rPr>
              <w:t xml:space="preserve"> pašu kapitāla prasības (</w:t>
            </w:r>
            <w:r>
              <w:rPr>
                <w:b/>
                <w:sz w:val="24"/>
                <w:i/>
                <w:rFonts w:ascii="Times New Roman" w:hAnsi="Times New Roman"/>
              </w:rPr>
              <w:t xml:space="preserve">TSCR</w:t>
            </w:r>
            <w:r>
              <w:rPr>
                <w:b/>
                <w:sz w:val="24"/>
                <w:rFonts w:ascii="Times New Roman" w:hAnsi="Times New Roman"/>
              </w:rPr>
              <w:t xml:space="preserve"> rādītājs) (%)</w:t>
            </w:r>
          </w:p>
          <w:p w14:paraId="0EB50A81" w14:textId="77CE0E9A" w:rsidR="003F72E2" w:rsidRPr="00677BB2" w:rsidRDefault="003F72E2" w:rsidP="00677BB2">
            <w:pPr>
              <w:pStyle w:val="InstructionsText"/>
            </w:pPr>
            <w:r>
              <w:t xml:space="preserve">To summu vērtība, kas noteiktas saskaņā ar i) un ii) punktu šādi:</w:t>
            </w:r>
          </w:p>
          <w:p w14:paraId="5260BB93" w14:textId="1D865CC9" w:rsidR="003F72E2" w:rsidRPr="00677BB2" w:rsidRDefault="003F72E2" w:rsidP="00677BB2">
            <w:pPr>
              <w:pStyle w:val="InstructionsText"/>
              <w:numPr>
                <w:ilvl w:val="0"/>
                <w:numId w:val="12"/>
              </w:numPr>
            </w:pPr>
            <w:r>
              <w:t xml:space="preserve">kopējais kapitāla rādītājs (8 %), kā noteikts Regulas (ES) Nr. 575/2013 92. panta 1. punkta c) apakšpunktā;</w:t>
            </w:r>
            <w:r>
              <w:t xml:space="preserve"> </w:t>
            </w:r>
          </w:p>
          <w:p w14:paraId="6408D689" w14:textId="2B5BF350" w:rsidR="003F72E2" w:rsidRPr="00677BB2" w:rsidRDefault="77E19EAF" w:rsidP="00677BB2">
            <w:pPr>
              <w:pStyle w:val="InstructionsText"/>
              <w:numPr>
                <w:ilvl w:val="0"/>
                <w:numId w:val="12"/>
              </w:numPr>
            </w:pPr>
            <w:r>
              <w:t xml:space="preserve">pašu kapitāla papildu prasības risku novēršanai (izņemot pārmērīgas sviras risku) (2. pīlāra prasības – </w:t>
            </w:r>
            <w:r>
              <w:rPr>
                <w:i/>
              </w:rPr>
              <w:t xml:space="preserve">P2R</w:t>
            </w:r>
            <w:r>
              <w:t xml:space="preserve">), ko kompetentā iestāde piemērojusi saskaņā ar Direktīvas 2013/36/ES 104. panta 1. punkta a) apakšpunktu un noteikusi saskaņā ar kritērijiem, kuri norādīti EBI Pamatnostādnēs EBA/GL/2018/03</w:t>
            </w:r>
            <w:r w:rsidR="00D35D87" w:rsidRPr="00DB3BA4">
              <w:rPr>
                <w:rStyle w:val="FootnoteReference"/>
                <w:rFonts w:ascii="Times New Roman" w:hAnsi="Times New Roman"/>
                <w:b w:val="0"/>
                <w:bCs w:val="0"/>
                <w:i/>
              </w:rPr>
              <w:footnoteReference w:id="3"/>
            </w:r>
            <w:r>
              <w:t xml:space="preserve"> (“EBI </w:t>
            </w:r>
            <w:r>
              <w:rPr>
                <w:i/>
              </w:rPr>
              <w:t xml:space="preserve">SREP</w:t>
            </w:r>
            <w:r>
              <w:t xml:space="preserve"> pamatnostādnes”), izteikta procentos no kopējām </w:t>
            </w:r>
            <w:r>
              <w:rPr>
                <w:i/>
              </w:rPr>
              <w:t xml:space="preserve">RWEA</w:t>
            </w:r>
            <w:r>
              <w:t xml:space="preserve">.</w:t>
            </w:r>
          </w:p>
          <w:p w14:paraId="421B2155" w14:textId="458E132C" w:rsidR="003F72E2" w:rsidRPr="00677BB2" w:rsidRDefault="003F72E2" w:rsidP="00677BB2">
            <w:pPr>
              <w:pStyle w:val="InstructionsText"/>
            </w:pPr>
            <w:r>
              <w:t xml:space="preserve">Šis postenis atspoguļo kopējās </w:t>
            </w:r>
            <w:r>
              <w:rPr>
                <w:i/>
              </w:rPr>
              <w:t xml:space="preserve">SREP</w:t>
            </w:r>
            <w:r>
              <w:t xml:space="preserve"> kapitāla prasības (</w:t>
            </w:r>
            <w:r>
              <w:rPr>
                <w:i/>
              </w:rPr>
              <w:t xml:space="preserve">TSCR</w:t>
            </w:r>
            <w:r>
              <w:t xml:space="preserve">) rādītāju, ko iestādei paziņojusi kompetentā iestāde.</w:t>
            </w:r>
            <w:r>
              <w:t xml:space="preserve"> </w:t>
            </w:r>
            <w:r>
              <w:rPr>
                <w:i/>
              </w:rPr>
              <w:t xml:space="preserve">TSCR</w:t>
            </w:r>
            <w:r>
              <w:t xml:space="preserve"> ir definēta EBI </w:t>
            </w:r>
            <w:r>
              <w:rPr>
                <w:i/>
              </w:rPr>
              <w:t xml:space="preserve">SREP</w:t>
            </w:r>
            <w:r>
              <w:t xml:space="preserve"> pamatnostādņu 7.4. un 7.5. iedaļā.</w:t>
            </w:r>
          </w:p>
          <w:p w14:paraId="16E68C5B" w14:textId="77777777" w:rsidR="009E1F4E" w:rsidRPr="00677BB2" w:rsidRDefault="009E1F4E" w:rsidP="00677BB2">
            <w:pPr>
              <w:pStyle w:val="InstructionsText"/>
            </w:pPr>
            <w:r>
              <w:t xml:space="preserve">Ja iestādei ir saistoša riska darījumu vērtības minimālā robežvērtība, uzrādītie dati atspoguļo </w:t>
            </w:r>
            <w:r>
              <w:rPr>
                <w:i/>
              </w:rPr>
              <w:t xml:space="preserve">TSCR</w:t>
            </w:r>
            <w:r>
              <w:t xml:space="preserve">, kas vajadzīga, lai izpildītu prasības pārskata datumā, ņemot vērā Direktīvas 2013/36/ES 104.a panta 6. punkta noteikumus.</w:t>
            </w:r>
          </w:p>
          <w:p w14:paraId="25DA925F" w14:textId="2F58FE29" w:rsidR="003F72E2" w:rsidRPr="00232C88" w:rsidRDefault="00704085" w:rsidP="00A239F6">
            <w:pPr>
              <w:spacing w:before="60" w:after="120"/>
              <w:jc w:val="both"/>
              <w:rPr>
                <w:sz w:val="24"/>
                <w:rFonts w:ascii="Times New Roman" w:hAnsi="Times New Roman" w:cs="Times New Roman"/>
              </w:rPr>
            </w:pPr>
            <w:r>
              <w:rPr>
                <w:sz w:val="24"/>
                <w:rFonts w:ascii="Times New Roman" w:hAnsi="Times New Roman"/>
              </w:rPr>
              <w:t xml:space="preserve">Ja kompetentā iestāde nav paziņojusi pašu kapitāla papildu prasības, kas noteiktas risku novēršanai (izņemot pārmērīgas sviras risku), atklāj tikai informāciju par i) punktu.</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t xml:space="preserve">8.</w:t>
            </w:r>
          </w:p>
        </w:tc>
        <w:tc>
          <w:tcPr>
            <w:tcW w:w="7655" w:type="dxa"/>
          </w:tcPr>
          <w:p w14:paraId="7C243A8A" w14:textId="77777777" w:rsidR="009D0637" w:rsidRPr="00232C88"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Kapitāla saglabāšanas rezerves (%)</w:t>
            </w:r>
          </w:p>
          <w:p w14:paraId="14E6CB6D" w14:textId="08A78286" w:rsidR="009D0637" w:rsidRPr="00232C88" w:rsidRDefault="3FBF28E0" w:rsidP="4D769726">
            <w:pPr>
              <w:spacing w:before="60" w:after="120"/>
              <w:jc w:val="both"/>
              <w:rPr>
                <w:sz w:val="24"/>
                <w:rFonts w:ascii="Times New Roman" w:hAnsi="Times New Roman" w:cs="Times New Roman"/>
              </w:rPr>
            </w:pPr>
            <w:r>
              <w:rPr>
                <w:sz w:val="24"/>
                <w:rFonts w:ascii="Times New Roman" w:hAnsi="Times New Roman"/>
              </w:rPr>
              <w:t xml:space="preserve">Pašu kapitāla summa, kas iestādēm jāuztur saskaņā ar Direktīvas 2013/36/ES 128. panta 1. punktu un 129. pantu, izteikta procentos no kopējām </w:t>
            </w:r>
            <w:r>
              <w:rPr>
                <w:sz w:val="24"/>
                <w:i/>
                <w:rFonts w:ascii="Times New Roman" w:hAnsi="Times New Roman"/>
              </w:rPr>
              <w:t xml:space="preserve">RWEA</w:t>
            </w:r>
            <w:r>
              <w:rPr>
                <w:sz w:val="24"/>
                <w:rFonts w:ascii="Times New Roman" w:hAnsi="Times New Roman"/>
              </w:rPr>
              <w:t xml:space="preserve">.</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 xml:space="preserve">EU 8.a</w:t>
            </w:r>
          </w:p>
        </w:tc>
        <w:tc>
          <w:tcPr>
            <w:tcW w:w="7655" w:type="dxa"/>
          </w:tcPr>
          <w:p w14:paraId="6A38F554" w14:textId="77777777" w:rsidR="00475381" w:rsidRPr="00232C88"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Saglabāšanas rezerves saistībā ar dalībvalsts līmenī konstatēto makroprudenciālo vai sistēmisko risku (%)</w:t>
            </w:r>
          </w:p>
          <w:p w14:paraId="26288177" w14:textId="7E210F32" w:rsidR="009D0637" w:rsidRPr="00232C88" w:rsidRDefault="009D0637" w:rsidP="0097538A">
            <w:pPr>
              <w:spacing w:before="60" w:after="120"/>
              <w:jc w:val="both"/>
              <w:rPr>
                <w:sz w:val="24"/>
                <w:rFonts w:ascii="Times New Roman" w:hAnsi="Times New Roman" w:cs="Times New Roman"/>
              </w:rPr>
            </w:pPr>
            <w:r>
              <w:rPr>
                <w:sz w:val="24"/>
                <w:rFonts w:ascii="Times New Roman" w:hAnsi="Times New Roman"/>
              </w:rPr>
              <w:t xml:space="preserve">Saglabāšanas rezervju summa saistībā ar dalībvalsts līmenī konstatēto makroprudenciālo vai sistēmisko risku, kuru var pieprasīt saskaņā ar Regulas (ES) Nr. 575/2013 458. pantu papildus kapitāla saglabāšanas rezervēm, izteikta procentos no kopējām </w:t>
            </w:r>
            <w:r>
              <w:rPr>
                <w:sz w:val="24"/>
                <w:i/>
                <w:rFonts w:ascii="Times New Roman" w:hAnsi="Times New Roman"/>
              </w:rPr>
              <w:t xml:space="preserve">RWEA</w:t>
            </w:r>
            <w:r>
              <w:rPr>
                <w:sz w:val="24"/>
                <w:rFonts w:ascii="Times New Roman" w:hAnsi="Times New Roman"/>
              </w:rPr>
              <w:t xml:space="preserve">.</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 xml:space="preserve">9.</w:t>
            </w:r>
          </w:p>
        </w:tc>
        <w:tc>
          <w:tcPr>
            <w:tcW w:w="7655" w:type="dxa"/>
          </w:tcPr>
          <w:p w14:paraId="249EE5F9" w14:textId="77777777" w:rsidR="00475381" w:rsidRPr="00232C88"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Iestādes specifiskās pretcikliskās kapitāla rezerves (%)</w:t>
            </w:r>
          </w:p>
          <w:p w14:paraId="7EE95752" w14:textId="048F4470" w:rsidR="008C672C" w:rsidRPr="00677BB2" w:rsidRDefault="59C8E997" w:rsidP="00677BB2">
            <w:pPr>
              <w:pStyle w:val="InstructionsText"/>
            </w:pPr>
            <w:r>
              <w:t xml:space="preserve">Pašu kapitāla summa, kas iestādēm jāuztur saskaņā ar Direktīvas 2013/36/ES 128. panta 2. punktu, 130. pantu un 135.– 140. pantu, izteikta procentos no kopējām </w:t>
            </w:r>
            <w:r>
              <w:rPr>
                <w:i/>
              </w:rPr>
              <w:t xml:space="preserve">RWEA</w:t>
            </w:r>
            <w:r>
              <w:t xml:space="preserve">.</w:t>
            </w:r>
          </w:p>
          <w:p w14:paraId="58C7EB22" w14:textId="2947DC9F" w:rsidR="008C672C" w:rsidRPr="00232C88" w:rsidRDefault="008C672C" w:rsidP="002635C4">
            <w:pPr>
              <w:spacing w:before="60" w:after="120"/>
              <w:jc w:val="both"/>
              <w:rPr>
                <w:sz w:val="24"/>
                <w:rFonts w:ascii="Times New Roman" w:hAnsi="Times New Roman" w:cs="Times New Roman"/>
              </w:rPr>
            </w:pPr>
            <w:r>
              <w:rPr>
                <w:sz w:val="24"/>
                <w:rFonts w:ascii="Times New Roman" w:hAnsi="Times New Roman"/>
              </w:rPr>
              <w:t xml:space="preserve">Procenti atspoguļo pašu kapitāla summu, kas vajadzīga, lai informācijas atklāšanas datumā izpildītu attiecīgās kapitāla rezervju prasības.</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 xml:space="preserve">EU 9.a</w:t>
            </w:r>
          </w:p>
        </w:tc>
        <w:tc>
          <w:tcPr>
            <w:tcW w:w="7655" w:type="dxa"/>
          </w:tcPr>
          <w:p w14:paraId="5F0D3F14" w14:textId="77777777" w:rsidR="00475381" w:rsidRPr="00232C88"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Sistēmiskā riska rezerves (%)</w:t>
            </w:r>
          </w:p>
          <w:p w14:paraId="1A39C087" w14:textId="523BD954" w:rsidR="008C672C" w:rsidRPr="00677BB2" w:rsidRDefault="59C8E997" w:rsidP="00677BB2">
            <w:pPr>
              <w:pStyle w:val="InstructionsText"/>
            </w:pPr>
            <w:r>
              <w:t xml:space="preserve">Pašu kapitāla summa, kas iestādēm jāuztur saskaņā ar Direktīvas 2013/36/ES 128. panta 5. punktu un 133. un 134. pantu, izteikta procentos no kopējām </w:t>
            </w:r>
            <w:r>
              <w:rPr>
                <w:i/>
              </w:rPr>
              <w:t xml:space="preserve">RWEA</w:t>
            </w:r>
            <w:r>
              <w:t xml:space="preserve">.</w:t>
            </w:r>
          </w:p>
          <w:p w14:paraId="349BC1DA" w14:textId="39EEC453" w:rsidR="008C672C" w:rsidRPr="00232C88" w:rsidRDefault="008C672C" w:rsidP="002635C4">
            <w:pPr>
              <w:spacing w:before="60" w:after="120"/>
              <w:jc w:val="both"/>
              <w:rPr>
                <w:sz w:val="24"/>
                <w:rFonts w:ascii="Times New Roman" w:hAnsi="Times New Roman" w:cs="Times New Roman"/>
              </w:rPr>
            </w:pPr>
            <w:r>
              <w:rPr>
                <w:sz w:val="24"/>
                <w:rFonts w:ascii="Times New Roman" w:hAnsi="Times New Roman"/>
              </w:rPr>
              <w:t xml:space="preserve">Procenti atspoguļo pašu kapitāla summu, kas vajadzīga, lai informācijas atklāšanas datumā izpildītu attiecīgās kapitāla rezervju prasības.</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 xml:space="preserve">10.</w:t>
            </w:r>
          </w:p>
        </w:tc>
        <w:tc>
          <w:tcPr>
            <w:tcW w:w="7655" w:type="dxa"/>
          </w:tcPr>
          <w:p w14:paraId="64176082" w14:textId="77777777" w:rsidR="00475381" w:rsidRPr="00232C88"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Globālas sistēmiski nozīmīgas iestādes rezerves (%)</w:t>
            </w:r>
          </w:p>
          <w:p w14:paraId="6FDE597A" w14:textId="5D0D3EC2" w:rsidR="00F16314" w:rsidRPr="00677BB2" w:rsidRDefault="564F8672" w:rsidP="00677BB2">
            <w:pPr>
              <w:pStyle w:val="InstructionsText"/>
            </w:pPr>
            <w:r>
              <w:t xml:space="preserve">Pašu kapitāla summa, kas iestādēm jāuztur saskaņā ar Direktīvas 2013/36/ES 128. panta 3. punktu un 131. pantu, izteikta procentos no kopējām </w:t>
            </w:r>
            <w:r>
              <w:rPr>
                <w:i/>
              </w:rPr>
              <w:t xml:space="preserve">RWEA</w:t>
            </w:r>
            <w:r>
              <w:t xml:space="preserve">.</w:t>
            </w:r>
          </w:p>
          <w:p w14:paraId="401B9FFF" w14:textId="0D3B7616" w:rsidR="00F16314" w:rsidRPr="00232C88" w:rsidRDefault="00F16314" w:rsidP="002635C4">
            <w:pPr>
              <w:spacing w:before="60" w:after="120"/>
              <w:jc w:val="both"/>
              <w:rPr>
                <w:sz w:val="24"/>
                <w:rFonts w:ascii="Times New Roman" w:hAnsi="Times New Roman" w:cs="Times New Roman"/>
              </w:rPr>
            </w:pPr>
            <w:r>
              <w:rPr>
                <w:sz w:val="24"/>
                <w:rFonts w:ascii="Times New Roman" w:hAnsi="Times New Roman"/>
              </w:rPr>
              <w:t xml:space="preserve">Procenti atspoguļo pašu kapitāla summu, kas vajadzīga, lai informācijas atklāšanas datumā izpildītu attiecīgās kapitāla rezervju prasības.</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 xml:space="preserve">EU 10.a</w:t>
            </w:r>
          </w:p>
        </w:tc>
        <w:tc>
          <w:tcPr>
            <w:tcW w:w="7655" w:type="dxa"/>
          </w:tcPr>
          <w:p w14:paraId="3410560F" w14:textId="77777777" w:rsidR="00BB2F0A" w:rsidRPr="00232C88"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Citas sistēmiski nozīmīgas iestādes rezerves (%)</w:t>
            </w:r>
          </w:p>
          <w:p w14:paraId="71C25616" w14:textId="2C80B82C" w:rsidR="00F16314" w:rsidRPr="00232C88" w:rsidRDefault="564F8672" w:rsidP="4D769726">
            <w:pPr>
              <w:spacing w:before="60" w:after="120"/>
              <w:jc w:val="both"/>
              <w:rPr>
                <w:sz w:val="24"/>
                <w:rFonts w:ascii="Times New Roman" w:hAnsi="Times New Roman" w:cs="Times New Roman"/>
              </w:rPr>
            </w:pPr>
            <w:r>
              <w:rPr>
                <w:sz w:val="24"/>
                <w:rFonts w:ascii="Times New Roman" w:hAnsi="Times New Roman"/>
              </w:rPr>
              <w:t xml:space="preserve">Pašu kapitāla summa, kas iestādēm jāuztur saskaņā ar Direktīvas 2013/36/ES 128. panta 4. punktu un 131. pantu, izteikta procentos no kopējām </w:t>
            </w:r>
            <w:r>
              <w:rPr>
                <w:sz w:val="24"/>
                <w:i/>
                <w:rFonts w:ascii="Times New Roman" w:hAnsi="Times New Roman"/>
              </w:rPr>
              <w:t xml:space="preserve">RWEA</w:t>
            </w:r>
            <w:r>
              <w:rPr>
                <w:sz w:val="24"/>
                <w:rFonts w:ascii="Times New Roman" w:hAnsi="Times New Roman"/>
              </w:rPr>
              <w:t xml:space="preserve">.</w:t>
            </w:r>
          </w:p>
          <w:p w14:paraId="476D85A0" w14:textId="40C01166" w:rsidR="00F16314" w:rsidRPr="00232C88" w:rsidRDefault="00F16314" w:rsidP="002635C4">
            <w:pPr>
              <w:spacing w:before="60" w:after="120"/>
              <w:jc w:val="both"/>
              <w:rPr>
                <w:sz w:val="24"/>
                <w:rFonts w:ascii="Times New Roman" w:hAnsi="Times New Roman" w:cs="Times New Roman"/>
              </w:rPr>
            </w:pPr>
            <w:r>
              <w:rPr>
                <w:sz w:val="24"/>
                <w:rFonts w:ascii="Times New Roman" w:hAnsi="Times New Roman"/>
              </w:rPr>
              <w:t xml:space="preserve">Procenti atspoguļo pašu kapitāla summu, kas vajadzīga, lai informācijas atklāšanas datumā izpildītu attiecīgās kapitāla rezervju prasības.</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 xml:space="preserve">11.</w:t>
            </w:r>
          </w:p>
        </w:tc>
        <w:tc>
          <w:tcPr>
            <w:tcW w:w="7655" w:type="dxa"/>
          </w:tcPr>
          <w:p w14:paraId="21DBB5FE" w14:textId="77777777" w:rsidR="00BB2F0A" w:rsidRPr="00232C88"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Apvienoto rezervju prasība (%)</w:t>
            </w:r>
          </w:p>
          <w:p w14:paraId="04E18E6B" w14:textId="612637D7" w:rsidR="00F16314" w:rsidRPr="00232C88" w:rsidRDefault="009D10AD" w:rsidP="4D769726">
            <w:pPr>
              <w:spacing w:before="60" w:after="120"/>
              <w:jc w:val="both"/>
              <w:rPr>
                <w:sz w:val="24"/>
                <w:rFonts w:ascii="Times New Roman" w:hAnsi="Times New Roman" w:cs="Times New Roman"/>
              </w:rPr>
            </w:pPr>
            <w:r>
              <w:rPr>
                <w:sz w:val="24"/>
                <w:rFonts w:ascii="Times New Roman" w:hAnsi="Times New Roman"/>
              </w:rPr>
              <w:t xml:space="preserve">Saskaņā ar Direktīvas 2013/36/ES 128. panta 6. punktu, izteikta procentos no kopējām </w:t>
            </w:r>
            <w:r>
              <w:rPr>
                <w:sz w:val="24"/>
                <w:i/>
                <w:rFonts w:ascii="Times New Roman" w:hAnsi="Times New Roman"/>
              </w:rPr>
              <w:t xml:space="preserve">RWEA</w:t>
            </w:r>
            <w:r>
              <w:rPr>
                <w:sz w:val="24"/>
                <w:rFonts w:ascii="Times New Roman" w:hAnsi="Times New Roman"/>
              </w:rPr>
              <w:t xml:space="preserve">.</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 xml:space="preserve">EU 11.a</w:t>
            </w:r>
          </w:p>
        </w:tc>
        <w:tc>
          <w:tcPr>
            <w:tcW w:w="7655" w:type="dxa"/>
          </w:tcPr>
          <w:p w14:paraId="31FF3D82" w14:textId="77777777" w:rsidR="00BB2F0A" w:rsidRPr="00232C88"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Vispārējās kapitāla prasības (</w:t>
            </w:r>
            <w:r>
              <w:rPr>
                <w:b/>
                <w:sz w:val="24"/>
                <w:i/>
                <w:rFonts w:ascii="Times New Roman" w:hAnsi="Times New Roman"/>
              </w:rPr>
              <w:t xml:space="preserve">OCR</w:t>
            </w:r>
            <w:r>
              <w:rPr>
                <w:b/>
                <w:sz w:val="24"/>
                <w:rFonts w:ascii="Times New Roman" w:hAnsi="Times New Roman"/>
              </w:rPr>
              <w:t xml:space="preserve">) (%)</w:t>
            </w:r>
          </w:p>
          <w:p w14:paraId="27E7760D" w14:textId="77777777" w:rsidR="003F72E2" w:rsidRPr="00677BB2" w:rsidRDefault="003F72E2" w:rsidP="00677BB2">
            <w:pPr>
              <w:pStyle w:val="InstructionsText"/>
            </w:pPr>
            <w:r>
              <w:t xml:space="preserve">Šāda i) un ii) summa:</w:t>
            </w:r>
          </w:p>
          <w:p w14:paraId="75A891AF" w14:textId="77777777" w:rsidR="003F72E2" w:rsidRPr="00677BB2" w:rsidRDefault="003F72E2" w:rsidP="00677BB2">
            <w:pPr>
              <w:pStyle w:val="InstructionsText"/>
              <w:numPr>
                <w:ilvl w:val="0"/>
                <w:numId w:val="13"/>
              </w:numPr>
            </w:pPr>
            <w:r>
              <w:rPr>
                <w:i/>
              </w:rPr>
              <w:t xml:space="preserve">TSCR</w:t>
            </w:r>
            <w:r>
              <w:t xml:space="preserve"> rādītājs, kas minēts EU 7.d rindā;</w:t>
            </w:r>
          </w:p>
          <w:p w14:paraId="5EE9D2EB" w14:textId="1239145E" w:rsidR="003F72E2" w:rsidRPr="00677BB2" w:rsidRDefault="77E19EAF" w:rsidP="00677BB2">
            <w:pPr>
              <w:pStyle w:val="InstructionsText"/>
              <w:numPr>
                <w:ilvl w:val="0"/>
                <w:numId w:val="13"/>
              </w:numPr>
            </w:pPr>
            <w:r>
              <w:t xml:space="preserve">tādā mērā, kādā juridiski piemērojams – apvienoto rezervju prasības rādītājs, kas minēts Direktīvas 2013/36/ES 128. panta 6. punktā.</w:t>
            </w:r>
          </w:p>
          <w:p w14:paraId="4B4D7463" w14:textId="52E60BF7" w:rsidR="003F72E2" w:rsidRPr="00677BB2" w:rsidRDefault="003F72E2" w:rsidP="00677BB2">
            <w:pPr>
              <w:pStyle w:val="InstructionsText"/>
            </w:pPr>
            <w:r>
              <w:t xml:space="preserve">Šis postenis atspoguļo vispārējo kapitāla prasību (</w:t>
            </w:r>
            <w:r>
              <w:rPr>
                <w:i/>
              </w:rPr>
              <w:t xml:space="preserve">OCR</w:t>
            </w:r>
            <w:r>
              <w:t xml:space="preserve">) rādītāju, kas noteikts EBI </w:t>
            </w:r>
            <w:r>
              <w:rPr>
                <w:i/>
              </w:rPr>
              <w:t xml:space="preserve">SREP</w:t>
            </w:r>
            <w:r>
              <w:t xml:space="preserve"> pamatnostādņu 1.2. iedaļā.</w:t>
            </w:r>
          </w:p>
          <w:p w14:paraId="7576CCD5" w14:textId="5E65E58F" w:rsidR="003F72E2" w:rsidRPr="00232C88" w:rsidRDefault="00704085" w:rsidP="003F72E2">
            <w:pPr>
              <w:spacing w:before="60" w:after="120"/>
              <w:jc w:val="both"/>
              <w:rPr>
                <w:sz w:val="24"/>
                <w:rFonts w:ascii="Times New Roman" w:hAnsi="Times New Roman" w:cs="Times New Roman"/>
              </w:rPr>
            </w:pPr>
            <w:r>
              <w:rPr>
                <w:sz w:val="24"/>
                <w:rFonts w:ascii="Times New Roman" w:hAnsi="Times New Roman"/>
              </w:rPr>
              <w:t xml:space="preserve">Ja rezervju prasība nav piemērojama, uzrāda tikai i) punktu.</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 xml:space="preserve">12.</w:t>
            </w:r>
          </w:p>
        </w:tc>
        <w:tc>
          <w:tcPr>
            <w:tcW w:w="7655" w:type="dxa"/>
          </w:tcPr>
          <w:p w14:paraId="7F0C0BA2" w14:textId="77777777" w:rsidR="009947D6" w:rsidRPr="00232C88" w:rsidRDefault="00BB2F0A" w:rsidP="00BB2F0A">
            <w:pPr>
              <w:spacing w:before="60" w:after="120"/>
              <w:jc w:val="both"/>
              <w:rPr>
                <w:b/>
                <w:sz w:val="24"/>
                <w:rFonts w:ascii="Times New Roman" w:hAnsi="Times New Roman" w:cs="Times New Roman"/>
              </w:rPr>
            </w:pPr>
            <w:r>
              <w:rPr>
                <w:b/>
                <w:sz w:val="24"/>
                <w:i/>
                <w:rFonts w:ascii="Times New Roman" w:hAnsi="Times New Roman"/>
              </w:rPr>
              <w:t xml:space="preserve">CET1</w:t>
            </w:r>
            <w:r>
              <w:rPr>
                <w:b/>
                <w:sz w:val="24"/>
                <w:rFonts w:ascii="Times New Roman" w:hAnsi="Times New Roman"/>
              </w:rPr>
              <w:t xml:space="preserve"> kapitāls, kas pieejams pēc kopējo </w:t>
            </w:r>
            <w:r>
              <w:rPr>
                <w:b/>
                <w:sz w:val="24"/>
                <w:i/>
                <w:rFonts w:ascii="Times New Roman" w:hAnsi="Times New Roman"/>
              </w:rPr>
              <w:t xml:space="preserve">SREP</w:t>
            </w:r>
            <w:r>
              <w:rPr>
                <w:b/>
                <w:sz w:val="24"/>
                <w:rFonts w:ascii="Times New Roman" w:hAnsi="Times New Roman"/>
              </w:rPr>
              <w:t xml:space="preserve"> pašu kapitāla prasību izpildes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 xml:space="preserve">13.</w:t>
            </w:r>
          </w:p>
        </w:tc>
        <w:tc>
          <w:tcPr>
            <w:tcW w:w="7655" w:type="dxa"/>
          </w:tcPr>
          <w:p w14:paraId="32A5003D" w14:textId="06248F32" w:rsidR="00BB2F0A" w:rsidRPr="00232C88" w:rsidRDefault="002E24A1" w:rsidP="00BB2F0A">
            <w:pPr>
              <w:spacing w:before="60" w:after="120"/>
              <w:jc w:val="both"/>
              <w:rPr>
                <w:b/>
                <w:sz w:val="24"/>
                <w:rFonts w:ascii="Times New Roman" w:hAnsi="Times New Roman" w:cs="Times New Roman"/>
              </w:rPr>
            </w:pPr>
            <w:r>
              <w:rPr>
                <w:b/>
                <w:sz w:val="24"/>
                <w:rFonts w:ascii="Times New Roman" w:hAnsi="Times New Roman"/>
              </w:rPr>
              <w:t xml:space="preserve">Kopējās riska darījumu vērtības mērs</w:t>
            </w:r>
          </w:p>
          <w:p w14:paraId="7F06FA40" w14:textId="4B87FF94" w:rsidR="00BB2F0A" w:rsidRPr="00232C88" w:rsidRDefault="00A239F6" w:rsidP="00A239F6">
            <w:pPr>
              <w:spacing w:before="60" w:after="120"/>
              <w:jc w:val="both"/>
              <w:rPr>
                <w:sz w:val="24"/>
                <w:rFonts w:ascii="Times New Roman" w:hAnsi="Times New Roman" w:cs="Times New Roman"/>
              </w:rPr>
            </w:pPr>
            <w:r>
              <w:rPr>
                <w:sz w:val="24"/>
                <w:rFonts w:ascii="Times New Roman" w:hAnsi="Times New Roman"/>
              </w:rPr>
              <w:t xml:space="preserve">Kopējās riska darījumu vērtības mērs, ko iestādes atklājušas šīs EBI IT risinājumu XI pielikumā (24. rinda veidnē EU LR2-LRCom:</w:t>
            </w:r>
            <w:r>
              <w:rPr>
                <w:sz w:val="24"/>
                <w:rFonts w:ascii="Times New Roman" w:hAnsi="Times New Roman"/>
              </w:rPr>
              <w:t xml:space="preserve"> </w:t>
            </w:r>
            <w:r>
              <w:rPr>
                <w:sz w:val="24"/>
                <w:rFonts w:ascii="Times New Roman" w:hAnsi="Times New Roman"/>
              </w:rPr>
              <w:t xml:space="preserve">“Kopīga informācija, kas jāatklāj par sviras rādītāju”).</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 xml:space="preserve">14.</w:t>
            </w:r>
          </w:p>
        </w:tc>
        <w:tc>
          <w:tcPr>
            <w:tcW w:w="7655" w:type="dxa"/>
          </w:tcPr>
          <w:p w14:paraId="7CD88775" w14:textId="77777777" w:rsidR="00BB2F0A" w:rsidRPr="00232C88"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Sviras rādītājs (%)</w:t>
            </w:r>
          </w:p>
          <w:p w14:paraId="19D19C40" w14:textId="760F6920" w:rsidR="00BB2F0A" w:rsidRPr="00232C88" w:rsidRDefault="00BB2F0A" w:rsidP="00416DAD">
            <w:pPr>
              <w:spacing w:before="60" w:after="120"/>
              <w:jc w:val="both"/>
              <w:rPr>
                <w:sz w:val="24"/>
                <w:rFonts w:ascii="Times New Roman" w:hAnsi="Times New Roman" w:cs="Times New Roman"/>
              </w:rPr>
            </w:pPr>
            <w:r>
              <w:rPr>
                <w:sz w:val="24"/>
                <w:rFonts w:ascii="Times New Roman" w:hAnsi="Times New Roman"/>
              </w:rPr>
              <w:t xml:space="preserve">Sviras rādītājs saskaņā ar vērtību, ko iestādes atklājušas </w:t>
            </w:r>
            <w:bookmarkStart w:id="10" w:name="_Hlk169692988"/>
            <w:r>
              <w:rPr>
                <w:sz w:val="24"/>
                <w:rFonts w:ascii="Times New Roman" w:hAnsi="Times New Roman"/>
              </w:rPr>
              <w:t xml:space="preserve">EBI IT risinājumu</w:t>
            </w:r>
            <w:bookmarkEnd w:id="10"/>
            <w:r>
              <w:rPr>
                <w:sz w:val="24"/>
                <w:rFonts w:ascii="Times New Roman" w:hAnsi="Times New Roman"/>
              </w:rPr>
              <w:t xml:space="preserve"> XI pielikumā (25. rinda veidnē EU LR2-LRCom:</w:t>
            </w:r>
            <w:r>
              <w:rPr>
                <w:sz w:val="24"/>
                <w:rFonts w:ascii="Times New Roman" w:hAnsi="Times New Roman"/>
              </w:rPr>
              <w:t xml:space="preserve"> </w:t>
            </w:r>
            <w:r>
              <w:rPr>
                <w:sz w:val="24"/>
                <w:rFonts w:ascii="Times New Roman" w:hAnsi="Times New Roman"/>
              </w:rPr>
              <w:t xml:space="preserve">“Kopīga informācija, kas jāatklāj par sviras rādītāju”).</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 xml:space="preserve">EU 14.a</w:t>
            </w:r>
          </w:p>
        </w:tc>
        <w:tc>
          <w:tcPr>
            <w:tcW w:w="7655" w:type="dxa"/>
          </w:tcPr>
          <w:p w14:paraId="331BA724" w14:textId="344E5468" w:rsidR="00505188" w:rsidRPr="00232C88" w:rsidRDefault="00505188" w:rsidP="001C2D18">
            <w:pPr>
              <w:spacing w:before="60" w:after="120"/>
              <w:jc w:val="both"/>
              <w:rPr>
                <w:b/>
                <w:sz w:val="24"/>
                <w:rFonts w:ascii="Times New Roman" w:hAnsi="Times New Roman" w:cs="Times New Roman"/>
              </w:rPr>
            </w:pPr>
            <w:r>
              <w:rPr>
                <w:b/>
                <w:sz w:val="24"/>
                <w:rFonts w:ascii="Times New Roman" w:hAnsi="Times New Roman"/>
              </w:rPr>
              <w:t xml:space="preserve">Pašu kapitāla papildu prasības pārmērīgas sviras riska novēršanai (%)</w:t>
            </w:r>
            <w:r>
              <w:rPr>
                <w:b/>
                <w:sz w:val="24"/>
                <w:rFonts w:ascii="Times New Roman" w:hAnsi="Times New Roman"/>
              </w:rPr>
              <w:t xml:space="preserve"> </w:t>
            </w:r>
          </w:p>
          <w:p w14:paraId="4884A9B8" w14:textId="32CF04C9" w:rsidR="00597D20" w:rsidRPr="00232C88" w:rsidRDefault="49BBA50F" w:rsidP="4D769726">
            <w:pPr>
              <w:spacing w:before="60" w:after="120"/>
              <w:jc w:val="both"/>
              <w:rPr>
                <w:sz w:val="24"/>
                <w:shd w:val="clear" w:color="auto" w:fill="FFFFFF"/>
                <w:rFonts w:ascii="Times New Roman" w:eastAsia="Book Antiqua" w:hAnsi="Times New Roman" w:cs="Times New Roman"/>
              </w:rPr>
            </w:pPr>
            <w:r>
              <w:rPr>
                <w:sz w:val="24"/>
                <w:shd w:val="clear" w:color="auto" w:fill="FFFFFF"/>
                <w:rFonts w:ascii="Times New Roman" w:hAnsi="Times New Roman"/>
              </w:rPr>
              <w:t xml:space="preserve">Pašu kapitāla papildu prasības pārmērīgas sviras riska novēršanai, ko piemērojusi kompetentā iestāde saskaņā ar Direktīvas 2013/36/ES 104. panta 1. punkta a) apakšpunktu, izteiktas procentos no kopējās riska darījumu vērtības mēra.</w:t>
            </w:r>
            <w:r>
              <w:rPr>
                <w:sz w:val="24"/>
                <w:shd w:val="clear" w:color="auto" w:fill="FFFFFF"/>
                <w:rFonts w:ascii="Times New Roman" w:hAnsi="Times New Roman"/>
              </w:rPr>
              <w:t xml:space="preserve"> </w:t>
            </w:r>
          </w:p>
          <w:p w14:paraId="46E7F0BC" w14:textId="2D154485" w:rsidR="000C1BEC" w:rsidRPr="00232C88" w:rsidRDefault="00597D20" w:rsidP="00597D20">
            <w:pPr>
              <w:spacing w:before="60" w:after="120"/>
              <w:jc w:val="both"/>
              <w:rPr>
                <w:sz w:val="24"/>
                <w:rFonts w:ascii="Times New Roman" w:hAnsi="Times New Roman" w:cs="Times New Roman"/>
              </w:rPr>
            </w:pPr>
            <w:r>
              <w:rPr>
                <w:sz w:val="24"/>
                <w:rFonts w:ascii="Times New Roman" w:hAnsi="Times New Roman"/>
              </w:rPr>
              <w:t xml:space="preserve">Pašu kapitāla papildu prasības saskaņā ar vērtību, ko iestādes atklājušas EBI IT risinājumu XI pielikumā (EU-26.a rinda veidnē EU LR2-LRCom:</w:t>
            </w:r>
            <w:r>
              <w:rPr>
                <w:sz w:val="24"/>
                <w:rFonts w:ascii="Times New Roman" w:hAnsi="Times New Roman"/>
              </w:rPr>
              <w:t xml:space="preserve"> </w:t>
            </w:r>
            <w:r>
              <w:rPr>
                <w:sz w:val="24"/>
                <w:rFonts w:ascii="Times New Roman" w:hAnsi="Times New Roman"/>
              </w:rPr>
              <w:t xml:space="preserve">“Kopīga informācija, kas jāatklāj par sviras rādītāju”).</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 xml:space="preserve">EU 14.b</w:t>
            </w:r>
          </w:p>
        </w:tc>
        <w:tc>
          <w:tcPr>
            <w:tcW w:w="7655" w:type="dxa"/>
          </w:tcPr>
          <w:p w14:paraId="2B7D35CB" w14:textId="5C222559" w:rsidR="00381E59" w:rsidRPr="00232C88" w:rsidRDefault="002B7ED3" w:rsidP="00597D20">
            <w:pPr>
              <w:spacing w:before="60" w:after="120"/>
              <w:jc w:val="both"/>
              <w:rPr>
                <w:b/>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t. sk.:</w:t>
            </w:r>
            <w:r>
              <w:rPr>
                <w:sz w:val="24"/>
                <w:b/>
                <w:rFonts w:ascii="Times New Roman" w:hAnsi="Times New Roman"/>
              </w:rPr>
              <w:t xml:space="preserve"> </w:t>
            </w:r>
            <w:r>
              <w:rPr>
                <w:sz w:val="24"/>
                <w:b/>
                <w:rFonts w:ascii="Times New Roman" w:hAnsi="Times New Roman"/>
              </w:rPr>
              <w:t xml:space="preserve">kuras jāizpilda ar </w:t>
            </w:r>
            <w:r>
              <w:rPr>
                <w:sz w:val="24"/>
                <w:b/>
                <w:i/>
                <w:rFonts w:ascii="Times New Roman" w:hAnsi="Times New Roman"/>
              </w:rPr>
              <w:t xml:space="preserve">CET1</w:t>
            </w:r>
            <w:r>
              <w:rPr>
                <w:sz w:val="24"/>
                <w:b/>
                <w:rFonts w:ascii="Times New Roman" w:hAnsi="Times New Roman"/>
              </w:rPr>
              <w:t xml:space="preserve"> kapitālu (procentpunkti)</w:t>
            </w:r>
          </w:p>
          <w:p w14:paraId="4E1932EC" w14:textId="4AF7540F" w:rsidR="00597D20" w:rsidRPr="00232C88" w:rsidRDefault="49BBA50F" w:rsidP="4D769726">
            <w:pPr>
              <w:spacing w:before="60" w:after="120"/>
              <w:jc w:val="both"/>
              <w:rPr>
                <w:sz w:val="24"/>
                <w:shd w:val="clear" w:color="auto" w:fill="FFFFFF"/>
                <w:rFonts w:ascii="Times New Roman" w:eastAsia="Book Antiqua" w:hAnsi="Times New Roman" w:cs="Times New Roman"/>
              </w:rPr>
            </w:pPr>
            <w:r>
              <w:rPr>
                <w:sz w:val="24"/>
                <w:shd w:val="clear" w:color="auto" w:fill="FFFFFF"/>
                <w:rFonts w:ascii="Times New Roman" w:hAnsi="Times New Roman"/>
              </w:rPr>
              <w:t xml:space="preserve">Tā daļa no pašu kapitāla papildu prasībām pārmērīgas sviras riska novēršanai, ko piemērojusi kompetentā iestāde saskaņā ar Direktīvas 2013/36/ES 104. panta 1. punkta a) apakšpunktu, kura jāizpilda ar </w:t>
            </w:r>
            <w:r>
              <w:rPr>
                <w:sz w:val="24"/>
                <w:shd w:val="clear" w:color="auto" w:fill="FFFFFF"/>
                <w:i/>
                <w:rFonts w:ascii="Times New Roman" w:hAnsi="Times New Roman"/>
              </w:rPr>
              <w:t xml:space="preserve">CET1</w:t>
            </w:r>
            <w:r>
              <w:rPr>
                <w:sz w:val="24"/>
                <w:shd w:val="clear" w:color="auto" w:fill="FFFFFF"/>
                <w:rFonts w:ascii="Times New Roman" w:hAnsi="Times New Roman"/>
              </w:rPr>
              <w:t xml:space="preserve"> kapitālu saskaņā ar 104.a panta 4. punkta trešo daļu.</w:t>
            </w:r>
            <w:r>
              <w:rPr>
                <w:sz w:val="24"/>
                <w:shd w:val="clear" w:color="auto" w:fill="FFFFFF"/>
                <w:rFonts w:ascii="Times New Roman" w:hAnsi="Times New Roman"/>
              </w:rPr>
              <w:t xml:space="preserve"> </w:t>
            </w:r>
          </w:p>
          <w:p w14:paraId="68D46321" w14:textId="250E24AF" w:rsidR="000C1BEC" w:rsidRPr="00232C88" w:rsidRDefault="00597D20" w:rsidP="000C1BEC">
            <w:pPr>
              <w:spacing w:before="60" w:after="120"/>
              <w:jc w:val="both"/>
              <w:rPr>
                <w:sz w:val="24"/>
                <w:rFonts w:ascii="Times New Roman" w:hAnsi="Times New Roman" w:cs="Times New Roman"/>
              </w:rPr>
            </w:pPr>
            <w:r>
              <w:rPr>
                <w:sz w:val="24"/>
                <w:rFonts w:ascii="Times New Roman" w:hAnsi="Times New Roman"/>
              </w:rPr>
              <w:t xml:space="preserve">Pašu kapitāla papildu prasības saskaņā ar vērtību, ko iestādes atklājušas EBI IT risinājumu XI pielikumā (veidnes EU LR2-LRCom:</w:t>
            </w:r>
            <w:r>
              <w:rPr>
                <w:sz w:val="24"/>
                <w:rFonts w:ascii="Times New Roman" w:hAnsi="Times New Roman"/>
              </w:rPr>
              <w:t xml:space="preserve"> </w:t>
            </w:r>
            <w:r>
              <w:rPr>
                <w:sz w:val="24"/>
                <w:rFonts w:ascii="Times New Roman" w:hAnsi="Times New Roman"/>
              </w:rPr>
              <w:t xml:space="preserve">“Kopīga informācija, kas jāatklāj par sviras rādītāju”).</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 xml:space="preserve">EU 14.c</w:t>
            </w:r>
          </w:p>
        </w:tc>
        <w:tc>
          <w:tcPr>
            <w:tcW w:w="7655" w:type="dxa"/>
          </w:tcPr>
          <w:p w14:paraId="4458837C" w14:textId="180D2C07" w:rsidR="00505188" w:rsidRPr="00232C88" w:rsidRDefault="00505188" w:rsidP="001C2D18">
            <w:pPr>
              <w:spacing w:before="60" w:after="120"/>
              <w:jc w:val="both"/>
              <w:rPr>
                <w:b/>
                <w:sz w:val="24"/>
                <w:rFonts w:ascii="Times New Roman" w:hAnsi="Times New Roman" w:cs="Times New Roman"/>
              </w:rPr>
            </w:pPr>
            <w:r>
              <w:rPr>
                <w:b/>
                <w:sz w:val="24"/>
                <w:rFonts w:ascii="Times New Roman" w:hAnsi="Times New Roman"/>
              </w:rPr>
              <w:t xml:space="preserve">Kopējās </w:t>
            </w:r>
            <w:r>
              <w:rPr>
                <w:b/>
                <w:sz w:val="24"/>
                <w:i/>
                <w:rFonts w:ascii="Times New Roman" w:hAnsi="Times New Roman"/>
              </w:rPr>
              <w:t xml:space="preserve">SREP</w:t>
            </w:r>
            <w:r>
              <w:rPr>
                <w:b/>
                <w:sz w:val="24"/>
                <w:rFonts w:ascii="Times New Roman" w:hAnsi="Times New Roman"/>
              </w:rPr>
              <w:t xml:space="preserve"> sviras rādītāja prasības (%)</w:t>
            </w:r>
          </w:p>
          <w:p w14:paraId="12B9013E" w14:textId="77777777" w:rsidR="00505188" w:rsidRPr="00677BB2" w:rsidRDefault="00505188" w:rsidP="00677BB2">
            <w:pPr>
              <w:pStyle w:val="InstructionsText"/>
            </w:pPr>
            <w:r>
              <w:t xml:space="preserve">Šāda i) un ii) summa:</w:t>
            </w:r>
          </w:p>
          <w:p w14:paraId="5E716F27" w14:textId="0373DF56" w:rsidR="00505188" w:rsidRPr="00677BB2" w:rsidRDefault="00D96782" w:rsidP="00677BB2">
            <w:pPr>
              <w:pStyle w:val="InstructionsText"/>
            </w:pPr>
            <w:r>
              <w:t xml:space="preserve">i) minimālā sviras rādītāja prasība, kas noteikta Regulas (ES) Nr. 575/2013 92. panta 1. punkta d) apakšpunktā, vai koriģētā sviras rādītāja prasība, kas aprēķināta saskaņā ar Regulas (ES) Nr. 575/2013 429.a panta 7. punktu;</w:t>
            </w:r>
            <w:r>
              <w:t xml:space="preserve"> </w:t>
            </w:r>
          </w:p>
          <w:p w14:paraId="40C21DE2" w14:textId="09C7D200" w:rsidR="00505188" w:rsidRPr="00677BB2" w:rsidRDefault="00D96782" w:rsidP="00677BB2">
            <w:pPr>
              <w:pStyle w:val="InstructionsText"/>
            </w:pPr>
            <w:r>
              <w:t xml:space="preserve">ii) pašu kapitāla papildu prasības pārmērīgas sviras riska novēršanai (2. pīlāra prasības – </w:t>
            </w:r>
            <w:r>
              <w:rPr>
                <w:i/>
              </w:rPr>
              <w:t xml:space="preserve">P2R</w:t>
            </w:r>
            <w:r>
              <w:t xml:space="preserve">), ko piemērojusi kompetentā iestāde saskaņā ar Direktīvas 2013/36/ES 104. panta 1. punkta a) apakšpunktu, izteiktas procentos no kopējās riska darījumu vērtības mēra.</w:t>
            </w:r>
          </w:p>
          <w:p w14:paraId="72014476" w14:textId="72428B13" w:rsidR="00505188" w:rsidRPr="00677BB2" w:rsidRDefault="00505188" w:rsidP="00677BB2">
            <w:pPr>
              <w:pStyle w:val="InstructionsText"/>
            </w:pPr>
            <w:r>
              <w:t xml:space="preserve">Šis postenis atspoguļo kopējās </w:t>
            </w:r>
            <w:r>
              <w:rPr>
                <w:i/>
              </w:rPr>
              <w:t xml:space="preserve">SREP</w:t>
            </w:r>
            <w:r>
              <w:t xml:space="preserve"> sviras rādītāja prasības (</w:t>
            </w:r>
            <w:r>
              <w:rPr>
                <w:i/>
              </w:rPr>
              <w:t xml:space="preserve">TSLRR</w:t>
            </w:r>
            <w:r>
              <w:t xml:space="preserve">), ko iestādei paziņojusi kompetentā iestāde.</w:t>
            </w:r>
          </w:p>
          <w:p w14:paraId="35AC4925" w14:textId="264DA7C5" w:rsidR="00505188" w:rsidRPr="00232C88" w:rsidRDefault="00505188" w:rsidP="00A44A20">
            <w:pPr>
              <w:spacing w:before="60" w:after="120"/>
              <w:jc w:val="both"/>
              <w:rPr>
                <w:sz w:val="24"/>
                <w:rFonts w:ascii="Times New Roman" w:hAnsi="Times New Roman" w:cs="Times New Roman"/>
              </w:rPr>
            </w:pPr>
            <w:r>
              <w:rPr>
                <w:sz w:val="24"/>
                <w:rFonts w:ascii="Times New Roman" w:hAnsi="Times New Roman"/>
              </w:rPr>
              <w:t xml:space="preserve">Ja kompetentā iestāde nav piemērojusi pašu kapitāla papildu prasības pārmērīgas sviras riska novēršanai, uzrāda tikai i) punktu.</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t xml:space="preserve">EU 14.d</w:t>
            </w:r>
          </w:p>
        </w:tc>
        <w:tc>
          <w:tcPr>
            <w:tcW w:w="7655" w:type="dxa"/>
          </w:tcPr>
          <w:p w14:paraId="08E93EB0" w14:textId="1CAE83B8" w:rsidR="00505188" w:rsidRPr="00232C88" w:rsidRDefault="00BB3630" w:rsidP="00677BB2">
            <w:pPr>
              <w:pStyle w:val="InstructionsText"/>
            </w:pPr>
            <w:r>
              <w:t xml:space="preserve">Sviras rādītāja rezervju prasība (%)</w:t>
            </w:r>
          </w:p>
          <w:p w14:paraId="0A30AE70" w14:textId="646BA176" w:rsidR="00641F64" w:rsidRPr="00232C88" w:rsidRDefault="00641F64" w:rsidP="004A2B2B">
            <w:pPr>
              <w:spacing w:before="60" w:after="120"/>
              <w:jc w:val="both"/>
              <w:rPr>
                <w:sz w:val="24"/>
                <w:rFonts w:ascii="Times New Roman" w:hAnsi="Times New Roman" w:cs="Times New Roman"/>
              </w:rPr>
            </w:pPr>
            <w:r>
              <w:rPr>
                <w:sz w:val="24"/>
                <w:rFonts w:ascii="Times New Roman" w:hAnsi="Times New Roman"/>
              </w:rPr>
              <w:t xml:space="preserve">Regulas (ES) Nr. 575/2013 92. panta 1.a punkts.</w:t>
            </w:r>
          </w:p>
          <w:p w14:paraId="7716A8FF" w14:textId="2792D8EB" w:rsidR="00505188" w:rsidRPr="00232C88" w:rsidRDefault="00505188" w:rsidP="004A2B2B">
            <w:pPr>
              <w:spacing w:before="60" w:after="120"/>
              <w:jc w:val="both"/>
              <w:rPr>
                <w:sz w:val="24"/>
                <w:rFonts w:ascii="Times New Roman" w:hAnsi="Times New Roman" w:cs="Times New Roman"/>
              </w:rPr>
            </w:pPr>
            <w:r>
              <w:rPr>
                <w:sz w:val="24"/>
                <w:rFonts w:ascii="Times New Roman" w:hAnsi="Times New Roman"/>
              </w:rPr>
              <w:t xml:space="preserve">Piemērojamā sviras rādītāja rezerve saskaņā ar vērtību, ko iestādes atklājušas EBI IT risinājumu XI pielikumā (27. rinda veidnē EU LR2-LRCom:</w:t>
            </w:r>
            <w:r>
              <w:rPr>
                <w:sz w:val="24"/>
                <w:rFonts w:ascii="Times New Roman" w:hAnsi="Times New Roman"/>
              </w:rPr>
              <w:t xml:space="preserve"> </w:t>
            </w:r>
            <w:r>
              <w:rPr>
                <w:sz w:val="24"/>
                <w:rFonts w:ascii="Times New Roman" w:hAnsi="Times New Roman"/>
              </w:rPr>
              <w:t xml:space="preserve">“Kopīga informācija, kas jāatklāj par sviras rādītāju”).</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 xml:space="preserve">EU 14.e</w:t>
            </w:r>
          </w:p>
        </w:tc>
        <w:tc>
          <w:tcPr>
            <w:tcW w:w="7655" w:type="dxa"/>
          </w:tcPr>
          <w:p w14:paraId="69DDF496" w14:textId="1D586C01" w:rsidR="00505188" w:rsidRPr="00232C88" w:rsidRDefault="00505188" w:rsidP="001C2D18">
            <w:pPr>
              <w:spacing w:before="60" w:after="120"/>
              <w:jc w:val="both"/>
              <w:rPr>
                <w:b/>
                <w:sz w:val="24"/>
                <w:rFonts w:ascii="Times New Roman" w:hAnsi="Times New Roman" w:cs="Times New Roman"/>
              </w:rPr>
            </w:pPr>
            <w:r>
              <w:rPr>
                <w:b/>
                <w:sz w:val="24"/>
                <w:rFonts w:ascii="Times New Roman" w:hAnsi="Times New Roman"/>
              </w:rPr>
              <w:t xml:space="preserve">Vispārējā sviras rādītāja prasība (%)</w:t>
            </w:r>
          </w:p>
          <w:p w14:paraId="02FD04C6" w14:textId="7E32495C" w:rsidR="00505188" w:rsidRPr="00232C88" w:rsidRDefault="00505188" w:rsidP="00597D20">
            <w:pPr>
              <w:spacing w:before="60" w:after="120"/>
              <w:jc w:val="both"/>
              <w:rPr>
                <w:sz w:val="24"/>
                <w:rFonts w:ascii="Times New Roman" w:hAnsi="Times New Roman" w:cs="Times New Roman"/>
              </w:rPr>
            </w:pPr>
            <w:r>
              <w:rPr>
                <w:sz w:val="24"/>
                <w:rFonts w:ascii="Times New Roman" w:hAnsi="Times New Roman"/>
              </w:rPr>
              <w:t xml:space="preserve">EU 14.c un EU 14.d rindā norādīto vērtību summa.</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 xml:space="preserve">15.</w:t>
            </w:r>
          </w:p>
        </w:tc>
        <w:tc>
          <w:tcPr>
            <w:tcW w:w="7655" w:type="dxa"/>
          </w:tcPr>
          <w:p w14:paraId="54AB95EC" w14:textId="77777777" w:rsidR="00BB2F0A" w:rsidRPr="00232C88" w:rsidRDefault="00BB2F0A" w:rsidP="00BB2F0A">
            <w:pPr>
              <w:spacing w:before="60" w:after="120"/>
              <w:jc w:val="both"/>
              <w:rPr>
                <w:b/>
                <w:sz w:val="24"/>
                <w:rFonts w:ascii="Times New Roman" w:hAnsi="Times New Roman" w:cs="Times New Roman"/>
              </w:rPr>
            </w:pPr>
            <w:bookmarkStart w:id="11" w:name="OLE_LINK1"/>
            <w:r>
              <w:rPr>
                <w:b/>
                <w:sz w:val="24"/>
                <w:rFonts w:ascii="Times New Roman" w:hAnsi="Times New Roman"/>
              </w:rPr>
              <w:t xml:space="preserve">Kopējie augstas kvalitātes likvīdie aktīvi (</w:t>
            </w:r>
            <w:r>
              <w:rPr>
                <w:b/>
                <w:sz w:val="24"/>
                <w:i/>
                <w:rFonts w:ascii="Times New Roman" w:hAnsi="Times New Roman"/>
              </w:rPr>
              <w:t xml:space="preserve">HQLA</w:t>
            </w:r>
            <w:r>
              <w:rPr>
                <w:b/>
                <w:sz w:val="24"/>
                <w:rFonts w:ascii="Times New Roman" w:hAnsi="Times New Roman"/>
              </w:rPr>
              <w:t xml:space="preserve">) (svērtā vērtība – vidējais rādītājs)</w:t>
            </w:r>
          </w:p>
          <w:bookmarkEnd w:id="11"/>
          <w:p w14:paraId="55A35EA4" w14:textId="793083C0" w:rsidR="00910181" w:rsidRPr="00232C88" w:rsidRDefault="00910181" w:rsidP="002635C4">
            <w:pPr>
              <w:spacing w:before="60" w:after="120"/>
              <w:jc w:val="both"/>
              <w:rPr>
                <w:sz w:val="24"/>
                <w:rFonts w:ascii="Times New Roman" w:hAnsi="Times New Roman" w:cs="Times New Roman"/>
              </w:rPr>
            </w:pPr>
            <w:r>
              <w:rPr>
                <w:sz w:val="24"/>
                <w:rFonts w:ascii="Times New Roman" w:hAnsi="Times New Roman"/>
              </w:rPr>
              <w:t xml:space="preserve">Iestādes atklāj likvīdo aktīvu vērtību kā svērto vērtību saskaņā ar Komisijas Deleģētās regulas (ES) 2015/61</w:t>
            </w:r>
            <w:r w:rsidR="00704085" w:rsidRPr="00232C88">
              <w:rPr>
                <w:rStyle w:val="FootnoteReference"/>
                <w:rFonts w:ascii="Times New Roman" w:hAnsi="Times New Roman" w:cs="Times New Roman"/>
              </w:rPr>
              <w:footnoteReference w:id="4"/>
            </w:r>
            <w:r>
              <w:rPr>
                <w:sz w:val="24"/>
                <w:rFonts w:ascii="Times New Roman" w:hAnsi="Times New Roman"/>
              </w:rPr>
              <w:t xml:space="preserve"> 9. pantu pirms Deleģētās regulas (ES) 2015/61 17. panta 2. punktā noteiktā korekcijas mehānisma piemērošanas.</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 xml:space="preserve">EU 16.a</w:t>
            </w:r>
          </w:p>
        </w:tc>
        <w:tc>
          <w:tcPr>
            <w:tcW w:w="7655" w:type="dxa"/>
          </w:tcPr>
          <w:p w14:paraId="0FDF2F0C" w14:textId="77777777" w:rsidR="00F829DE" w:rsidRPr="00232C88" w:rsidRDefault="00F829DE" w:rsidP="009008FD">
            <w:pPr>
              <w:spacing w:before="60" w:after="120"/>
              <w:jc w:val="both"/>
              <w:rPr>
                <w:b/>
                <w:sz w:val="24"/>
                <w:rFonts w:ascii="Times New Roman" w:hAnsi="Times New Roman" w:cs="Times New Roman"/>
              </w:rPr>
            </w:pPr>
            <w:r>
              <w:rPr>
                <w:b/>
                <w:sz w:val="24"/>
                <w:rFonts w:ascii="Times New Roman" w:hAnsi="Times New Roman"/>
              </w:rPr>
              <w:t xml:space="preserve">Izejošās naudas plūsmas – kopējā svērtā vērtība</w:t>
            </w:r>
            <w:r>
              <w:rPr>
                <w:b/>
                <w:sz w:val="24"/>
                <w:rFonts w:ascii="Times New Roman" w:hAnsi="Times New Roman"/>
              </w:rPr>
              <w:t xml:space="preserve"> </w:t>
            </w:r>
          </w:p>
          <w:p w14:paraId="001CA858" w14:textId="412A239E" w:rsidR="009008FD" w:rsidRPr="00232C88" w:rsidRDefault="009008FD" w:rsidP="009008FD">
            <w:pPr>
              <w:spacing w:before="60" w:after="120"/>
              <w:jc w:val="both"/>
              <w:rPr>
                <w:sz w:val="24"/>
                <w:rFonts w:ascii="Times New Roman" w:hAnsi="Times New Roman" w:cs="Times New Roman"/>
              </w:rPr>
            </w:pPr>
            <w:r>
              <w:rPr>
                <w:sz w:val="24"/>
                <w:rFonts w:ascii="Times New Roman" w:hAnsi="Times New Roman"/>
              </w:rPr>
              <w:t xml:space="preserve">Iestādes atklāj savu izejošo naudas plūsmu svērtās vērtības summu, kas atklāta XIII pielikumā (veidnes EU LIQ1 “Kvantitatīvā informācija par </w:t>
            </w:r>
            <w:r>
              <w:rPr>
                <w:sz w:val="24"/>
                <w:i/>
                <w:rFonts w:ascii="Times New Roman" w:hAnsi="Times New Roman"/>
              </w:rPr>
              <w:t xml:space="preserve">LCR</w:t>
            </w:r>
            <w:r>
              <w:rPr>
                <w:sz w:val="24"/>
                <w:rFonts w:ascii="Times New Roman" w:hAnsi="Times New Roman"/>
              </w:rPr>
              <w:t xml:space="preserve">” 16. rinda).</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 xml:space="preserve">EU 16.b</w:t>
            </w:r>
          </w:p>
        </w:tc>
        <w:tc>
          <w:tcPr>
            <w:tcW w:w="7655" w:type="dxa"/>
          </w:tcPr>
          <w:p w14:paraId="6A63425C" w14:textId="77777777" w:rsidR="00F829DE" w:rsidRPr="00232C88" w:rsidRDefault="00F829DE" w:rsidP="009008FD">
            <w:pPr>
              <w:spacing w:before="60" w:after="120"/>
              <w:jc w:val="both"/>
              <w:rPr>
                <w:b/>
                <w:sz w:val="24"/>
                <w:rFonts w:ascii="Times New Roman" w:hAnsi="Times New Roman" w:cs="Times New Roman"/>
              </w:rPr>
            </w:pPr>
            <w:r>
              <w:rPr>
                <w:b/>
                <w:sz w:val="24"/>
                <w:rFonts w:ascii="Times New Roman" w:hAnsi="Times New Roman"/>
              </w:rPr>
              <w:t xml:space="preserve">Ienākošās naudas plūsmas – kopējā svērtā vērtība</w:t>
            </w:r>
            <w:r>
              <w:rPr>
                <w:b/>
                <w:sz w:val="24"/>
                <w:rFonts w:ascii="Times New Roman" w:hAnsi="Times New Roman"/>
              </w:rPr>
              <w:t xml:space="preserve"> </w:t>
            </w:r>
          </w:p>
          <w:p w14:paraId="7CF5A37A" w14:textId="29FD5A91" w:rsidR="009008FD" w:rsidRPr="00232C88" w:rsidRDefault="009008FD" w:rsidP="009008FD">
            <w:pPr>
              <w:spacing w:before="60" w:after="120"/>
              <w:jc w:val="both"/>
              <w:rPr>
                <w:sz w:val="24"/>
                <w:rFonts w:ascii="Times New Roman" w:hAnsi="Times New Roman" w:cs="Times New Roman"/>
              </w:rPr>
            </w:pPr>
            <w:r>
              <w:rPr>
                <w:sz w:val="24"/>
                <w:rFonts w:ascii="Times New Roman" w:hAnsi="Times New Roman"/>
              </w:rPr>
              <w:t xml:space="preserve">Iestādes atklāj savu ienākošo naudas plūsmu svērtās vērtības summu, kas atklāta XIII pielikumā (veidnes EU LIQ1 “Kvantitatīvā informācija par </w:t>
            </w:r>
            <w:r>
              <w:rPr>
                <w:sz w:val="24"/>
                <w:i/>
                <w:rFonts w:ascii="Times New Roman" w:hAnsi="Times New Roman"/>
              </w:rPr>
              <w:t xml:space="preserve">LCR</w:t>
            </w:r>
            <w:r>
              <w:rPr>
                <w:sz w:val="24"/>
                <w:rFonts w:ascii="Times New Roman" w:hAnsi="Times New Roman"/>
              </w:rPr>
              <w:t xml:space="preserve">” 20. rinda).</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 xml:space="preserve">16.</w:t>
            </w:r>
          </w:p>
        </w:tc>
        <w:tc>
          <w:tcPr>
            <w:tcW w:w="7655" w:type="dxa"/>
          </w:tcPr>
          <w:p w14:paraId="7DCF86AE" w14:textId="77777777" w:rsidR="00BB2F0A" w:rsidRPr="00232C88"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Kopējās neto izejošās naudas plūsmas (koriģētā vērtība)</w:t>
            </w:r>
          </w:p>
          <w:p w14:paraId="1D6EC4CA" w14:textId="77777777" w:rsidR="00910181" w:rsidRPr="00232C88" w:rsidRDefault="00910181" w:rsidP="00DA590B">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Iestādes atklāj kā koriģēto vērtību neto likviditātes izejošo plūsmu, kas vienāda ar kopējo izejošo plūsmu, atskaitot samazinājumu par pilnībā atbrīvotajām ienākošajām plūsmām, atskaitot samazinājumu par ienākošajām plūsmām, kam piemēro 90 % maksimālo robežvērtību, un atskaitot samazinājumu par ienākošajām plūsmām, kam piemēro 75 % maksimālo robežvērtību.</w:t>
            </w:r>
            <w:r>
              <w:rPr>
                <w:sz w:val="24"/>
                <w:rFonts w:ascii="Times New Roman" w:hAnsi="Times New Roman"/>
              </w:rPr>
              <w:t xml:space="preserve">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 xml:space="preserve">17.</w:t>
            </w:r>
          </w:p>
        </w:tc>
        <w:tc>
          <w:tcPr>
            <w:tcW w:w="7655" w:type="dxa"/>
          </w:tcPr>
          <w:p w14:paraId="6739EBCB" w14:textId="77777777" w:rsidR="00BB2F0A" w:rsidRPr="00232C88"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Likviditātes seguma rādītājs (%)</w:t>
            </w:r>
          </w:p>
          <w:p w14:paraId="3417B7EB" w14:textId="101E0602" w:rsidR="00910181" w:rsidRPr="00232C88" w:rsidRDefault="00910181" w:rsidP="00910181">
            <w:pPr>
              <w:autoSpaceDE w:val="0"/>
              <w:autoSpaceDN w:val="0"/>
              <w:adjustRightInd w:val="0"/>
              <w:jc w:val="both"/>
              <w:rPr>
                <w:sz w:val="24"/>
                <w:rFonts w:ascii="Times New Roman" w:hAnsi="Times New Roman" w:cs="Times New Roman"/>
              </w:rPr>
            </w:pPr>
            <w:r>
              <w:rPr>
                <w:sz w:val="24"/>
                <w:rFonts w:ascii="Times New Roman" w:hAnsi="Times New Roman"/>
              </w:rPr>
              <w:t xml:space="preserve">Iestādes atklāj kā koriģēto vērtību Deleģētās regulas (ES) 2015/61 4. panta 1. punktā definētā posteņa “Likviditātes seguma rādītājs” procentuālo daļu.</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Likviditātes seguma rādītājs ir vienāds ar kredītiestādes likviditātes rezervju attiecību pret tās neto likviditātes izejošajām plūsmām 30 kalendāro dienu ilgā spriedzes periodā, un to izsaka procentos.</w:t>
            </w:r>
            <w:r>
              <w:rPr>
                <w:sz w:val="24"/>
                <w:rFonts w:ascii="Times New Roman" w:hAnsi="Times New Roman"/>
              </w:rPr>
              <w:t xml:space="preserve">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 xml:space="preserve">18.</w:t>
            </w:r>
          </w:p>
        </w:tc>
        <w:tc>
          <w:tcPr>
            <w:tcW w:w="7655" w:type="dxa"/>
          </w:tcPr>
          <w:p w14:paraId="5F20E9BB" w14:textId="77777777" w:rsidR="00BB2F0A" w:rsidRPr="00232C88" w:rsidRDefault="009501D6" w:rsidP="00BB2F0A">
            <w:pPr>
              <w:spacing w:before="60" w:after="120"/>
              <w:jc w:val="both"/>
              <w:rPr>
                <w:b/>
                <w:sz w:val="24"/>
                <w:rFonts w:ascii="Times New Roman" w:hAnsi="Times New Roman" w:cs="Times New Roman"/>
              </w:rPr>
            </w:pPr>
            <w:r>
              <w:rPr>
                <w:b/>
                <w:sz w:val="24"/>
                <w:rFonts w:ascii="Times New Roman" w:hAnsi="Times New Roman"/>
              </w:rPr>
              <w:t xml:space="preserve">Kopējais pieejamais stabilais finansējums</w:t>
            </w:r>
          </w:p>
          <w:p w14:paraId="0CB3A2BF" w14:textId="5072E411" w:rsidR="009501D6" w:rsidRPr="00232C88" w:rsidRDefault="009501D6" w:rsidP="00AF5BC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Iestādes atklāj pieejamā stabilā finansējuma summu, kas aprēķināta saskaņā ar Regulas (ES) Nr. 575/2013 sestās daļas IV sadaļas 3. nodaļu un kas atklāta EBI IT risinājumu XIII pielikumā (veidnes EU LIQ2 “Neto stabila finansējuma rādītājs” 14. rinda).</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 xml:space="preserve">19.</w:t>
            </w:r>
          </w:p>
        </w:tc>
        <w:tc>
          <w:tcPr>
            <w:tcW w:w="7655" w:type="dxa"/>
          </w:tcPr>
          <w:p w14:paraId="33D8D493" w14:textId="77777777" w:rsidR="00EA38FE" w:rsidRPr="00232C88" w:rsidRDefault="009501D6" w:rsidP="00EA38FE">
            <w:pPr>
              <w:spacing w:before="60" w:after="120"/>
              <w:jc w:val="both"/>
              <w:rPr>
                <w:b/>
                <w:sz w:val="24"/>
                <w:rFonts w:ascii="Times New Roman" w:hAnsi="Times New Roman" w:cs="Times New Roman"/>
              </w:rPr>
            </w:pPr>
            <w:r>
              <w:rPr>
                <w:b/>
                <w:sz w:val="24"/>
                <w:rFonts w:ascii="Times New Roman" w:hAnsi="Times New Roman"/>
              </w:rPr>
              <w:t xml:space="preserve">Kopējais nepieciešamais stabilais finansējums</w:t>
            </w:r>
          </w:p>
          <w:p w14:paraId="205FE1F2" w14:textId="61549A3C" w:rsidR="009501D6" w:rsidRPr="00232C88" w:rsidRDefault="1BE56CD4" w:rsidP="4D769726">
            <w:pPr>
              <w:spacing w:before="60" w:after="120"/>
              <w:jc w:val="both"/>
              <w:rPr>
                <w:sz w:val="24"/>
                <w:rFonts w:ascii="Times New Roman" w:hAnsi="Times New Roman" w:cs="Times New Roman"/>
              </w:rPr>
            </w:pPr>
            <w:r>
              <w:rPr>
                <w:sz w:val="24"/>
                <w:rFonts w:ascii="Times New Roman" w:hAnsi="Times New Roman"/>
              </w:rPr>
              <w:t xml:space="preserve">Iestādes atklāj nepieciešamā stabilā finansējuma summu, kas aprēķināta saskaņā ar Regulas (ES) Nr. 575/2013 sestās daļas IV sadaļas 4. nodaļu un kas atklāta EBI IT risinājumu XIII pielikumā (veidnes EU LIQ2 “Neto stabila finansējuma rādītājs” 33. rinda).</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 xml:space="preserve">20.</w:t>
            </w:r>
          </w:p>
        </w:tc>
        <w:tc>
          <w:tcPr>
            <w:tcW w:w="7655" w:type="dxa"/>
          </w:tcPr>
          <w:p w14:paraId="2C215CE4" w14:textId="77777777" w:rsidR="00BB2F0A" w:rsidRPr="00232C88" w:rsidRDefault="00EA38FE" w:rsidP="00BB2F0A">
            <w:pPr>
              <w:spacing w:before="60" w:after="120"/>
              <w:jc w:val="both"/>
              <w:rPr>
                <w:b/>
                <w:sz w:val="24"/>
                <w:rFonts w:ascii="Times New Roman" w:hAnsi="Times New Roman" w:cs="Times New Roman"/>
              </w:rPr>
            </w:pPr>
            <w:r>
              <w:rPr>
                <w:b/>
                <w:sz w:val="24"/>
                <w:i/>
                <w:rFonts w:ascii="Times New Roman" w:hAnsi="Times New Roman"/>
              </w:rPr>
              <w:t xml:space="preserve">NSFR</w:t>
            </w:r>
            <w:r>
              <w:rPr>
                <w:b/>
                <w:sz w:val="24"/>
                <w:rFonts w:ascii="Times New Roman" w:hAnsi="Times New Roman"/>
              </w:rPr>
              <w:t xml:space="preserve"> rādītājs (%)</w:t>
            </w:r>
          </w:p>
          <w:p w14:paraId="16F56415" w14:textId="58990105" w:rsidR="00EA38FE" w:rsidRPr="00232C88" w:rsidRDefault="00EA38FE" w:rsidP="0097538A">
            <w:pPr>
              <w:spacing w:before="60" w:after="120"/>
              <w:jc w:val="both"/>
              <w:rPr>
                <w:sz w:val="24"/>
                <w:rFonts w:ascii="Times New Roman" w:hAnsi="Times New Roman" w:cs="Times New Roman"/>
              </w:rPr>
            </w:pPr>
            <w:r>
              <w:rPr>
                <w:sz w:val="24"/>
                <w:i/>
                <w:rFonts w:ascii="Times New Roman" w:hAnsi="Times New Roman"/>
              </w:rPr>
              <w:t xml:space="preserve">NSFR</w:t>
            </w:r>
            <w:r>
              <w:rPr>
                <w:sz w:val="24"/>
                <w:rFonts w:ascii="Times New Roman" w:hAnsi="Times New Roman"/>
              </w:rPr>
              <w:t xml:space="preserve"> rādītājs aprēķināts saskaņā ar Regulas (ES) Nr. 575/2013 428.b pantu.</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sz w:val="24"/>
          <w:rFonts w:ascii="Times New Roman" w:hAnsi="Times New Roman" w:cs="Times New Roman"/>
        </w:rPr>
      </w:pPr>
      <w:r>
        <w:rPr>
          <w:sz w:val="24"/>
          <w:b/>
          <w:rFonts w:ascii="Times New Roman" w:hAnsi="Times New Roman"/>
        </w:rPr>
        <w:t xml:space="preserve">Veidne EU INS1 – Apdrošināšanas līdzdalības.</w:t>
      </w:r>
      <w:r>
        <w:rPr>
          <w:sz w:val="24"/>
          <w:b/>
          <w:rFonts w:ascii="Times New Roman" w:hAnsi="Times New Roman"/>
        </w:rPr>
        <w:t xml:space="preserve"> </w:t>
      </w:r>
      <w:r>
        <w:rPr>
          <w:sz w:val="24"/>
          <w:rFonts w:ascii="Times New Roman" w:hAnsi="Times New Roman"/>
        </w:rPr>
        <w:t xml:space="preserve">Fiksēts formāts.</w:t>
      </w:r>
    </w:p>
    <w:p w14:paraId="385CC150" w14:textId="3B3D9F17" w:rsidR="00B10EE4" w:rsidRPr="00232C88" w:rsidRDefault="00BA25D7" w:rsidP="009260D6">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Iestādes piemēro šajā pielikumā sniegtos norādījumus, lai aizpildītu I pielikumā sniegto veidni EU INS1, saskaņā ar Regulas (ES) Nr. 575/2013 438. panta f) punktu.</w:t>
      </w:r>
    </w:p>
    <w:p w14:paraId="5970EF08" w14:textId="77777777" w:rsidR="00295952" w:rsidRPr="00232C88"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 xml:space="preserve">a</w:t>
            </w:r>
          </w:p>
        </w:tc>
        <w:tc>
          <w:tcPr>
            <w:tcW w:w="7655" w:type="dxa"/>
            <w:vAlign w:val="center"/>
          </w:tcPr>
          <w:p w14:paraId="7249EC0E" w14:textId="77777777" w:rsidR="00295952" w:rsidRPr="00726C67" w:rsidRDefault="00295952" w:rsidP="00B2180A">
            <w:pPr>
              <w:spacing w:before="60" w:after="120"/>
              <w:jc w:val="both"/>
              <w:rPr>
                <w:b/>
                <w:bCs/>
                <w:sz w:val="24"/>
                <w:rFonts w:ascii="Times New Roman" w:hAnsi="Times New Roman" w:cs="Times New Roman"/>
              </w:rPr>
            </w:pPr>
            <w:r>
              <w:rPr>
                <w:b/>
                <w:sz w:val="24"/>
                <w:rFonts w:ascii="Times New Roman" w:hAnsi="Times New Roman"/>
              </w:rPr>
              <w:t xml:space="preserve">Riska darījumu vērtība</w:t>
            </w:r>
          </w:p>
          <w:p w14:paraId="18F1CB5D" w14:textId="190541F5" w:rsidR="00295952" w:rsidRPr="00232C88" w:rsidRDefault="00295952" w:rsidP="0097538A">
            <w:pPr>
              <w:spacing w:before="60" w:after="120"/>
              <w:jc w:val="both"/>
              <w:rPr>
                <w:sz w:val="24"/>
                <w:rFonts w:ascii="Times New Roman" w:hAnsi="Times New Roman" w:cs="Times New Roman"/>
              </w:rPr>
            </w:pPr>
            <w:r>
              <w:rPr>
                <w:sz w:val="24"/>
                <w:rFonts w:ascii="Times New Roman" w:hAnsi="Times New Roman"/>
              </w:rPr>
              <w:t xml:space="preserve">Riska darījumu vērtība pašu kapitāla instrumentiem, ko tur apdrošināšanas uzņēmums, pārapdrošināšanas uzņēmums vai apdrošināšanas pārvaldītājsabiedrība un ko iestādes neatskaita no sava pašu kapitāla saskaņā ar Regulas (ES) Nr. 575/2013 49. pantu, aprēķinot savas kapitāla prasības individuālā, subkonsolidētā un konsolidētā līmenī.</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 xml:space="preserve">b</w:t>
            </w:r>
          </w:p>
        </w:tc>
        <w:tc>
          <w:tcPr>
            <w:tcW w:w="7655" w:type="dxa"/>
            <w:vAlign w:val="center"/>
          </w:tcPr>
          <w:p w14:paraId="35F05204" w14:textId="21F04E81" w:rsidR="00295952" w:rsidRPr="00726C67" w:rsidRDefault="00295952" w:rsidP="00B2180A">
            <w:pPr>
              <w:spacing w:before="60" w:after="120"/>
              <w:jc w:val="both"/>
              <w:rPr>
                <w:b/>
                <w:bCs/>
                <w:sz w:val="24"/>
                <w:rFonts w:ascii="Times New Roman" w:hAnsi="Times New Roman" w:cs="Times New Roman"/>
              </w:rPr>
            </w:pPr>
            <w:r>
              <w:rPr>
                <w:b/>
                <w:sz w:val="24"/>
                <w:rFonts w:ascii="Times New Roman" w:hAnsi="Times New Roman"/>
              </w:rPr>
              <w:t xml:space="preserve">Riska darījumu vērtība</w:t>
            </w:r>
          </w:p>
          <w:p w14:paraId="5F873619" w14:textId="1505D88C" w:rsidR="00295952" w:rsidRPr="00232C88" w:rsidRDefault="00295952" w:rsidP="00282104">
            <w:pPr>
              <w:spacing w:before="60" w:after="120"/>
              <w:jc w:val="both"/>
              <w:rPr>
                <w:sz w:val="24"/>
                <w:rFonts w:ascii="Times New Roman" w:hAnsi="Times New Roman" w:cs="Times New Roman"/>
              </w:rPr>
            </w:pPr>
            <w:r>
              <w:rPr>
                <w:sz w:val="24"/>
                <w:rFonts w:ascii="Times New Roman" w:hAnsi="Times New Roman"/>
              </w:rPr>
              <w:t xml:space="preserve">Riska darījumu vērtība pašu kapitāla instrumentiem, ko tur apdrošināšanas uzņēmums, pārapdrošināšanas uzņēmums vai apdrošināšanas pārvaldītājsabiedrība un ko iestādes neatskaita no sava pašu kapitāla saskaņā ar Regulas (ES) Nr. 575/2013 49. pantu, aprēķinot savas kapitāla prasības individuālā, subkonsolidētā un konsolidētā līmenī.</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sz w:val="24"/>
          <w:rFonts w:ascii="Times New Roman" w:hAnsi="Times New Roman" w:cs="Times New Roman"/>
        </w:rPr>
      </w:pPr>
      <w:r>
        <w:rPr>
          <w:sz w:val="24"/>
          <w:b/>
          <w:rFonts w:ascii="Times New Roman" w:hAnsi="Times New Roman"/>
        </w:rPr>
        <w:t xml:space="preserve">Veidne EU INS2 – Finanšu konglomerāti – informācija par pašu kapitālu un kapitāla pietiekamības rādītāju.</w:t>
      </w:r>
      <w:r>
        <w:rPr>
          <w:sz w:val="24"/>
          <w:b/>
          <w:rFonts w:ascii="Times New Roman" w:hAnsi="Times New Roman"/>
        </w:rPr>
        <w:t xml:space="preserve"> </w:t>
      </w:r>
      <w:r>
        <w:rPr>
          <w:sz w:val="24"/>
          <w:rFonts w:ascii="Times New Roman" w:hAnsi="Times New Roman"/>
        </w:rPr>
        <w:t xml:space="preserve">Fiksēts formāts.</w:t>
      </w:r>
    </w:p>
    <w:p w14:paraId="61F5C281" w14:textId="596FEC3B" w:rsidR="00295952" w:rsidRPr="00232C88" w:rsidRDefault="00295952" w:rsidP="009260D6">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Iestādes piemēro turpmāk šajā pielikumā sniegtos norādījumus, lai aizpildītu EBI IT risinājumu I pielikumā sniegto veidni EU INS2, piemērojot Regulas (ES) 575/2013 438. panta g) punktu.</w:t>
      </w:r>
    </w:p>
    <w:p w14:paraId="2C33B06C" w14:textId="77777777" w:rsidR="00295952" w:rsidRPr="00232C88"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 xml:space="preserve">1.</w:t>
            </w:r>
          </w:p>
        </w:tc>
        <w:tc>
          <w:tcPr>
            <w:tcW w:w="7655" w:type="dxa"/>
            <w:vAlign w:val="center"/>
          </w:tcPr>
          <w:p w14:paraId="4FDD3332" w14:textId="34430A5B" w:rsidR="00295952" w:rsidRPr="00232C88" w:rsidRDefault="00295952" w:rsidP="00B2180A">
            <w:pPr>
              <w:spacing w:before="60" w:after="120"/>
              <w:jc w:val="both"/>
              <w:rPr>
                <w:b/>
                <w:bCs/>
                <w:sz w:val="24"/>
                <w:rFonts w:ascii="Times New Roman" w:hAnsi="Times New Roman" w:cs="Times New Roman"/>
              </w:rPr>
            </w:pPr>
            <w:r>
              <w:rPr>
                <w:b/>
                <w:sz w:val="24"/>
                <w:rFonts w:ascii="Times New Roman" w:hAnsi="Times New Roman"/>
              </w:rPr>
              <w:t xml:space="preserve">Finanšu konglomerāta pašu kapitāla papildu prasības (summa)</w:t>
            </w:r>
            <w:r>
              <w:rPr>
                <w:b/>
                <w:sz w:val="24"/>
                <w:rFonts w:ascii="Times New Roman" w:hAnsi="Times New Roman"/>
              </w:rPr>
              <w:t xml:space="preserve"> </w:t>
            </w:r>
          </w:p>
          <w:p w14:paraId="7401DE1A" w14:textId="40167C3D" w:rsidR="00295952" w:rsidRPr="00232C88" w:rsidRDefault="000A3A4A" w:rsidP="00704085">
            <w:pPr>
              <w:spacing w:before="60" w:after="120"/>
              <w:jc w:val="both"/>
              <w:rPr>
                <w:sz w:val="24"/>
                <w:rFonts w:ascii="Times New Roman" w:hAnsi="Times New Roman" w:cs="Times New Roman"/>
              </w:rPr>
            </w:pPr>
            <w:r>
              <w:rPr>
                <w:sz w:val="24"/>
                <w:rFonts w:ascii="Times New Roman" w:hAnsi="Times New Roman"/>
              </w:rPr>
              <w:t xml:space="preserve">Finanšu konglomerāta pašu kapitāla papildu prasību summa, kas aprēķināta saskaņā ar Eiropas Parlamenta un Padomes Direktīvas (EK) 2002/87</w:t>
            </w:r>
            <w:r w:rsidR="00F515D4" w:rsidRPr="00232C88">
              <w:rPr>
                <w:rStyle w:val="FootnoteReference"/>
                <w:rFonts w:ascii="Times New Roman" w:hAnsi="Times New Roman" w:cs="Times New Roman"/>
              </w:rPr>
              <w:footnoteReference w:id="5"/>
            </w:r>
            <w:r>
              <w:rPr>
                <w:sz w:val="24"/>
                <w:rFonts w:ascii="Times New Roman" w:hAnsi="Times New Roman"/>
              </w:rPr>
              <w:t xml:space="preserve"> 6. pantu un minētās direktīvas I pielikumu, ja piemēro I pielikumā noteikto 1. vai 2. metodi.</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 xml:space="preserve">2.</w:t>
            </w:r>
          </w:p>
        </w:tc>
        <w:tc>
          <w:tcPr>
            <w:tcW w:w="7655" w:type="dxa"/>
            <w:vAlign w:val="center"/>
          </w:tcPr>
          <w:p w14:paraId="42B45BEE" w14:textId="77777777" w:rsidR="00295952" w:rsidRPr="00232C88" w:rsidRDefault="00295952" w:rsidP="00B2180A">
            <w:pPr>
              <w:spacing w:before="60" w:after="120"/>
              <w:jc w:val="both"/>
              <w:rPr>
                <w:b/>
                <w:bCs/>
                <w:sz w:val="24"/>
                <w:rFonts w:ascii="Times New Roman" w:hAnsi="Times New Roman" w:cs="Times New Roman"/>
              </w:rPr>
            </w:pPr>
            <w:r>
              <w:rPr>
                <w:b/>
                <w:sz w:val="24"/>
                <w:rFonts w:ascii="Times New Roman" w:hAnsi="Times New Roman"/>
              </w:rPr>
              <w:t xml:space="preserve">Finanšu konglomerāta kapitāla pietiekamības rādītājs (%)</w:t>
            </w:r>
          </w:p>
          <w:p w14:paraId="1C3780DF" w14:textId="2B1ECEB3" w:rsidR="00295952" w:rsidRPr="00232C88" w:rsidRDefault="00295952" w:rsidP="00704085">
            <w:pPr>
              <w:spacing w:before="60" w:after="120"/>
              <w:jc w:val="both"/>
              <w:rPr>
                <w:sz w:val="24"/>
                <w:rFonts w:ascii="Times New Roman" w:hAnsi="Times New Roman" w:cs="Times New Roman"/>
              </w:rPr>
            </w:pPr>
            <w:r>
              <w:rPr>
                <w:sz w:val="24"/>
                <w:rFonts w:ascii="Times New Roman" w:hAnsi="Times New Roman"/>
              </w:rPr>
              <w:t xml:space="preserve">Finanšu konglomerāta kapitāla pietiekamības rādītājs, kas aprēķināts saskaņā ar Direktīvas (EK) 2002/87 6. pantu un minētās direktīvas I pielikumu, ja piemēro I pielikumā noteikto 1. vai 2. metodi.</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b/>
          <w:sz w:val="24"/>
          <w:rFonts w:ascii="Times New Roman" w:hAnsi="Times New Roman" w:cs="Times New Roman"/>
        </w:rPr>
      </w:pPr>
      <w:r>
        <w:rPr>
          <w:sz w:val="24"/>
          <w:b/>
          <w:rFonts w:ascii="Times New Roman" w:hAnsi="Times New Roman"/>
        </w:rPr>
        <w:t xml:space="preserve">Tabula EU OVC – </w:t>
      </w:r>
      <w:r>
        <w:rPr>
          <w:sz w:val="24"/>
          <w:b/>
          <w:i/>
          <w:rFonts w:ascii="Times New Roman" w:hAnsi="Times New Roman"/>
        </w:rPr>
        <w:t xml:space="preserve">ICAAP</w:t>
      </w:r>
      <w:r>
        <w:rPr>
          <w:sz w:val="24"/>
          <w:b/>
          <w:rFonts w:ascii="Times New Roman" w:hAnsi="Times New Roman"/>
        </w:rPr>
        <w:t xml:space="preserve"> informācija.</w:t>
      </w:r>
      <w:r>
        <w:rPr>
          <w:sz w:val="24"/>
          <w:b/>
          <w:rFonts w:ascii="Times New Roman" w:hAnsi="Times New Roman"/>
        </w:rPr>
        <w:t xml:space="preserve"> </w:t>
      </w:r>
      <w:r>
        <w:rPr>
          <w:sz w:val="24"/>
          <w:rFonts w:ascii="Times New Roman" w:hAnsi="Times New Roman"/>
        </w:rPr>
        <w:t xml:space="preserve">Elastīgs formāts.</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Iestādes piemēro šajā pielikumā sniegtos norādījumus, lai aizpildītu I pielikumā sniegto veidni EU OVC, piemērojot Regulas (ES) 575/2013 438. panta a) un c) apakšpunktu.</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 xml:space="preserve">a)</w:t>
            </w:r>
          </w:p>
        </w:tc>
        <w:tc>
          <w:tcPr>
            <w:tcW w:w="7655" w:type="dxa"/>
            <w:vAlign w:val="center"/>
          </w:tcPr>
          <w:p w14:paraId="4945628B" w14:textId="41ECE8DA" w:rsidR="00B05624" w:rsidRPr="00232C88" w:rsidRDefault="00B05624" w:rsidP="00B2180A">
            <w:pPr>
              <w:spacing w:before="60" w:after="120"/>
              <w:jc w:val="both"/>
              <w:rPr>
                <w:b/>
                <w:bCs/>
                <w:sz w:val="24"/>
                <w:rFonts w:ascii="Times New Roman" w:hAnsi="Times New Roman" w:cs="Times New Roman"/>
              </w:rPr>
            </w:pPr>
            <w:r>
              <w:rPr>
                <w:b/>
                <w:sz w:val="24"/>
                <w:rFonts w:ascii="Times New Roman" w:hAnsi="Times New Roman"/>
              </w:rPr>
              <w:t xml:space="preserve">Iekšējā kapitāla pietiekamības novērtēšanas pieeja</w:t>
            </w:r>
          </w:p>
          <w:p w14:paraId="05E23E13" w14:textId="77777777" w:rsidR="00D15B1C" w:rsidRPr="00232C88" w:rsidRDefault="00B05624" w:rsidP="00B05624">
            <w:pPr>
              <w:spacing w:before="60" w:after="120"/>
              <w:jc w:val="both"/>
              <w:rPr>
                <w:sz w:val="24"/>
                <w:rFonts w:ascii="Times New Roman" w:hAnsi="Times New Roman" w:cs="Times New Roman"/>
              </w:rPr>
            </w:pPr>
            <w:r>
              <w:rPr>
                <w:sz w:val="24"/>
                <w:rFonts w:ascii="Times New Roman" w:hAnsi="Times New Roman"/>
              </w:rPr>
              <w:t xml:space="preserve">Iestādes sniedz kopsavilkumu par pieeju, ko tās izmanto, novērtējot sava iekšējā kapitāla pietiekamību pašreizējās un plānotās darbības nodrošināšanai.</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 xml:space="preserve">b)</w:t>
            </w:r>
          </w:p>
        </w:tc>
        <w:tc>
          <w:tcPr>
            <w:tcW w:w="7655" w:type="dxa"/>
            <w:vAlign w:val="center"/>
          </w:tcPr>
          <w:p w14:paraId="1F26E981" w14:textId="2FD580C4" w:rsidR="00B05624" w:rsidRPr="00232C88" w:rsidRDefault="00B05624" w:rsidP="00B2180A">
            <w:pPr>
              <w:spacing w:before="60" w:after="120"/>
              <w:jc w:val="both"/>
              <w:rPr>
                <w:b/>
                <w:bCs/>
                <w:sz w:val="24"/>
                <w:rFonts w:ascii="Times New Roman" w:hAnsi="Times New Roman" w:cs="Times New Roman"/>
              </w:rPr>
            </w:pPr>
            <w:r>
              <w:rPr>
                <w:b/>
                <w:sz w:val="24"/>
                <w:rFonts w:ascii="Times New Roman" w:hAnsi="Times New Roman"/>
              </w:rPr>
              <w:t xml:space="preserve">Pēc attiecīgās kompetentās iestādes pieprasījuma – iestādes iekšējā kapitāla pietiekamības novērtēšanas procesa rezultāts</w:t>
            </w:r>
          </w:p>
          <w:p w14:paraId="32D8B55C" w14:textId="77777777" w:rsidR="00D15B1C" w:rsidRPr="00232C88" w:rsidRDefault="00B05624" w:rsidP="00B2180A">
            <w:pPr>
              <w:spacing w:before="60" w:after="120"/>
              <w:jc w:val="both"/>
              <w:rPr>
                <w:sz w:val="24"/>
                <w:rFonts w:ascii="Times New Roman" w:hAnsi="Times New Roman" w:cs="Times New Roman"/>
              </w:rPr>
            </w:pPr>
            <w:r>
              <w:rPr>
                <w:sz w:val="24"/>
                <w:rFonts w:ascii="Times New Roman" w:hAnsi="Times New Roman"/>
              </w:rPr>
              <w:t xml:space="preserve">Šo informāciju iestādes atklāj tikai tad, ja to pieprasa attiecīgā kompetentā iestāde.</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sz w:val="24"/>
          <w:rFonts w:ascii="Times New Roman" w:hAnsi="Times New Roman" w:cs="Times New Roman"/>
        </w:rPr>
      </w:pPr>
      <w:r>
        <w:rPr>
          <w:sz w:val="24"/>
          <w:b/>
          <w:rFonts w:ascii="Times New Roman" w:hAnsi="Times New Roman"/>
        </w:rPr>
        <w:t xml:space="preserve">Veidne EU CMS1 – Modelētās un standartizētās riska darījumu riska svērtās vērtības salīdzinājums riska līmenī.</w:t>
      </w:r>
      <w:r>
        <w:rPr>
          <w:sz w:val="24"/>
          <w:b/>
          <w:rFonts w:ascii="Times New Roman" w:hAnsi="Times New Roman"/>
        </w:rPr>
        <w:t xml:space="preserve"> </w:t>
      </w:r>
      <w:r>
        <w:rPr>
          <w:sz w:val="24"/>
          <w:rFonts w:ascii="Times New Roman" w:hAnsi="Times New Roman"/>
        </w:rPr>
        <w:t xml:space="preserve">Fiksēts formāts.</w:t>
      </w:r>
    </w:p>
    <w:p w14:paraId="36DAA287" w14:textId="6AC070E1" w:rsidR="0084180E" w:rsidRPr="00232C88" w:rsidRDefault="00DC2C46" w:rsidP="4D769726">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Iestādes piemēro turpmāk šajā pielikumā sniegtos norādījumus, lai aizpildītu I pielikumā ietverto veidni EU CMS1, piemērojot Regulas (ES) Nr. 575/2013 438. panta d) un da) punktu.</w:t>
      </w:r>
    </w:p>
    <w:p w14:paraId="57705F0E" w14:textId="35F79DC6" w:rsidR="00E86C14" w:rsidRPr="00232C88" w:rsidRDefault="00E86C14" w:rsidP="00F83255">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Šo veidni iesniedz tikai tās iestādes, kuras izmanto kādu iekšējo modeli, ko kompetentā iestāde apstiprinājusi riska darījumu riska svērtās vērtības aprēķināšanai, un uz kurām neattiecas Regulas (ES) Nr. 575/2013 92. panta 3. punkta otrajā daļā paredzētais atbrīvojums.</w:t>
      </w:r>
    </w:p>
    <w:p w14:paraId="022B4D4D" w14:textId="5C9C14ED" w:rsidR="009E1A3F" w:rsidRPr="00232C88" w:rsidRDefault="00644388" w:rsidP="009E1A3F">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Attiecīgā gadījumā iestādes veidnei pievienotajā izklāsta daļā paskaidro, kā pašu kapitāla un riska darījumu svērto vērtību aprēķināšanu ietekmē kapitāla minimuma piemērošana un posteņu neatskaitīšana no pašu kapitāla.</w:t>
      </w:r>
    </w:p>
    <w:p w14:paraId="2DEA712B" w14:textId="0B1ED4FA" w:rsidR="00644388" w:rsidRPr="00232C88" w:rsidRDefault="00D07048" w:rsidP="009E1A3F">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Turklāt, ja </w:t>
      </w:r>
      <w:r>
        <w:rPr>
          <w:color w:val="auto"/>
          <w:sz w:val="24"/>
          <w:i/>
          <w:rFonts w:ascii="Times New Roman" w:hAnsi="Times New Roman"/>
        </w:rPr>
        <w:t xml:space="preserve">IRB</w:t>
      </w:r>
      <w:r>
        <w:rPr>
          <w:color w:val="auto"/>
          <w:sz w:val="24"/>
          <w:rFonts w:ascii="Times New Roman" w:hAnsi="Times New Roman"/>
        </w:rPr>
        <w:t xml:space="preserve"> riska darījumi saskaņā ar turpmāk sniegtajām norādēm par rindām ir izslēgti no to </w:t>
      </w:r>
      <w:r>
        <w:rPr>
          <w:color w:val="auto"/>
          <w:sz w:val="24"/>
          <w:i/>
          <w:rFonts w:ascii="Times New Roman" w:hAnsi="Times New Roman"/>
        </w:rPr>
        <w:t xml:space="preserve">IRB</w:t>
      </w:r>
      <w:r>
        <w:rPr>
          <w:color w:val="auto"/>
          <w:sz w:val="24"/>
          <w:rFonts w:ascii="Times New Roman" w:hAnsi="Times New Roman"/>
        </w:rPr>
        <w:t xml:space="preserve"> riska darījumu kategorijām un atklāti kādā no veidnē uzskaitītajām standartizētās pieejas riska darījumu kategorijām, iestādes pievienotajā aprakstā norāda savas sākotnējās </w:t>
      </w:r>
      <w:r>
        <w:rPr>
          <w:color w:val="auto"/>
          <w:sz w:val="24"/>
          <w:i/>
          <w:rFonts w:ascii="Times New Roman" w:hAnsi="Times New Roman"/>
        </w:rPr>
        <w:t xml:space="preserve">IRB</w:t>
      </w:r>
      <w:r>
        <w:rPr>
          <w:color w:val="auto"/>
          <w:sz w:val="24"/>
          <w:rFonts w:ascii="Times New Roman" w:hAnsi="Times New Roman"/>
        </w:rPr>
        <w:t xml:space="preserve"> riska darījumu kategorijas.</w:t>
      </w:r>
      <w:r>
        <w:rPr>
          <w:color w:val="auto"/>
          <w:sz w:val="24"/>
          <w:rFonts w:ascii="Times New Roman" w:hAnsi="Times New Roman"/>
        </w:rPr>
        <w:t xml:space="preserve"> </w:t>
      </w:r>
    </w:p>
    <w:p w14:paraId="7F5020E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 xml:space="preserve">a</w:t>
            </w:r>
          </w:p>
        </w:tc>
        <w:tc>
          <w:tcPr>
            <w:tcW w:w="7655" w:type="dxa"/>
            <w:vAlign w:val="center"/>
          </w:tcPr>
          <w:p w14:paraId="0166BCE4" w14:textId="3E30296F" w:rsidR="00351A65" w:rsidRPr="00232C88" w:rsidRDefault="00351A65" w:rsidP="00351A65">
            <w:pPr>
              <w:spacing w:before="60" w:after="12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modelētām pieejām, kuras iestādēm ir atļāvušas izmantot uzraudzības iestādes</w:t>
            </w:r>
            <w:r>
              <w:rPr>
                <w:b/>
                <w:sz w:val="24"/>
                <w:rFonts w:ascii="Times New Roman" w:hAnsi="Times New Roman"/>
              </w:rPr>
              <w:t xml:space="preserve"> </w:t>
            </w:r>
          </w:p>
          <w:p w14:paraId="1E62CED4" w14:textId="7081BEE8" w:rsidR="00351A65" w:rsidRPr="00232C88" w:rsidRDefault="00950346" w:rsidP="0095034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daļa, kas aprēķināta ar kompetentās iestādes apstiprinātiem iekšējiem modeļiem.</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 xml:space="preserve">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portfeļiem, kuriem izmanto standartizētas pieejas</w:t>
            </w:r>
          </w:p>
          <w:p w14:paraId="6431BFCE" w14:textId="53947197" w:rsidR="00351A65" w:rsidRPr="00232C88" w:rsidRDefault="00950346" w:rsidP="00950346">
            <w:pPr>
              <w:spacing w:before="60" w:after="120"/>
              <w:jc w:val="both"/>
              <w:rPr>
                <w:b/>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daļa, kas aprēķināta saskaņā ar standartizētām pieejām.</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 xml:space="preserve">c</w:t>
            </w:r>
          </w:p>
        </w:tc>
        <w:tc>
          <w:tcPr>
            <w:tcW w:w="7655" w:type="dxa"/>
          </w:tcPr>
          <w:p w14:paraId="6D88AF07" w14:textId="76468D2A" w:rsidR="00351A65" w:rsidRPr="00232C88" w:rsidRDefault="004E19D2" w:rsidP="00351A65">
            <w:pPr>
              <w:spacing w:before="60" w:after="120"/>
              <w:jc w:val="both"/>
              <w:rPr>
                <w:b/>
                <w:sz w:val="24"/>
                <w:rFonts w:ascii="Times New Roman" w:hAnsi="Times New Roman" w:cs="Times New Roman"/>
              </w:rPr>
            </w:pPr>
            <w:r>
              <w:rPr>
                <w:b/>
                <w:sz w:val="24"/>
                <w:rFonts w:ascii="Times New Roman" w:hAnsi="Times New Roman"/>
              </w:rPr>
              <w:t xml:space="preserve">Kopējās faktiskās </w:t>
            </w:r>
            <w:r>
              <w:rPr>
                <w:b/>
                <w:sz w:val="24"/>
                <w:i/>
                <w:rFonts w:ascii="Times New Roman" w:hAnsi="Times New Roman"/>
              </w:rPr>
              <w:t xml:space="preserve">RWEA</w:t>
            </w:r>
            <w:r>
              <w:rPr>
                <w:b/>
                <w:sz w:val="24"/>
                <w:rFonts w:ascii="Times New Roman" w:hAnsi="Times New Roman"/>
              </w:rPr>
              <w:t xml:space="preserve"> </w:t>
            </w:r>
          </w:p>
          <w:p w14:paraId="07374A49" w14:textId="776C8579" w:rsidR="00351A65" w:rsidRPr="00232C88" w:rsidRDefault="00E86C14" w:rsidP="00E86C14">
            <w:pPr>
              <w:spacing w:before="60" w:after="120"/>
              <w:jc w:val="both"/>
              <w:rPr>
                <w:sz w:val="24"/>
                <w:rFonts w:ascii="Times New Roman" w:hAnsi="Times New Roman" w:cs="Times New Roman"/>
              </w:rPr>
            </w:pPr>
            <w:r>
              <w:rPr>
                <w:sz w:val="24"/>
                <w:rFonts w:ascii="Times New Roman" w:hAnsi="Times New Roman"/>
              </w:rPr>
              <w:t xml:space="preserve">a un b ailes summa;</w:t>
            </w:r>
            <w:r>
              <w:rPr>
                <w:sz w:val="24"/>
                <w:rFonts w:ascii="Times New Roman" w:hAnsi="Times New Roman"/>
              </w:rPr>
              <w:t xml:space="preserve"> </w:t>
            </w:r>
            <w:r>
              <w:rPr>
                <w:sz w:val="24"/>
                <w:rFonts w:ascii="Times New Roman" w:hAnsi="Times New Roman"/>
              </w:rPr>
              <w:t xml:space="preserve">t. i., </w:t>
            </w:r>
            <w:r>
              <w:rPr>
                <w:sz w:val="24"/>
                <w:i/>
                <w:rFonts w:ascii="Times New Roman" w:hAnsi="Times New Roman"/>
              </w:rPr>
              <w:t xml:space="preserve">RWEA</w:t>
            </w:r>
            <w:r>
              <w:rPr>
                <w:sz w:val="24"/>
                <w:rFonts w:ascii="Times New Roman" w:hAnsi="Times New Roman"/>
              </w:rPr>
              <w:t xml:space="preserve">, par kurām iestādes sniedz informāciju piemērojamo pieeju ietvaros.</w:t>
            </w:r>
            <w:r>
              <w:rPr>
                <w:sz w:val="24"/>
                <w:rFonts w:ascii="Times New Roman" w:hAnsi="Times New Roman"/>
              </w:rPr>
              <w:t xml:space="preserve"> </w:t>
            </w:r>
            <w:r>
              <w:rPr>
                <w:sz w:val="24"/>
                <w:rFonts w:ascii="Times New Roman" w:hAnsi="Times New Roman"/>
              </w:rPr>
              <w:t xml:space="preserve">Kopējās faktiskās </w:t>
            </w:r>
            <w:r>
              <w:rPr>
                <w:sz w:val="24"/>
                <w:i/>
                <w:rFonts w:ascii="Times New Roman" w:hAnsi="Times New Roman"/>
              </w:rPr>
              <w:t xml:space="preserve">RWEA</w:t>
            </w:r>
            <w:r>
              <w:rPr>
                <w:sz w:val="24"/>
                <w:rFonts w:ascii="Times New Roman" w:hAnsi="Times New Roman"/>
              </w:rPr>
              <w:t xml:space="preserve">, kas atklātas 8. rindā, atspoguļo summu pirms riska darījumu vērtības minimālās robežvērtības korekcijas.</w:t>
            </w:r>
            <w:r>
              <w:rPr>
                <w:sz w:val="24"/>
                <w:rFonts w:ascii="Times New Roman" w:hAnsi="Times New Roman"/>
              </w:rPr>
              <w:t xml:space="preserve">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 xml:space="preserve">d</w:t>
            </w:r>
          </w:p>
        </w:tc>
        <w:tc>
          <w:tcPr>
            <w:tcW w:w="7655" w:type="dxa"/>
          </w:tcPr>
          <w:p w14:paraId="7278E918" w14:textId="77777777" w:rsidR="00351A65" w:rsidRPr="00232C88" w:rsidRDefault="00351A65" w:rsidP="00351A65">
            <w:pPr>
              <w:spacing w:before="60" w:after="12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kas aprēķinātas, izmantojot pilnībā standartizētu pieeju</w:t>
            </w:r>
          </w:p>
          <w:p w14:paraId="483ED9BD" w14:textId="77777777" w:rsidR="00DD7C7A" w:rsidRDefault="6016A13E"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kas paredzētas pilnībā standartizēto riska svērto aktīvu (</w:t>
            </w:r>
            <w:r>
              <w:rPr>
                <w:sz w:val="24"/>
                <w:i/>
                <w:rFonts w:ascii="Times New Roman" w:hAnsi="Times New Roman"/>
              </w:rPr>
              <w:t xml:space="preserve">S-TREA</w:t>
            </w:r>
            <w:r>
              <w:rPr>
                <w:sz w:val="24"/>
                <w:rFonts w:ascii="Times New Roman" w:hAnsi="Times New Roman"/>
              </w:rPr>
              <w:t xml:space="preserve">) salīdzināšanai ar modelēto </w:t>
            </w:r>
            <w:r>
              <w:rPr>
                <w:sz w:val="24"/>
                <w:i/>
                <w:rFonts w:ascii="Times New Roman" w:hAnsi="Times New Roman"/>
              </w:rPr>
              <w:t xml:space="preserve">RWEA</w:t>
            </w:r>
            <w:r>
              <w:rPr>
                <w:sz w:val="24"/>
                <w:rFonts w:ascii="Times New Roman" w:hAnsi="Times New Roman"/>
              </w:rPr>
              <w:t xml:space="preserve">, ko bankām atļāvusi izmantot uzraudzības iestāde saskaņā ar Bāzeles regulējumu un kā noteikts Regulas (ES) Nr. 575/2013 438. panta da) punktā.</w:t>
            </w:r>
            <w:r>
              <w:rPr>
                <w:sz w:val="24"/>
                <w:rFonts w:ascii="Times New Roman" w:hAnsi="Times New Roman"/>
              </w:rPr>
              <w:t xml:space="preserve"> </w:t>
            </w:r>
          </w:p>
          <w:p w14:paraId="6908EE47" w14:textId="0FF1BF26" w:rsidR="00AC7521" w:rsidRPr="00232C88" w:rsidRDefault="007727DF" w:rsidP="4D769726">
            <w:pPr>
              <w:spacing w:before="60" w:after="120"/>
              <w:jc w:val="both"/>
              <w:rPr>
                <w:sz w:val="24"/>
                <w:rFonts w:ascii="Times New Roman" w:hAnsi="Times New Roman" w:cs="Times New Roman"/>
              </w:rPr>
            </w:pPr>
            <w:r>
              <w:rPr>
                <w:sz w:val="24"/>
                <w:rFonts w:ascii="Times New Roman" w:hAnsi="Times New Roman"/>
              </w:rPr>
              <w:t xml:space="preserve">Iestādes atklāj </w:t>
            </w:r>
            <w:r>
              <w:rPr>
                <w:sz w:val="24"/>
                <w:i/>
                <w:rFonts w:ascii="Times New Roman" w:hAnsi="Times New Roman"/>
              </w:rPr>
              <w:t xml:space="preserve">RWEA</w:t>
            </w:r>
            <w:r>
              <w:rPr>
                <w:sz w:val="24"/>
                <w:rFonts w:ascii="Times New Roman" w:hAnsi="Times New Roman"/>
              </w:rPr>
              <w:t xml:space="preserve">, kas aprēķināta saskaņā ar Regulas (ES) Nr. 575/2013 92. panta 5. un 6. punktu, nepiemērojot Regulas (ES) Nr. 575/2013 465. panta pārejas noteikumus.</w:t>
            </w:r>
            <w:r>
              <w:rPr>
                <w:sz w:val="24"/>
                <w:rFonts w:ascii="Times New Roman" w:hAnsi="Times New Roman"/>
              </w:rPr>
              <w:t xml:space="preserve"> </w:t>
            </w:r>
          </w:p>
          <w:p w14:paraId="2EB5B6F5" w14:textId="6F0B8F59" w:rsidR="00AB10CF" w:rsidRPr="00232C88" w:rsidRDefault="00AB10CF" w:rsidP="4D769726">
            <w:pPr>
              <w:spacing w:before="60" w:after="120"/>
              <w:jc w:val="both"/>
              <w:rPr>
                <w:sz w:val="24"/>
                <w:rFonts w:ascii="Times New Roman" w:hAnsi="Times New Roman" w:cs="Times New Roman"/>
              </w:rPr>
            </w:pPr>
            <w:r>
              <w:rPr>
                <w:sz w:val="24"/>
                <w:rFonts w:ascii="Times New Roman" w:hAnsi="Times New Roman"/>
              </w:rPr>
              <w:t xml:space="preserve">Kopējā summa, kas uzrādīta 8. rindā, būs bāze riska darījumu vērtības minimālās robežvērtības aprēķināšanai, beidzoties pārejas periodam attiecībā uz riska darījumu vērtības minimālo robežvērtību.</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t xml:space="preserve">EU d</w:t>
            </w:r>
          </w:p>
        </w:tc>
        <w:tc>
          <w:tcPr>
            <w:tcW w:w="7655" w:type="dxa"/>
          </w:tcPr>
          <w:p w14:paraId="70A478AA" w14:textId="2F80B1F8" w:rsidR="00351A65" w:rsidRPr="00232C88" w:rsidRDefault="00351A65" w:rsidP="75135BB5">
            <w:pPr>
              <w:spacing w:before="60" w:after="120"/>
              <w:jc w:val="both"/>
              <w:rPr>
                <w:b/>
                <w:bCs/>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kas ir riska darījumu vērtības minimālās robežvērtības aprēķina bāze</w:t>
            </w:r>
            <w:r>
              <w:rPr>
                <w:b/>
                <w:sz w:val="24"/>
                <w:rFonts w:ascii="Times New Roman" w:hAnsi="Times New Roman"/>
              </w:rPr>
              <w:t xml:space="preserve"> </w:t>
            </w:r>
          </w:p>
          <w:p w14:paraId="4BA6D902" w14:textId="43F99074" w:rsidR="00F35EA5" w:rsidRPr="00232C88" w:rsidRDefault="6FD90119"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kas būs bāze riska darījumu vērtības minimālās robežvērtības aprēķināšanai, kā noteikts Regulas (ES) Nr. 575/2013 438. panta d) punktā.</w:t>
            </w:r>
            <w:r>
              <w:rPr>
                <w:sz w:val="24"/>
                <w:rFonts w:ascii="Times New Roman" w:hAnsi="Times New Roman"/>
              </w:rPr>
              <w:t xml:space="preserve"> </w:t>
            </w:r>
            <w:r>
              <w:rPr>
                <w:sz w:val="24"/>
                <w:rFonts w:ascii="Times New Roman" w:hAnsi="Times New Roman"/>
              </w:rPr>
              <w:t xml:space="preserve">Iestādes atklāj </w:t>
            </w:r>
            <w:r>
              <w:rPr>
                <w:sz w:val="24"/>
                <w:i/>
                <w:rFonts w:ascii="Times New Roman" w:hAnsi="Times New Roman"/>
              </w:rPr>
              <w:t xml:space="preserve">RWEA</w:t>
            </w:r>
            <w:r>
              <w:rPr>
                <w:sz w:val="24"/>
                <w:rFonts w:ascii="Times New Roman" w:hAnsi="Times New Roman"/>
              </w:rPr>
              <w:t xml:space="preserve">, kas aprēķināta saskaņā ar Regulas (ES) Nr. 575/2013 92. panta 5. un 6. punktu, pēc Regulas (ES) Nr. 575/2013 465. panta pārejas noteikumu piemērošanas.</w:t>
            </w:r>
            <w:r>
              <w:rPr>
                <w:sz w:val="24"/>
                <w:rFonts w:ascii="Times New Roman" w:hAnsi="Times New Roman"/>
              </w:rPr>
              <w:t xml:space="preserve"> </w:t>
            </w:r>
          </w:p>
          <w:p w14:paraId="6AB6AEED" w14:textId="2212DB1A" w:rsidR="00351A65" w:rsidRPr="00232C88" w:rsidRDefault="00C83C5F" w:rsidP="673610D2">
            <w:pPr>
              <w:spacing w:before="60" w:after="120"/>
              <w:jc w:val="both"/>
              <w:rPr>
                <w:sz w:val="24"/>
                <w:rFonts w:ascii="Times New Roman" w:hAnsi="Times New Roman" w:cs="Times New Roman"/>
              </w:rPr>
            </w:pPr>
            <w:r>
              <w:rPr>
                <w:sz w:val="24"/>
                <w:rFonts w:ascii="Times New Roman" w:hAnsi="Times New Roman"/>
              </w:rPr>
              <w:t xml:space="preserve">8. rindā uzrādīto </w:t>
            </w:r>
            <w:r>
              <w:rPr>
                <w:sz w:val="24"/>
                <w:i/>
                <w:rFonts w:ascii="Times New Roman" w:hAnsi="Times New Roman"/>
              </w:rPr>
              <w:t xml:space="preserve">RWEA</w:t>
            </w:r>
            <w:r>
              <w:rPr>
                <w:sz w:val="24"/>
                <w:rFonts w:ascii="Times New Roman" w:hAnsi="Times New Roman"/>
              </w:rPr>
              <w:t xml:space="preserve"> kopējā summa ir riska darījumu vērtības minimālās robežvērtības aprēķina bāze.</w:t>
            </w:r>
            <w:r>
              <w:rPr>
                <w:sz w:val="24"/>
                <w:rFonts w:ascii="Times New Roman" w:hAnsi="Times New Roman"/>
              </w:rPr>
              <w:t xml:space="preserve"> </w:t>
            </w:r>
          </w:p>
          <w:p w14:paraId="343C355A" w14:textId="1C3BCD00" w:rsidR="00C83C5F" w:rsidRPr="00232C88" w:rsidRDefault="00C83C5F" w:rsidP="00A26EB4">
            <w:pPr>
              <w:spacing w:before="60" w:after="120"/>
              <w:jc w:val="both"/>
              <w:rPr>
                <w:rFonts w:ascii="Times New Roman" w:hAnsi="Times New Roman" w:cs="Times New Roman"/>
                <w:b/>
                <w:sz w:val="24"/>
                <w:lang w:val="en-US"/>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 xml:space="preserve">1.</w:t>
            </w:r>
          </w:p>
        </w:tc>
        <w:tc>
          <w:tcPr>
            <w:tcW w:w="7655" w:type="dxa"/>
            <w:vAlign w:val="center"/>
          </w:tcPr>
          <w:p w14:paraId="6BE15844" w14:textId="77777777" w:rsidR="00351A65" w:rsidRPr="00232C88" w:rsidRDefault="00351A65" w:rsidP="00351A65">
            <w:pPr>
              <w:spacing w:before="60" w:after="120"/>
              <w:jc w:val="both"/>
              <w:rPr>
                <w:b/>
                <w:sz w:val="24"/>
                <w:rFonts w:ascii="Times New Roman" w:hAnsi="Times New Roman" w:cs="Times New Roman"/>
              </w:rPr>
            </w:pPr>
            <w:r>
              <w:rPr>
                <w:b/>
                <w:sz w:val="24"/>
                <w:rFonts w:ascii="Times New Roman" w:hAnsi="Times New Roman"/>
              </w:rPr>
              <w:t xml:space="preserve">Kredītrisks (izņemot darījuma partnera kredītrisku)</w:t>
            </w:r>
          </w:p>
          <w:p w14:paraId="6FB93949" w14:textId="4AA3D61D" w:rsidR="00351A65" w:rsidRPr="00232C88" w:rsidRDefault="71B55015"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kas aprēķinātas saskaņā ar Regulas (ES) Nr. 575/2013 trešās daļas II sadaļas 1.–4. nodaļu.</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 xml:space="preserve">2.</w:t>
            </w:r>
          </w:p>
        </w:tc>
        <w:tc>
          <w:tcPr>
            <w:tcW w:w="7655" w:type="dxa"/>
          </w:tcPr>
          <w:p w14:paraId="193663C9" w14:textId="77777777" w:rsidR="00351A65" w:rsidRPr="00232C88" w:rsidRDefault="00351A65" w:rsidP="00351A65">
            <w:pPr>
              <w:spacing w:before="60" w:after="120"/>
              <w:jc w:val="both"/>
              <w:rPr>
                <w:b/>
                <w:sz w:val="24"/>
                <w:rFonts w:ascii="Times New Roman" w:hAnsi="Times New Roman" w:cs="Times New Roman"/>
              </w:rPr>
            </w:pPr>
            <w:r>
              <w:rPr>
                <w:b/>
                <w:sz w:val="24"/>
                <w:rFonts w:ascii="Times New Roman" w:hAnsi="Times New Roman"/>
              </w:rPr>
              <w:t xml:space="preserve">Darījuma partnera kredītrisks</w:t>
            </w:r>
          </w:p>
          <w:p w14:paraId="3182E1E1" w14:textId="33BA5B0B" w:rsidR="00351A65" w:rsidRPr="00232C88" w:rsidRDefault="71B55015" w:rsidP="4D769726">
            <w:pPr>
              <w:spacing w:before="60" w:after="120"/>
              <w:jc w:val="both"/>
              <w:rPr>
                <w:sz w:val="24"/>
                <w:rFonts w:ascii="Times New Roman" w:eastAsia="Times New Roman" w:hAnsi="Times New Roman" w:cs="Times New Roman"/>
              </w:rPr>
            </w:pPr>
            <w:r>
              <w:rPr>
                <w:sz w:val="24"/>
                <w:i/>
                <w:rFonts w:ascii="Times New Roman" w:hAnsi="Times New Roman"/>
              </w:rPr>
              <w:t xml:space="preserve">RWEA</w:t>
            </w:r>
            <w:r>
              <w:rPr>
                <w:sz w:val="24"/>
                <w:rFonts w:ascii="Times New Roman" w:hAnsi="Times New Roman"/>
              </w:rPr>
              <w:t xml:space="preserve">, kas aprēķinātas saskaņā ar Regulas (ES) Nr. 575/2013 trešās daļas II sadaļas 6. nodaļu.</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 xml:space="preserve">3.</w:t>
            </w:r>
          </w:p>
        </w:tc>
        <w:tc>
          <w:tcPr>
            <w:tcW w:w="7655" w:type="dxa"/>
          </w:tcPr>
          <w:p w14:paraId="6CFEBE25" w14:textId="77777777" w:rsidR="00351A65" w:rsidRPr="00232C88" w:rsidRDefault="00351A65" w:rsidP="00351A65">
            <w:pPr>
              <w:spacing w:before="60" w:after="120"/>
              <w:jc w:val="both"/>
              <w:rPr>
                <w:b/>
                <w:sz w:val="24"/>
                <w:rFonts w:ascii="Times New Roman" w:hAnsi="Times New Roman" w:cs="Times New Roman"/>
              </w:rPr>
            </w:pPr>
            <w:r>
              <w:rPr>
                <w:b/>
                <w:sz w:val="24"/>
                <w:rFonts w:ascii="Times New Roman" w:hAnsi="Times New Roman"/>
              </w:rPr>
              <w:t xml:space="preserve">Kredīta vērtības korekcija</w:t>
            </w:r>
          </w:p>
          <w:p w14:paraId="4656E3A0" w14:textId="3193E711" w:rsidR="005B7CFD" w:rsidRPr="00232C88" w:rsidRDefault="71B55015" w:rsidP="4D769726">
            <w:pPr>
              <w:spacing w:before="60" w:after="120"/>
              <w:jc w:val="both"/>
              <w:rPr>
                <w:sz w:val="24"/>
                <w:rFonts w:ascii="Times New Roman" w:eastAsia="Times New Roman" w:hAnsi="Times New Roman" w:cs="Times New Roman"/>
              </w:rPr>
            </w:pPr>
            <w:r>
              <w:rPr>
                <w:sz w:val="24"/>
                <w:i/>
                <w:rFonts w:ascii="Times New Roman" w:hAnsi="Times New Roman"/>
              </w:rPr>
              <w:t xml:space="preserve">RWEA</w:t>
            </w:r>
            <w:r>
              <w:rPr>
                <w:sz w:val="24"/>
                <w:rFonts w:ascii="Times New Roman" w:hAnsi="Times New Roman"/>
              </w:rPr>
              <w:t xml:space="preserve">, kas aprēķinātas saskaņā ar Regulas (ES) Nr. 575/2013 trešās daļas VI sadaļu.</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 xml:space="preserve">4.</w:t>
            </w:r>
          </w:p>
        </w:tc>
        <w:tc>
          <w:tcPr>
            <w:tcW w:w="7655" w:type="dxa"/>
          </w:tcPr>
          <w:p w14:paraId="25F6392F" w14:textId="77777777" w:rsidR="00351A65" w:rsidRPr="00232C88" w:rsidRDefault="00351A65" w:rsidP="00351A65">
            <w:pPr>
              <w:spacing w:before="60" w:after="120"/>
              <w:jc w:val="both"/>
              <w:rPr>
                <w:b/>
                <w:sz w:val="24"/>
                <w:rFonts w:ascii="Times New Roman" w:hAnsi="Times New Roman" w:cs="Times New Roman"/>
              </w:rPr>
            </w:pPr>
            <w:r>
              <w:rPr>
                <w:b/>
                <w:sz w:val="24"/>
                <w:rFonts w:ascii="Times New Roman" w:hAnsi="Times New Roman"/>
              </w:rPr>
              <w:t xml:space="preserve">Vērtspapīrošanas riska darījumi bankas portfelī</w:t>
            </w:r>
          </w:p>
          <w:p w14:paraId="12148115" w14:textId="25CD441A" w:rsidR="005B7CFD" w:rsidRPr="00232C88" w:rsidRDefault="71B55015"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kas aprēķinātas saskaņā ar Regulas (ES) Nr. 575/2013 trešās daļas II sadaļas 5. nodaļu.</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 xml:space="preserve">5.</w:t>
            </w:r>
          </w:p>
        </w:tc>
        <w:tc>
          <w:tcPr>
            <w:tcW w:w="7655" w:type="dxa"/>
          </w:tcPr>
          <w:p w14:paraId="23CF498B" w14:textId="77777777" w:rsidR="00351A65" w:rsidRPr="00232C88" w:rsidRDefault="00351A65" w:rsidP="00351A65">
            <w:pPr>
              <w:spacing w:before="60" w:after="120"/>
              <w:jc w:val="both"/>
              <w:rPr>
                <w:b/>
                <w:sz w:val="24"/>
                <w:rFonts w:ascii="Times New Roman" w:hAnsi="Times New Roman" w:cs="Times New Roman"/>
              </w:rPr>
            </w:pPr>
            <w:r>
              <w:rPr>
                <w:b/>
                <w:sz w:val="24"/>
                <w:rFonts w:ascii="Times New Roman" w:hAnsi="Times New Roman"/>
              </w:rPr>
              <w:t xml:space="preserve">Tirgus risks</w:t>
            </w:r>
          </w:p>
          <w:p w14:paraId="4C641D47" w14:textId="0B6B1BE2" w:rsidR="005B7CFD" w:rsidRPr="00232C88" w:rsidRDefault="7456809E" w:rsidP="4D769726">
            <w:pPr>
              <w:spacing w:before="60" w:after="120"/>
              <w:jc w:val="both"/>
              <w:rPr>
                <w:sz w:val="24"/>
                <w:rFonts w:ascii="Times New Roman" w:eastAsia="Times New Roman" w:hAnsi="Times New Roman" w:cs="Times New Roman"/>
              </w:rPr>
            </w:pPr>
            <w:r>
              <w:rPr>
                <w:sz w:val="24"/>
                <w:i/>
                <w:rFonts w:ascii="Times New Roman" w:hAnsi="Times New Roman"/>
              </w:rPr>
              <w:t xml:space="preserve">RWEA</w:t>
            </w:r>
            <w:r>
              <w:rPr>
                <w:sz w:val="24"/>
                <w:rFonts w:ascii="Times New Roman" w:hAnsi="Times New Roman"/>
              </w:rPr>
              <w:t xml:space="preserve">, kas aprēķinātas saskaņā ar Regulas (ES) Nr. 575/2013 trešās daļas IV sadaļu.</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 xml:space="preserve">6.</w:t>
            </w:r>
          </w:p>
        </w:tc>
        <w:tc>
          <w:tcPr>
            <w:tcW w:w="7655" w:type="dxa"/>
          </w:tcPr>
          <w:p w14:paraId="009D9DD6" w14:textId="77777777" w:rsidR="00950346" w:rsidRPr="00232C88" w:rsidRDefault="00351A65" w:rsidP="00351A65">
            <w:pPr>
              <w:spacing w:before="60" w:after="120"/>
              <w:jc w:val="both"/>
              <w:rPr>
                <w:b/>
                <w:sz w:val="24"/>
                <w:rFonts w:ascii="Times New Roman" w:hAnsi="Times New Roman" w:cs="Times New Roman"/>
              </w:rPr>
            </w:pPr>
            <w:r>
              <w:rPr>
                <w:b/>
                <w:sz w:val="24"/>
                <w:rFonts w:ascii="Times New Roman" w:hAnsi="Times New Roman"/>
              </w:rPr>
              <w:t xml:space="preserve">Operacionālais risks</w:t>
            </w:r>
          </w:p>
          <w:p w14:paraId="656F593F" w14:textId="7FEAA360" w:rsidR="00351A65" w:rsidRPr="00232C88" w:rsidRDefault="7456809E" w:rsidP="4D769726">
            <w:pPr>
              <w:spacing w:before="60" w:after="120"/>
              <w:jc w:val="both"/>
              <w:rPr>
                <w:b/>
                <w:bCs/>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kas aprēķinātas saskaņā ar Regulas (ES) Nr. 575/2013 trešās daļas III sadaļu.</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 xml:space="preserve">7.</w:t>
            </w:r>
          </w:p>
        </w:tc>
        <w:tc>
          <w:tcPr>
            <w:tcW w:w="7655" w:type="dxa"/>
          </w:tcPr>
          <w:p w14:paraId="5DDC7723" w14:textId="77777777" w:rsidR="00950346" w:rsidRPr="00232C88" w:rsidRDefault="00351A65" w:rsidP="00351A65">
            <w:pPr>
              <w:spacing w:before="60" w:after="120"/>
              <w:jc w:val="both"/>
              <w:rPr>
                <w:b/>
                <w:sz w:val="24"/>
                <w:rFonts w:ascii="Times New Roman" w:hAnsi="Times New Roman" w:cs="Times New Roman"/>
              </w:rPr>
            </w:pPr>
            <w:r>
              <w:rPr>
                <w:b/>
                <w:sz w:val="24"/>
                <w:rFonts w:ascii="Times New Roman" w:hAnsi="Times New Roman"/>
              </w:rPr>
              <w:t xml:space="preserve">Citas riska darījumu vērtības</w:t>
            </w:r>
          </w:p>
          <w:p w14:paraId="2799E41A" w14:textId="125C8E55" w:rsidR="00351A65" w:rsidRPr="00232C88" w:rsidRDefault="00950346" w:rsidP="00AF5BD3">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kas nav iekļautas 1.–6. rindā (piemēram, </w:t>
            </w:r>
            <w:r>
              <w:rPr>
                <w:sz w:val="24"/>
                <w:i/>
                <w:rFonts w:ascii="Times New Roman" w:hAnsi="Times New Roman"/>
              </w:rPr>
              <w:t xml:space="preserve">RWEA</w:t>
            </w:r>
            <w:r>
              <w:rPr>
                <w:sz w:val="24"/>
                <w:rFonts w:ascii="Times New Roman" w:hAnsi="Times New Roman"/>
              </w:rPr>
              <w:t xml:space="preserve">, kas izriet no norēķinu riska (veidnes OV1 15. rinda), un summas, kuras ir mazākas par atskaitījumu sliekšņiem (veidnes OV1 25. rinda).</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 xml:space="preserve">8.</w:t>
            </w:r>
          </w:p>
        </w:tc>
        <w:tc>
          <w:tcPr>
            <w:tcW w:w="7655" w:type="dxa"/>
          </w:tcPr>
          <w:p w14:paraId="096C8EC9" w14:textId="77777777" w:rsidR="00351A65" w:rsidRPr="00232C88" w:rsidRDefault="00351A65" w:rsidP="00351A65">
            <w:pPr>
              <w:spacing w:before="60" w:after="120"/>
              <w:jc w:val="both"/>
              <w:rPr>
                <w:b/>
                <w:sz w:val="24"/>
                <w:rFonts w:ascii="Times New Roman" w:hAnsi="Times New Roman" w:cs="Times New Roman"/>
              </w:rPr>
            </w:pPr>
            <w:r>
              <w:rPr>
                <w:b/>
                <w:sz w:val="24"/>
                <w:rFonts w:ascii="Times New Roman" w:hAnsi="Times New Roman"/>
              </w:rPr>
              <w:t xml:space="preserve">Kopā</w:t>
            </w:r>
          </w:p>
          <w:p w14:paraId="42963FE0" w14:textId="17D5D0F7" w:rsidR="00AF5BD3" w:rsidRPr="00232C88" w:rsidRDefault="00AF5BD3" w:rsidP="00351A65">
            <w:pPr>
              <w:spacing w:before="60" w:after="120"/>
              <w:jc w:val="both"/>
              <w:rPr>
                <w:bCs/>
                <w:sz w:val="24"/>
                <w:rFonts w:ascii="Times New Roman" w:hAnsi="Times New Roman" w:cs="Times New Roman"/>
              </w:rPr>
            </w:pPr>
            <w:r>
              <w:rPr>
                <w:sz w:val="24"/>
                <w:rFonts w:ascii="Times New Roman" w:hAnsi="Times New Roman"/>
              </w:rPr>
              <w:t xml:space="preserve">Veidnes 1.–7. rindas summa.</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sz w:val="24"/>
          <w:rFonts w:ascii="Times New Roman" w:hAnsi="Times New Roman" w:cs="Times New Roman"/>
        </w:rPr>
      </w:pPr>
      <w:r>
        <w:rPr>
          <w:sz w:val="24"/>
          <w:b/>
          <w:rFonts w:ascii="Times New Roman" w:hAnsi="Times New Roman"/>
        </w:rPr>
        <w:t xml:space="preserve">Veidne EU CMS2 – Modelētās un standartizētās riska darījumu riska svērtās vērtības salīdzinājums kredītriskam aktīvu kategorijas līmenī.</w:t>
      </w:r>
      <w:r>
        <w:rPr>
          <w:sz w:val="24"/>
          <w:b/>
          <w:rFonts w:ascii="Times New Roman" w:hAnsi="Times New Roman"/>
        </w:rPr>
        <w:t xml:space="preserve"> </w:t>
      </w:r>
      <w:r>
        <w:rPr>
          <w:sz w:val="24"/>
          <w:rFonts w:ascii="Times New Roman" w:hAnsi="Times New Roman"/>
        </w:rPr>
        <w:t xml:space="preserve">Fiksēts formāts.</w:t>
      </w:r>
    </w:p>
    <w:p w14:paraId="42F388E9" w14:textId="221FF3E0" w:rsidR="00F118ED" w:rsidRPr="00232C88" w:rsidRDefault="0090729F" w:rsidP="4D769726">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Iestādes piemēro turpmāk šajā pielikumā sniegtos norādījumus, lai aizpildītu I pielikumā ietverto veidni EU CMS2, piemērojot Regulas (ES) Nr. 575/2013 438. panta d) un da) punktu.</w:t>
      </w:r>
    </w:p>
    <w:p w14:paraId="6024D251" w14:textId="19497D47" w:rsidR="004E19D2" w:rsidRPr="00232C88" w:rsidRDefault="004E19D2" w:rsidP="4D769726">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Šo veidni iesniedz tikai tās iestādes, kuras aprēķina kredītriska </w:t>
      </w:r>
      <w:r>
        <w:rPr>
          <w:color w:val="auto"/>
          <w:sz w:val="24"/>
          <w:i/>
          <w:rFonts w:ascii="Times New Roman" w:hAnsi="Times New Roman"/>
        </w:rPr>
        <w:t xml:space="preserve">RWEA</w:t>
      </w:r>
      <w:r>
        <w:rPr>
          <w:color w:val="auto"/>
          <w:sz w:val="24"/>
          <w:rFonts w:ascii="Times New Roman" w:hAnsi="Times New Roman"/>
        </w:rPr>
        <w:t xml:space="preserve">, izmantojot uz iekšējiem reitingiem balstītas (</w:t>
      </w:r>
      <w:r>
        <w:rPr>
          <w:color w:val="auto"/>
          <w:sz w:val="24"/>
          <w:i/>
          <w:rFonts w:ascii="Times New Roman" w:hAnsi="Times New Roman"/>
        </w:rPr>
        <w:t xml:space="preserve">IRB</w:t>
      </w:r>
      <w:r>
        <w:rPr>
          <w:color w:val="auto"/>
          <w:sz w:val="24"/>
          <w:rFonts w:ascii="Times New Roman" w:hAnsi="Times New Roman"/>
        </w:rPr>
        <w:t xml:space="preserve">) pieejas saskaņā ar Regulas (ES) Nr. 575/2013 trešās daļas II sadaļas 3. nodaļu, un uz kurām neattiecas Regulas (ES) Nr. 575/2013 92. panta 3. punkta otrajā daļā paredzētais atbrīvojums.</w:t>
      </w:r>
    </w:p>
    <w:p w14:paraId="0BBC334C" w14:textId="77777777" w:rsidR="00054B2E" w:rsidRPr="00232C88" w:rsidRDefault="00054B2E" w:rsidP="00054B2E">
      <w:pPr>
        <w:pStyle w:val="Titlelevel2"/>
        <w:numPr>
          <w:ilvl w:val="0"/>
          <w:numId w:val="14"/>
        </w:numPr>
        <w:spacing w:before="120" w:after="120"/>
        <w:ind w:left="426"/>
        <w:jc w:val="both"/>
        <w:rPr>
          <w:color w:val="auto"/>
          <w:sz w:val="24"/>
          <w:rFonts w:ascii="Times New Roman" w:hAnsi="Times New Roman" w:cs="Times New Roman"/>
        </w:rPr>
      </w:pPr>
      <w:r>
        <w:rPr>
          <w:color w:val="auto"/>
          <w:sz w:val="24"/>
          <w:rFonts w:ascii="Times New Roman" w:hAnsi="Times New Roman"/>
        </w:rPr>
        <w:t xml:space="preserve">Attiecīgā gadījumā iestādes veidnei pievienotajā izklāsta daļā paskaidro, kā pašu kapitāla un riska darījumu svērto vērtību aprēķināšanu ietekmē kapitāla minimuma piemērošana un posteņu neatskaitīšana no pašu kapitāla.</w:t>
      </w:r>
    </w:p>
    <w:p w14:paraId="21FDE9C5" w14:textId="77777777" w:rsidR="00054B2E" w:rsidRPr="00232C88" w:rsidRDefault="00054B2E" w:rsidP="00AD7048">
      <w:pPr>
        <w:pStyle w:val="Titlelevel2"/>
        <w:spacing w:before="120" w:after="120"/>
        <w:ind w:left="426"/>
        <w:jc w:val="both"/>
        <w:rPr>
          <w:rFonts w:ascii="Times New Roman" w:hAnsi="Times New Roman" w:cs="Times New Roman"/>
          <w:color w:val="auto"/>
          <w:sz w:val="24"/>
          <w:lang w:val="en-GB"/>
        </w:rPr>
      </w:pPr>
    </w:p>
    <w:p w14:paraId="0FD192F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b/>
                <w:sz w:val="24"/>
                <w:rFonts w:ascii="Times New Roman" w:hAnsi="Times New Roman" w:cs="Times New Roman"/>
              </w:rPr>
            </w:pPr>
            <w:r>
              <w:rPr>
                <w:b/>
                <w:sz w:val="24"/>
                <w:rFonts w:ascii="Times New Roman" w:hAnsi="Times New Roman"/>
              </w:rPr>
              <w:t xml:space="preserve">Ailes numurs</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 xml:space="preserve">a</w:t>
            </w:r>
          </w:p>
        </w:tc>
        <w:tc>
          <w:tcPr>
            <w:tcW w:w="7655" w:type="dxa"/>
            <w:vAlign w:val="center"/>
          </w:tcPr>
          <w:p w14:paraId="35692F32" w14:textId="62C87455" w:rsidR="00994B4F" w:rsidRPr="00232C88" w:rsidRDefault="00994B4F" w:rsidP="00994B4F">
            <w:pPr>
              <w:spacing w:before="60" w:after="12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modelētām pieejām, kuras iestādēm ir atļāvušas izmantot uzraudzības iestādes</w:t>
            </w:r>
            <w:r>
              <w:rPr>
                <w:b/>
                <w:sz w:val="24"/>
                <w:rFonts w:ascii="Times New Roman" w:hAnsi="Times New Roman"/>
              </w:rPr>
              <w:t xml:space="preserve"> </w:t>
            </w:r>
          </w:p>
          <w:p w14:paraId="746C8FE1" w14:textId="71AD5C03" w:rsidR="00994B4F" w:rsidRPr="00232C88" w:rsidRDefault="00994B4F" w:rsidP="00994B4F">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daļa, kas aprēķināta, izmantojot uz iekšējiem reitingiem balstītas (</w:t>
            </w:r>
            <w:r>
              <w:rPr>
                <w:sz w:val="24"/>
                <w:i/>
                <w:rFonts w:ascii="Times New Roman" w:hAnsi="Times New Roman"/>
              </w:rPr>
              <w:t xml:space="preserve">IRB</w:t>
            </w:r>
            <w:r>
              <w:rPr>
                <w:sz w:val="24"/>
                <w:rFonts w:ascii="Times New Roman" w:hAnsi="Times New Roman"/>
              </w:rPr>
              <w:t xml:space="preserve">) pieejas, kuras apstiprinājusi kompetentā iestāde.</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 xml:space="preserve">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b/>
                <w:sz w:val="24"/>
                <w:rFonts w:ascii="Times New Roman" w:hAnsi="Times New Roman" w:cs="Times New Roman"/>
              </w:rPr>
            </w:pPr>
            <w:r>
              <w:rPr>
                <w:b/>
                <w:sz w:val="24"/>
                <w:rFonts w:ascii="Times New Roman" w:hAnsi="Times New Roman"/>
              </w:rPr>
              <w:t xml:space="preserve">Veidnes a ailes </w:t>
            </w:r>
            <w:r>
              <w:rPr>
                <w:b/>
                <w:sz w:val="24"/>
                <w:i/>
                <w:rFonts w:ascii="Times New Roman" w:hAnsi="Times New Roman"/>
              </w:rPr>
              <w:t xml:space="preserve">RWEA</w:t>
            </w:r>
            <w:r>
              <w:rPr>
                <w:b/>
                <w:sz w:val="24"/>
                <w:rFonts w:ascii="Times New Roman" w:hAnsi="Times New Roman"/>
              </w:rPr>
              <w:t xml:space="preserve">, ja tās pārrēķinātas, izmantojot standartizēto pieeju</w:t>
            </w:r>
          </w:p>
          <w:p w14:paraId="23C2E1CF" w14:textId="081428BE" w:rsidR="00994B4F" w:rsidRPr="00232C88" w:rsidRDefault="00994B4F" w:rsidP="004E19D2">
            <w:pPr>
              <w:spacing w:before="60" w:after="120"/>
              <w:jc w:val="both"/>
              <w:rPr>
                <w:b/>
                <w:sz w:val="24"/>
                <w:rFonts w:ascii="Times New Roman" w:hAnsi="Times New Roman" w:cs="Times New Roman"/>
              </w:rPr>
            </w:pPr>
            <w:r>
              <w:rPr>
                <w:sz w:val="24"/>
                <w:rFonts w:ascii="Times New Roman" w:hAnsi="Times New Roman"/>
              </w:rPr>
              <w:t xml:space="preserve">Veidnes a) ailē norādītās </w:t>
            </w:r>
            <w:r>
              <w:rPr>
                <w:sz w:val="24"/>
                <w:i/>
                <w:rFonts w:ascii="Times New Roman" w:hAnsi="Times New Roman"/>
              </w:rPr>
              <w:t xml:space="preserve">RWEA</w:t>
            </w:r>
            <w:r>
              <w:rPr>
                <w:sz w:val="24"/>
                <w:rFonts w:ascii="Times New Roman" w:hAnsi="Times New Roman"/>
              </w:rPr>
              <w:t xml:space="preserve">, kas aprēķinātas saskaņā ar kompetentās iestādes apstiprinātajām </w:t>
            </w:r>
            <w:r>
              <w:rPr>
                <w:sz w:val="24"/>
                <w:i/>
                <w:rFonts w:ascii="Times New Roman" w:hAnsi="Times New Roman"/>
              </w:rPr>
              <w:t xml:space="preserve">IRB</w:t>
            </w:r>
            <w:r>
              <w:rPr>
                <w:sz w:val="24"/>
                <w:rFonts w:ascii="Times New Roman" w:hAnsi="Times New Roman"/>
              </w:rPr>
              <w:t xml:space="preserve"> pieejām un kas pārrēķinātas, izmantojot standartizēto pieeju.</w:t>
            </w:r>
            <w:r>
              <w:rPr>
                <w:sz w:val="24"/>
                <w:rFonts w:ascii="Times New Roman" w:hAnsi="Times New Roman"/>
              </w:rPr>
              <w:t xml:space="preserve"> </w:t>
            </w:r>
            <w:r>
              <w:rPr>
                <w:sz w:val="24"/>
                <w:rFonts w:ascii="Times New Roman" w:hAnsi="Times New Roman"/>
              </w:rPr>
              <w:t xml:space="preserve">Citiem vārdiem – a) ailei atbilstošās </w:t>
            </w:r>
            <w:r>
              <w:rPr>
                <w:sz w:val="24"/>
                <w:i/>
                <w:rFonts w:ascii="Times New Roman" w:hAnsi="Times New Roman"/>
              </w:rPr>
              <w:t xml:space="preserve">RWEA</w:t>
            </w:r>
            <w:r>
              <w:rPr>
                <w:sz w:val="24"/>
                <w:rFonts w:ascii="Times New Roman" w:hAnsi="Times New Roman"/>
              </w:rPr>
              <w:t xml:space="preserve"> saskaņā ar standartizēto pieeju.</w:t>
            </w:r>
            <w:r>
              <w:rPr>
                <w:sz w:val="24"/>
                <w:rFonts w:ascii="Times New Roman" w:hAnsi="Times New Roman"/>
              </w:rPr>
              <w:t xml:space="preserve">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 xml:space="preserve">c</w:t>
            </w:r>
          </w:p>
        </w:tc>
        <w:tc>
          <w:tcPr>
            <w:tcW w:w="7655" w:type="dxa"/>
          </w:tcPr>
          <w:p w14:paraId="780C998F" w14:textId="70BDCFF8" w:rsidR="00994B4F" w:rsidRPr="00232C88" w:rsidRDefault="004E19D2" w:rsidP="00994B4F">
            <w:pPr>
              <w:spacing w:before="60" w:after="120"/>
              <w:jc w:val="both"/>
              <w:rPr>
                <w:b/>
                <w:sz w:val="24"/>
                <w:rFonts w:ascii="Times New Roman" w:hAnsi="Times New Roman" w:cs="Times New Roman"/>
              </w:rPr>
            </w:pPr>
            <w:r>
              <w:rPr>
                <w:b/>
                <w:sz w:val="24"/>
                <w:rFonts w:ascii="Times New Roman" w:hAnsi="Times New Roman"/>
              </w:rPr>
              <w:t xml:space="preserve">Kopējās faktiskās </w:t>
            </w:r>
            <w:r>
              <w:rPr>
                <w:b/>
                <w:sz w:val="24"/>
                <w:i/>
                <w:rFonts w:ascii="Times New Roman" w:hAnsi="Times New Roman"/>
              </w:rPr>
              <w:t xml:space="preserve">RWEA</w:t>
            </w:r>
            <w:r>
              <w:rPr>
                <w:b/>
                <w:sz w:val="24"/>
                <w:rFonts w:ascii="Times New Roman" w:hAnsi="Times New Roman"/>
              </w:rPr>
              <w:t xml:space="preserve"> </w:t>
            </w:r>
          </w:p>
          <w:p w14:paraId="13A79EFF" w14:textId="377057AF" w:rsidR="00994B4F" w:rsidRPr="00232C88" w:rsidRDefault="00E86C14" w:rsidP="001B30FD">
            <w:pPr>
              <w:spacing w:before="60" w:after="120"/>
              <w:jc w:val="both"/>
              <w:rPr>
                <w:b/>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kuras iestādes uzrāda kā faktiskās prasības.</w:t>
            </w:r>
            <w:r>
              <w:rPr>
                <w:sz w:val="24"/>
                <w:rFonts w:ascii="Times New Roman" w:hAnsi="Times New Roman"/>
              </w:rPr>
              <w:t xml:space="preserve"> </w:t>
            </w:r>
            <w:r>
              <w:rPr>
                <w:sz w:val="24"/>
                <w:rFonts w:ascii="Times New Roman" w:hAnsi="Times New Roman"/>
              </w:rPr>
              <w:t xml:space="preserve">Summa, ko veido </w:t>
            </w:r>
            <w:r>
              <w:rPr>
                <w:sz w:val="24"/>
                <w:i/>
                <w:rFonts w:ascii="Times New Roman" w:hAnsi="Times New Roman"/>
              </w:rPr>
              <w:t xml:space="preserve">RWEA</w:t>
            </w:r>
            <w:r>
              <w:rPr>
                <w:sz w:val="24"/>
                <w:rFonts w:ascii="Times New Roman" w:hAnsi="Times New Roman"/>
              </w:rPr>
              <w:t xml:space="preserve"> saskaņā ar </w:t>
            </w:r>
            <w:r>
              <w:rPr>
                <w:sz w:val="24"/>
                <w:i/>
                <w:rFonts w:ascii="Times New Roman" w:hAnsi="Times New Roman"/>
              </w:rPr>
              <w:t xml:space="preserve">IRB</w:t>
            </w:r>
            <w:r>
              <w:rPr>
                <w:sz w:val="24"/>
                <w:rFonts w:ascii="Times New Roman" w:hAnsi="Times New Roman"/>
              </w:rPr>
              <w:t xml:space="preserve"> pieejām, kuras iestādēm atļāvusi izmantot uzraudzības iestāde, un </w:t>
            </w:r>
            <w:r>
              <w:rPr>
                <w:sz w:val="24"/>
                <w:i/>
                <w:rFonts w:ascii="Times New Roman" w:hAnsi="Times New Roman"/>
              </w:rPr>
              <w:t xml:space="preserve">RWEA</w:t>
            </w:r>
            <w:r>
              <w:rPr>
                <w:sz w:val="24"/>
                <w:rFonts w:ascii="Times New Roman" w:hAnsi="Times New Roman"/>
              </w:rPr>
              <w:t xml:space="preserve"> saskaņā ar standartizētām pieejām.</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 xml:space="preserve">d</w:t>
            </w:r>
          </w:p>
        </w:tc>
        <w:tc>
          <w:tcPr>
            <w:tcW w:w="7655" w:type="dxa"/>
          </w:tcPr>
          <w:p w14:paraId="12F263E0" w14:textId="77777777" w:rsidR="00994B4F" w:rsidRPr="00232C88" w:rsidRDefault="00994B4F" w:rsidP="00994B4F">
            <w:pPr>
              <w:spacing w:before="60" w:after="12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kas aprēķinātas, izmantojot pilnībā standartizētu pieeju</w:t>
            </w:r>
          </w:p>
          <w:p w14:paraId="023D1C65" w14:textId="77777777" w:rsidR="00192044" w:rsidRDefault="6FD90119"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kas paredzētas pilnībā standartizētu riska svērto aktīvu kredītriska (</w:t>
            </w:r>
            <w:r>
              <w:rPr>
                <w:sz w:val="24"/>
                <w:i/>
                <w:rFonts w:ascii="Times New Roman" w:hAnsi="Times New Roman"/>
              </w:rPr>
              <w:t xml:space="preserve">S-RWEA</w:t>
            </w:r>
            <w:r>
              <w:rPr>
                <w:sz w:val="24"/>
                <w:rFonts w:ascii="Times New Roman" w:hAnsi="Times New Roman"/>
              </w:rPr>
              <w:t xml:space="preserve">) salīdzināšanai aktīvu kategorijas līmenī ar atbilstošo modelēto </w:t>
            </w:r>
            <w:r>
              <w:rPr>
                <w:sz w:val="24"/>
                <w:i/>
                <w:rFonts w:ascii="Times New Roman" w:hAnsi="Times New Roman"/>
              </w:rPr>
              <w:t xml:space="preserve">RWEA</w:t>
            </w:r>
            <w:r>
              <w:rPr>
                <w:sz w:val="24"/>
                <w:rFonts w:ascii="Times New Roman" w:hAnsi="Times New Roman"/>
              </w:rPr>
              <w:t xml:space="preserve">, kuru bankām atļāvusi izmantot uzraudzības iestāde kredītriska novērtēšanai saskaņā ar Bāzeles regulējumu un kā noteikts Regulas (ES) Nr. 575/2013 438. panta da) punktā.</w:t>
            </w:r>
            <w:r>
              <w:rPr>
                <w:sz w:val="24"/>
                <w:rFonts w:ascii="Times New Roman" w:hAnsi="Times New Roman"/>
              </w:rPr>
              <w:t xml:space="preserve"> </w:t>
            </w:r>
          </w:p>
          <w:p w14:paraId="63C23AE2" w14:textId="72D220B1" w:rsidR="00AC7521" w:rsidRPr="00232C88" w:rsidRDefault="007727DF" w:rsidP="4D769726">
            <w:pPr>
              <w:spacing w:before="60" w:after="120"/>
              <w:jc w:val="both"/>
              <w:rPr>
                <w:sz w:val="24"/>
                <w:rFonts w:ascii="Times New Roman" w:hAnsi="Times New Roman" w:cs="Times New Roman"/>
              </w:rPr>
            </w:pPr>
            <w:r>
              <w:rPr>
                <w:sz w:val="24"/>
                <w:rFonts w:ascii="Times New Roman" w:hAnsi="Times New Roman"/>
              </w:rPr>
              <w:t xml:space="preserve">Iestādes atklāj </w:t>
            </w:r>
            <w:r>
              <w:rPr>
                <w:sz w:val="24"/>
                <w:i/>
                <w:rFonts w:ascii="Times New Roman" w:hAnsi="Times New Roman"/>
              </w:rPr>
              <w:t xml:space="preserve">RWEA</w:t>
            </w:r>
            <w:r>
              <w:rPr>
                <w:sz w:val="24"/>
                <w:rFonts w:ascii="Times New Roman" w:hAnsi="Times New Roman"/>
              </w:rPr>
              <w:t xml:space="preserve">, kas aprēķināta saskaņā ar Regulas (ES) Nr. 575/2013 92. panta 5. un 6. punktu, nepiemērojot Regulas (ES) Nr. 575/2013 465. panta pārejas noteikumus.</w:t>
            </w:r>
            <w:r>
              <w:rPr>
                <w:sz w:val="24"/>
                <w:rFonts w:ascii="Times New Roman" w:hAnsi="Times New Roman"/>
              </w:rPr>
              <w:t xml:space="preserve"> </w:t>
            </w:r>
          </w:p>
          <w:p w14:paraId="585F96E7" w14:textId="5936CF82" w:rsidR="00AF5BD3" w:rsidRPr="00232C88" w:rsidRDefault="00AF5BD3" w:rsidP="673610D2">
            <w:pPr>
              <w:spacing w:before="60" w:after="120"/>
              <w:jc w:val="both"/>
              <w:rPr>
                <w:rFonts w:ascii="Times New Roman" w:hAnsi="Times New Roman" w:cs="Times New Roman"/>
                <w:sz w:val="24"/>
                <w:lang w:val="en-US"/>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 xml:space="preserve">EU d</w:t>
            </w:r>
          </w:p>
        </w:tc>
        <w:tc>
          <w:tcPr>
            <w:tcW w:w="7655" w:type="dxa"/>
          </w:tcPr>
          <w:p w14:paraId="0C2EFF82" w14:textId="62FBB506" w:rsidR="00994B4F" w:rsidRPr="00232C88" w:rsidRDefault="00994B4F" w:rsidP="00994B4F">
            <w:pPr>
              <w:spacing w:before="60" w:after="12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kas ir riska darījumu vērtības minimālās robežvērtības aprēķina bāze</w:t>
            </w:r>
            <w:r>
              <w:rPr>
                <w:b/>
                <w:sz w:val="24"/>
                <w:rFonts w:ascii="Times New Roman" w:hAnsi="Times New Roman"/>
              </w:rPr>
              <w:t xml:space="preserve"> </w:t>
            </w:r>
          </w:p>
          <w:p w14:paraId="6EB91D3B" w14:textId="7D4487D6" w:rsidR="00AC7521" w:rsidRPr="00232C88" w:rsidRDefault="6FD90119" w:rsidP="4D769726">
            <w:pPr>
              <w:spacing w:before="60" w:after="12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kas būs bāze riska darījumu vērtības minimālās robežvērtības aprēķināšanai, kā noteikts Regulas (ES) Nr. 575/2013 438. panta d) punktā.</w:t>
            </w:r>
            <w:r>
              <w:rPr>
                <w:sz w:val="24"/>
                <w:rFonts w:ascii="Times New Roman" w:hAnsi="Times New Roman"/>
              </w:rPr>
              <w:t xml:space="preserve"> </w:t>
            </w:r>
            <w:r>
              <w:rPr>
                <w:sz w:val="24"/>
                <w:rFonts w:ascii="Times New Roman" w:hAnsi="Times New Roman"/>
              </w:rPr>
              <w:t xml:space="preserve">Iestādes atklāj </w:t>
            </w:r>
            <w:r>
              <w:rPr>
                <w:sz w:val="24"/>
                <w:i/>
                <w:rFonts w:ascii="Times New Roman" w:hAnsi="Times New Roman"/>
              </w:rPr>
              <w:t xml:space="preserve">RWEA</w:t>
            </w:r>
            <w:r>
              <w:rPr>
                <w:sz w:val="24"/>
                <w:rFonts w:ascii="Times New Roman" w:hAnsi="Times New Roman"/>
              </w:rPr>
              <w:t xml:space="preserve">, kas aprēķināta saskaņā ar Regulas (ES) Nr. 575/2013 92. panta 5. un 6. punktu, piemērojot Regulas (ES) Nr. 575/2013 465. panta pārejas noteikumus.</w:t>
            </w:r>
            <w:r>
              <w:rPr>
                <w:sz w:val="24"/>
                <w:rFonts w:ascii="Times New Roman" w:hAnsi="Times New Roman"/>
              </w:rPr>
              <w:t xml:space="preserve">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b/>
                <w:sz w:val="24"/>
                <w:rFonts w:ascii="Times New Roman" w:hAnsi="Times New Roman" w:cs="Times New Roman"/>
              </w:rPr>
            </w:pPr>
            <w:r>
              <w:rPr>
                <w:b/>
                <w:sz w:val="24"/>
                <w:rFonts w:ascii="Times New Roman" w:hAnsi="Times New Roman"/>
              </w:rPr>
              <w:t xml:space="preserve">Atsauces uz tiesību aktiem un norādījumi</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b/>
                <w:bCs/>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sz w:val="24"/>
                <w:rFonts w:ascii="Times New Roman" w:hAnsi="Times New Roman" w:cs="Times New Roman"/>
              </w:rPr>
            </w:pPr>
            <w:r>
              <w:rPr>
                <w:b/>
                <w:sz w:val="24"/>
                <w:rFonts w:ascii="Times New Roman" w:hAnsi="Times New Roman"/>
              </w:rPr>
              <w:t xml:space="preserve">Paskaidrojums</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 xml:space="preserve">1., EU1.a, EU1.b, EU1.c, EU1.d, 2., 3., 5., 5.1., 5.2., EU 5.a, EU 5.b, EU 5.c, 6., 6.1., EU6.1.a, EU6.1.b, EU 7.a, EU 7.b, EU 7.c, EU 7.d, EU 7.e, EU 7.f, 8.</w:t>
            </w:r>
          </w:p>
        </w:tc>
        <w:tc>
          <w:tcPr>
            <w:tcW w:w="7655" w:type="dxa"/>
          </w:tcPr>
          <w:p w14:paraId="73A562A1" w14:textId="272AA28F" w:rsidR="00192044" w:rsidRDefault="0046019D" w:rsidP="00A02839">
            <w:pPr>
              <w:spacing w:before="60" w:after="120"/>
              <w:jc w:val="both"/>
              <w:rPr>
                <w:sz w:val="24"/>
                <w:rFonts w:ascii="Times New Roman" w:hAnsi="Times New Roman" w:cs="Times New Roman"/>
              </w:rPr>
            </w:pPr>
            <w:r>
              <w:rPr>
                <w:sz w:val="24"/>
                <w:rFonts w:ascii="Times New Roman" w:hAnsi="Times New Roman"/>
              </w:rPr>
              <w:t xml:space="preserve">Iestādes iekļauj riska darījumu riska svērtās vērtības sadalījumu pa riska darījumu kategorijām un apakškategorijām, kā noteikts saskaņā ar Regulas (ES) Nr. 575/2013 147. pantu.</w:t>
            </w:r>
            <w:r>
              <w:rPr>
                <w:sz w:val="24"/>
                <w:rFonts w:ascii="Times New Roman" w:hAnsi="Times New Roman"/>
              </w:rPr>
              <w:t xml:space="preserve"> </w:t>
            </w:r>
          </w:p>
          <w:p w14:paraId="6D77E411" w14:textId="48760B89" w:rsidR="008C231E" w:rsidRPr="00232C88" w:rsidRDefault="00091AA5" w:rsidP="00A02839">
            <w:pPr>
              <w:spacing w:before="60" w:after="120"/>
              <w:jc w:val="both"/>
              <w:rPr>
                <w:sz w:val="24"/>
                <w:rFonts w:ascii="Times New Roman" w:hAnsi="Times New Roman" w:cs="Times New Roman"/>
              </w:rPr>
            </w:pPr>
            <w:r>
              <w:rPr>
                <w:sz w:val="24"/>
                <w:rFonts w:ascii="Times New Roman" w:hAnsi="Times New Roman"/>
              </w:rPr>
              <w:t xml:space="preserve">Ja </w:t>
            </w:r>
            <w:r>
              <w:rPr>
                <w:sz w:val="24"/>
                <w:i/>
                <w:rFonts w:ascii="Times New Roman" w:hAnsi="Times New Roman"/>
              </w:rPr>
              <w:t xml:space="preserve">IRB</w:t>
            </w:r>
            <w:r>
              <w:rPr>
                <w:sz w:val="24"/>
                <w:rFonts w:ascii="Times New Roman" w:hAnsi="Times New Roman"/>
              </w:rPr>
              <w:t xml:space="preserve"> riska darījumi būtu iedalīti citā riska darījumu kategorijā saskaņā ar standartizēto pieeju (</w:t>
            </w:r>
            <w:r>
              <w:rPr>
                <w:sz w:val="24"/>
                <w:i/>
                <w:rFonts w:ascii="Times New Roman" w:hAnsi="Times New Roman"/>
              </w:rPr>
              <w:t xml:space="preserve">SA</w:t>
            </w:r>
            <w:r>
              <w:rPr>
                <w:sz w:val="24"/>
                <w:rFonts w:ascii="Times New Roman" w:hAnsi="Times New Roman"/>
              </w:rPr>
              <w:t xml:space="preserve">), </w:t>
            </w:r>
            <w:r>
              <w:rPr>
                <w:sz w:val="24"/>
                <w:i/>
                <w:rFonts w:ascii="Times New Roman" w:hAnsi="Times New Roman"/>
              </w:rPr>
              <w:t xml:space="preserve">IRB</w:t>
            </w:r>
            <w:r>
              <w:rPr>
                <w:sz w:val="24"/>
                <w:rFonts w:ascii="Times New Roman" w:hAnsi="Times New Roman"/>
              </w:rPr>
              <w:t xml:space="preserve"> riska darījumus izslēdz no to </w:t>
            </w:r>
            <w:r>
              <w:rPr>
                <w:sz w:val="24"/>
                <w:i/>
                <w:rFonts w:ascii="Times New Roman" w:hAnsi="Times New Roman"/>
              </w:rPr>
              <w:t xml:space="preserve">IRB</w:t>
            </w:r>
            <w:r>
              <w:rPr>
                <w:sz w:val="24"/>
                <w:rFonts w:ascii="Times New Roman" w:hAnsi="Times New Roman"/>
              </w:rPr>
              <w:t xml:space="preserve"> riska darījumu kategorijām un atklāj vienā no šādām standartizētās pieejas riska darījumu kategorijām, kā noteikts saskaņā ar Regulas (ES) Nr. 575/2013 112. pantu:</w:t>
            </w:r>
          </w:p>
          <w:p w14:paraId="3C3411A5" w14:textId="77777777" w:rsidR="00192044" w:rsidRPr="00192044" w:rsidRDefault="00AB7318" w:rsidP="00192044">
            <w:pPr>
              <w:pStyle w:val="ListParagraph"/>
              <w:numPr>
                <w:ilvl w:val="0"/>
                <w:numId w:val="80"/>
              </w:numPr>
              <w:spacing w:before="60" w:after="120"/>
              <w:jc w:val="both"/>
              <w:rPr>
                <w:bCs/>
                <w:sz w:val="24"/>
                <w:rFonts w:ascii="Times New Roman" w:hAnsi="Times New Roman"/>
              </w:rPr>
            </w:pPr>
            <w:r>
              <w:rPr>
                <w:sz w:val="24"/>
                <w:rFonts w:ascii="Times New Roman" w:hAnsi="Times New Roman"/>
              </w:rPr>
              <w:t xml:space="preserve">riska darījumi ar daudzpusējām attīstības bankām saskaņā ar </w:t>
            </w:r>
            <w:r>
              <w:rPr>
                <w:sz w:val="24"/>
                <w:i/>
                <w:rFonts w:ascii="Times New Roman" w:hAnsi="Times New Roman"/>
              </w:rPr>
              <w:t xml:space="preserve">SA</w:t>
            </w:r>
            <w:r>
              <w:rPr>
                <w:sz w:val="24"/>
                <w:rFonts w:ascii="Times New Roman" w:hAnsi="Times New Roman"/>
              </w:rPr>
              <w:t xml:space="preserve">;</w:t>
            </w:r>
          </w:p>
          <w:p w14:paraId="3FAF52BD" w14:textId="27F6A566" w:rsidR="00E40751" w:rsidRPr="00192044" w:rsidRDefault="02FD1F9E" w:rsidP="00192044">
            <w:pPr>
              <w:pStyle w:val="ListParagraph"/>
              <w:numPr>
                <w:ilvl w:val="0"/>
                <w:numId w:val="80"/>
              </w:numPr>
              <w:spacing w:before="60" w:after="120"/>
              <w:jc w:val="both"/>
              <w:rPr>
                <w:bCs/>
                <w:sz w:val="24"/>
                <w:rFonts w:ascii="Times New Roman" w:hAnsi="Times New Roman"/>
              </w:rPr>
            </w:pPr>
            <w:r>
              <w:rPr>
                <w:sz w:val="24"/>
                <w:rFonts w:ascii="Times New Roman" w:hAnsi="Times New Roman"/>
              </w:rPr>
              <w:t xml:space="preserve">riska darījumi ar starptautiskām organizācijām saskaņā ar </w:t>
            </w:r>
            <w:r>
              <w:rPr>
                <w:sz w:val="24"/>
                <w:i/>
                <w:rFonts w:ascii="Times New Roman" w:hAnsi="Times New Roman"/>
              </w:rPr>
              <w:t xml:space="preserve">SA</w:t>
            </w:r>
            <w:r>
              <w:rPr>
                <w:sz w:val="24"/>
                <w:rFonts w:ascii="Times New Roman" w:hAnsi="Times New Roman"/>
              </w:rPr>
              <w:t xml:space="preserve">;</w:t>
            </w:r>
          </w:p>
          <w:p w14:paraId="112B3885" w14:textId="45E9A8B5" w:rsidR="009662C5" w:rsidRPr="00192044" w:rsidRDefault="009662C5" w:rsidP="00192044">
            <w:pPr>
              <w:pStyle w:val="ListParagraph"/>
              <w:numPr>
                <w:ilvl w:val="0"/>
                <w:numId w:val="80"/>
              </w:numPr>
              <w:spacing w:before="60" w:after="120"/>
              <w:jc w:val="both"/>
              <w:rPr>
                <w:sz w:val="24"/>
                <w:rFonts w:ascii="Times New Roman" w:hAnsi="Times New Roman"/>
              </w:rPr>
            </w:pPr>
            <w:r>
              <w:rPr>
                <w:sz w:val="24"/>
                <w:rFonts w:ascii="Times New Roman" w:hAnsi="Times New Roman"/>
              </w:rPr>
              <w:t xml:space="preserve">riska darījumi, kas nodrošināti ar nekustamo īpašumu, un </w:t>
            </w:r>
            <w:r>
              <w:rPr>
                <w:sz w:val="24"/>
                <w:i/>
                <w:rFonts w:ascii="Times New Roman" w:hAnsi="Times New Roman"/>
              </w:rPr>
              <w:t xml:space="preserve">ADC</w:t>
            </w:r>
            <w:r>
              <w:rPr>
                <w:sz w:val="24"/>
                <w:rFonts w:ascii="Times New Roman" w:hAnsi="Times New Roman"/>
              </w:rPr>
              <w:t xml:space="preserve"> riska darījumi saskaņā ar </w:t>
            </w:r>
            <w:r>
              <w:rPr>
                <w:sz w:val="24"/>
                <w:i/>
                <w:rFonts w:ascii="Times New Roman" w:hAnsi="Times New Roman"/>
              </w:rPr>
              <w:t xml:space="preserve">SA</w:t>
            </w:r>
            <w:r>
              <w:rPr>
                <w:sz w:val="24"/>
                <w:rFonts w:ascii="Times New Roman" w:hAnsi="Times New Roman"/>
              </w:rPr>
              <w:t xml:space="preserve">;</w:t>
            </w:r>
          </w:p>
          <w:p w14:paraId="2EFC3839" w14:textId="6E331C86" w:rsidR="009662C5" w:rsidRPr="00192044" w:rsidRDefault="009662C5" w:rsidP="00192044">
            <w:pPr>
              <w:pStyle w:val="ListParagraph"/>
              <w:numPr>
                <w:ilvl w:val="0"/>
                <w:numId w:val="80"/>
              </w:numPr>
              <w:spacing w:before="60" w:after="120"/>
              <w:jc w:val="both"/>
              <w:rPr>
                <w:bCs/>
                <w:sz w:val="24"/>
                <w:rFonts w:ascii="Times New Roman" w:hAnsi="Times New Roman"/>
              </w:rPr>
            </w:pPr>
            <w:r>
              <w:rPr>
                <w:sz w:val="24"/>
                <w:rFonts w:ascii="Times New Roman" w:hAnsi="Times New Roman"/>
              </w:rPr>
              <w:t xml:space="preserve">riska darījumi, kuros netiek pildītas saistības, saskaņā ar </w:t>
            </w:r>
            <w:r>
              <w:rPr>
                <w:sz w:val="24"/>
                <w:i/>
                <w:rFonts w:ascii="Times New Roman" w:hAnsi="Times New Roman"/>
              </w:rPr>
              <w:t xml:space="preserve">SA</w:t>
            </w:r>
            <w:r>
              <w:rPr>
                <w:sz w:val="24"/>
                <w:rFonts w:ascii="Times New Roman" w:hAnsi="Times New Roman"/>
              </w:rPr>
              <w:t xml:space="preserve">;</w:t>
            </w:r>
          </w:p>
          <w:p w14:paraId="562F01DF" w14:textId="29AB0564" w:rsidR="0056332E" w:rsidRPr="00192044" w:rsidRDefault="0056332E" w:rsidP="00192044">
            <w:pPr>
              <w:pStyle w:val="ListParagraph"/>
              <w:numPr>
                <w:ilvl w:val="0"/>
                <w:numId w:val="80"/>
              </w:numPr>
              <w:spacing w:before="60" w:after="120"/>
              <w:jc w:val="both"/>
              <w:rPr>
                <w:bCs/>
                <w:sz w:val="24"/>
                <w:rFonts w:ascii="Times New Roman" w:hAnsi="Times New Roman"/>
              </w:rPr>
            </w:pPr>
            <w:r>
              <w:rPr>
                <w:sz w:val="24"/>
                <w:rFonts w:ascii="Times New Roman" w:hAnsi="Times New Roman"/>
              </w:rPr>
              <w:t xml:space="preserve">pakārtotā parāda riska darījumi saskaņā ar </w:t>
            </w:r>
            <w:r>
              <w:rPr>
                <w:sz w:val="24"/>
                <w:i/>
                <w:rFonts w:ascii="Times New Roman" w:hAnsi="Times New Roman"/>
              </w:rPr>
              <w:t xml:space="preserve">SA</w:t>
            </w:r>
            <w:r>
              <w:rPr>
                <w:sz w:val="24"/>
                <w:rFonts w:ascii="Times New Roman" w:hAnsi="Times New Roman"/>
              </w:rPr>
              <w:t xml:space="preserve">;</w:t>
            </w:r>
          </w:p>
          <w:p w14:paraId="78D8C21E" w14:textId="20FAA512" w:rsidR="0056332E" w:rsidRPr="00192044" w:rsidRDefault="0056332E" w:rsidP="00192044">
            <w:pPr>
              <w:pStyle w:val="ListParagraph"/>
              <w:numPr>
                <w:ilvl w:val="0"/>
                <w:numId w:val="80"/>
              </w:numPr>
              <w:spacing w:before="60" w:after="120"/>
              <w:jc w:val="both"/>
              <w:rPr>
                <w:bCs/>
                <w:sz w:val="24"/>
                <w:rFonts w:ascii="Times New Roman" w:hAnsi="Times New Roman"/>
              </w:rPr>
            </w:pPr>
            <w:r>
              <w:rPr>
                <w:sz w:val="24"/>
                <w:rFonts w:ascii="Times New Roman" w:hAnsi="Times New Roman"/>
              </w:rPr>
              <w:t xml:space="preserve">riska darījumi ar segtām obligācijām saskaņā ar </w:t>
            </w:r>
            <w:r>
              <w:rPr>
                <w:sz w:val="24"/>
                <w:i/>
                <w:rFonts w:ascii="Times New Roman" w:hAnsi="Times New Roman"/>
              </w:rPr>
              <w:t xml:space="preserve">SA</w:t>
            </w:r>
            <w:r>
              <w:rPr>
                <w:sz w:val="24"/>
                <w:rFonts w:ascii="Times New Roman" w:hAnsi="Times New Roman"/>
              </w:rPr>
              <w:t xml:space="preserve"> kā prasījumi pret iestādēm un komercsabiedrībām ar īstermiņa kredītnovērtējumu saskaņā ar </w:t>
            </w:r>
            <w:r>
              <w:rPr>
                <w:sz w:val="24"/>
                <w:i/>
                <w:rFonts w:ascii="Times New Roman" w:hAnsi="Times New Roman"/>
              </w:rPr>
              <w:t xml:space="preserve">SA</w:t>
            </w:r>
            <w:r>
              <w:rPr>
                <w:sz w:val="24"/>
                <w:rFonts w:ascii="Times New Roman" w:hAnsi="Times New Roman"/>
              </w:rPr>
              <w:t xml:space="preserve">;</w:t>
            </w:r>
          </w:p>
          <w:p w14:paraId="71BDF450" w14:textId="7DC7998E" w:rsidR="00700A5A" w:rsidRPr="00232C88" w:rsidRDefault="00700A5A" w:rsidP="00700A5A">
            <w:pPr>
              <w:pStyle w:val="Default"/>
              <w:spacing w:after="120"/>
              <w:jc w:val="both"/>
              <w:rPr>
                <w:color w:val="auto"/>
                <w:rFonts w:ascii="Times New Roman" w:hAnsi="Times New Roman" w:cs="Times New Roman"/>
              </w:rPr>
            </w:pPr>
            <w:r>
              <w:rPr>
                <w:color w:val="auto"/>
                <w:rFonts w:ascii="Times New Roman" w:hAnsi="Times New Roman"/>
              </w:rPr>
              <w:t xml:space="preserve">Attiecībā uz riska darījumu kategoriju “Komercsabiedrības” iestādes atklāj arī starpsummas par </w:t>
            </w:r>
            <w:r>
              <w:rPr>
                <w:color w:val="auto"/>
                <w:i/>
                <w:rFonts w:ascii="Times New Roman" w:hAnsi="Times New Roman"/>
              </w:rPr>
              <w:t xml:space="preserve">F-IRB</w:t>
            </w:r>
            <w:r>
              <w:rPr>
                <w:color w:val="auto"/>
                <w:rFonts w:ascii="Times New Roman" w:hAnsi="Times New Roman"/>
              </w:rPr>
              <w:t xml:space="preserve"> riska darījumiem un </w:t>
            </w:r>
            <w:r>
              <w:rPr>
                <w:color w:val="auto"/>
                <w:i/>
                <w:rFonts w:ascii="Times New Roman" w:hAnsi="Times New Roman"/>
              </w:rPr>
              <w:t xml:space="preserve">A-IRB</w:t>
            </w:r>
            <w:r>
              <w:rPr>
                <w:color w:val="auto"/>
                <w:rFonts w:ascii="Times New Roman" w:hAnsi="Times New Roman"/>
              </w:rPr>
              <w:t xml:space="preserve"> riska darījumiem šīs veidnes 5.1. un 5.2. rindā.</w:t>
            </w:r>
          </w:p>
          <w:p w14:paraId="2F3C330C" w14:textId="328A18AC" w:rsidR="00D67004" w:rsidRPr="00232C88" w:rsidRDefault="00D67004" w:rsidP="00700A5A">
            <w:pPr>
              <w:pStyle w:val="Default"/>
              <w:spacing w:after="120"/>
              <w:jc w:val="both"/>
              <w:rPr>
                <w:color w:val="auto"/>
                <w:rFonts w:ascii="Times New Roman" w:hAnsi="Times New Roman" w:cs="Times New Roman"/>
              </w:rPr>
            </w:pPr>
            <w:r>
              <w:rPr>
                <w:color w:val="auto"/>
                <w:rFonts w:ascii="Times New Roman" w:hAnsi="Times New Roman"/>
              </w:rPr>
              <w:t xml:space="preserve">EU nepiemēro 4. un 7. rindu.</w:t>
            </w:r>
          </w:p>
          <w:p w14:paraId="3EB1EAD4" w14:textId="269F10A9" w:rsidR="00351A65" w:rsidRPr="00232C88" w:rsidRDefault="00E577AC" w:rsidP="00AD7048">
            <w:pPr>
              <w:pStyle w:val="Default"/>
              <w:spacing w:after="120"/>
              <w:jc w:val="both"/>
              <w:rPr>
                <w:color w:val="auto"/>
                <w:rFonts w:ascii="Times New Roman" w:hAnsi="Times New Roman" w:cs="Times New Roman"/>
              </w:rPr>
            </w:pPr>
            <w:r>
              <w:rPr>
                <w:color w:val="auto"/>
                <w:rFonts w:ascii="Times New Roman" w:hAnsi="Times New Roman"/>
              </w:rPr>
              <w:t xml:space="preserve">8. rindā “Citi” iestādes atklāj riska darījumus, kas iedalīti </w:t>
            </w:r>
            <w:r>
              <w:rPr>
                <w:color w:val="auto"/>
                <w:i/>
                <w:rFonts w:ascii="Times New Roman" w:hAnsi="Times New Roman"/>
              </w:rPr>
              <w:t xml:space="preserve">IRB</w:t>
            </w:r>
            <w:r>
              <w:rPr>
                <w:color w:val="auto"/>
                <w:rFonts w:ascii="Times New Roman" w:hAnsi="Times New Roman"/>
              </w:rPr>
              <w:t xml:space="preserve"> riska darījumu kategorijā “Citi aktīvi, kas nav kredītsaistības”, un </w:t>
            </w:r>
            <w:r>
              <w:rPr>
                <w:color w:val="auto"/>
                <w:i/>
                <w:rFonts w:ascii="Times New Roman" w:hAnsi="Times New Roman"/>
              </w:rPr>
              <w:t xml:space="preserve">IRB</w:t>
            </w:r>
            <w:r>
              <w:rPr>
                <w:color w:val="auto"/>
                <w:rFonts w:ascii="Times New Roman" w:hAnsi="Times New Roman"/>
              </w:rPr>
              <w:t xml:space="preserve"> riska darījumus, kas būtu iedalīti </w:t>
            </w:r>
            <w:r>
              <w:rPr>
                <w:color w:val="auto"/>
                <w:i/>
                <w:rFonts w:ascii="Times New Roman" w:hAnsi="Times New Roman"/>
              </w:rPr>
              <w:t xml:space="preserve">SA</w:t>
            </w:r>
            <w:r>
              <w:rPr>
                <w:color w:val="auto"/>
                <w:rFonts w:ascii="Times New Roman" w:hAnsi="Times New Roman"/>
              </w:rPr>
              <w:t xml:space="preserve"> riska darījumu kategorijā “Citi posteņi”.</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t xml:space="preserve">9.</w:t>
            </w:r>
          </w:p>
        </w:tc>
        <w:tc>
          <w:tcPr>
            <w:tcW w:w="7655" w:type="dxa"/>
          </w:tcPr>
          <w:p w14:paraId="7CC614BA" w14:textId="77777777" w:rsidR="00351A65" w:rsidRPr="00232C88" w:rsidRDefault="00254EDB" w:rsidP="00351A65">
            <w:pPr>
              <w:spacing w:before="60" w:after="120"/>
              <w:jc w:val="both"/>
              <w:rPr>
                <w:b/>
                <w:sz w:val="24"/>
                <w:rFonts w:ascii="Times New Roman" w:hAnsi="Times New Roman" w:cs="Times New Roman"/>
              </w:rPr>
            </w:pPr>
            <w:r>
              <w:rPr>
                <w:b/>
                <w:sz w:val="24"/>
                <w:rFonts w:ascii="Times New Roman" w:hAnsi="Times New Roman"/>
              </w:rPr>
              <w:t xml:space="preserve">Kopā</w:t>
            </w:r>
          </w:p>
          <w:p w14:paraId="06517EBE" w14:textId="5F936741" w:rsidR="00351A65" w:rsidRPr="00232C88" w:rsidRDefault="00112469" w:rsidP="49BB7348">
            <w:pPr>
              <w:spacing w:before="60" w:after="120"/>
              <w:jc w:val="both"/>
              <w:rPr>
                <w:b/>
                <w:bCs/>
                <w:sz w:val="24"/>
                <w:rFonts w:ascii="Times New Roman" w:hAnsi="Times New Roman" w:cs="Times New Roman"/>
              </w:rPr>
            </w:pPr>
            <w:r>
              <w:rPr>
                <w:sz w:val="24"/>
                <w:rFonts w:ascii="Times New Roman" w:hAnsi="Times New Roman"/>
              </w:rPr>
              <w:t xml:space="preserve">1., EU1.a, EU1.b, EU1.c, EU1.d, 2., 3., 5., 6., EU7.a, EU 7.b, EU7.c, EU7.d, EU7.f un 8. rindas summa.</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xmlns:w16du="http://schemas.microsoft.com/office/word/2023/wordml/word16du">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color w:val="800080"/>
            <w:u w:val="single"/>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 w:id="3">
    <w:p w14:paraId="65DAF6E3" w14:textId="5241BF60" w:rsidR="00254EDB" w:rsidRPr="00222AAB" w:rsidRDefault="00254EDB" w:rsidP="004B070F">
      <w:pPr>
        <w:pStyle w:val="FootnoteText"/>
      </w:pPr>
      <w:r>
        <w:rPr>
          <w:rStyle w:val="FootnoteReference"/>
          <w:rFonts w:cstheme="minorHAnsi"/>
          <w:sz w:val="18"/>
        </w:rPr>
        <w:footnoteRef/>
      </w:r>
      <w:r>
        <w:t xml:space="preserve"> Eiropas Banku iestādes pārskatītās Pamatnostādnes EBA/GL/2018/03 (2018. gada 19. jūlijs) par kopējām procedūrām un metodoloģiju, ko izmanto uzraudzības pārskatīšanas un novērtēšanas procesā (</w:t>
      </w:r>
      <w:r>
        <w:rPr>
          <w:i/>
        </w:rPr>
        <w:t xml:space="preserve">SREP</w:t>
      </w:r>
      <w:r>
        <w:t xml:space="preserve">) un uzraudzības stresa testos.</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Komisijas Deleģētā regula (ES) 2015/61 (2014. gada 10. oktobris), ar ko papildina Eiropas Parlamenta un Padomes Regulu (ES) Nr. 575/2013 attiecībā uz likviditātes seguma prasību kredītiestādēm (OV L 11, 17.1.2015., 1. lpp.).</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Eiropas Parlamenta un Padomes Direktīva 2002/87/EK (2002. gada 16. decembris) par papildu uzraudzību kredītiestādēm, apdrošināšanas uzņēmumiem un ieguldījumu sabiedrībām finanšu konglomerātos un par grozījumiem Padomes Direktīvās 73/239/EEK, 79/267/EEK, 92/49/EEK, 92/96/EEK, 93/6/EEK un 93/22/EEK, kā arī Eiropas Parlamenta un Padomes Direktīvās 98/78/EK un 2000/12/EK (OV L 35, 11.2.2003.,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sdt>
      <w:sdtPr>
        <w:id w:val="-1905980668"/>
        <w:temporary/>
        <w:showingPlcHdr/>
      </w:sdtPr>
      <w:sdtEndPr/>
      <w:sdtContent>
        <w:r>
          <w:t xml:space="preserve">[Ierakstīt tekstu]</w:t>
        </w:r>
      </w:sdtContent>
    </w:sdt>
    <w:r>
      <w:ptab w:relativeTo="margin" w:alignment="center" w:leader="none"/>
    </w:r>
    <w:sdt>
      <w:sdtPr>
        <w:id w:val="-476227318"/>
        <w:temporary/>
        <w:showingPlcHdr/>
      </w:sdtPr>
      <w:sdtEndPr/>
      <w:sdtContent>
        <w:r>
          <w:t xml:space="preserve">[Ierakstīt tekstu]</w:t>
        </w:r>
      </w:sdtContent>
    </w:sdt>
    <w:r>
      <w:ptab w:relativeTo="margin" w:alignment="right" w:leader="none"/>
    </w:r>
    <w:sdt>
      <w:sdtPr>
        <w:id w:val="807362839"/>
        <w:temporary/>
        <w:showingPlcHdr/>
      </w:sdtPr>
      <w:sdtEndPr/>
      <w:sdtContent>
        <w:r>
          <w:t xml:space="preserve">[Ierakstīt tekstu]</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EBI oficiālai lietošanai"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r>
      <w:t xml:space="preserve">running title comes here in running title style</w:t>
    </w:r>
    <w: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14="http://schemas.microsoft.com/office/drawing/2010/main"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lang w:val="lv-LV"/>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lv-LV"/>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lv-LV"/>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lv-LV"/>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lv-LV"/>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lv-LV"/>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lv-LV"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lv-LV"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lv-LV"/>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v-LV"/>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lv-LV"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lv-LV"/>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lv-LV"/>
    </w:rPr>
  </w:style>
  <w:style w:type="paragraph" w:customStyle="1" w:styleId="CM31">
    <w:name w:val="CM3+1"/>
    <w:basedOn w:val="Default"/>
    <w:next w:val="Default"/>
    <w:uiPriority w:val="99"/>
    <w:rsid w:val="008539BB"/>
    <w:rPr>
      <w:rFonts w:ascii="EUAlbertina" w:eastAsiaTheme="minorEastAsia" w:hAnsi="EUAlbertina" w:cstheme="minorBidi"/>
      <w:color w:val="auto"/>
      <w:lang w:val="lv-LV"/>
    </w:rPr>
  </w:style>
  <w:style w:type="paragraph" w:customStyle="1" w:styleId="CM13">
    <w:name w:val="CM1+3"/>
    <w:basedOn w:val="Default"/>
    <w:next w:val="Default"/>
    <w:uiPriority w:val="99"/>
    <w:rsid w:val="004B3092"/>
    <w:rPr>
      <w:rFonts w:ascii="EUAlbertina" w:eastAsiaTheme="minorEastAsia" w:hAnsi="EUAlbertina" w:cstheme="minorBidi"/>
      <w:color w:val="auto"/>
      <w:lang w:val="lv-LV"/>
    </w:rPr>
  </w:style>
  <w:style w:type="paragraph" w:customStyle="1" w:styleId="CM33">
    <w:name w:val="CM3+3"/>
    <w:basedOn w:val="Default"/>
    <w:next w:val="Default"/>
    <w:uiPriority w:val="99"/>
    <w:rsid w:val="004B3092"/>
    <w:rPr>
      <w:rFonts w:ascii="EUAlbertina" w:eastAsiaTheme="minorEastAsia" w:hAnsi="EUAlbertina" w:cstheme="minorBidi"/>
      <w:color w:val="auto"/>
      <w:lang w:val="lv-LV"/>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lv-LV"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lv-LV"/>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lv-LV"/>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lv-LV"/>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lv-LV"/>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lv-LV"/>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lv-LV"/>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lv-LV"/>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lv-LV"/>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lv-LV"/>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lv-LV"/>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lv-LV"/>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lv-LV"/>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lv-LV"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lv-LV"/>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lv-LV"/>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lv-LV"/>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FA9E39D2-F3B3-4EF0-837A-55C00D608D74}"/>
</file>

<file path=customXml/itemProps3.xml><?xml version="1.0" encoding="utf-8"?>
<ds:datastoreItem xmlns:ds="http://schemas.openxmlformats.org/officeDocument/2006/customXml" ds:itemID="{C49089E0-AB4F-4F3F-8465-3478D19D542A}"/>
</file>

<file path=customXml/itemProps4.xml><?xml version="1.0" encoding="utf-8"?>
<ds:datastoreItem xmlns:ds="http://schemas.openxmlformats.org/officeDocument/2006/customXml" ds:itemID="{DEB4E9A1-5FAC-4CA5-A96D-58950D01149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5999</Words>
  <Characters>31317</Characters>
  <Application>Microsoft Office Word</Application>
  <DocSecurity>0</DocSecurity>
  <Lines>824</Lines>
  <Paragraphs>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2024-09-26T14:24:00Z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