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457F8C60"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PRILOG XXX – Tablice i obrasci za objavu standardiziranog i internog pristupa tržišnom riziku. Upute</w:t>
      </w:r>
      <w:r w:rsidR="00CF57C2">
        <w:rPr>
          <w:rFonts w:ascii="Times New Roman" w:hAnsi="Times New Roman"/>
          <w:b/>
          <w:color w:val="auto"/>
          <w:sz w:val="24"/>
        </w:rPr>
        <w:t>.</w:t>
      </w:r>
      <w:r>
        <w:rPr>
          <w:rFonts w:ascii="Times New Roman" w:hAnsi="Times New Roman"/>
          <w:b/>
          <w:color w:val="auto"/>
          <w:sz w:val="24"/>
        </w:rPr>
        <w:t xml:space="preserve">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Ovaj Prilog obuhvaća upute kojih se institucije moraju pridržavati pri objavi informacija iz članaka 435., 445. i 455. Uredbe (EU) br. 575/2013</w:t>
      </w:r>
      <w:r>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(„CRR”) za popunjavanje tablica i obrazaca za objavu tržišnog rizika koji su navedeni u Prilogu XXIX. IT rješenjima EBA-e. </w:t>
      </w:r>
    </w:p>
    <w:p w14:paraId="69DA8DE0" w14:textId="493923CE"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Tablica EU MRA</w:t>
      </w:r>
      <w:r>
        <w:rPr>
          <w:rFonts w:ascii="Times New Roman" w:hAnsi="Times New Roman"/>
          <w:sz w:val="24"/>
        </w:rPr>
        <w:t xml:space="preserve"> </w:t>
      </w:r>
      <w:r>
        <w:rPr>
          <w:rFonts w:ascii="Times New Roman" w:hAnsi="Times New Roman"/>
          <w:b/>
          <w:sz w:val="24"/>
        </w:rPr>
        <w:t>– Zahtjevi za objavu kvalitativnih informacija o tržišnom riziku.</w:t>
      </w:r>
      <w:r>
        <w:rPr>
          <w:rFonts w:ascii="Times New Roman" w:hAnsi="Times New Roman"/>
          <w:sz w:val="24"/>
        </w:rPr>
        <w:t xml:space="preserve"> Polja za slobodni unos teksta</w:t>
      </w:r>
      <w:r w:rsidR="00CF57C2">
        <w:rPr>
          <w:rFonts w:ascii="Times New Roman" w:hAnsi="Times New Roman"/>
          <w:sz w:val="24"/>
        </w:rPr>
        <w:t>.</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Institucije objavljuju informacije iz članka 435. stavka 1. točaka od (a) do (d) Uredbe (EU) br. 575/2013 u pogledu tržišnog rizika prateći upute u nastavku ovog Priloga za popunjavanje tablice EU MRA iz Priloga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Pravna osnova i upute</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Pri objavi informacija iz članka 435. stavka 1. točaka (a) i (d) Uredbe (EU) br. 575/2013 o ciljevima upravljanja rizikom i politikama za upravljanje tržišnim rizikom, institucije uključuju:</w:t>
            </w:r>
          </w:p>
          <w:p w14:paraId="2954CCD3" w14:textId="503F9FB6"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objašnjenje strateških ciljeva uprave pri poduzimanju aktivnosti trgovanja</w:t>
            </w:r>
            <w:r w:rsidR="00CF57C2">
              <w:rPr>
                <w:rFonts w:ascii="Times New Roman" w:hAnsi="Times New Roman"/>
                <w:sz w:val="24"/>
              </w:rPr>
              <w:t>,</w:t>
            </w:r>
            <w:r>
              <w:rPr>
                <w:rFonts w:ascii="Times New Roman" w:hAnsi="Times New Roman"/>
                <w:sz w:val="24"/>
              </w:rPr>
              <w:t xml:space="preserve"> </w:t>
            </w:r>
          </w:p>
          <w:p w14:paraId="28C8AA1E" w14:textId="098D38FB"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opis politika iz članka 104. stavka 1. za određivanje pozicija koje se uključuju u knjigu trgovanja, uključujući definiciju pozicija koje kreditna institucija dulje vrijeme drži te opis politika upravljanja rizicima za praćenje tih pozicija. Osim toga, institucije opisuju slučajeve kada se instrumenti raspoređuju u knjigu trgovanja ili knjigu pozicija kojima se ne trguje suprotno općim pretpostavkama o kategoriji njihova instrumenta, uključujući njihovu tržišnu i fer vrijednost tih slučajeva kao i svaku reklasifikaciju iz jedne knjige u drugu od zadnjeg izvještajnog razdoblja, uključujući fer vrijednost tih slučajeva i razlog za reklasifikaciju</w:t>
            </w:r>
            <w:r w:rsidR="00CF57C2">
              <w:rPr>
                <w:rFonts w:ascii="Times New Roman" w:hAnsi="Times New Roman"/>
                <w:sz w:val="24"/>
              </w:rPr>
              <w:t>,</w:t>
            </w:r>
          </w:p>
          <w:p w14:paraId="20F3C237" w14:textId="7E219197"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opis aktivnosti internih prijenosa rizika, uključujući vrste organizacijskih jedinica za interni prijenos rizika</w:t>
            </w:r>
            <w:r w:rsidR="00CF57C2">
              <w:rPr>
                <w:rFonts w:ascii="Times New Roman" w:hAnsi="Times New Roman"/>
                <w:sz w:val="24"/>
              </w:rPr>
              <w:t>,</w:t>
            </w:r>
          </w:p>
          <w:p w14:paraId="17B1142E" w14:textId="3EDB97F4"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postupke koji se primjenjuju za identifikaciju, mjerenje, praćenje i kontrolu tržišnih rizika institucije</w:t>
            </w:r>
            <w:r w:rsidR="00CF57C2">
              <w:rPr>
                <w:rFonts w:ascii="Times New Roman" w:hAnsi="Times New Roman"/>
                <w:sz w:val="24"/>
              </w:rPr>
              <w:t>,</w:t>
            </w:r>
          </w:p>
          <w:p w14:paraId="216165DD" w14:textId="74E6E384"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politika zaštite od rizika i smanjenja rizika</w:t>
            </w:r>
            <w:r w:rsidR="00CF57C2">
              <w:rPr>
                <w:rFonts w:ascii="Times New Roman" w:hAnsi="Times New Roman"/>
                <w:sz w:val="24"/>
              </w:rPr>
              <w:t>,</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strategije i postupke za praćenje stalne učinkovitosti zaštite od rizika.</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Pri objavi informacija iz članka 435. stavka 1. točke (b) Uredbe (EU) br. 575/2013 o strukturi i organizaciji funkcije upravljanja tržišnim rizikom, institucije uključuju:</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opis strukture upravljanja tržišnim rizikom uspostavljene radi provedbe strategija i postupaka institucija iz prethodnog retka (a),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opis odnosa i mehanizama komunikacije između različitih strana uključenih u upravljanje tržišnim rizikom.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Pri objavi informacija iz članka 435. stavka 1. točke (c) Uredbe (EU) br. 575/2013 o opsegu i vrsti sustava izvješćivanja o rizicima i mjerenja rizika, institucije navode opis opsega i vrste sustava izvješćivanja i mjerenja tržišnog rizika.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Pri objavi informacija iz članka 445. stavka 1. Uredbe (EU) br. 575/2013 o općem pregledu pozicija iz knjige trgovanja, institucije navode detaljan opis svojih pozicija iz knjige trgovanja.</w:t>
            </w:r>
          </w:p>
        </w:tc>
      </w:tr>
    </w:tbl>
    <w:p w14:paraId="0A37501D" w14:textId="5B1DE2AB" w:rsidR="00931C32" w:rsidRPr="00CF57C2" w:rsidRDefault="00931C32" w:rsidP="06503780">
      <w:pPr>
        <w:pStyle w:val="Titlelevel2"/>
        <w:spacing w:before="0"/>
        <w:rPr>
          <w:rFonts w:ascii="Times New Roman" w:hAnsi="Times New Roman" w:cs="Times New Roman"/>
          <w:b/>
          <w:sz w:val="24"/>
        </w:rPr>
      </w:pPr>
    </w:p>
    <w:p w14:paraId="6A05A809" w14:textId="77777777" w:rsidR="00931C32" w:rsidRPr="00CF57C2" w:rsidRDefault="00931C32" w:rsidP="00931C32">
      <w:pPr>
        <w:pStyle w:val="Titlelevel2"/>
        <w:spacing w:before="0"/>
        <w:rPr>
          <w:rFonts w:ascii="Times New Roman" w:hAnsi="Times New Roman" w:cs="Times New Roman"/>
          <w:b/>
          <w:color w:val="auto"/>
          <w:sz w:val="24"/>
        </w:rPr>
      </w:pPr>
    </w:p>
    <w:p w14:paraId="21FE8BB6" w14:textId="2906EB8E"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Obrazac EU MR1 – Tržišni rizik u skladu s alternativnim standardiziranim pristupom (ASA)</w:t>
      </w:r>
      <w:r w:rsidR="00CF57C2">
        <w:rPr>
          <w:rFonts w:ascii="Times New Roman" w:hAnsi="Times New Roman"/>
          <w:sz w:val="24"/>
        </w:rPr>
        <w:t>.</w:t>
      </w:r>
      <w:r>
        <w:rPr>
          <w:rFonts w:ascii="Times New Roman" w:hAnsi="Times New Roman"/>
          <w:sz w:val="24"/>
        </w:rPr>
        <w:t xml:space="preserve"> </w:t>
      </w:r>
      <w:r w:rsidR="00CF57C2">
        <w:rPr>
          <w:rFonts w:ascii="Times New Roman" w:hAnsi="Times New Roman"/>
          <w:sz w:val="24"/>
        </w:rPr>
        <w:t>F</w:t>
      </w:r>
      <w:r>
        <w:rPr>
          <w:rFonts w:ascii="Times New Roman" w:hAnsi="Times New Roman"/>
          <w:sz w:val="24"/>
        </w:rPr>
        <w:t>iksan format</w:t>
      </w:r>
      <w:r w:rsidR="00CF57C2">
        <w:rPr>
          <w:rFonts w:ascii="Times New Roman" w:hAnsi="Times New Roman"/>
          <w:sz w:val="24"/>
        </w:rPr>
        <w:t>.</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Institucije objavljuju informacije iz članka 445. </w:t>
      </w:r>
      <w:r>
        <w:rPr>
          <w:rFonts w:ascii="Times New Roman" w:hAnsi="Times New Roman"/>
          <w:color w:val="auto"/>
          <w:sz w:val="24"/>
        </w:rPr>
        <w:t>Uredbe (EU) br. 575/2013</w:t>
      </w:r>
      <w:r>
        <w:rPr>
          <w:rFonts w:ascii="Times New Roman" w:hAnsi="Times New Roman"/>
          <w:color w:val="000000" w:themeColor="text1"/>
          <w:sz w:val="24"/>
        </w:rPr>
        <w:t xml:space="preserve"> prateći upute u nastavku ovog Priloga za popunjavanje obrasca EU MR1 iz Priloga XXIX. </w:t>
      </w:r>
      <w:r>
        <w:rPr>
          <w:rFonts w:ascii="Times New Roman" w:hAnsi="Times New Roman"/>
          <w:color w:val="auto"/>
          <w:sz w:val="24"/>
        </w:rPr>
        <w:t>Institucije u ovaj obrazac ne uključuju podatke o svojoj organizacijskoj jedinici za interni prijenos rizika (IRT).</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Pravna osnova i upute</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Broj retka</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Objašnjenje</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Metoda zasnovana na osjetljivostima</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u skladu s dijelom trećim glavom IV. poglavljem 1.a odjeljkom 2. Uredbe (EU) br.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Opći kamatni rizik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u skladu s člankom 325.c stavkom 2. točkom (a) i člankom 325.d stavkom 1. točkom (i) Uredbe (EU) br.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Rizik vlasničkih instrumenata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u skladu s člankom 325.c stavkom 2. točkom (a) i člankom 325.d stavkom 1. točkom v. Uredbe (EU) br.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Robni rizik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u skladu s člankom 325.c stavkom 2. točkom (a) i člankom 325.d stavkom 1. točkom vi. Uredbe (EU) br.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Valutni rizik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u skladu s člankom 325.c stavkom 2. točkom (a) i člankom 325.d stavkom 1. točkom vii. Uredbe (EU) br.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Rizik kreditne marže (CSR) koji nije predmet sekuritizacije</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u skladu s člankom 325.c stavkom 2. točkom (a) i člankom 325.d stavkom 1. točkom ii. Uredbe (EU) br.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Rizik kreditne marže za sekuritizacije koje nisu uključene u alternativni korelacijski portfelj namijenjen trgovanju (non-ACTP CSR)</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u skladu s člankom 325.c stavkom 2. točkom (a) i člankom 325.d stavkom 1. točkom iii. Uredbe (EU) br.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Rizik kreditne marže za sekuritizacije koje su uključene u alternativni korelacijski portfelj namijenjen trgovanju (ACTP CSR)</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u skladu s člankom 325.c stavkom 2. točkom (a) i člankom 325.d stavkom 1. točkom iv. Uredbe (EU) br.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Rizik nastanka statusa neispunjavanja obveza</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u skladu s dijelom trećim glavom IV. poglavljem 1.a odjeljkom 5. Uredbe (EU) br.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Koji nije predmet sekuritizacije</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u skladu s člankom 325.c stavkom 2. točkom (b) i dijelom trećim glavom IV. poglavljem 1.a odjeljkom 5. potpodjeljkom 1. Uredbe (EU) br.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Sekuritizacije koje nisu uključene u alternativni korelacijski portfelj namijenjen trgovanju (non-ACTP)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u skladu s člankom 325.c stavkom 2. točkom (b) i dijelom trećim glavom IV. poglavljem 1.a odjeljkom 5. potpodjeljkom 2. Uredbe (EU) br.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Sekuritizacije koje su uključene u alternativni korelacijski portfelj namijenjen trgovanju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u skladu s člankom 325.c stavkom 2. točkom (b) i dijelom trećim glavom IV. poglavljem 1.a odjeljkom 5. potpodjeljkom 3. Uredbe (EU) br.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Rezidualni rizik</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dio treći glava IV. poglavlje 1.a odjeljak 4. Uredbe (EU) br.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Egzotične odnosne izloženosti</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u skladu s člankom 325.c stavkom 2. točkom (c) i člankom 325.u stavkom 2. točkom (a). Uredbe (EU) br.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Drugi rezidualni rizici</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u skladu s člankom 325.c stavkom 2. točkom (c) i člankom 325.u stavkom 2. točkom (b) Uredbe (EU) br.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Ukupni kapitalni zahtjevi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Zbroj redaka od 1 do EU11b.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Slovna oznaka stupca</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Objašnjenje</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Ukupni kapitalni zahtjevi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Objava kapitalnih zahtjeva iz članka 438. točke (d) Uredbe (EU) br. 575/2013, koji se izračunavaju kao jednostavni zbroj iznosa iz prethodnih redaka 1 do EU 11b.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09876F58"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Tablica EU MRB: Zahtjevi za objavu kvalitativnih informacija za institucije koje primjenjuju alternativni pristup internih modela</w:t>
      </w:r>
      <w:r>
        <w:rPr>
          <w:rFonts w:ascii="Times New Roman" w:hAnsi="Times New Roman"/>
          <w:sz w:val="24"/>
        </w:rPr>
        <w:t>. Slobodni unos teksta</w:t>
      </w:r>
      <w:r w:rsidR="00CF57C2">
        <w:rPr>
          <w:rFonts w:ascii="Times New Roman" w:hAnsi="Times New Roman"/>
          <w:sz w:val="24"/>
        </w:rPr>
        <w:t>.</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Institucije objavljuju informacije iz članka 455. točaka (a), (b), (c), (d) (e) i (f) Uredbe (EU) br. 575/2013 prateći upute u nastavku ovog Priloga za popunjavanje tablice EU MRB iz Priloga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Pravna osnova i upute</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Broj retka</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Objašnjenje</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Pri objavi informacija iz članka 455. točke 1.a Uredbe (EU) br. 575/2013 o alternativnim internim modelima za tržišni rizik, institucije uključuju:</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svoje ciljeve u aktivnostima trgovanja i uvedene procese radi identifikacije, mjerenja, praćenja i kontrole tržišnog rizika institucije. Te se informacije mogu navesti unakrsnim upućivanjem na tablicu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16A58C63"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politike iz članka 104. stavka 1. za određivanje pozicije koju treba uključiti u knjigu trgovanja. Te se informacije mogu navesti unakrsnim upućivanjem na tablicu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6807777F"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strukturu i organizaciju funkcije za upravljanje rizicima i rukovođenja</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Opći opis strukture organizacijske jedinice za trgovanje i vrsta instrumenata dodijeljenih organizacijskim jedinicama za trgovanje AIMA u skladu s člankom 455. stavkom 1. točkama (c), (d) Uredbe (EU) br.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Pri objavi informacija iz članka 455. stavka 1. točke (c) Uredbe (EU) br. 575/2013 institucije navode opći opis strukture organizacijskih jedinica za trgovanje obuhvaćenih internim modelima iz članka 325.az, uključujući opći opis poslovne strategije za svaku organizacijsku jedinicu za trgovanje, instrumente koji su njome dopušteni te glavne vrste rizika u odnosu na tu jedinicu za trgovanje.</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Pri objavi informacija iz članka 455. stavka 1. točke (d) Uredbe (EU) br. 575/2013 institucije navode opći pregled pozicija iz knjige trgovanja koje nisu obuhvaćene internim modelima iz članka 325.az, uključujući opći opis strukture organizacijske jedinice za trgovanje i vrste instrumenata dodijeljenih organizacijskim jedinicama za trgovanje ili kategorijama tih jedinica u skladu s člankom 104.b.</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Opis glavnih obilježja modela primijenjenih na konsolidiranoj razini, uključujući pristupe koji se upotrebljavaju u validaciji modela i postupke modeliranja.</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Pri objavi informacija iz članka 455. stavka 1. točke (f) podtočke i. Uredbe (EU) br. 575/2013, institucije navode:  opseg, glavna obilježja i najvažnije odabire modeliranja raznih internih modela iz članka 325.az Uredbe (EU) br. 575/2013 primijenjenih za izračun iznosa izloženosti riziku za glavne modele primijenjene na konsolidiranoj razini te opis u kojoj mjeri ti interni modeli predstavljaju sve modele primijenjene na konsolidiranoj razini, uključujući ako je to primjenjivo: i. opći opis pristupa modeliranju pri izračunu očekivanog manjka iz članka 325.ba stavka 1. točke (a) CRR-a, uključujući učestalost ažuriranja podataka.</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Pri objavi informacija iz članka 455. stavka 1. točke (f) podtočke ii. Uredbe (EU) br. 575/2013, institucije uključuju, ako je primjenjivo: opći opis metodologije izračuna mjere rizika prema stresnom scenariju iz članka 325.ba stavka 1. točke (b) Uredbe (EU) br. 575/2013, osim specifikacija iz članka 325.bk stavka 3. Uredbe (EU) br. 575/2013.</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Opis internih modela za izračun kapitalnog zahtjeva za rizik nastanka statusa neispunjavanja obveza</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Pri objavi informacija iz članka 455. stavka 1. točke (f) podtočke iii. Uredbe (EU) br. 575/2013, institucije uključuju, ako je primjenjivo: opći opis pristupa modeliranju pri izračunu kapitalnog zahtjeva za rizik nastanka statusa neispunjavanja obveza iz članka 325.ba stavka 2. Uredbe (EU) br. 575/2013, uključujući učestalost ažuriranja podataka.</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2BC744C2"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Obrazac EU MR2 – Tržišni rizik u skladu s alternativnim pristupom internih modela (AIMA).</w:t>
      </w:r>
      <w:r>
        <w:rPr>
          <w:rFonts w:ascii="Times New Roman" w:hAnsi="Times New Roman"/>
          <w:color w:val="auto"/>
          <w:sz w:val="24"/>
        </w:rPr>
        <w:t xml:space="preserve"> Fiksan format</w:t>
      </w:r>
      <w:r w:rsidR="00CF57C2">
        <w:rPr>
          <w:rFonts w:ascii="Times New Roman" w:hAnsi="Times New Roman"/>
          <w:color w:val="auto"/>
          <w:sz w:val="24"/>
        </w:rPr>
        <w:t>.</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Institucije objavljuju informacije iz članka 455. točke 2. Uredbe (EU) br. 575/2013 prateći upute u nastavku ovog Priloga za popunjavanje obrasca EU MR2 iz Priloga XXIX. </w:t>
      </w:r>
      <w:r>
        <w:rPr>
          <w:rFonts w:ascii="Times New Roman" w:hAnsi="Times New Roman"/>
          <w:color w:val="auto"/>
          <w:sz w:val="24"/>
        </w:rPr>
        <w:t>Institucije u ovaj obrazac ne uključuju podatke o svojoj organizacijskoj jedinici za interni prijenos rizika (IRT).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Pravna osnova i upute</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Objašnjenje</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Mjera neograničenog očekivanog manjka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Iskazana vrijednost izračunava se na razini cjelokupnog portfelja, a ne na razini široke kategorije rizika u skladu s člancima 325.bb i 325.bc Uredbe (EU) br.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Mjera neograničenog očekivanog manjka za kategoriju faktora rizika „kamatna stopa”</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Iskazana vrijednost izračunava se za kategoriju faktora rizika „kamatna stopa” u skladu s člancima 325.bb, 325.bc i 325.bd Uredbe (EU) br.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Mjera neograničenog očekivanog manjka za kategoriju faktora rizika „vlasnička ulaganja”</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Iskazana vrijednost izračunava se za kategoriju faktora rizika „vlasnička ulaganja” u skladu s člancima 325.bb, 325.bc i 325.bd Uredbe (EU) br.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Mjera neograničenog očekivanog manjka za kategoriju faktora rizika „roba”</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Iskazana vrijednost izračunava se za kategoriju faktora rizika „roba” u skladu s člancima 325.bb, 325.bc i 325.bd Uredbe (EU) br.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Mjera neograničenog očekivanog manjka za kategoriju faktora rizika „valutni rizik”</w:t>
            </w:r>
          </w:p>
          <w:p w14:paraId="1880B223" w14:textId="34F16589" w:rsidR="002F3022" w:rsidRPr="00DB0A49" w:rsidRDefault="1F3BA536" w:rsidP="140F9DE1">
            <w:pPr>
              <w:rPr>
                <w:rFonts w:ascii="Times New Roman" w:eastAsia="Times New Roman" w:hAnsi="Times New Roman" w:cs="Times New Roman"/>
                <w:sz w:val="24"/>
              </w:rPr>
            </w:pPr>
            <w:r>
              <w:rPr>
                <w:rFonts w:ascii="Times New Roman" w:hAnsi="Times New Roman"/>
                <w:b/>
                <w:color w:val="444444"/>
                <w:sz w:val="24"/>
              </w:rPr>
              <w:t xml:space="preserve"> </w:t>
            </w:r>
            <w:r>
              <w:rPr>
                <w:rFonts w:ascii="Times New Roman" w:hAnsi="Times New Roman"/>
                <w:sz w:val="24"/>
              </w:rPr>
              <w:t xml:space="preserve"> Iskazana vrijednost izračunava se za kategoriju faktora rizika „valutni rizik” u skladu s člancima 325.bb, 325.bc i 325.bd Uredbe (EU) br.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Mjera neograničenog očekivanog manjka za kategoriju faktora rizika „kreditna marža”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Iskazana vrijednost izračunava se za kategoriju faktora rizika „kreditna marža” u skladu s člancima 325.bb, 325.bc i 325.bd Uredbe (EU) br.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Zbroj mjera neograničenog očekivanog manjka za široke kategorije faktora rizika </w:t>
            </w:r>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Zbroj redaka od 2 do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Mjera očekivanog manjka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Mjera rizika očekivanog manjka izračunava se u skladu s člankom 325.ba stavkom 1. točkom (a) podtočkom i. Uredbe (EU) br.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Mjera rizika prema stresnom scenariju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Mjera rizika prema stresnom scenariju izračunava se u skladu s člankom 325.ba stavkom 1. točkom (a) podtočkom ii. Uredbe (EU) br.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Kapitalni zahtjev za rizik nastanka statusa neispunjavanja obveza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Kapitalni zahtjev za rizik nastanka statusa neispunjavanja obveza izračunava se u skladu s člankom 325.ba stavkom 2. točkom (a) Uredbe (EU) br.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w:t>
            </w:r>
            <w:r>
              <w:rPr>
                <w:rFonts w:ascii="Times New Roman" w:hAnsi="Times New Roman"/>
                <w:b/>
                <w:i/>
                <w:sz w:val="24"/>
              </w:rPr>
              <w:t>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Ova vrijednost izračunava se u skladu s člankom 325.ba stavkom 3. Uredbe (EU) br. 575/2013 u vezi s člankom 10. stavkom 1. Uredbe (EU)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za bilančne i izvanbilančne poslove plus PLA</w:t>
            </w:r>
            <w:r>
              <w:rPr>
                <w:rFonts w:ascii="Times New Roman" w:hAnsi="Times New Roman"/>
                <w:b/>
                <w:i/>
                <w:sz w:val="24"/>
              </w:rPr>
              <w:t>addon</w:t>
            </w:r>
            <w:r>
              <w:rPr>
                <w:rFonts w:ascii="Times New Roman" w:hAnsi="Times New Roman"/>
                <w:b/>
                <w:sz w:val="24"/>
              </w:rPr>
              <w:t xml:space="preserve"> (AIMA + PLA</w:t>
            </w:r>
            <w:r>
              <w:rPr>
                <w:rFonts w:ascii="Times New Roman" w:hAnsi="Times New Roman"/>
                <w:b/>
                <w:i/>
                <w:sz w:val="24"/>
              </w:rPr>
              <w:t>addon</w:t>
            </w:r>
            <w:r>
              <w:rPr>
                <w:rFonts w:ascii="Times New Roman" w:hAnsi="Times New Roman"/>
                <w:b/>
                <w:sz w:val="24"/>
              </w:rPr>
              <w:t>)</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Ova vrijednost izračunava se u skladu s člankom 10. stavkom 1. Delegirane uredbe Komisije (EU) 2022/2059. Dodaje se vrijednost iz retka 11.</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Ukupno ASA OFR za organizacijske jedinice za trgovanje za koje upotreba AIMA nije prihvatljiva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Ova vrijednost izračunava se u skladu s člankom 325.ba. stavkom 3. Uredbe (EU) br.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Razlika u OFR u skladu s AIMA i ASA za organizacijske jedinice za trgovanje za koje se upotrebljava AIMA (AIMA – 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Ova vrijednost izračunava se kao razlika između kapitalnih zahtjeva AIMA za organizacijske jedinice AIMA (članak 10. stavak 1. Uredbe (EU) 2022/2059) i vrijednosti kapitalnih zahtjeva ASA za sve organizacijske jedinice AIMA (pregled portfelja) (članak 10. stavak 1. Uredbe (EU)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ASA OFR za sve organizacijske jedinice za trgovanje (uključujući one za koje se upotrebljava AIMA) (ASAall 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Ova vrijednost izračunava se u skladu s člankom 325.ba. stavkom 3. Uredbe (EU) br.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Ukupno OFR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Ova vrijednost izračunava se u skladu s člankom 325.ba. stavkom 3. Uredbe (EU) br.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Slovna oznaka stupca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Objašnjenje</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Objava najnovije mjere rizika [redak od 1 do 10] ili kapitalnih zahtjeva [redak od 11 do 16] u tekućem tromjesečju.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Srednja vrijednost mjere rizika [redak od 1 do 10] u prethodnih 60 radnih dana [redak od 1 do 9] ili u prethodnih 12 tjedana [redak 10] u tekućem tromjesečju.</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Najviša mjera rizika u prethodnih 60 radnih dana [redak od 1 do 6] u tekućem tromjesečju.</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Najniža mjera rizika u prethodnih 60 radnih dana [redak od 1 do 6] u tekućem tromjesečju.</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Broj prekoračenja nakon retroaktivnog testiranja [redak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 xml:space="preserve">Broj prekoračenja iskazanih u ovoj rubrici je broj koji se koristi za utvrđivanje </w:t>
            </w:r>
            <w:r>
              <w:rPr>
                <w:rFonts w:ascii="Times New Roman" w:hAnsi="Times New Roman"/>
                <w:i/>
                <w:sz w:val="24"/>
              </w:rPr>
              <w:t>add-ona</w:t>
            </w:r>
            <w:r>
              <w:rPr>
                <w:rFonts w:ascii="Times New Roman" w:hAnsi="Times New Roman"/>
                <w:sz w:val="24"/>
              </w:rPr>
              <w:t xml:space="preserve"> u skladu s tablicom 3. iz članka 325.bf stavka 6. točke (b) Uredbe (EU) br. 575/2013. Prekoračenja koja su isključena uz dopuštenje nadzornog tijela nisu uključena.</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Najnovija mjera rizika [redak od 1 do 10] ili kapitalni zahtjevi [redak od 11 do 16] u prethodnom tromjesečju.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Srednja vrijednost mjere rizika [redak od 1 do 10] u prethodnih 60 radnih dana [redak od 1 do 9] ili u prethodnih 12 tjedana [redak 10] u prethodnom tromjesečju.</w:t>
            </w:r>
          </w:p>
        </w:tc>
      </w:tr>
    </w:tbl>
    <w:p w14:paraId="60061E4C" w14:textId="6CE0B0D3" w:rsidR="00AA4A0F" w:rsidRPr="00CF57C2" w:rsidRDefault="00AA4A0F" w:rsidP="00931C32">
      <w:pPr>
        <w:pStyle w:val="Titlelevel2"/>
        <w:spacing w:before="0"/>
        <w:rPr>
          <w:rFonts w:ascii="Times New Roman" w:hAnsi="Times New Roman" w:cs="Times New Roman"/>
          <w:b/>
          <w:color w:val="auto"/>
          <w:sz w:val="24"/>
        </w:rPr>
      </w:pPr>
    </w:p>
    <w:p w14:paraId="7EADC0A6" w14:textId="0180328F"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Obrazac EU MR3 – Tržišni rizik u skladu s pojednostavnjenim standardiziranim pristupom (SSA)</w:t>
      </w:r>
      <w:r>
        <w:rPr>
          <w:rFonts w:ascii="Times New Roman" w:hAnsi="Times New Roman"/>
          <w:color w:val="auto"/>
          <w:sz w:val="24"/>
        </w:rPr>
        <w:t>. Fiksan format</w:t>
      </w:r>
      <w:r w:rsidR="00CF57C2">
        <w:rPr>
          <w:rFonts w:ascii="Times New Roman" w:hAnsi="Times New Roman"/>
          <w:color w:val="auto"/>
          <w:sz w:val="24"/>
        </w:rPr>
        <w:t>.</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Institucije objavljuju informacije iz članka 445. Uredbe (EU) br. 575/2013 prateći upute u nastavku ovog Priloga za popunjavanje obrasca EU MR3 iz Priloga XXIX. IT rješenjima.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Pravna osnova i upute</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Objašnjenje</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Rizik kamatne stope (opći i specifični)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Opći i specifični rizik pozicija u dužničkim instrumentima kojima se trguje u knjizi trgovanja, u skladu s dijelom trećim glavom IV. poglavljem 2. Uredbe (EU) br. 575/2013, ne uključujući specifični rizik povezan sa sekuritizacijom.</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Rizik vlasničkih instrumenata (opći i specifični)</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Opći i specifični rizik pozicija u vlasničkim instrumentima u knjizi trgovanja, u skladu s dijelom trećim glavom IV. poglavljem 2. Uredbe (EU) br.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Robni rizik</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Rizik pozicija u robi u skladu s dijelom trećim glavom IV. poglavljem 4. Uredbe (EU) br.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Valutni rizik</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Rizik pozicija u stranoj valuti u skladu s dijelom trećim glavom IV. poglavljem 3. Uredbe (EU) br.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Sekuritizacija (specifični rizik)</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Specifični rizik sekuritizacijskih pozicija u knjizi trgovanja u skladu s dijelom trećim glavom IV. poglavljem 2. člancima 337. i 338. Uredbe (EU) br.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Ukupno OFR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Objava kapitalnih zahtjeva iz članka 438. točke (d) Uredbe (EU) br. 575/2013, koji se izračunavaju kao jednostavni zbroj iznosa iz prethodnih redaka od 1 do 5 za stupac a i izračunavaju kao jednostavni zbroj iznosa iz prethodnih redaka od 1 do 4 za stupce b, c i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Slovna oznaka stupca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Objašnjenje</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Izravni proizvodi</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Pozicije u proizvodima koje nisu neobvezne i nisu uključene u pristupe RTS-a za rizike osim delta-rizika za opcije u standardiziranom pristupu tržišnom riziku</w:t>
            </w:r>
            <w:r>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Opcije</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Pojednostavnjeni pristup</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ili varanti kako su definirani u dijelu trećem glavi IV. poglavlju 2. članku 329. stavku 3. Uredbe (EU) br. 575/2013 za koje institucije izračunavaju kapitalne zahtjeve za rizike osim delta-rizika koristeći pojednostavnjeni pristup.</w:t>
            </w:r>
            <w:r>
              <w:rPr>
                <w:rStyle w:val="FootnoteReference"/>
                <w:rFonts w:ascii="Times New Roman" w:eastAsia="Times New Roman" w:hAnsi="Times New Roman" w:cs="Times New Roman"/>
              </w:rPr>
              <w:footnoteReference w:id="4"/>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Delta-plus pristup</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ili varanti u knjizi trgovanja kako su definirani u dijelu trećem glavi IV. poglavlju 2. članku 329. stavku 3. Uredbe (EU) br. 575/2013 za koje institucije izračunavaju kapitalne zahtjeve za rizike osim delta-rizika koristeći delta-plus pristup</w:t>
            </w:r>
            <w:r>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Pristup scenarija</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ili varanti u knjizi trgovanja kako su definirani u dijelu trećem glavi IV. poglavlju 2. članku 329. stavku 3. Uredbe (EU) br. 575/2013 za koje institucije izračunavaju kapitalne zahtjeve za rizike osim delta-rizika koristeći pristup scenarija</w:t>
            </w:r>
            <w:r>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CF57C2" w:rsidRDefault="00931C32" w:rsidP="00931C32">
      <w:pPr>
        <w:pStyle w:val="Titlelevel2"/>
        <w:spacing w:before="0"/>
        <w:rPr>
          <w:rFonts w:ascii="Times New Roman" w:hAnsi="Times New Roman" w:cs="Times New Roman"/>
          <w:b/>
          <w:color w:val="auto"/>
          <w:sz w:val="24"/>
        </w:rPr>
      </w:pPr>
    </w:p>
    <w:sectPr w:rsidR="00931C32" w:rsidRPr="00CF57C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 xml:space="preserve">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 w:id="3">
    <w:p w14:paraId="6651B5AC" w14:textId="77777777" w:rsidR="00AA4A0F" w:rsidRPr="008158FF" w:rsidRDefault="00AA4A0F" w:rsidP="00AA4A0F">
      <w:pPr>
        <w:pStyle w:val="FootnoteText"/>
      </w:pPr>
      <w:r>
        <w:footnoteRef/>
      </w:r>
      <w:r>
        <w:t xml:space="preserve"> </w:t>
      </w:r>
      <w:r>
        <w:tab/>
        <w:t>Kako je definirano u DELEGIRANOJ UREDBI KOMISIJE (EU) br. 528/2014 оd 12. ožujka 2014. o dopuni Uredbe (EU) br. 575/2013 Europskog parlamenta i Vijeća u pogledu regulatornih tehničkih standarda za rizike osim delta-rizika za opcije u standardiziranom pristupu tržišnom riziku (SL L 148, 20.5.2014., str. 29.).</w:t>
      </w:r>
    </w:p>
  </w:footnote>
  <w:footnote w:id="4">
    <w:p w14:paraId="67B37F98" w14:textId="77777777" w:rsidR="00AA4A0F" w:rsidRPr="00222AAB" w:rsidRDefault="00AA4A0F" w:rsidP="00AA4A0F">
      <w:pPr>
        <w:pStyle w:val="FootnoteText"/>
      </w:pPr>
      <w:r>
        <w:rPr>
          <w:rStyle w:val="FootnoteReference"/>
          <w:rFonts w:cstheme="minorHAnsi"/>
        </w:rPr>
        <w:footnoteRef/>
      </w:r>
      <w:r>
        <w:t xml:space="preserve"> </w:t>
      </w:r>
      <w:r>
        <w:tab/>
        <w:t>Kako je definirano u DELEGIRANOJ UREDBI KOMISIJE (EU) br. 528/2014 оd 12. ožujka 2014. o dopuni Uredbe (EU) br. 575/2013 Europskog parlamenta i Vijeća u pogledu regulatornih tehničkih standarda za rizike osim delta-rizika za opcije u standardiziranom pristupu tržišnom riziku (SL L 148, 20.5.2014., str. 29.).</w:t>
      </w:r>
    </w:p>
  </w:footnote>
  <w:footnote w:id="5">
    <w:p w14:paraId="6C32CA93" w14:textId="77777777" w:rsidR="00AA4A0F" w:rsidRPr="00222AAB" w:rsidRDefault="00AA4A0F" w:rsidP="00AA4A0F">
      <w:pPr>
        <w:pStyle w:val="FootnoteText"/>
      </w:pPr>
      <w:r>
        <w:rPr>
          <w:rStyle w:val="FootnoteReference"/>
          <w:rFonts w:cstheme="minorHAnsi"/>
        </w:rPr>
        <w:footnoteRef/>
      </w:r>
      <w:r>
        <w:t xml:space="preserve"> </w:t>
      </w:r>
      <w:r>
        <w:tab/>
        <w:t>Kako je definirano u DELEGIRANOJ UREDBI KOMISIJE (EU) br. 528/2014 оd 12. ožujka 2014. o dopuni Uredbe (EU) br. 575/2013 Europskog parlamenta i Vijeća u pogledu regulatornih tehničkih standarda za rizike osim delta-rizika za opcije u standardiziranom pristupu tržišnom riziku (SL L 148, 20.5.2014., str. 29.).</w:t>
      </w:r>
    </w:p>
  </w:footnote>
  <w:footnote w:id="6">
    <w:p w14:paraId="739259DE" w14:textId="77777777" w:rsidR="00AA4A0F" w:rsidRPr="00222AAB" w:rsidRDefault="00AA4A0F" w:rsidP="00AA4A0F">
      <w:pPr>
        <w:pStyle w:val="FootnoteText"/>
      </w:pPr>
      <w:r>
        <w:rPr>
          <w:rStyle w:val="FootnoteReference"/>
          <w:rFonts w:cstheme="minorHAnsi"/>
        </w:rPr>
        <w:footnoteRef/>
      </w:r>
      <w:r>
        <w:t xml:space="preserve"> </w:t>
      </w:r>
      <w:r>
        <w:tab/>
        <w:t>Kako je definirano u DELEGIRANOJ UREDBI KOMISIJE (EU) br. 528/2014 оd 12. ožujka 2014. o dopuni Uredbe (EU) br. 575/2013 Europskog parlamenta i Vijeća u pogledu regulatornih tehničkih standarda za rizike osim delta-rizika za opcije u standardiziranom pristupu tržišnom riziku (SL L 148, 20.5.2014., str.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CF57C2"/>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8E7906C6-C3CA-4927-BAB1-AB894FDD73C1}"/>
</file>

<file path=customXml/itemProps3.xml><?xml version="1.0" encoding="utf-8"?>
<ds:datastoreItem xmlns:ds="http://schemas.openxmlformats.org/officeDocument/2006/customXml" ds:itemID="{7CC6FC66-B363-429A-B9A0-B6796B9449F5}"/>
</file>

<file path=customXml/itemProps4.xml><?xml version="1.0" encoding="utf-8"?>
<ds:datastoreItem xmlns:ds="http://schemas.openxmlformats.org/officeDocument/2006/customXml" ds:itemID="{745C0AE7-37ED-4F2D-B8C0-639063E7847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2627</Words>
  <Characters>14795</Characters>
  <Application>Microsoft Office Word</Application>
  <DocSecurity>0</DocSecurity>
  <Lines>435</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17177</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