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EN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ANNEX </w:t>
      </w:r>
      <w:r w:rsidR="000E06FA" w:rsidRPr="002E2479">
        <w:rPr>
          <w:rFonts w:ascii="Times New Roman" w:hAnsi="Times New Roman"/>
          <w:sz w:val="24"/>
        </w:rPr>
        <w:t>X</w:t>
      </w:r>
      <w:r w:rsidR="00D03B1B" w:rsidRPr="002E2479">
        <w:rPr>
          <w:rFonts w:ascii="Times New Roman" w:hAnsi="Times New Roman"/>
          <w:sz w:val="24"/>
        </w:rPr>
        <w:t>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2A677E">
        <w:rPr>
          <w:rFonts w:ascii="Times New Roman" w:hAnsi="Times New Roman"/>
          <w:b/>
          <w:sz w:val="24"/>
          <w:lang w:eastAsia="de-DE"/>
        </w:rPr>
        <w:t xml:space="preserve">Instructions for </w:t>
      </w:r>
      <w:r>
        <w:rPr>
          <w:rFonts w:ascii="Times New Roman" w:hAnsi="Times New Roman"/>
          <w:b/>
          <w:sz w:val="24"/>
          <w:lang w:eastAsia="de-DE"/>
        </w:rPr>
        <w:t>disclosure</w:t>
      </w:r>
      <w:r w:rsidRPr="002A677E">
        <w:rPr>
          <w:rFonts w:ascii="Times New Roman" w:hAnsi="Times New Roman"/>
          <w:b/>
          <w:sz w:val="24"/>
          <w:lang w:eastAsia="de-DE"/>
        </w:rPr>
        <w:t xml:space="preserve"> on </w:t>
      </w:r>
      <w:r>
        <w:rPr>
          <w:rFonts w:ascii="Times New Roman" w:hAnsi="Times New Roman"/>
          <w:b/>
          <w:sz w:val="24"/>
          <w:lang w:eastAsia="de-DE"/>
        </w:rPr>
        <w:t>exposures to crypto-assets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lang w:val="fr-LU"/>
        </w:rPr>
      </w:pPr>
      <w:bookmarkStart w:id="2" w:name="_Toc163551527"/>
      <w:bookmarkEnd w:id="0"/>
      <w:bookmarkEnd w:id="1"/>
      <w:r w:rsidRPr="00D03B1B">
        <w:rPr>
          <w:rFonts w:ascii="Times New Roman" w:hAnsi="Times New Roman" w:cs="Times New Roman"/>
          <w:b/>
          <w:bCs/>
          <w:sz w:val="24"/>
          <w:u w:val="none"/>
          <w:lang w:val="fr-LU"/>
        </w:rPr>
        <w:t xml:space="preserve">Template EU CAE 1- </w:t>
      </w:r>
      <w:r w:rsidR="007F6485" w:rsidRPr="00D03B1B">
        <w:rPr>
          <w:rFonts w:ascii="Times New Roman" w:hAnsi="Times New Roman" w:cs="Times New Roman"/>
          <w:b/>
          <w:bCs/>
          <w:sz w:val="24"/>
          <w:u w:val="none"/>
          <w:lang w:val="fr-LU"/>
        </w:rPr>
        <w:t>Crypto-assets template</w:t>
      </w:r>
      <w:bookmarkEnd w:id="2"/>
      <w:r>
        <w:rPr>
          <w:rFonts w:ascii="Times New Roman" w:hAnsi="Times New Roman" w:cs="Times New Roman"/>
          <w:b/>
          <w:bCs/>
          <w:sz w:val="24"/>
          <w:u w:val="none"/>
          <w:lang w:val="fr-LU"/>
        </w:rPr>
        <w:t>.</w:t>
      </w:r>
      <w:r>
        <w:rPr>
          <w:rFonts w:ascii="Times New Roman" w:hAnsi="Times New Roman" w:cs="Times New Roman"/>
          <w:sz w:val="24"/>
          <w:u w:val="none"/>
          <w:lang w:val="fr-LU"/>
        </w:rPr>
        <w:t xml:space="preserve"> Fixed format.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 w:rsidRPr="00D03B1B">
        <w:t xml:space="preserve">Institutions shall apply the instructions below to complete template EU </w:t>
      </w:r>
      <w:r>
        <w:t>CAE1</w:t>
      </w:r>
      <w:r w:rsidRPr="00D03B1B">
        <w:t xml:space="preserve"> as presented in Annex </w:t>
      </w:r>
      <w:r>
        <w:t>XLIII</w:t>
      </w:r>
      <w:r w:rsidRPr="00D03B1B">
        <w:t xml:space="preserve"> </w:t>
      </w:r>
      <w:r w:rsidR="00824B90">
        <w:t>of the EBA IT solutions</w:t>
      </w:r>
      <w:r>
        <w:t xml:space="preserve"> to disclose the information on</w:t>
      </w:r>
      <w:r w:rsidRPr="00D03B1B">
        <w:t xml:space="preserve"> the risk weighted exposure amounts and the own funds requirements</w:t>
      </w:r>
      <w:r>
        <w:t xml:space="preserve"> </w:t>
      </w:r>
      <w:r w:rsidRPr="00D03B1B">
        <w:t>for the types of exposures to crypto-assets referred to in Article 501d(2) of Regulation (EU) No 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 w:rsidRPr="0076606B"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 w:rsidRPr="009E1F4E">
              <w:t>Legal references and instructions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 w:rsidRPr="0076606B">
              <w:t xml:space="preserve">Column number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Explanation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Exposure value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Value of the exposures to crypto-assets for the </w:t>
            </w:r>
            <w:r w:rsidR="006C06AC">
              <w:t xml:space="preserve">different </w:t>
            </w:r>
            <w:r>
              <w:t xml:space="preserve">types of crypto-assets referred to in 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Article 501d(2) 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 w:rsidR="001F0121">
              <w:rPr>
                <w:rStyle w:val="InstructionsTabelleberschrift"/>
              </w:rPr>
              <w:t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 weighted exposure amount</w:t>
            </w:r>
            <w:r w:rsidR="003B6B5F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</w:t>
            </w:r>
            <w:r w:rsidR="002953A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Article 501d(2) 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 w:rsidR="001F0121"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Risk weighted exposure amounts for the different types of exposures to crypto assets calculated in accordance with Article 501d</w:t>
            </w:r>
            <w:r w:rsidR="00B867A9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(2) 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Own funds requirements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Article 501d(2) 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f </w:t>
            </w:r>
            <w:r w:rsidRPr="0076606B">
              <w:t>Regulation (EU) No 575/201</w:t>
            </w:r>
            <w: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Own funds requirements corresponding to the risk weighted exposure amounts for the different types of crypto assets.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 w:rsidRPr="009E1F4E">
              <w:t>Legal references and instructions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 w:rsidRPr="0076606B">
              <w:t>R</w:t>
            </w:r>
            <w:r w:rsidR="00464F34" w:rsidRPr="0076606B">
              <w:t>ow</w:t>
            </w:r>
            <w:r w:rsidR="0076606B">
              <w:t xml:space="preserve"> number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Explanation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  <w:t>T</w:t>
            </w:r>
            <w:r w:rsidR="006C06AC" w:rsidRPr="006C06AC"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  <w:t>okenised traditional assets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 501d</w:t>
            </w:r>
            <w:r w:rsidR="74A76FA2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(2), point (a)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0811A0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="000811A0" w:rsidRPr="0076606B">
              <w:t>Regulation (EU) No 575/2013</w:t>
            </w:r>
            <w:r w:rsidR="00D9757A">
              <w:t>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Asset referencered tokens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76606B">
              <w:lastRenderedPageBreak/>
              <w:t>Article 50</w:t>
            </w:r>
            <w:r w:rsidR="00A94552">
              <w:t>1</w:t>
            </w:r>
            <w:r w:rsidRPr="0076606B">
              <w:t>d</w:t>
            </w:r>
            <w:r w:rsidR="18B4EEB3" w:rsidRPr="0076606B">
              <w:t>(2), point (b)</w:t>
            </w:r>
            <w:r w:rsidRPr="0076606B">
              <w:t xml:space="preserve"> of Regulation (EU) No 575/2013</w:t>
            </w:r>
            <w:r w:rsidR="00D9757A">
              <w:t>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</w:t>
            </w:r>
            <w:r w:rsidR="00623C6D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xposure</w:t>
            </w:r>
            <w:r w:rsidR="00510547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</w:t>
            </w:r>
            <w:r w:rsidR="000C1FFC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to 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other </w:t>
            </w:r>
            <w:r w:rsidR="000C1FFC" w:rsidRPr="0076606B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crypto assets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 501d</w:t>
            </w:r>
            <w:r w:rsidR="3BDB7AAB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(2), point (c) 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of </w:t>
            </w:r>
            <w:r w:rsidRPr="0076606B">
              <w:t>Regulation (EU) No 575/2013</w:t>
            </w:r>
            <w:r w:rsidR="00D9757A">
              <w:t>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exposures to crypto-assets that are different from</w:t>
            </w:r>
            <w:r w:rsidR="006C06A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points (a) and (b) of </w:t>
            </w:r>
            <w:r w:rsidR="006C06AC" w:rsidRPr="0076606B">
              <w:t>Article 50</w:t>
            </w:r>
            <w:r w:rsidR="006C06AC">
              <w:t>1</w:t>
            </w:r>
            <w:r w:rsidR="006C06AC" w:rsidRPr="0076606B">
              <w:t>d(2) of Regulation (EU) No 575/2013</w:t>
            </w:r>
            <w:r w:rsidR="006C06AC"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Total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Total </w:t>
            </w:r>
            <w:r w:rsidR="00675AF4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values 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calculated as a sum of rows</w:t>
            </w:r>
            <w:r w:rsidR="00D9757A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1, 2, 3.</w:t>
            </w:r>
            <w:r w:rsidR="003B6B5F"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The total risk exposure amounts is equal to the amount disclosed in row EU24a, column (a) of template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  <w:t>The total own funds requirements is equal to the amount disclosed in row EU 24a, column (c) of template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Memorandum item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685F67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Exposures to other crypto assets expressed as a percentage of the institutions's T1 capital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 501d(</w:t>
            </w:r>
            <w:r w:rsidR="000534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 w:rsidRPr="0076606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) of </w:t>
            </w:r>
            <w:r w:rsidRPr="0076606B">
              <w:t>Regulation (EU) No 575/2013</w:t>
            </w:r>
            <w:r>
              <w:t>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183</w:t>
    </w:r>
    <w:r>
      <w:rPr>
        <w:rStyle w:val="PageNumber"/>
        <w:szCs w:val="22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  <w:szCs w:val="20"/>
      </w:rPr>
      <w:fldChar w:fldCharType="begin"/>
    </w:r>
    <w:r w:rsidRPr="00ED1956">
      <w:rPr>
        <w:rFonts w:ascii="Times New Roman" w:hAnsi="Times New Roman"/>
        <w:sz w:val="20"/>
        <w:szCs w:val="20"/>
      </w:rPr>
      <w:instrText xml:space="preserve"> PAGE   \* MERGEFORMAT </w:instrText>
    </w:r>
    <w:r w:rsidRPr="00ED1956">
      <w:rPr>
        <w:rFonts w:ascii="Times New Roman" w:hAnsi="Times New Roman"/>
        <w:sz w:val="20"/>
        <w:szCs w:val="20"/>
      </w:rPr>
      <w:fldChar w:fldCharType="separate"/>
    </w:r>
    <w:r w:rsidR="008F3052">
      <w:rPr>
        <w:rFonts w:ascii="Times New Roman" w:hAnsi="Times New Roman"/>
        <w:noProof/>
        <w:sz w:val="20"/>
        <w:szCs w:val="20"/>
      </w:rPr>
      <w:t>42</w:t>
    </w:r>
    <w:r w:rsidRPr="00ED1956">
      <w:rPr>
        <w:rFonts w:ascii="Times New Roman" w:hAnsi="Times New Roman"/>
        <w:sz w:val="20"/>
        <w:szCs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 w:rsidRPr="00D9757A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9757A">
        <w:rPr>
          <w:rFonts w:ascii="Times New Roman" w:hAnsi="Times New Roman"/>
          <w:sz w:val="20"/>
          <w:szCs w:val="20"/>
        </w:rPr>
        <w:t xml:space="preserve"> </w:t>
      </w:r>
      <w:r w:rsidRPr="00D9757A">
        <w:rPr>
          <w:rFonts w:ascii="Times New Roman" w:hAnsi="Times New Roman"/>
          <w:sz w:val="20"/>
          <w:szCs w:val="20"/>
        </w:rPr>
        <w:tab/>
      </w:r>
      <w:r w:rsidR="00D3203C">
        <w:rPr>
          <w:sz w:val="18"/>
          <w:szCs w:val="18"/>
          <w:lang w:eastAsia="en-GB"/>
        </w:rPr>
        <w:t>Regulation (EU) No 575/2013 of the European Parliament and of the Council of 26 June 2013 on prudential requirements for credit institutions and amending Regulation (EU) No 648/2012, as amended by Regulation (EU) No 2024/1623</w:t>
      </w:r>
      <w:r w:rsidR="00824B90">
        <w:rPr>
          <w:lang w:eastAsia="en-GB"/>
        </w:rPr>
        <w:t xml:space="preserve"> </w:t>
      </w:r>
      <w:r w:rsidR="00824B90">
        <w:rPr>
          <w:color w:val="444444"/>
          <w:lang w:eastAsia="en-GB"/>
        </w:rPr>
        <w:t>(</w:t>
      </w:r>
      <w:hyperlink r:id="rId1" w:history="1">
        <w:r w:rsidR="00824B90">
          <w:rPr>
            <w:rStyle w:val="Hyperlink"/>
            <w:color w:val="800080"/>
            <w:lang w:eastAsia="en-GB"/>
          </w:rPr>
          <w:t>OJ L 176, 27.6.2013, p. 1</w:t>
        </w:r>
      </w:hyperlink>
      <w:r w:rsidR="00824B90">
        <w:rPr>
          <w:color w:val="800080"/>
          <w:u w:val="single"/>
          <w:lang w:eastAsia="en-GB"/>
        </w:rPr>
        <w:t xml:space="preserve">; </w:t>
      </w:r>
      <w:hyperlink r:id="rId2" w:history="1">
        <w:r w:rsidR="00824B90">
          <w:rPr>
            <w:rStyle w:val="Hyperlink"/>
          </w:rPr>
          <w:t>Regulation - EU - 2024/1623 - EN - EUR-Lex (europa.eu)</w:t>
        </w:r>
      </w:hyperlink>
      <w:r w:rsidR="00824B90">
        <w:rPr>
          <w:color w:val="444444"/>
          <w:lang w:eastAsia="en-GB"/>
        </w:rPr>
        <w:t>)</w:t>
      </w:r>
      <w:r w:rsidR="00824B90"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GB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en-US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en-US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en-US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en-US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en-US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en-GB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58108-2E13-42F7-AEFB-5DD4AE11293E}"/>
</file>

<file path=customXml/itemProps3.xml><?xml version="1.0" encoding="utf-8"?>
<ds:datastoreItem xmlns:ds="http://schemas.openxmlformats.org/officeDocument/2006/customXml" ds:itemID="{7C1A81E8-32F0-4568-83A8-72D4D8EF8ECF}"/>
</file>

<file path=customXml/itemProps4.xml><?xml version="1.0" encoding="utf-8"?>
<ds:datastoreItem xmlns:ds="http://schemas.openxmlformats.org/officeDocument/2006/customXml" ds:itemID="{BFC03EE6-281C-4C14-A576-46C1DE79F88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