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2DF89341" w:rsidR="00A81FD5" w:rsidRPr="00917581" w:rsidRDefault="00A81FD5" w:rsidP="00A81FD5">
      <w:pPr>
        <w:pStyle w:val="Annexetitre"/>
        <w:spacing w:before="0"/>
      </w:pPr>
      <w:r w:rsidRPr="00917581">
        <w:t xml:space="preserve">ALLEGATO XXIV – Informativa sulle esposizioni da finanziamenti specializzati e </w:t>
      </w:r>
      <w:r w:rsidR="006335AD" w:rsidRPr="00917581">
        <w:br/>
      </w:r>
      <w:r w:rsidRPr="00917581">
        <w:t>in strumenti di capitale</w:t>
      </w:r>
    </w:p>
    <w:p w14:paraId="085C05B0" w14:textId="77777777" w:rsidR="00A81FD5" w:rsidRPr="00917581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917581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 w:rsidRPr="00917581">
        <w:rPr>
          <w:rFonts w:ascii="Times New Roman" w:hAnsi="Times New Roman"/>
          <w:b/>
          <w:sz w:val="24"/>
        </w:rPr>
        <w:t>Modello EU CR10 – Esposizioni da finanziamenti specializzati e in strumenti di capitale</w:t>
      </w:r>
      <w:r w:rsidRPr="00917581">
        <w:rPr>
          <w:rFonts w:ascii="Times New Roman" w:hAnsi="Times New Roman"/>
          <w:sz w:val="24"/>
        </w:rPr>
        <w:t xml:space="preserve"> (formato fisso)</w:t>
      </w:r>
    </w:p>
    <w:p w14:paraId="7F14938F" w14:textId="3638F0EE" w:rsidR="00A81FD5" w:rsidRPr="00917581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 w:rsidRPr="00917581">
        <w:rPr>
          <w:rFonts w:ascii="Times New Roman" w:hAnsi="Times New Roman"/>
          <w:sz w:val="24"/>
        </w:rPr>
        <w:t>Gli enti pubblicano le informazioni di cui all</w:t>
      </w:r>
      <w:r w:rsidR="006335AD" w:rsidRPr="00917581">
        <w:rPr>
          <w:rFonts w:ascii="Times New Roman" w:hAnsi="Times New Roman"/>
          <w:sz w:val="24"/>
        </w:rPr>
        <w:t>'</w:t>
      </w:r>
      <w:r w:rsidRPr="00917581">
        <w:rPr>
          <w:rFonts w:ascii="Times New Roman" w:hAnsi="Times New Roman"/>
          <w:sz w:val="24"/>
        </w:rPr>
        <w:t>articolo 438, lettera e), del regolamento (UE) n. 575/2013 (CRR)</w:t>
      </w:r>
      <w:r w:rsidRPr="00917581">
        <w:rPr>
          <w:rStyle w:val="FootnoteReference"/>
        </w:rPr>
        <w:footnoteReference w:id="1"/>
      </w:r>
      <w:r w:rsidRPr="00917581">
        <w:rPr>
          <w:rFonts w:ascii="Times New Roman" w:hAnsi="Times New Roman"/>
          <w:sz w:val="24"/>
        </w:rPr>
        <w:t xml:space="preserve"> seguendo le istruzioni fornite di seguito nel presente allegato per compilare il modello EU CR10 di cui all</w:t>
      </w:r>
      <w:r w:rsidR="006335AD" w:rsidRPr="00917581">
        <w:rPr>
          <w:rFonts w:ascii="Times New Roman" w:hAnsi="Times New Roman"/>
          <w:sz w:val="24"/>
        </w:rPr>
        <w:t>'</w:t>
      </w:r>
      <w:r w:rsidRPr="00917581">
        <w:rPr>
          <w:rFonts w:ascii="Times New Roman" w:hAnsi="Times New Roman"/>
          <w:sz w:val="24"/>
        </w:rPr>
        <w:t>allegato XXIII delle soluzioni informatiche dell</w:t>
      </w:r>
      <w:r w:rsidR="006335AD" w:rsidRPr="00917581">
        <w:rPr>
          <w:rFonts w:ascii="Times New Roman" w:hAnsi="Times New Roman"/>
          <w:sz w:val="24"/>
        </w:rPr>
        <w:t>'</w:t>
      </w:r>
      <w:r w:rsidRPr="00917581">
        <w:rPr>
          <w:rFonts w:ascii="Times New Roman" w:hAnsi="Times New Roman"/>
          <w:sz w:val="24"/>
        </w:rPr>
        <w:t>ABE. Gli enti pubblicano:</w:t>
      </w:r>
    </w:p>
    <w:p w14:paraId="536DBFB9" w14:textId="5A96A6C2" w:rsidR="00A81FD5" w:rsidRPr="00917581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 w:rsidRPr="00917581">
        <w:rPr>
          <w:rFonts w:ascii="Times New Roman" w:hAnsi="Times New Roman"/>
          <w:sz w:val="24"/>
        </w:rPr>
        <w:t>informazioni sui seguenti tipi di esposizioni da finanziamenti specializzati di cui alla tabella 1 dell</w:t>
      </w:r>
      <w:r w:rsidR="006335AD" w:rsidRPr="00917581">
        <w:rPr>
          <w:rFonts w:ascii="Times New Roman" w:hAnsi="Times New Roman"/>
          <w:sz w:val="24"/>
        </w:rPr>
        <w:t>'</w:t>
      </w:r>
      <w:r w:rsidRPr="00917581">
        <w:rPr>
          <w:rFonts w:ascii="Times New Roman" w:hAnsi="Times New Roman"/>
          <w:sz w:val="24"/>
        </w:rPr>
        <w:t>articolo 153, paragrafo 5:</w:t>
      </w:r>
    </w:p>
    <w:p w14:paraId="3460EFE7" w14:textId="081377D0" w:rsidR="00A81FD5" w:rsidRPr="00917581" w:rsidRDefault="006335AD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917581">
        <w:rPr>
          <w:rFonts w:ascii="Times New Roman" w:hAnsi="Times New Roman"/>
          <w:sz w:val="24"/>
        </w:rPr>
        <w:t>"</w:t>
      </w:r>
      <w:r w:rsidR="00A81FD5" w:rsidRPr="00917581">
        <w:rPr>
          <w:rFonts w:ascii="Times New Roman" w:hAnsi="Times New Roman"/>
          <w:sz w:val="24"/>
        </w:rPr>
        <w:t>finanziamento di progetti (project finance)</w:t>
      </w:r>
      <w:r w:rsidRPr="00917581">
        <w:rPr>
          <w:rFonts w:ascii="Times New Roman" w:hAnsi="Times New Roman"/>
          <w:sz w:val="24"/>
        </w:rPr>
        <w:t>"</w:t>
      </w:r>
      <w:r w:rsidR="00A81FD5" w:rsidRPr="00917581">
        <w:rPr>
          <w:rFonts w:ascii="Times New Roman" w:hAnsi="Times New Roman"/>
          <w:sz w:val="24"/>
        </w:rPr>
        <w:t xml:space="preserve"> nel modello EU CR10.1;</w:t>
      </w:r>
    </w:p>
    <w:p w14:paraId="05E046A4" w14:textId="3A8A3E6C" w:rsidR="00A81FD5" w:rsidRPr="00917581" w:rsidRDefault="006335AD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917581">
        <w:rPr>
          <w:rFonts w:ascii="Times New Roman" w:hAnsi="Times New Roman"/>
          <w:sz w:val="24"/>
        </w:rPr>
        <w:t>"</w:t>
      </w:r>
      <w:r w:rsidR="00A81FD5" w:rsidRPr="00917581">
        <w:rPr>
          <w:rFonts w:ascii="Times New Roman" w:hAnsi="Times New Roman"/>
          <w:sz w:val="24"/>
        </w:rPr>
        <w:t>beni immobili generatori di reddito e beni immobili non residenziali ad alta volatilità</w:t>
      </w:r>
      <w:r w:rsidRPr="00917581">
        <w:rPr>
          <w:rFonts w:ascii="Times New Roman" w:hAnsi="Times New Roman"/>
          <w:sz w:val="24"/>
        </w:rPr>
        <w:t>"</w:t>
      </w:r>
      <w:r w:rsidR="00A81FD5" w:rsidRPr="00917581">
        <w:rPr>
          <w:rFonts w:ascii="Times New Roman" w:hAnsi="Times New Roman"/>
          <w:sz w:val="24"/>
        </w:rPr>
        <w:t xml:space="preserve"> nel modello EU CR10.2;</w:t>
      </w:r>
    </w:p>
    <w:p w14:paraId="0802AD44" w14:textId="07502D98" w:rsidR="00A81FD5" w:rsidRPr="00917581" w:rsidRDefault="006335AD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917581">
        <w:rPr>
          <w:rFonts w:ascii="Times New Roman" w:hAnsi="Times New Roman"/>
          <w:sz w:val="24"/>
        </w:rPr>
        <w:t>"</w:t>
      </w:r>
      <w:r w:rsidR="00A81FD5" w:rsidRPr="00917581">
        <w:rPr>
          <w:rFonts w:ascii="Times New Roman" w:hAnsi="Times New Roman"/>
          <w:sz w:val="24"/>
        </w:rPr>
        <w:t>finanziamento di progetti (project finance)</w:t>
      </w:r>
      <w:r w:rsidRPr="00917581">
        <w:rPr>
          <w:rFonts w:ascii="Times New Roman" w:hAnsi="Times New Roman"/>
          <w:sz w:val="24"/>
        </w:rPr>
        <w:t>"</w:t>
      </w:r>
      <w:r w:rsidR="00A81FD5" w:rsidRPr="00917581">
        <w:rPr>
          <w:rFonts w:ascii="Times New Roman" w:hAnsi="Times New Roman"/>
          <w:sz w:val="24"/>
        </w:rPr>
        <w:t xml:space="preserve"> nel modello EU CR10.3;</w:t>
      </w:r>
    </w:p>
    <w:p w14:paraId="69BDB935" w14:textId="6A6B168E" w:rsidR="00A81FD5" w:rsidRPr="00917581" w:rsidRDefault="006335AD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917581">
        <w:rPr>
          <w:rFonts w:ascii="Times New Roman" w:hAnsi="Times New Roman"/>
          <w:sz w:val="24"/>
        </w:rPr>
        <w:t>"</w:t>
      </w:r>
      <w:r w:rsidR="00A81FD5" w:rsidRPr="00917581">
        <w:rPr>
          <w:rFonts w:ascii="Times New Roman" w:hAnsi="Times New Roman"/>
          <w:sz w:val="24"/>
        </w:rPr>
        <w:t>finanziamento su merci (commodities finance)</w:t>
      </w:r>
      <w:r w:rsidRPr="00917581">
        <w:rPr>
          <w:rFonts w:ascii="Times New Roman" w:hAnsi="Times New Roman"/>
          <w:sz w:val="24"/>
        </w:rPr>
        <w:t>"</w:t>
      </w:r>
      <w:r w:rsidR="00A81FD5" w:rsidRPr="00917581">
        <w:rPr>
          <w:rFonts w:ascii="Times New Roman" w:hAnsi="Times New Roman"/>
          <w:sz w:val="24"/>
        </w:rPr>
        <w:t xml:space="preserve"> nel modello EU CR10.4;</w:t>
      </w:r>
    </w:p>
    <w:p w14:paraId="2E77063D" w14:textId="13E594D0" w:rsidR="00A81FD5" w:rsidRPr="00917581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917581">
        <w:rPr>
          <w:rFonts w:ascii="Times New Roman" w:hAnsi="Times New Roman"/>
          <w:sz w:val="24"/>
        </w:rPr>
        <w:t>informazioni sulle esposizioni in strumenti di capitale nel modello EU 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917581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917581" w:rsidRDefault="00A81FD5" w:rsidP="006335AD">
            <w:pPr>
              <w:keepNext/>
              <w:autoSpaceDE w:val="0"/>
              <w:autoSpaceDN w:val="0"/>
              <w:adjustRightInd w:val="0"/>
              <w:spacing w:after="120"/>
              <w:ind w:right="-136"/>
              <w:rPr>
                <w:rFonts w:ascii="Times New Roman" w:hAnsi="Times New Roman" w:cs="Times New Roman"/>
                <w:b/>
                <w:sz w:val="24"/>
              </w:rPr>
            </w:pPr>
            <w:r w:rsidRPr="00917581">
              <w:rPr>
                <w:rFonts w:ascii="Times New Roman" w:hAnsi="Times New Roman"/>
                <w:b/>
                <w:sz w:val="24"/>
              </w:rPr>
              <w:t>Riferimento della colonna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917581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917581">
              <w:rPr>
                <w:rFonts w:ascii="Times New Roman" w:hAnsi="Times New Roman"/>
                <w:b/>
                <w:sz w:val="24"/>
              </w:rPr>
              <w:t>Riferimenti giuridici e istruzioni</w:t>
            </w:r>
          </w:p>
        </w:tc>
      </w:tr>
      <w:tr w:rsidR="00A81FD5" w:rsidRPr="00917581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7581">
              <w:rPr>
                <w:rFonts w:ascii="Times New Roman" w:hAnsi="Times New Roman"/>
                <w:b/>
                <w:sz w:val="24"/>
              </w:rPr>
              <w:t>Spiegazione</w:t>
            </w:r>
          </w:p>
        </w:tc>
      </w:tr>
      <w:tr w:rsidR="00A81FD5" w:rsidRPr="00917581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05BFF38" w14:textId="77777777" w:rsidR="00A81FD5" w:rsidRPr="00917581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917581">
              <w:rPr>
                <w:rFonts w:ascii="Times New Roman" w:hAnsi="Times New Roman"/>
                <w:b/>
                <w:sz w:val="24"/>
              </w:rPr>
              <w:t>Esposizioni in bilancio</w:t>
            </w:r>
          </w:p>
          <w:p w14:paraId="745AD69D" w14:textId="68D0D20D" w:rsidR="00A81FD5" w:rsidRPr="00917581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Gli enti indicano il valore delle esposizioni in bilancio conformemente all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articolo</w:t>
            </w:r>
            <w:r w:rsidR="00434AE1" w:rsidRPr="00917581">
              <w:rPr>
                <w:rFonts w:ascii="Times New Roman" w:hAnsi="Times New Roman"/>
                <w:sz w:val="24"/>
              </w:rPr>
              <w:t> </w:t>
            </w:r>
            <w:r w:rsidRPr="00917581">
              <w:rPr>
                <w:rFonts w:ascii="Times New Roman" w:hAnsi="Times New Roman"/>
                <w:sz w:val="24"/>
              </w:rPr>
              <w:t>166, paragrafi da 1 a 7, e all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articolo</w:t>
            </w:r>
            <w:r w:rsidR="00434AE1" w:rsidRPr="00917581">
              <w:rPr>
                <w:rFonts w:ascii="Times New Roman" w:hAnsi="Times New Roman"/>
                <w:sz w:val="24"/>
              </w:rPr>
              <w:t> </w:t>
            </w:r>
            <w:r w:rsidRPr="00917581">
              <w:rPr>
                <w:rFonts w:ascii="Times New Roman" w:hAnsi="Times New Roman"/>
                <w:sz w:val="24"/>
              </w:rPr>
              <w:t>167, paragrafo</w:t>
            </w:r>
            <w:r w:rsidR="00434AE1" w:rsidRPr="00917581">
              <w:rPr>
                <w:rFonts w:ascii="Times New Roman" w:hAnsi="Times New Roman"/>
                <w:sz w:val="24"/>
              </w:rPr>
              <w:t> </w:t>
            </w:r>
            <w:r w:rsidRPr="00917581">
              <w:rPr>
                <w:rFonts w:ascii="Times New Roman" w:hAnsi="Times New Roman"/>
                <w:sz w:val="24"/>
              </w:rPr>
              <w:t>1, del regolamento (UE) n. 575/2013.</w:t>
            </w:r>
          </w:p>
        </w:tc>
      </w:tr>
      <w:tr w:rsidR="00A81FD5" w:rsidRPr="00917581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8980CCD" w14:textId="77777777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7581">
              <w:rPr>
                <w:rFonts w:ascii="Times New Roman" w:hAnsi="Times New Roman"/>
                <w:b/>
                <w:sz w:val="24"/>
              </w:rPr>
              <w:t>Esposizioni fuori bilancio</w:t>
            </w:r>
          </w:p>
          <w:p w14:paraId="1C2FD9EF" w14:textId="7790B8F2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Gli enti indicano il valore delle esposizioni fuori bilancio conformemente all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articolo</w:t>
            </w:r>
            <w:r w:rsidR="00434AE1" w:rsidRPr="00917581">
              <w:rPr>
                <w:rFonts w:ascii="Times New Roman" w:hAnsi="Times New Roman"/>
                <w:sz w:val="24"/>
              </w:rPr>
              <w:t> </w:t>
            </w:r>
            <w:r w:rsidRPr="00917581">
              <w:rPr>
                <w:rFonts w:ascii="Times New Roman" w:hAnsi="Times New Roman"/>
                <w:sz w:val="24"/>
              </w:rPr>
              <w:t>166 e all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articolo</w:t>
            </w:r>
            <w:r w:rsidR="00434AE1" w:rsidRPr="00917581">
              <w:rPr>
                <w:rFonts w:ascii="Times New Roman" w:hAnsi="Times New Roman"/>
                <w:sz w:val="24"/>
              </w:rPr>
              <w:t> </w:t>
            </w:r>
            <w:r w:rsidRPr="00917581">
              <w:rPr>
                <w:rFonts w:ascii="Times New Roman" w:hAnsi="Times New Roman"/>
                <w:sz w:val="24"/>
              </w:rPr>
              <w:t>167, paragrafo</w:t>
            </w:r>
            <w:r w:rsidR="00434AE1" w:rsidRPr="00917581">
              <w:rPr>
                <w:rFonts w:ascii="Times New Roman" w:hAnsi="Times New Roman"/>
                <w:sz w:val="24"/>
              </w:rPr>
              <w:t> </w:t>
            </w:r>
            <w:r w:rsidRPr="00917581">
              <w:rPr>
                <w:rFonts w:ascii="Times New Roman" w:hAnsi="Times New Roman"/>
                <w:sz w:val="24"/>
              </w:rPr>
              <w:t>2, del regolamento (UE) n. 575/2013 senza tener conto dei fattori di conversione specificati all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articolo</w:t>
            </w:r>
            <w:r w:rsidR="00434AE1" w:rsidRPr="00917581">
              <w:rPr>
                <w:rFonts w:ascii="Times New Roman" w:hAnsi="Times New Roman"/>
                <w:sz w:val="24"/>
              </w:rPr>
              <w:t> </w:t>
            </w:r>
            <w:r w:rsidRPr="00917581">
              <w:rPr>
                <w:rFonts w:ascii="Times New Roman" w:hAnsi="Times New Roman"/>
                <w:sz w:val="24"/>
              </w:rPr>
              <w:t>166, paragrafo 8 o 9, di tale regolamento o delle percentuali specificate all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articolo 166, paragrafo 10, del medesimo regolamento.</w:t>
            </w:r>
          </w:p>
          <w:p w14:paraId="72C867E8" w14:textId="2C910B0B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Le esposizioni fuori bilancio comprendono tutti gli importi impegnati ma non utilizzati e tutti gli elementi fuori bilancio elencati nell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allegato I del regolamento (UE) n. 575/2013.</w:t>
            </w:r>
          </w:p>
        </w:tc>
      </w:tr>
      <w:tr w:rsidR="00A81FD5" w:rsidRPr="00917581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53761983" w14:textId="77777777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7581">
              <w:rPr>
                <w:rFonts w:ascii="Times New Roman" w:hAnsi="Times New Roman"/>
                <w:b/>
                <w:sz w:val="24"/>
              </w:rPr>
              <w:t>Fattore di ponderazione del rischio</w:t>
            </w:r>
          </w:p>
          <w:p w14:paraId="74BDA868" w14:textId="5C580C45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 xml:space="preserve">Questa è una colonna fissa per i modelli da EU CR10.1 a EU CR10.4. Non può essere modificata. </w:t>
            </w:r>
          </w:p>
          <w:p w14:paraId="2AF282A3" w14:textId="4C9E7B9C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I dettagli di questa colonna sono conformi all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 xml:space="preserve">articolo 153, paragrafo 5, del regolamento (UE) n. 575/2013 per i modelli da EU CR10.1 a EU CR10.4. Per </w:t>
            </w:r>
            <w:r w:rsidRPr="00917581">
              <w:rPr>
                <w:rFonts w:ascii="Times New Roman" w:hAnsi="Times New Roman"/>
                <w:sz w:val="24"/>
              </w:rPr>
              <w:lastRenderedPageBreak/>
              <w:t>il modello EU CR10.5, questa colonna è flessibile. Gli enti applicano i fattori di ponderazione del rischio pertinenti conformemente all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articolo</w:t>
            </w:r>
            <w:r w:rsidR="00434AE1" w:rsidRPr="00917581">
              <w:rPr>
                <w:rFonts w:ascii="Times New Roman" w:hAnsi="Times New Roman"/>
                <w:sz w:val="24"/>
              </w:rPr>
              <w:t> </w:t>
            </w:r>
            <w:r w:rsidRPr="00917581">
              <w:rPr>
                <w:rFonts w:ascii="Times New Roman" w:hAnsi="Times New Roman"/>
                <w:sz w:val="24"/>
              </w:rPr>
              <w:t>133, paragrafi da 3 a 6, e all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articolo 495 bis, paragrafo 3, del regolamento (UE) n. 575/2013.</w:t>
            </w:r>
          </w:p>
        </w:tc>
      </w:tr>
      <w:tr w:rsidR="00A81FD5" w:rsidRPr="00917581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67C9AB4B" w14:textId="402BD171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7581">
              <w:rPr>
                <w:rFonts w:ascii="Times New Roman" w:hAnsi="Times New Roman"/>
                <w:b/>
                <w:sz w:val="24"/>
              </w:rPr>
              <w:t>Valore dell</w:t>
            </w:r>
            <w:r w:rsidR="006335AD" w:rsidRPr="00917581">
              <w:rPr>
                <w:rFonts w:ascii="Times New Roman" w:hAnsi="Times New Roman"/>
                <w:b/>
                <w:sz w:val="24"/>
              </w:rPr>
              <w:t>'</w:t>
            </w:r>
            <w:r w:rsidRPr="00917581">
              <w:rPr>
                <w:rFonts w:ascii="Times New Roman" w:hAnsi="Times New Roman"/>
                <w:b/>
                <w:sz w:val="24"/>
              </w:rPr>
              <w:t>esposizione</w:t>
            </w:r>
          </w:p>
          <w:p w14:paraId="3EBD3C28" w14:textId="254212A4" w:rsidR="00A81FD5" w:rsidRPr="00917581" w:rsidRDefault="00A81FD5" w:rsidP="00434AE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Valore dell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esposizione conformemente all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articolo 166 o 167 del regolamento (UE) n. 575/2013</w:t>
            </w:r>
          </w:p>
          <w:p w14:paraId="7CB9912F" w14:textId="68C6C779" w:rsidR="00A81FD5" w:rsidRPr="00917581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Questa colonna comprende la somma del valore delle esposizioni in bilancio e delle esposizioni fuori bilancio dopo 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applicazione dei fattori di conversione e delle percentuali ai sensi dell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 xml:space="preserve">articolo 166, paragrafi da 8 a 10, del regolamento (UE) n. 575/2013. </w:t>
            </w:r>
          </w:p>
        </w:tc>
      </w:tr>
      <w:tr w:rsidR="00A81FD5" w:rsidRPr="00917581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6C515C5F" w:rsidR="00A81FD5" w:rsidRPr="00917581" w:rsidRDefault="00A81FD5" w:rsidP="00917581">
            <w:pPr>
              <w:autoSpaceDE w:val="0"/>
              <w:autoSpaceDN w:val="0"/>
              <w:adjustRightInd w:val="0"/>
              <w:spacing w:after="120"/>
              <w:ind w:right="-16"/>
              <w:rPr>
                <w:rFonts w:ascii="Times New Roman" w:hAnsi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e (modelli da EU</w:t>
            </w:r>
            <w:r w:rsidR="00917581">
              <w:rPr>
                <w:rFonts w:ascii="Times New Roman" w:hAnsi="Times New Roman"/>
                <w:sz w:val="24"/>
              </w:rPr>
              <w:t> </w:t>
            </w:r>
            <w:r w:rsidRPr="00917581">
              <w:rPr>
                <w:rFonts w:ascii="Times New Roman" w:hAnsi="Times New Roman"/>
                <w:sz w:val="24"/>
              </w:rPr>
              <w:t>CR10.1 a EU CR10.4)</w:t>
            </w:r>
          </w:p>
        </w:tc>
        <w:tc>
          <w:tcPr>
            <w:tcW w:w="7654" w:type="dxa"/>
          </w:tcPr>
          <w:p w14:paraId="703A355C" w14:textId="0ED3B8F4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7581">
              <w:rPr>
                <w:rFonts w:ascii="Times New Roman" w:hAnsi="Times New Roman"/>
                <w:b/>
                <w:sz w:val="24"/>
              </w:rPr>
              <w:t>Importo dell</w:t>
            </w:r>
            <w:r w:rsidR="006335AD" w:rsidRPr="00917581">
              <w:rPr>
                <w:rFonts w:ascii="Times New Roman" w:hAnsi="Times New Roman"/>
                <w:b/>
                <w:sz w:val="24"/>
              </w:rPr>
              <w:t>'</w:t>
            </w:r>
            <w:r w:rsidRPr="00917581">
              <w:rPr>
                <w:rFonts w:ascii="Times New Roman" w:hAnsi="Times New Roman"/>
                <w:b/>
                <w:sz w:val="24"/>
              </w:rPr>
              <w:t>esposizione ponderato per il rischio (esposizioni da finanziamenti specializzati in base al metodo di assegnazione)</w:t>
            </w:r>
          </w:p>
          <w:p w14:paraId="041E0E73" w14:textId="46D9D345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Importo dell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esposizione ponderato per il rischio calcolato conformemente all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articolo</w:t>
            </w:r>
            <w:r w:rsidR="00434AE1" w:rsidRPr="00917581">
              <w:rPr>
                <w:rFonts w:ascii="Times New Roman" w:hAnsi="Times New Roman"/>
                <w:sz w:val="24"/>
              </w:rPr>
              <w:t> </w:t>
            </w:r>
            <w:r w:rsidRPr="00917581">
              <w:rPr>
                <w:rFonts w:ascii="Times New Roman" w:hAnsi="Times New Roman"/>
                <w:sz w:val="24"/>
              </w:rPr>
              <w:t>153, paragrafo 5, del regolamento (UE) n. 575/2013, dopo 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applicazione dei fattori di sostegno ai sensi dell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articolo 501 e dell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articolo</w:t>
            </w:r>
            <w:r w:rsidR="00434AE1" w:rsidRPr="00917581">
              <w:rPr>
                <w:rFonts w:ascii="Times New Roman" w:hAnsi="Times New Roman"/>
                <w:sz w:val="24"/>
              </w:rPr>
              <w:t> </w:t>
            </w:r>
            <w:r w:rsidRPr="00917581">
              <w:rPr>
                <w:rFonts w:ascii="Times New Roman" w:hAnsi="Times New Roman"/>
                <w:sz w:val="24"/>
              </w:rPr>
              <w:t>501 bis di tale regolamento, ove pertinente.</w:t>
            </w:r>
          </w:p>
        </w:tc>
      </w:tr>
      <w:tr w:rsidR="00A81FD5" w:rsidRPr="00917581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917581" w:rsidRDefault="00A81FD5" w:rsidP="00917581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f (modelli da EU CR10.1 a EU CR10.4)</w:t>
            </w:r>
          </w:p>
        </w:tc>
        <w:tc>
          <w:tcPr>
            <w:tcW w:w="7654" w:type="dxa"/>
          </w:tcPr>
          <w:p w14:paraId="4FF75FEB" w14:textId="77777777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7581">
              <w:rPr>
                <w:rFonts w:ascii="Times New Roman" w:hAnsi="Times New Roman"/>
                <w:b/>
                <w:sz w:val="24"/>
              </w:rPr>
              <w:t>Importo delle perdite attese (esposizioni da finanziamenti specializzati in base al metodo di assegnazione)</w:t>
            </w:r>
          </w:p>
          <w:p w14:paraId="60279495" w14:textId="4222359C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Importo delle perdite attese calcolato conformemente all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articolo</w:t>
            </w:r>
            <w:r w:rsidR="00434AE1" w:rsidRPr="00917581">
              <w:rPr>
                <w:rFonts w:ascii="Times New Roman" w:hAnsi="Times New Roman"/>
                <w:sz w:val="24"/>
              </w:rPr>
              <w:t> </w:t>
            </w:r>
            <w:r w:rsidRPr="00917581">
              <w:rPr>
                <w:rFonts w:ascii="Times New Roman" w:hAnsi="Times New Roman"/>
                <w:sz w:val="24"/>
              </w:rPr>
              <w:t>158, paragrafo 6, del regolamento (UE) n. 575/2013.</w:t>
            </w:r>
          </w:p>
        </w:tc>
      </w:tr>
      <w:tr w:rsidR="00A81FD5" w:rsidRPr="00917581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7777777" w:rsidR="00A81FD5" w:rsidRPr="00917581" w:rsidRDefault="00A81FD5" w:rsidP="00917581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f (modello EU CR10.5)</w:t>
            </w:r>
          </w:p>
        </w:tc>
        <w:tc>
          <w:tcPr>
            <w:tcW w:w="7654" w:type="dxa"/>
          </w:tcPr>
          <w:p w14:paraId="63BCE1AB" w14:textId="77777777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17581">
              <w:rPr>
                <w:rFonts w:ascii="Times New Roman" w:hAnsi="Times New Roman"/>
                <w:b/>
                <w:sz w:val="24"/>
              </w:rPr>
              <w:t>Importo delle perdite attese (esposizioni in strumenti di capitale in base al metodo della ponderazione semplice)</w:t>
            </w:r>
          </w:p>
          <w:p w14:paraId="602A3DA1" w14:textId="100D6BD6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Importo delle perdite attese calcolato conformemente all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articolo</w:t>
            </w:r>
            <w:r w:rsidR="00434AE1" w:rsidRPr="00917581">
              <w:rPr>
                <w:rFonts w:ascii="Times New Roman" w:hAnsi="Times New Roman"/>
                <w:sz w:val="24"/>
              </w:rPr>
              <w:t> </w:t>
            </w:r>
            <w:r w:rsidRPr="00917581">
              <w:rPr>
                <w:rFonts w:ascii="Times New Roman" w:hAnsi="Times New Roman"/>
                <w:sz w:val="24"/>
              </w:rPr>
              <w:t>158, paragrafo 7, del regolamento (UE) n. 575/2013, ove applicabile.</w:t>
            </w:r>
          </w:p>
        </w:tc>
      </w:tr>
    </w:tbl>
    <w:p w14:paraId="2792224B" w14:textId="77777777" w:rsidR="00A81FD5" w:rsidRPr="00917581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917581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917581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6DEEA1D1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917581">
              <w:rPr>
                <w:rFonts w:ascii="Times New Roman" w:hAnsi="Times New Roman"/>
                <w:b/>
                <w:sz w:val="24"/>
              </w:rPr>
              <w:t xml:space="preserve">Numero </w:t>
            </w:r>
            <w:r w:rsidR="00434AE1" w:rsidRPr="00917581">
              <w:rPr>
                <w:rFonts w:ascii="Times New Roman" w:hAnsi="Times New Roman"/>
                <w:b/>
                <w:sz w:val="24"/>
              </w:rPr>
              <w:br/>
            </w:r>
            <w:r w:rsidRPr="00917581">
              <w:rPr>
                <w:rFonts w:ascii="Times New Roman" w:hAnsi="Times New Roman"/>
                <w:b/>
                <w:sz w:val="24"/>
              </w:rPr>
              <w:t>di riga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917581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917581">
              <w:rPr>
                <w:rFonts w:ascii="Times New Roman" w:hAnsi="Times New Roman"/>
                <w:b/>
                <w:sz w:val="24"/>
              </w:rPr>
              <w:t>Riferimenti giuridici e istruzioni</w:t>
            </w:r>
          </w:p>
        </w:tc>
      </w:tr>
      <w:tr w:rsidR="00A81FD5" w:rsidRPr="00917581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7581">
              <w:rPr>
                <w:rFonts w:ascii="Times New Roman" w:hAnsi="Times New Roman"/>
                <w:b/>
                <w:sz w:val="24"/>
              </w:rPr>
              <w:t>Spiegazione</w:t>
            </w:r>
          </w:p>
        </w:tc>
      </w:tr>
      <w:tr w:rsidR="00A81FD5" w:rsidRPr="00917581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6C2CE27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Categorie regolamen</w:t>
            </w:r>
            <w:r w:rsidR="00434AE1" w:rsidRPr="00917581">
              <w:rPr>
                <w:rFonts w:ascii="Times New Roman" w:hAnsi="Times New Roman"/>
                <w:sz w:val="24"/>
              </w:rPr>
              <w:t>-</w:t>
            </w:r>
            <w:r w:rsidRPr="00917581">
              <w:rPr>
                <w:rFonts w:ascii="Times New Roman" w:hAnsi="Times New Roman"/>
                <w:sz w:val="24"/>
              </w:rPr>
              <w:t>tari</w:t>
            </w:r>
          </w:p>
        </w:tc>
        <w:tc>
          <w:tcPr>
            <w:tcW w:w="7654" w:type="dxa"/>
          </w:tcPr>
          <w:p w14:paraId="684D2C24" w14:textId="77777777" w:rsidR="00A81FD5" w:rsidRPr="00917581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917581">
              <w:rPr>
                <w:rFonts w:ascii="Times New Roman" w:hAnsi="Times New Roman"/>
                <w:b/>
                <w:sz w:val="24"/>
              </w:rPr>
              <w:t>Modelli EU CR10.1 - EU CR10.4</w:t>
            </w:r>
          </w:p>
          <w:p w14:paraId="73A34AF3" w14:textId="59022E23" w:rsidR="00A81FD5" w:rsidRPr="00917581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Categorie regolamentari applicabili ai finanziamenti specializzati in base al metodo di assegnazione per ciascuna classe di esposizioni da finanziamenti specializzati, come specificato all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articolo 153, paragrafo 5, del regolamento (UE) n. 575/2013 e nel progetto definitivo di norme tecniche di regolamentazione sul metodo di assegnazione.</w:t>
            </w:r>
          </w:p>
        </w:tc>
      </w:tr>
      <w:tr w:rsidR="00A81FD5" w:rsidRPr="00917581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917581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Categorie</w:t>
            </w:r>
          </w:p>
        </w:tc>
        <w:tc>
          <w:tcPr>
            <w:tcW w:w="7654" w:type="dxa"/>
          </w:tcPr>
          <w:p w14:paraId="73E10594" w14:textId="0741463C" w:rsidR="00A81FD5" w:rsidRPr="00917581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917581">
              <w:rPr>
                <w:rFonts w:ascii="Times New Roman" w:hAnsi="Times New Roman"/>
                <w:b/>
                <w:sz w:val="24"/>
              </w:rPr>
              <w:t>Modello EU CR10.5 (formato flessibile)</w:t>
            </w:r>
          </w:p>
          <w:p w14:paraId="1A9FFE85" w14:textId="2209CA4A" w:rsidR="00A81FD5" w:rsidRPr="00917581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 w:rsidRPr="00917581">
              <w:rPr>
                <w:rFonts w:ascii="Times New Roman" w:hAnsi="Times New Roman"/>
                <w:sz w:val="24"/>
              </w:rPr>
              <w:t>Gli enti indicano le pertinenti categorie regolamentari applicabili agli strumenti di capitale a norma dell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articolo</w:t>
            </w:r>
            <w:r w:rsidR="00434AE1" w:rsidRPr="00917581">
              <w:rPr>
                <w:rFonts w:ascii="Times New Roman" w:hAnsi="Times New Roman"/>
                <w:sz w:val="24"/>
              </w:rPr>
              <w:t> </w:t>
            </w:r>
            <w:r w:rsidRPr="00917581">
              <w:rPr>
                <w:rFonts w:ascii="Times New Roman" w:hAnsi="Times New Roman"/>
                <w:sz w:val="24"/>
              </w:rPr>
              <w:t>133, paragrafi da 3 a 6, e all</w:t>
            </w:r>
            <w:r w:rsidR="006335AD" w:rsidRPr="00917581">
              <w:rPr>
                <w:rFonts w:ascii="Times New Roman" w:hAnsi="Times New Roman"/>
                <w:sz w:val="24"/>
              </w:rPr>
              <w:t>'</w:t>
            </w:r>
            <w:r w:rsidRPr="00917581">
              <w:rPr>
                <w:rFonts w:ascii="Times New Roman" w:hAnsi="Times New Roman"/>
                <w:sz w:val="24"/>
              </w:rPr>
              <w:t>articolo</w:t>
            </w:r>
            <w:r w:rsidR="00434AE1" w:rsidRPr="00917581">
              <w:rPr>
                <w:rFonts w:ascii="Times New Roman" w:hAnsi="Times New Roman"/>
                <w:sz w:val="24"/>
              </w:rPr>
              <w:t> </w:t>
            </w:r>
            <w:r w:rsidRPr="00917581">
              <w:rPr>
                <w:rFonts w:ascii="Times New Roman" w:hAnsi="Times New Roman"/>
                <w:sz w:val="24"/>
              </w:rPr>
              <w:t xml:space="preserve">495 bis, paragrafo 3, del regolamento (UE) n. 575/2013. </w:t>
            </w:r>
          </w:p>
        </w:tc>
      </w:tr>
    </w:tbl>
    <w:p w14:paraId="5A153A1E" w14:textId="77777777" w:rsidR="00A81FD5" w:rsidRPr="00917581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sectPr w:rsidR="00A81FD5" w:rsidRPr="0091758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5DF9A988" w14:textId="1DC1B74B" w:rsidR="0016297E" w:rsidRPr="0016297E" w:rsidRDefault="0016297E" w:rsidP="0016297E">
      <w:pPr>
        <w:pStyle w:val="FootnoteText"/>
      </w:pPr>
      <w:r w:rsidRPr="000F525F">
        <w:rPr>
          <w:rStyle w:val="FootnoteReference"/>
        </w:rPr>
        <w:footnoteRef/>
      </w:r>
      <w:r w:rsidRPr="000F525F">
        <w:t xml:space="preserve"> </w:t>
      </w:r>
      <w:r w:rsidRPr="000F525F">
        <w:tab/>
        <w:t xml:space="preserve">Regolamento (UE) n. 575/2013, del Parlamento europeo e del Consiglio, del 26 giugno 2013, relativo ai requisiti prudenziali per gli enti creditizi e le imprese di investimento e che modifica il regolamento (UE) n. 648/2012, come modificato dal regolamento (UE) 2024/1623 </w:t>
      </w:r>
      <w:r w:rsidRPr="000F525F">
        <w:rPr>
          <w:color w:val="444444"/>
        </w:rPr>
        <w:t>(</w:t>
      </w:r>
      <w:hyperlink r:id="rId1" w:history="1">
        <w:r w:rsidRPr="000F525F">
          <w:rPr>
            <w:rStyle w:val="Hyperlink"/>
            <w:color w:val="800080"/>
          </w:rPr>
          <w:t>GU L 176 del 27.6.2013, pag. 1</w:t>
        </w:r>
      </w:hyperlink>
      <w:r w:rsidRPr="000F525F">
        <w:rPr>
          <w:color w:val="444444"/>
        </w:rPr>
        <w:t>)</w:t>
      </w:r>
      <w:r w:rsidRPr="000F525F">
        <w:t>;</w:t>
      </w:r>
      <w:r w:rsidRPr="000F525F">
        <w:rPr>
          <w:color w:val="800080"/>
          <w:u w:val="single"/>
        </w:rPr>
        <w:t xml:space="preserve"> </w:t>
      </w:r>
      <w:hyperlink r:id="rId2" w:history="1">
        <w:r w:rsidRPr="000F525F">
          <w:rPr>
            <w:rStyle w:val="Hyperlink"/>
          </w:rPr>
          <w:t>regolamento - UE - 2024/1623 - IT - EUR-Lex (europa.eu)</w:t>
        </w:r>
      </w:hyperlink>
      <w:r w:rsidRPr="000F525F">
        <w:rPr>
          <w:color w:val="444444"/>
        </w:rPr>
        <w:t>)</w:t>
      </w:r>
      <w:r w:rsidRPr="000F525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Per l'uso ordinario dell'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6EAF840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l</w:t>
                          </w:r>
                          <w:r w:rsidR="006335AD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ordinario dell</w:t>
                          </w:r>
                          <w:r w:rsidR="006335AD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er l'uso ordinario dell'AB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6EAF8401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l</w:t>
                    </w:r>
                    <w:r w:rsidR="006335AD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ordinario dell</w:t>
                    </w:r>
                    <w:r w:rsidR="006335AD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Per l'uso ordinario dell'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7E0400D8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l</w:t>
                          </w:r>
                          <w:r w:rsidR="006335AD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ordinario dell</w:t>
                          </w:r>
                          <w:r w:rsidR="006335AD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er l'uso ordinario dell'AB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7E0400D8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l</w:t>
                    </w:r>
                    <w:r w:rsidR="006335AD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ordinario dell</w:t>
                    </w:r>
                    <w:r w:rsidR="006335AD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Per l'uso ordinario dell'A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2A53E917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l</w:t>
                          </w:r>
                          <w:r w:rsidR="006335AD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ordinario dell</w:t>
                          </w:r>
                          <w:r w:rsidR="006335AD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er l'uso ordinario dell'AB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2A53E917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l</w:t>
                    </w:r>
                    <w:r w:rsidR="006335AD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ordinario dell</w:t>
                    </w:r>
                    <w:r w:rsidR="006335AD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ABE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0F525F"/>
    <w:rsid w:val="001409C0"/>
    <w:rsid w:val="0016297E"/>
    <w:rsid w:val="002A29F0"/>
    <w:rsid w:val="00434AE1"/>
    <w:rsid w:val="00456335"/>
    <w:rsid w:val="005122C8"/>
    <w:rsid w:val="0053271E"/>
    <w:rsid w:val="006120BE"/>
    <w:rsid w:val="006335AD"/>
    <w:rsid w:val="00703E80"/>
    <w:rsid w:val="0089557A"/>
    <w:rsid w:val="00917581"/>
    <w:rsid w:val="00964BDB"/>
    <w:rsid w:val="00993FC2"/>
    <w:rsid w:val="00A81FD5"/>
    <w:rsid w:val="00AF68CB"/>
    <w:rsid w:val="00C15CE4"/>
    <w:rsid w:val="00C237DC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it-I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IT/TXT/?uri=OJ:L_202401623" TargetMode="External"/><Relationship Id="rId1" Type="http://schemas.openxmlformats.org/officeDocument/2006/relationships/hyperlink" Target="https://eur-lex.europa.eu/legal-content/I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394B36-5E9C-4A07-ABB6-BFDD5B61ABF8}"/>
</file>

<file path=customXml/itemProps3.xml><?xml version="1.0" encoding="utf-8"?>
<ds:datastoreItem xmlns:ds="http://schemas.openxmlformats.org/officeDocument/2006/customXml" ds:itemID="{9C615962-69AA-4F65-BCD2-ED88FE1E7486}"/>
</file>

<file path=customXml/itemProps4.xml><?xml version="1.0" encoding="utf-8"?>
<ds:datastoreItem xmlns:ds="http://schemas.openxmlformats.org/officeDocument/2006/customXml" ds:itemID="{230BFC6D-9DE9-4EE3-9D3F-F871FF1FE647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643</Words>
  <Characters>3860</Characters>
  <Application>Microsoft Office Word</Application>
  <DocSecurity>0</DocSecurity>
  <Lines>104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ROMITI Anna Rita (DGT)</cp:lastModifiedBy>
  <cp:revision>18</cp:revision>
  <dcterms:created xsi:type="dcterms:W3CDTF">2021-03-11T13:21:00Z</dcterms:created>
  <dcterms:modified xsi:type="dcterms:W3CDTF">2024-10-18T07:50:00Z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