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Παράρτημα XL — Οδηγίες για τη δημοσιοποίηση κινδύνων ΠΚΔ</w:t>
      </w:r>
    </w:p>
    <w:p w14:paraId="73767623" w14:textId="77777777" w:rsidR="00183989" w:rsidRPr="002827F5" w:rsidRDefault="00183989" w:rsidP="00183989">
      <w:pPr>
        <w:jc w:val="both"/>
        <w:rPr>
          <w:rFonts w:ascii="Times New Roman" w:hAnsi="Times New Roman" w:cs="Times New Roman"/>
          <w:noProof/>
          <w:sz w:val="24"/>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Τα ιδρύματα δημοσιοποιούν τις πληροφορίες που αναφέρονται στο άρθρο 449α του κανονισμού (ΕΕ) αριθ. 575/2013 ακολουθώντας τις οδηγίες που παρέχονται στο παρόν παράρτημα. Οι οδηγίες θα πρέπει να εφαρμόζονται για τη συμπλήρωση των πινάκων και των υποδειγμάτων του παραρτήματος XXXIX των λύσεων ΤΠ της ΕΑΤ.</w:t>
      </w:r>
    </w:p>
    <w:p w14:paraId="4A061912" w14:textId="77777777" w:rsidR="00183989" w:rsidRPr="00E50FA4" w:rsidRDefault="00183989" w:rsidP="00183989">
      <w:pPr>
        <w:pStyle w:val="NumPar2"/>
        <w:numPr>
          <w:ilvl w:val="0"/>
          <w:numId w:val="11"/>
        </w:numPr>
        <w:ind w:left="567" w:hanging="567"/>
        <w:rPr>
          <w:noProof/>
        </w:rPr>
      </w:pPr>
      <w:r>
        <w:t>Για τους σκοπούς των οδηγιών, οι ακόλουθοι όροι νοούνται ως εξής:</w:t>
      </w:r>
    </w:p>
    <w:p w14:paraId="66FCA2A6" w14:textId="77777777" w:rsidR="00183989" w:rsidRPr="00E50FA4" w:rsidRDefault="00183989" w:rsidP="002827F5">
      <w:pPr>
        <w:pStyle w:val="Point1letter"/>
        <w:rPr>
          <w:noProof/>
          <w:szCs w:val="24"/>
        </w:rPr>
      </w:pPr>
      <w:r>
        <w:t>ως “περιβαλλοντικός, κοινωνικός και σχετικός με τη διακυβέρνηση (ΠΚΔ) κίνδυνος” νοείται ο κίνδυνος εμφάνισης ζημιών που προκύπτουν από αρνητικές οικονομικές επιπτώσεις στο ίδρυμα ως αποτέλεσμα των υφιστάμενων ή προβλεπόμενων συνεπειών περιβαλλοντικών, κοινωνικών και σχετικών με τη διακυβέρνηση (ΠΚΔ) παραγόντων για τα αντισυμβαλλόμενα μέρη ή τα επενδυθέντα στοιχεία ενεργητικού του ιδρύματος·</w:t>
      </w:r>
    </w:p>
    <w:p w14:paraId="04F8B5B7" w14:textId="77777777" w:rsidR="00183989" w:rsidRPr="00E50FA4" w:rsidRDefault="00183989" w:rsidP="00183989">
      <w:pPr>
        <w:pStyle w:val="Point1letter"/>
        <w:ind w:left="1134" w:right="-8"/>
        <w:rPr>
          <w:noProof/>
          <w:szCs w:val="24"/>
        </w:rPr>
      </w:pPr>
      <w:r>
        <w:t>ως “περιβαλλοντικός κίνδυνος” νοείται ο κίνδυνος εμφάνισης ζημιών που προκύπτουν από αρνητικές οικονομικές επιπτώσεις στο ίδρυμα ως αποτέλεσμα των υφιστάμενων ή προβλεπόμενων συνεπειών περιβαλλοντικών παραγόντων για τα αντισυμβαλλόμενα μέρη ή τα επενδυθέντα στοιχεία ενεργητικού του ιδρύματος, συμπεριλαμβανομένων των παραγόντων που σχετίζονται με τη μετάβαση στους ακόλουθους περιβαλλοντικούς στόχους:</w:t>
      </w:r>
    </w:p>
    <w:p w14:paraId="545FE72D" w14:textId="77777777" w:rsidR="00183989" w:rsidRPr="00E50FA4" w:rsidRDefault="00183989" w:rsidP="00183989">
      <w:pPr>
        <w:pStyle w:val="Point2number"/>
        <w:numPr>
          <w:ilvl w:val="4"/>
          <w:numId w:val="18"/>
        </w:numPr>
        <w:ind w:left="1701" w:right="-8"/>
        <w:rPr>
          <w:noProof/>
        </w:rPr>
      </w:pPr>
      <w:r>
        <w:t>μετριασμός της κλιματικής αλλαγής·</w:t>
      </w:r>
    </w:p>
    <w:p w14:paraId="7E347DF0" w14:textId="77777777" w:rsidR="00183989" w:rsidRPr="00E50FA4" w:rsidRDefault="00183989" w:rsidP="00183989">
      <w:pPr>
        <w:pStyle w:val="Point2number"/>
        <w:numPr>
          <w:ilvl w:val="4"/>
          <w:numId w:val="18"/>
        </w:numPr>
        <w:ind w:left="1701" w:right="-8"/>
        <w:rPr>
          <w:noProof/>
        </w:rPr>
      </w:pPr>
      <w:r>
        <w:t>προσαρμογή στην κλιματική αλλαγή·</w:t>
      </w:r>
    </w:p>
    <w:p w14:paraId="3ED0632A" w14:textId="77777777" w:rsidR="00183989" w:rsidRPr="00E50FA4" w:rsidRDefault="00183989" w:rsidP="00183989">
      <w:pPr>
        <w:pStyle w:val="Point2number"/>
        <w:numPr>
          <w:ilvl w:val="4"/>
          <w:numId w:val="18"/>
        </w:numPr>
        <w:ind w:left="1701" w:right="-8"/>
        <w:rPr>
          <w:noProof/>
        </w:rPr>
      </w:pPr>
      <w:r>
        <w:t>βιώσιμη χρήση και προστασία των υδάτινων και των θαλάσσιων πόρων·</w:t>
      </w:r>
    </w:p>
    <w:p w14:paraId="5B790937" w14:textId="77777777" w:rsidR="00183989" w:rsidRPr="00E50FA4" w:rsidRDefault="00183989" w:rsidP="00183989">
      <w:pPr>
        <w:pStyle w:val="Point2number"/>
        <w:numPr>
          <w:ilvl w:val="4"/>
          <w:numId w:val="18"/>
        </w:numPr>
        <w:ind w:left="1701" w:right="-8"/>
        <w:rPr>
          <w:noProof/>
        </w:rPr>
      </w:pPr>
      <w:r>
        <w:t>μετάβαση σε μια κυκλική οικονομία·</w:t>
      </w:r>
    </w:p>
    <w:p w14:paraId="4D635D58" w14:textId="77777777" w:rsidR="00183989" w:rsidRPr="00E50FA4" w:rsidRDefault="00183989" w:rsidP="00183989">
      <w:pPr>
        <w:pStyle w:val="Point2number"/>
        <w:numPr>
          <w:ilvl w:val="4"/>
          <w:numId w:val="18"/>
        </w:numPr>
        <w:ind w:left="1701" w:right="-8"/>
        <w:rPr>
          <w:noProof/>
        </w:rPr>
      </w:pPr>
      <w:r>
        <w:t>πρόληψη και έλεγχος της ρύπανσης·</w:t>
      </w:r>
    </w:p>
    <w:p w14:paraId="7800D50D" w14:textId="77777777" w:rsidR="00183989" w:rsidRPr="00E50FA4" w:rsidRDefault="00183989" w:rsidP="00183989">
      <w:pPr>
        <w:pStyle w:val="Point2number"/>
        <w:numPr>
          <w:ilvl w:val="4"/>
          <w:numId w:val="18"/>
        </w:numPr>
        <w:ind w:left="1701" w:right="-8"/>
        <w:rPr>
          <w:noProof/>
        </w:rPr>
      </w:pPr>
      <w:r>
        <w:t>προστασία και αποκατάσταση της βιοποικιλότητας και των οικοσυστημάτων.</w:t>
      </w:r>
    </w:p>
    <w:p w14:paraId="52FA5CFE" w14:textId="77777777" w:rsidR="00183989" w:rsidRPr="00E50FA4" w:rsidRDefault="00183989" w:rsidP="00183989">
      <w:pPr>
        <w:pStyle w:val="Point2"/>
        <w:ind w:left="1134" w:right="568" w:firstLine="0"/>
        <w:rPr>
          <w:noProof/>
          <w:szCs w:val="24"/>
        </w:rPr>
      </w:pPr>
      <w:r>
        <w:t>Ο περιβαλλοντικός κίνδυνος εμπεριέχει αφενός τον υλικό κίνδυνο και αφετέρου τον κίνδυνο μετάβασης·</w:t>
      </w:r>
    </w:p>
    <w:p w14:paraId="69CE4D1E" w14:textId="77777777" w:rsidR="00183989" w:rsidRPr="00E50FA4" w:rsidRDefault="00183989" w:rsidP="00183989">
      <w:pPr>
        <w:pStyle w:val="Point1letter"/>
        <w:ind w:left="1134" w:right="-8"/>
        <w:rPr>
          <w:noProof/>
          <w:szCs w:val="24"/>
        </w:rPr>
      </w:pPr>
      <w:r>
        <w:t>ως “υλικός κίνδυνος”, στο πλαίσιο του γενικού περιβαλλοντικού κινδύνου,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του υλικού αντίκτυπου περιβαλλοντικών παραγόντων για τα αντισυμβαλλόμενα μέρη ή τα επενδυθέντα στοιχεία ενεργητικού του ιδρύματος·</w:t>
      </w:r>
    </w:p>
    <w:p w14:paraId="2A7177BA" w14:textId="77777777" w:rsidR="00183989" w:rsidRPr="00E50FA4" w:rsidRDefault="00183989" w:rsidP="00183989">
      <w:pPr>
        <w:pStyle w:val="Point1letter"/>
        <w:ind w:left="1134" w:right="-8"/>
        <w:rPr>
          <w:noProof/>
          <w:szCs w:val="24"/>
        </w:rPr>
      </w:pPr>
      <w:r>
        <w:t>ως “κίνδυνος μετάβασης”, στο πλαίσιο του γενικού περιβαλλοντικού κινδύνου,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της μετάβασης σε μια περιβαλλοντικά βιώσιμη οικονομία για τα αντισυμβαλλόμενα μέρη ή τα επενδυθέντα στοιχεία ενεργητικού του ιδρύματος·</w:t>
      </w:r>
    </w:p>
    <w:p w14:paraId="5E0AEFC3" w14:textId="77777777" w:rsidR="00183989" w:rsidRPr="00E50FA4" w:rsidRDefault="00183989" w:rsidP="00183989">
      <w:pPr>
        <w:pStyle w:val="Point1letter"/>
        <w:ind w:left="1134" w:right="-8"/>
        <w:rPr>
          <w:noProof/>
          <w:szCs w:val="24"/>
        </w:rPr>
      </w:pPr>
      <w:r>
        <w:t xml:space="preserve">ως “κοινωνικός κίνδυνος”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κοινωνικών παραγόντων </w:t>
      </w:r>
      <w:r>
        <w:lastRenderedPageBreak/>
        <w:t>για τα αντισυμβαλλόμενα μέρη ή τα επενδυθέντα στοιχεία ενεργητικού του ιδρύματος·</w:t>
      </w:r>
    </w:p>
    <w:p w14:paraId="649CF9D5" w14:textId="77777777" w:rsidR="00183989" w:rsidRPr="00E50FA4" w:rsidRDefault="00183989" w:rsidP="00183989">
      <w:pPr>
        <w:pStyle w:val="Point1letter"/>
        <w:ind w:left="1134" w:right="-8"/>
        <w:rPr>
          <w:noProof/>
        </w:rPr>
      </w:pPr>
      <w:r>
        <w:t>ως “κίνδυνος διακυβέρνησης”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σχετικών με τη διακυβέρνηση παραγόντων για τα αντισυμβαλλόμενα μέρη ή τα επενδυθέντα στοιχεία ενεργητικού του ιδρύματος.</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 xml:space="preserve">Οι αναφορές σε διεθνή και </w:t>
      </w:r>
      <w:proofErr w:type="spellStart"/>
      <w:r>
        <w:rPr>
          <w:rFonts w:ascii="Times New Roman" w:hAnsi="Times New Roman"/>
          <w:sz w:val="24"/>
        </w:rPr>
        <w:t>ενωσιακά</w:t>
      </w:r>
      <w:proofErr w:type="spellEnd"/>
      <w:r>
        <w:rPr>
          <w:rFonts w:ascii="Times New Roman" w:hAnsi="Times New Roman"/>
          <w:sz w:val="24"/>
        </w:rPr>
        <w:t xml:space="preserve"> πλαίσια πολιτικής και διαθέσιμους δείκτες αναφοράς στις παρούσες οδηγίες περιλαμβάνουν: </w:t>
      </w:r>
      <w:r>
        <w:rPr>
          <w:rFonts w:ascii="Times New Roman" w:hAnsi="Times New Roman"/>
        </w:rPr>
        <w:t>τη συμφωνία του Παρισιού που εγκρίθηκε στο πλαίσιο της σύμβασης-πλαισίου των Ηνωμένων Εθνών για την κλιματική αλλαγή</w:t>
      </w:r>
      <w:r>
        <w:rPr>
          <w:rFonts w:ascii="Times New Roman" w:hAnsi="Times New Roman"/>
          <w:vertAlign w:val="superscript"/>
        </w:rPr>
        <w:t>*1</w:t>
      </w:r>
      <w:r>
        <w:rPr>
          <w:rFonts w:ascii="Times New Roman" w:hAnsi="Times New Roman"/>
        </w:rPr>
        <w:t xml:space="preserve"> (στο εξής: συμφωνία του Παρισιού), την ανακοίνωση της Επιτροπής με τίτλο «Η Ευρωπαϊκή Πράσινη Συμφωνία»</w:t>
      </w:r>
      <w:r>
        <w:rPr>
          <w:rFonts w:ascii="Times New Roman" w:hAnsi="Times New Roman"/>
          <w:vertAlign w:val="superscript"/>
        </w:rPr>
        <w:t>*2</w:t>
      </w:r>
      <w:r>
        <w:rPr>
          <w:rFonts w:ascii="Times New Roman" w:hAnsi="Times New Roman"/>
        </w:rPr>
        <w:t>, την οδηγία 2013/34/ΕΕ του Ευρωπαϊκού κοινοβουλίου και του Συμβουλίου</w:t>
      </w:r>
      <w:r>
        <w:rPr>
          <w:rFonts w:ascii="Times New Roman" w:hAnsi="Times New Roman"/>
          <w:vertAlign w:val="superscript"/>
        </w:rPr>
        <w:t>*3</w:t>
      </w:r>
      <w:r>
        <w:rPr>
          <w:rFonts w:ascii="Times New Roman" w:hAnsi="Times New Roman"/>
        </w:rPr>
        <w:t>, την οδηγία 2014/95/ΕΕ του Ευρωπαϊκού Κοινοβουλίου και του Συμβουλίου</w:t>
      </w:r>
      <w:r>
        <w:rPr>
          <w:rFonts w:ascii="Times New Roman" w:hAnsi="Times New Roman"/>
          <w:vertAlign w:val="superscript"/>
        </w:rPr>
        <w:t>*4</w:t>
      </w:r>
      <w:r>
        <w:rPr>
          <w:rFonts w:ascii="Times New Roman" w:hAnsi="Times New Roman"/>
        </w:rPr>
        <w:t>, την ανακοίνωση της Επιτροπής — Κατευθυντήριες γραμμές σχετικά με την υποβολή εκθέσεων μη χρηματοοικονομικών πληροφοριών:</w:t>
      </w:r>
      <w:r>
        <w:rPr>
          <w:rFonts w:ascii="Times New Roman" w:hAnsi="Times New Roman"/>
          <w:sz w:val="24"/>
        </w:rPr>
        <w:t xml:space="preserve"> Συμπλήρωμα σχετικά με την υποβολή πληροφοριών που αφορούν το κλίμα</w:t>
      </w:r>
      <w:r>
        <w:rPr>
          <w:rFonts w:ascii="Times New Roman" w:hAnsi="Times New Roman"/>
          <w:sz w:val="24"/>
          <w:vertAlign w:val="superscript"/>
        </w:rPr>
        <w:t>*5</w:t>
      </w:r>
      <w:r>
        <w:rPr>
          <w:rFonts w:ascii="Times New Roman" w:hAnsi="Times New Roman"/>
          <w:sz w:val="24"/>
        </w:rPr>
        <w:t>, τις κατευθυντήριες γραμμές που κατέστησαν διαθέσιμες με τις συστάσεις της ειδικής ομάδας για τις χρηματοοικονομικές γνωστοποιήσεις που σχετίζονται με το κλίμα (TCFD)</w:t>
      </w:r>
      <w:r>
        <w:rPr>
          <w:rFonts w:ascii="Times New Roman" w:hAnsi="Times New Roman"/>
          <w:sz w:val="24"/>
          <w:vertAlign w:val="superscript"/>
        </w:rPr>
        <w:t>*6</w:t>
      </w:r>
      <w:r>
        <w:rPr>
          <w:rFonts w:ascii="Times New Roman" w:hAnsi="Times New Roman"/>
          <w:sz w:val="24"/>
        </w:rPr>
        <w:t>, την πρωτοβουλία χρηματοδότησης του προγράμματος των Ηνωμένων Εθνών για το περιβάλλον (UNEP FI)</w:t>
      </w:r>
      <w:r>
        <w:rPr>
          <w:rFonts w:ascii="Times New Roman" w:hAnsi="Times New Roman"/>
          <w:sz w:val="24"/>
          <w:vertAlign w:val="superscript"/>
        </w:rPr>
        <w:t>*7</w:t>
      </w:r>
      <w:r>
        <w:rPr>
          <w:rFonts w:ascii="Times New Roman" w:hAnsi="Times New Roman"/>
          <w:sz w:val="24"/>
        </w:rPr>
        <w:t>, τα παγκόσμια πρότυπα για την υποβολή εκθέσεων βιωσιμότητας στο πλαίσιο της πρωτοβουλίας για την υποβολή εκθέσεων</w:t>
      </w:r>
      <w:r>
        <w:rPr>
          <w:rFonts w:ascii="Times New Roman" w:hAnsi="Times New Roman"/>
          <w:sz w:val="24"/>
          <w:vertAlign w:val="superscript"/>
        </w:rPr>
        <w:t>*8</w:t>
      </w:r>
      <w:r>
        <w:rPr>
          <w:rFonts w:ascii="Times New Roman" w:hAnsi="Times New Roman"/>
          <w:sz w:val="24"/>
        </w:rPr>
        <w:t xml:space="preserve"> και τις αρχές των Ηνωμένων Εθνών για υπεύθυνες επενδύσεις (UNPRI)</w:t>
      </w:r>
      <w:r>
        <w:rPr>
          <w:rFonts w:ascii="Times New Roman" w:hAnsi="Times New Roman"/>
          <w:sz w:val="24"/>
          <w:vertAlign w:val="superscript"/>
        </w:rPr>
        <w:t>*9</w:t>
      </w:r>
      <w:r>
        <w:rPr>
          <w:rFonts w:ascii="Times New Roman" w:hAnsi="Times New Roman"/>
          <w:sz w:val="24"/>
        </w:rPr>
        <w:t>.</w:t>
      </w:r>
    </w:p>
    <w:p w14:paraId="4D659D14" w14:textId="77777777" w:rsidR="00183989" w:rsidRPr="002827F5"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Πίνακας 1 – Ποιοτικές πληροφορίες σχετικά με τον περιβαλλοντικό κίνδυνο:</w:t>
      </w:r>
      <w:r>
        <w:rPr>
          <w:rFonts w:ascii="Times New Roman" w:hAnsi="Times New Roman"/>
          <w:sz w:val="24"/>
        </w:rPr>
        <w:t xml:space="preserve"> Πλαίσια ελεύθερου κειμένου για δημοσιοποίηση ποιοτικών πληροφοριών στο παράρτημα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Τα ιδρύματα εφαρμόζουν τις ακόλουθες οδηγίες για τη συμπλήρωση του πίνακα 1 – «Ποιοτικές πληροφορίες σχετικά με τον περιβαλλοντικό κίνδυνο», όπως αναφέρονται στο παράρτημα XXXIX του παρόντος κανονισμού για να περιγράψουν την ενσωμάτωση των περιβαλλοντικών κινδύνων, συμπεριλαμβανομένων συγκεκριμένων πληροφοριών σχετικά με τους κινδύνους της κλιματικής αλλαγής και άλλους περιβαλλοντικούς κινδύνους, στην επιχειρηματική στρατηγική και τις διαδικασίες τους, τη διακυβέρνηση και τη διαχείριση κινδύνων. Αυτό αφορά τους σκοπούς του άρθρου 449α του κανονισμού (ΕΕ) αριθ. 575/2013, σε συνδυασμό με το άρθρο 435 του εν λόγω κανονισμού.</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Νομικά κείμενα αναφοράς και οδηγίες</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Αριθμός γραμμής</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Επεξήγηση</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Επιχειρηματική στρατηγική και διαδικασίες</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α)</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1 στοιχεία α) και ε) του εν λόγω κανονισμού, τα ιδρύματα παρέχουν επεξήγηση του τρόπου με τον οποίο το επιχειρηματικό μοντέλο, η στρατηγική και οι διαδικασίες τους, καθώς και ο χρηματοοικονομικός σχεδιασμός τους ενσωματώνουν τους κινδύνους που απορρέουν από περιβαλλοντικούς παράγοντες (δηλαδή περιβαλλοντικούς κινδύνους) και του τρόπου με τον οποίο μπορούν να εξελιχθούν οι κίνδυνοι αυτοί με την πάροδο του χρόνου δεδομένης της μεταβαλλόμενης τεχνολογίας, του πλαισίου πολιτικής, του επιχειρηματικού περιβάλλοντος, των </w:t>
            </w:r>
            <w:r>
              <w:rPr>
                <w:rFonts w:ascii="Times New Roman" w:hAnsi="Times New Roman"/>
                <w:sz w:val="24"/>
              </w:rPr>
              <w:lastRenderedPageBreak/>
              <w:t>προτιμήσεων των ενδιαφερόμενων μερών και των αλλαγών στο ίδιο το φυσικό περιβάλλον.</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β)</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α) και στοιχεία γ) έως </w:t>
            </w:r>
            <w:proofErr w:type="spellStart"/>
            <w:r>
              <w:rPr>
                <w:rFonts w:ascii="Times New Roman" w:hAnsi="Times New Roman"/>
                <w:sz w:val="24"/>
              </w:rPr>
              <w:t>στ</w:t>
            </w:r>
            <w:proofErr w:type="spellEnd"/>
            <w:r>
              <w:rPr>
                <w:rFonts w:ascii="Times New Roman" w:hAnsi="Times New Roman"/>
                <w:sz w:val="24"/>
              </w:rPr>
              <w:t xml:space="preserve">) του εν λόγω κανονισμού, τα ιδρύματα ορίζουν τους σκοπούς, τους στόχους και τα όρια για την αξιολόγηση και τη διαχείριση των περιβαλλοντικών κινδύνων. Τα ιδρύματα επεξηγούν τις διαδικασίες που εφαρμόζουν για τον καθορισμό των εν λόγω επιδιώξεων, στόχων και ορίων.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Τα ιδρύματα πρέπει να επεξηγούν τον τρόπο με τον οποίο συνδέονται οι εν λόγω επιδιώξεις, στόχοι και όρια με το ισχύον διεθνές και </w:t>
            </w:r>
            <w:proofErr w:type="spellStart"/>
            <w:r>
              <w:rPr>
                <w:rFonts w:ascii="Times New Roman" w:hAnsi="Times New Roman"/>
                <w:sz w:val="24"/>
              </w:rPr>
              <w:t>ενωσιακό</w:t>
            </w:r>
            <w:proofErr w:type="spellEnd"/>
            <w:r>
              <w:rPr>
                <w:rFonts w:ascii="Times New Roman" w:hAnsi="Times New Roman"/>
                <w:sz w:val="24"/>
              </w:rPr>
              <w:t xml:space="preserve"> πλαίσιο πολιτικής και με τους διαθέσιμους δείκτες αναφοράς.</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γ)</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τα ιδρύματα παρέχουν πληροφορίες σχετικά με τις υφιστάμενες και τις μελλοντικές (σχεδιαζόμενες) επενδύσεις σε περιβαλλοντικά βιώσιμες δραστηριότητες και σε δραστηριότητες και τομείς ευθυγραμμισμένους με τους περιβαλλοντικούς στόχους, συμπεριλαμβανομένων των στόχων για την κλιματική αλλαγή, όπως ορίζονται στο άρθρο 9 του κανονισμού (ΕΕ)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Όταν οι πληροφορίες αυτές εξαρτώνται από την ίδια την προσέγγιση του ιδρύματος ή βασίζονται στους εσωτερικούς όρους αναφοράς των ιδρυμάτων, τα ιδρύματα περιλαμβάνουν στις δημοσιοποιήσεις τους περιγραφή των εν λόγω προσεγγίσεων και εσωτερικών όρων αναφοράς.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δ)</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δ) του εν λόγω κανονισμού τα ιδρύματα παρέχουν πληροφορίες σχετικά με τα μέτρα που λαμβάνουν για τον μετριασμό των κινδύνων που συνδέονται με περιβαλλοντικούς παράγοντες. Τα ιδρύματα πρέπει να εξετάζουν την ικανότητα του αντισυμβαλλομένου όσον αφορά τη διαχείριση περιβαλλοντικών κινδύνων.</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2827F5"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Διακυβέρνηση</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ε)</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β) και το άρθρο 435 παράγραφος 2 στοιχεία α), β) και γ) του εν λόγω κανονισμού, τα ιδρύματα παρέχουν πληροφορίες σχετικά με τη συμμετοχή του διοικητικού οργάνου τους στην εποπτεία και τη διαχείριση περιβαλλοντικών κινδύνων. Τα ιδρύματα πρέπει να λαμβάνουν υπόψη τους πιθανούς διαύλους μετάδοσης των εν λόγω περιβαλλοντικών κινδύνων (συμπεριλαμβανομένου του υλικού κινδύνου, του κινδύνου μετάβασης και του κινδύνου ευθύνης).</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spellStart"/>
            <w:r>
              <w:t>στ</w:t>
            </w:r>
            <w:proofErr w:type="spellEnd"/>
            <w:r>
              <w:t>)</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2 στοιχείο δ) του εν λόγω κανονισμού, τα ιδρύματα παρέχουν πληροφορίες σχετικά με τον τρόπο με τον οποίο το διοικητικό τους όργανο ενσωματώνει βραχυπρόθεσμες, μεσοπρόθεσμες και μακροπρόθεσμες επιπτώσεις των περιβαλλοντικών </w:t>
            </w:r>
            <w:r>
              <w:rPr>
                <w:rFonts w:ascii="Times New Roman" w:hAnsi="Times New Roman"/>
                <w:sz w:val="24"/>
              </w:rPr>
              <w:lastRenderedPageBreak/>
              <w:t>κινδύνων στην οργανωτική δομή του ιδρύματος για τους σκοπούς της διαχείρισης κινδύνων. Τα ιδρύματα πρέπει να επεξηγούν τον τρόπο με τον οποίο η εν λόγω άσκηση σε επίπεδο διοικητικού οργάνου αντικατοπτρίζεται στη συνέχεια στους επιχειρηματικούς τομείς και στις λειτουργίες εσωτερικού ελέγχου τους.</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ζ)</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2 στοιχεία α), β) και γ) του εν λόγω κανονισμού, τα ιδρύματα παρέχουν πληροφορίες σχετικά με την οργάνωση των επιτροπών κινδύνων τους και την κατανομή καθηκόντων και αρμοδιοτήτων στο πλαίσιο διαχείρισης κινδύνων για την παρακολούθηση και τη διαχείριση των περιβαλλοντικών κινδύνων, λαμβάνοντας υπόψη τους διαύλους μετάδοσης υλικού κινδύνου, κινδύνου μετάβασης και κινδύνου ευθύνης.</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η)</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2 στοιχείο ε) του εν λόγω κανονισμού, τα ιδρύματα παρέχουν πληροφορίες σχετικά με τους τρόπους με τους οποίους περιλαμβάνουν περιβαλλοντικούς κινδύνους στο πλαίσιο και τη δομή των εσωτερικών αναφορών τους, καθώς και πληροφορίες σχετικά με τη συχνότητα των εσωτερικών αναφορών τους και την ανταλλαγή πληροφοριών σχετικά με τους εν λόγω κινδύνους.</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θ)</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2 στοιχείο ε) του εν λόγω κανονισμού, τα ιδρύματα παρέχουν πληροφορίες σχετικά με το αν στην πολιτική αποδοχών τους περιλαμβάνονται περιβαλλοντικοί κίνδυνοι, καθώς και σχετικά με τα κριτήρια και τους δείκτες μέτρησης που χρησιμοποιούνται για τον προσδιορισμό του αντικτύπου των παραμέτρων περιβαλλοντικού κινδύνου στις μεταβλητές αποδοχές.</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2827F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Διαχείριση κινδύνων</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ι)</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w:t>
            </w:r>
            <w:proofErr w:type="spellStart"/>
            <w:r>
              <w:rPr>
                <w:rFonts w:ascii="Times New Roman" w:hAnsi="Times New Roman"/>
                <w:sz w:val="24"/>
              </w:rPr>
              <w:t>στ</w:t>
            </w:r>
            <w:proofErr w:type="spellEnd"/>
            <w:r>
              <w:rPr>
                <w:rFonts w:ascii="Times New Roman" w:hAnsi="Times New Roman"/>
                <w:sz w:val="24"/>
              </w:rPr>
              <w:t xml:space="preserve">) του εν λόγω κανονισμού, τα ιδρύματα παρέχουν πληροφορίες σχετικά με την ενσωμάτωση βραχυπρόθεσμων, μεσοπρόθεσμων και μακροπρόθεσμων επιπτώσεων των περιβαλλοντικών παραγόντων και κινδύνων στο πλαίσιο ανοχής κινδύνου. Τα ιδρύματα αποφασίζουν σχετικά με τον σχετικό χρονικό ορίζοντα σύμφωνα με το οικείο προφίλ κινδύνου και τα ανοίγματά τους.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ια</w:t>
            </w:r>
            <w:proofErr w:type="spellEnd"/>
            <w:r>
              <w:t>)</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τις μεθόδους, τους ορισμούς και τα πρότυπα που χρησιμοποιούνται για τον προσδιορισμό και τη διαχείριση των περιβαλλοντικών παραγόντων και κινδύνων, καθώς και το πλαίσιο στο οποίο βασίζονται τα εν λόγω πρότυπα, οι ορισμοί και οι μέθοδοι.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Τα ιδρύματα επεξηγούν τον τρόπο με τον οποίο οι εν λόγω μέθοδοι, ορισμοί και πρότυπα σχετίζονται με το εφαρμοστέο διεθνές και </w:t>
            </w:r>
            <w:proofErr w:type="spellStart"/>
            <w:r>
              <w:rPr>
                <w:rFonts w:ascii="Times New Roman" w:hAnsi="Times New Roman"/>
                <w:sz w:val="24"/>
              </w:rPr>
              <w:t>ενωσιακό</w:t>
            </w:r>
            <w:proofErr w:type="spellEnd"/>
            <w:r>
              <w:rPr>
                <w:rFonts w:ascii="Times New Roman" w:hAnsi="Times New Roman"/>
                <w:sz w:val="24"/>
              </w:rPr>
              <w:t xml:space="preserve"> πλαίσιο πολιτικής και τους διαθέσιμους δείκτες αναφοράς.</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lastRenderedPageBreak/>
              <w:t>ιβ</w:t>
            </w:r>
            <w:proofErr w:type="spellEnd"/>
            <w:r>
              <w:t>)</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α) του εν λόγω κανονισμού, τα ιδρύματα δημοσιοποιούν:</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τις διαδικασίες με τις οποίες το ίδρυμα εντοπίζει και παρακολουθεί τις δραστηριότητες και τα ανοίγματά του που είναι ευαίσθητα και ευάλωτα σε περιβαλλοντικούς κινδύνους, συμπεριλαμβανομένων τυχόν κινητών και ακίνητων στοιχείων ενεργητικού που σχετίζονται με τις εν λόγω δραστηριότητες και τα ανοίγματα·</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τις διαδικασίες με τις οποίες το ίδρυμα εντοπίζει και παρακολουθεί περιβαλλοντικούς κινδύνους που είναι οικονομικά σημαντικοί ή επί του παρόντος μη σημαντικοί με προοπτική να αποκτήσουν σημαντικότητα στο μέλλον.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Οι δραστηριότητες, τα ανοίγματα και τα στοιχεία ενεργητικού που είναι ευαίσθητα και ευάλωτα σε περιβαλλοντικούς κινδύνους  αφορούν τους τομείς της γεωργίας, της αλιείας, της δασοκομίας και της ενέργειας, που σε συνδυασμό με τη γεωγραφική τους θέση, την εξάρτηση από τα ύδατα ή άλλους περιβαλλοντικούς παράγοντες και κινδύνους,  μπορεί να είναι ευάλωτες σε διάφορους παράγοντες, συμπεριλαμβανομένων των πλημμυρών, της ξηρασίας, των πυρκαγιών και της απώλειας βιοποικιλότητας. Περιλαμβάνουν επίσης τη συγκέντρωση δραστηριοτήτων του αντισυμβαλλομένου σε απειλούμενες ζώνες και θεωρείται ότι καλύπτουν ολόκληρη την αλυσίδα αξίας του αντισυμβαλλομένου.</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Κατά τη δημοσιοποίηση των πληροφοριών που αναφέρονται στο παρόν σημείο, τα ιδρύματα αναφέρουν τη σημαντικότητα (συμπεριλαμβανομένης της διπλής σημαντικότητας) η οποία πρέπει να νοείται με την έννοια των ορισμών που περιέχονται στην έκθεση που αναφέρεται στο άρθρο 98 παράγραφος 8 της οδηγίας 2013/36/ΕΕ του Ευρωπαϊκού Κοινοβουλίου και του Συμβουλίου</w:t>
            </w:r>
            <w:r>
              <w:rPr>
                <w:rFonts w:ascii="Times New Roman" w:hAnsi="Times New Roman"/>
                <w:sz w:val="24"/>
                <w:vertAlign w:val="superscript"/>
              </w:rPr>
              <w:t>*10</w:t>
            </w:r>
            <w:r>
              <w:rPr>
                <w:rFonts w:ascii="Times New Roman" w:hAnsi="Times New Roman"/>
                <w:sz w:val="24"/>
              </w:rPr>
              <w:t xml:space="preserve"> και καλύπτουν τον κύκλο ζωής των ανοιγμάτων, συμπεριλαμβανομένης της χορήγησης δανείων, μαζί με την αξιολόγηση της πιστοληπτικής ικανότητας του αντισυμβαλλομένου και την παρακολούθηση.</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επεξηγούν τον βαθμό στον οποίο η εν λόγω αξιολόγηση καλύπτει τους σχετικούς διαύλους μετάδοσης, μεταξύ άλλων i) τη χαμηλότερη κερδοφορία, </w:t>
            </w:r>
            <w:proofErr w:type="spellStart"/>
            <w:r>
              <w:rPr>
                <w:rFonts w:ascii="Times New Roman" w:hAnsi="Times New Roman"/>
                <w:sz w:val="24"/>
              </w:rPr>
              <w:t>ii</w:t>
            </w:r>
            <w:proofErr w:type="spellEnd"/>
            <w:r>
              <w:rPr>
                <w:rFonts w:ascii="Times New Roman" w:hAnsi="Times New Roman"/>
                <w:sz w:val="24"/>
              </w:rPr>
              <w:t xml:space="preserve">) τη μειωμένη αξία ακινήτων, τη μείωση του πλούτου των νοικοκυριών, </w:t>
            </w:r>
            <w:proofErr w:type="spellStart"/>
            <w:r>
              <w:rPr>
                <w:rFonts w:ascii="Times New Roman" w:hAnsi="Times New Roman"/>
                <w:sz w:val="24"/>
              </w:rPr>
              <w:t>iii</w:t>
            </w:r>
            <w:proofErr w:type="spellEnd"/>
            <w:r>
              <w:rPr>
                <w:rFonts w:ascii="Times New Roman" w:hAnsi="Times New Roman"/>
                <w:sz w:val="24"/>
              </w:rPr>
              <w:t xml:space="preserve">) τη χαμηλότερη απόδοση στοιχείων ενεργητικού, </w:t>
            </w:r>
            <w:proofErr w:type="spellStart"/>
            <w:r>
              <w:rPr>
                <w:rFonts w:ascii="Times New Roman" w:hAnsi="Times New Roman"/>
                <w:sz w:val="24"/>
              </w:rPr>
              <w:t>iv</w:t>
            </w:r>
            <w:proofErr w:type="spellEnd"/>
            <w:r>
              <w:rPr>
                <w:rFonts w:ascii="Times New Roman" w:hAnsi="Times New Roman"/>
                <w:sz w:val="24"/>
              </w:rPr>
              <w:t>) την αύξηση του κόστους συμμόρφωσης και v) την αύξηση των νομικών δαπανών.</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Το ίδρυμα που δεν χαρακτηρίζει κανέναν περιβαλλοντικό κίνδυνο ως σημαντικό επεξηγεί και τεκμηριώνει τους λόγους για τους οποίους συμβαίνει αυτό και περιγράφει τις μεθόδους που χρησιμοποίησε για να καταλήξει στο συμπέρασμα αυτό.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ιγ</w:t>
            </w:r>
            <w:proofErr w:type="spellEnd"/>
            <w:r>
              <w:t>)</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1 στοιχείο δ) του εν λόγω κανονισμού τα ιδρύματα παρέχουν πληροφορίες σχετικά με τις </w:t>
            </w:r>
            <w:r>
              <w:rPr>
                <w:rFonts w:ascii="Times New Roman" w:hAnsi="Times New Roman"/>
                <w:sz w:val="24"/>
              </w:rPr>
              <w:lastRenderedPageBreak/>
              <w:t>δραστηριότητες, τις δεσμεύσεις και τα ανοίγματα που εφαρμόζουν για τον μετριασμό των περιβαλλοντικών κινδύνων.</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τις μεθόδους που χρησιμοποιούν για τον προσδιορισμό των μέτρων και των δραστηριοτήτων μετριασμού των κινδύνων. Επιπλέον, παρέχουν πληροφορίες σχετικά με τον βαθμό στον οποίο οι εν λόγω δραστηριότητες, δεσμεύσεις και ανοίγματα αντιπροσωπεύουν τους σχετικούς διαύλους μετάδοσης, μεταξύ άλλων i) τη χαμηλότερη κερδοφορία, </w:t>
            </w:r>
            <w:proofErr w:type="spellStart"/>
            <w:r>
              <w:rPr>
                <w:rFonts w:ascii="Times New Roman" w:hAnsi="Times New Roman"/>
                <w:sz w:val="24"/>
              </w:rPr>
              <w:t>ii</w:t>
            </w:r>
            <w:proofErr w:type="spellEnd"/>
            <w:r>
              <w:rPr>
                <w:rFonts w:ascii="Times New Roman" w:hAnsi="Times New Roman"/>
                <w:sz w:val="24"/>
              </w:rPr>
              <w:t xml:space="preserve">) τη μειωμένη αξία ακινήτων, τη μείωση του πλούτου των νοικοκυριών, </w:t>
            </w:r>
            <w:proofErr w:type="spellStart"/>
            <w:r>
              <w:rPr>
                <w:rFonts w:ascii="Times New Roman" w:hAnsi="Times New Roman"/>
                <w:sz w:val="24"/>
              </w:rPr>
              <w:t>iii</w:t>
            </w:r>
            <w:proofErr w:type="spellEnd"/>
            <w:r>
              <w:rPr>
                <w:rFonts w:ascii="Times New Roman" w:hAnsi="Times New Roman"/>
                <w:sz w:val="24"/>
              </w:rPr>
              <w:t xml:space="preserve">) τη χαμηλότερη απόδοση στοιχείων ενεργητικού, </w:t>
            </w:r>
            <w:proofErr w:type="spellStart"/>
            <w:r>
              <w:rPr>
                <w:rFonts w:ascii="Times New Roman" w:hAnsi="Times New Roman"/>
                <w:sz w:val="24"/>
              </w:rPr>
              <w:t>iv</w:t>
            </w:r>
            <w:proofErr w:type="spellEnd"/>
            <w:r>
              <w:rPr>
                <w:rFonts w:ascii="Times New Roman" w:hAnsi="Times New Roman"/>
                <w:sz w:val="24"/>
              </w:rPr>
              <w:t>) την αύξηση του κόστους συμμόρφωσης και v) την αύξηση των νομικών δαπανών.</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lastRenderedPageBreak/>
              <w:t>ιδ</w:t>
            </w:r>
            <w:proofErr w:type="spellEnd"/>
            <w:r>
              <w:t>)</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στοιχεία α) και </w:t>
            </w:r>
            <w:proofErr w:type="spellStart"/>
            <w:r>
              <w:rPr>
                <w:rFonts w:ascii="Times New Roman" w:hAnsi="Times New Roman"/>
                <w:sz w:val="24"/>
              </w:rPr>
              <w:t>στ</w:t>
            </w:r>
            <w:proofErr w:type="spellEnd"/>
            <w:r>
              <w:rPr>
                <w:rFonts w:ascii="Times New Roman" w:hAnsi="Times New Roman"/>
                <w:sz w:val="24"/>
              </w:rPr>
              <w:t xml:space="preserve">) του εν λόγω κανονισμού, τα ιδρύματα παρέχουν πληροφορίες σχετικά με τα εργαλεία υλοποίησης που χρησιμοποιούν για τον εντοπισμό και τη διαχείριση περιβαλλοντικών κινδύνων. Στα εργαλεία αυτά περιλαμβάνονται οι προσομοιώσεις ακραίων καταστάσεων, η ανάλυση ευαισθησίας ή άλλοι </w:t>
            </w:r>
            <w:proofErr w:type="spellStart"/>
            <w:r>
              <w:rPr>
                <w:rFonts w:ascii="Times New Roman" w:hAnsi="Times New Roman"/>
                <w:sz w:val="24"/>
              </w:rPr>
              <w:t>μελλοντοστρεφείς</w:t>
            </w:r>
            <w:proofErr w:type="spellEnd"/>
            <w:r>
              <w:rPr>
                <w:rFonts w:ascii="Times New Roman" w:hAnsi="Times New Roman"/>
                <w:sz w:val="24"/>
              </w:rPr>
              <w:t xml:space="preserve"> δείκτες που εφαρμόζονται σε επίπεδο ανοίγματος, χαρτοφυλακίου, αντισυμβαλλομένου ή τομέα, ανάλογα με τη σημαντικότητα του κινδύνου.</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Οι δημοσιοποιημένες πληροφορίες αναφέρουν τις παραδοχές και τις μεθόδους στις οποίες βασίζονται τα σχετικά εργαλεία υλοποίησης. Τα ιδρύματα αναφέρουν επίσης τον χρονικό ορίζοντα που χρησιμοποιείται για την αξιολόγηση περιβαλλοντικών κινδύνων σε λογιστικούς και εποπτικούς δείκτες μέτρησης, δηλαδή βραχυπρόθεσμους, μεσοπρόθεσμους ή μακροπρόθεσμους χρονικούς ορίζοντες.</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ιε</w:t>
            </w:r>
            <w:proofErr w:type="spellEnd"/>
            <w:r>
              <w:t>)</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στοιχεία α) και </w:t>
            </w:r>
            <w:proofErr w:type="spellStart"/>
            <w:r>
              <w:rPr>
                <w:rFonts w:ascii="Times New Roman" w:hAnsi="Times New Roman"/>
                <w:sz w:val="24"/>
              </w:rPr>
              <w:t>στ</w:t>
            </w:r>
            <w:proofErr w:type="spellEnd"/>
            <w:r>
              <w:rPr>
                <w:rFonts w:ascii="Times New Roman" w:hAnsi="Times New Roman"/>
                <w:sz w:val="24"/>
              </w:rPr>
              <w:t>) του εν λόγω κανονισμού, τα ιδρύματα περιγράφουν το αποτέλεσμα της αξιολόγησης από το εργαλείο κινδύνου που χρησιμοποιήθηκε σύμφωνα με το σημείο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παρέχουν τον εκτιμώμενο αντίκτυπο του περιβαλλοντικού κινδύνου, συμπεριλαμβανομένου του κινδύνου κλιματικής αλλαγής, στη φερεγγυότητα, τις ρυθμιστικές κεφαλαιακές απαιτήσεις και το προφίλ κινδύνου ρευστότητας του ιδρύματος στο πλαίσιο της εσωτερικής διαδικασίας αξιολόγησης της κεφαλαιακής επάρκειας (ICAAP) και της εσωτερικής διαδικασίας αξιολόγησης της επάρκειας ρευστότητας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ιστ</w:t>
            </w:r>
            <w:proofErr w:type="spellEnd"/>
            <w:r>
              <w:t>)</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τα ιδρύματα παρέχουν πληροφορίες σχετικά με τα δεδομένα και τις πληροφορίες που έχουν στη διάθεσή τους για τη διαχείριση των περιβαλλοντικών κινδύνων, τα βασικά δεδομένα και τις πληροφορίες που λείπουν επί του παρόντος και τα μέτρα που λαμβάνουν για την αντιμετώπιση των κενών στα δεδομένα και για τη βελτίωση της ποιότητας και της ακρίβειας των δεδομένων.</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ιζ</w:t>
            </w:r>
            <w:proofErr w:type="spellEnd"/>
            <w:r>
              <w:t>)</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w:t>
            </w:r>
            <w:proofErr w:type="spellStart"/>
            <w:r>
              <w:rPr>
                <w:rFonts w:ascii="Times New Roman" w:hAnsi="Times New Roman"/>
                <w:sz w:val="24"/>
              </w:rPr>
              <w:t>στ</w:t>
            </w:r>
            <w:proofErr w:type="spellEnd"/>
            <w:r>
              <w:rPr>
                <w:rFonts w:ascii="Times New Roman" w:hAnsi="Times New Roman"/>
                <w:sz w:val="24"/>
              </w:rPr>
              <w:t xml:space="preserve">) του εν λόγω κανονισμού, τα ιδρύματα παρέχουν πληροφορίες σχετικά με τα όρια που θέτουν για τη χρηματοδότηση έργων ή αντισυμβαλλομένων που βλάπτουν </w:t>
            </w:r>
            <w:r>
              <w:rPr>
                <w:rFonts w:ascii="Times New Roman" w:hAnsi="Times New Roman"/>
                <w:sz w:val="24"/>
              </w:rPr>
              <w:lastRenderedPageBreak/>
              <w:t>σημαντικά τους περιβαλλοντικούς στόχους σύμφωνα με την επιχειρηματική τους στρατηγική.</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όρια αυτά περιλαμβάνουν όρια που θέτουν τα ιδρύματα κατά τη χρονική στιγμή της χορήγησης και της παρακολούθησης για την αποφυγή ή τον μετριασμό των περιβαλλοντικών κινδύνων, καθώς και όρια που υποδεικνύουν πότε ένα συγκεκριμένο άνοιγμα μπορεί να ενεργοποιήσει διορθωτικά μέτρα, περαιτέρω έρευνες, εσωτερική κλιμάκωση ή αποκλεισμό από το χαρτοφυλάκιο.</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lastRenderedPageBreak/>
              <w:t>ιη</w:t>
            </w:r>
            <w:proofErr w:type="spellEnd"/>
            <w:r>
              <w:t>)</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περιγράφουν τον τρόπο με τον οποίο καταγράφουν και συνδέουν την εμφάνιση περιβαλλοντικών κινδύνων στον ισολογισμό τους μέσω του πιστωτικού κινδύνου, του κινδύνου ρευστότητας, του κινδύνου αγοράς και του λειτουργικού κινδύνου.</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πρέπει να επεξηγούν τον τρόπο με τον οποίο αξιολογούν και διαχειρίζονται τον αντίκτυπο της μετάβασης σε μια οικονομία χαμηλών εκπομπών διοξειδίου του άνθρακα και ανθεκτική στην κλιματική αλλαγή στις εποπτικές κατηγορίες κινδύνων, συμπεριλαμβανομένου του πιστωτικού κινδύνου, του κινδύνου ρευστότητας, του κινδύνου αγοράς και του λειτουργικού κινδύνου.</w:t>
            </w:r>
          </w:p>
        </w:tc>
      </w:tr>
    </w:tbl>
    <w:p w14:paraId="1A459844" w14:textId="77777777" w:rsidR="00183989" w:rsidRPr="002827F5" w:rsidRDefault="00183989" w:rsidP="00183989">
      <w:pPr>
        <w:jc w:val="both"/>
        <w:rPr>
          <w:rFonts w:ascii="Times New Roman" w:hAnsi="Times New Roman" w:cs="Times New Roman"/>
          <w:b/>
          <w:noProof/>
          <w:sz w:val="24"/>
        </w:rPr>
      </w:pPr>
    </w:p>
    <w:p w14:paraId="7AEF1E59" w14:textId="77777777" w:rsidR="00183989" w:rsidRPr="002827F5"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Πίνακας 2 – Ποιοτικές πληροφορίες σχετικά με τον κοινωνικό κίνδυνο: Πλαίσια ελεύθερου κειμένου για δημοσιοποίηση</w:t>
      </w:r>
      <w:r>
        <w:rPr>
          <w:rFonts w:ascii="Times New Roman" w:hAnsi="Times New Roman"/>
          <w:sz w:val="24"/>
        </w:rPr>
        <w:t xml:space="preserve"> ποιοτικών πληροφοριών στο παράρτημα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Τα ιδρύματα χρησιμοποιούν τις ακόλουθες οδηγίες για να συμπληρώσουν τον πίνακα 2 – «Ποιοτικές πληροφορίες σχετικά με τον κοινωνικό κίνδυνο» που παρατίθεται στο παράρτημα XXXIX του παρόντος κανονισμού, προκειμένου να περιγράψουν την ενσωμάτωση των κοινωνικών κινδύνων στην επιχειρηματική στρατηγική και τις διαδικασίες τους, τη διακυβέρνηση και τη διαχείριση κινδύνων, σύμφωνα με το άρθρο 449α του κανονισμού (ΕΕ) αριθ. 575/2013 σε συνδυασμό με το άρθρο 435 του εν λόγω κανονισμού.  </w:t>
      </w:r>
    </w:p>
    <w:p w14:paraId="4C6EAE40" w14:textId="77777777" w:rsidR="00183989" w:rsidRPr="00E50FA4" w:rsidRDefault="00183989" w:rsidP="00183989">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Νομικά κείμενα αναφοράς και οδηγίες</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Αριθμός γραμμής</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Επεξήγηση</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Επιχειρηματική στρατηγική και διαδικασίες</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α)</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στοιχεία α) και ε) του εν λόγω κανονισμού, τα ιδρύματα περιγράφουν τον τρόπο με τον οποίο το επιχειρηματικό μοντέλο, η στρατηγική, οι διαδικασίες και ο χρηματοοικονομικός σχεδιασμός τους ενσωματώνουν τους κινδύνους που απορρέουν από κοινωνικούς παράγοντες (δηλαδή κοινωνικούς κινδύνους) και τον τρόπο με τον οποίο μπορούν να εξελιχθούν οι κίνδυνοι αυτοί με την πάροδο του χρόνου, δεδομένης της μεταβαλλόμενης τεχνολογίας, του πλαισίου πολιτικής, του επιχειρηματικού περιβάλλοντος και των προτιμήσεων των ενδιαφερόμενων μερών.</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β)</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α) και στοιχεία γ) έως </w:t>
            </w:r>
            <w:proofErr w:type="spellStart"/>
            <w:r>
              <w:rPr>
                <w:rFonts w:ascii="Times New Roman" w:hAnsi="Times New Roman"/>
                <w:sz w:val="24"/>
              </w:rPr>
              <w:t>στ</w:t>
            </w:r>
            <w:proofErr w:type="spellEnd"/>
            <w:r>
              <w:rPr>
                <w:rFonts w:ascii="Times New Roman" w:hAnsi="Times New Roman"/>
                <w:sz w:val="24"/>
              </w:rPr>
              <w:t xml:space="preserve">) του εν λόγω κανονισμού, τα ιδρύματα περιγράφουν τις επιδιώξεις, τους στόχους και τα όριά τους για την αξιολόγηση και τη διαχείριση των κοινωνικών κινδύνων, καθώς και τις διαδικασίες που χρησιμοποιούν για τον καθορισμό των εν λόγω στόχων, επιδιώξεων και ορίων.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Τα ιδρύματα πρέπει να επεξηγούν τη σύνδεση των εν λόγω επιδιώξεων, στόχων και ορίων με το εφαρμοστέο διεθνές και </w:t>
            </w:r>
            <w:proofErr w:type="spellStart"/>
            <w:r>
              <w:rPr>
                <w:rFonts w:ascii="Times New Roman" w:hAnsi="Times New Roman"/>
                <w:sz w:val="24"/>
              </w:rPr>
              <w:t>ενωσιακό</w:t>
            </w:r>
            <w:proofErr w:type="spellEnd"/>
            <w:r>
              <w:rPr>
                <w:rFonts w:ascii="Times New Roman" w:hAnsi="Times New Roman"/>
                <w:sz w:val="24"/>
              </w:rPr>
              <w:t xml:space="preserve"> πλαίσιο πολιτικής και με τους διαθέσιμους δείκτες αναφοράς.</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Στις κοινωνικές πτυχές περιλαμβάνονται οι παραβιάσεις των ανθρωπίνων δικαιωμάτων, τα εργασιακά δικαιώματα, η εισοδηματική ανισότητα, η έλλειψη ανθρωπίνων δικαιωμάτων, η ασφάλεια και η προστασία των πελατών, η προστασία της ιδιωτικής ζωής, η φτώχεια και η απαγόρευση των διακρίσεων. Επιπλέον, η κλιματική αλλαγή και η μετάβαση σε μια οικονομία χαμηλών εκπομπών διοξειδίου του άνθρακα έχουν κοινωνικές επιπτώσεις που περιλαμβάνουν αλλαγές στην αγορά εργασίας. Σε αυτές περιλαμβάνονται η μείωση της ζήτησης για ορισμένες θέσεις εργασίας και δεξιότητες, η εμφάνιση νέων θέσεων εργασίας και δεξιοτήτων, οι μεταβαλλόμενες προτιμήσεις των καταναλωτών, η προθυμία των μετόχων να ενσωματώσουν ταχέως τις κλιματικές, περιβαλλοντικές και κοινωνικές αλλαγές στις εταιρείες τους, όπως ορίζεται στην παράγραφο 78 της έκθεσης της ΕΑΤ που εγκρίθηκε δυνάμει του άρθρου 98 παράγραφος 8 της οδηγίας 2013/36/ΕΕ.</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γ)</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δ) του εν λόγω κανονισμού, τα ιδρύματα περιγράφουν τον τρόπο με τον οποίο λαμβάνουν μέτρα για τον μετριασμό των κινδύνων που συνδέονται με κοινωνικούς παράγοντες, συμπεριλαμβανομένης της κατανόησης της ικανότητας των αντισυμβαλλομένων να διαχειρίζονται κοινωνικούς κινδύνους και της έναρξης διαλόγου με αυτούς για τον μετριασμό των κοινωνικών κινδύνων.</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2827F5"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Διακυβέρνηση</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δ)</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β) και το άρθρο 435 παράγραφος 2 στοιχεία α), β) και γ) του εν λόγω κανονισμού, τα ιδρύματα περιγράφουν τον τρόπο με τον οποίο το διοικητικό τους όργανο συμμετέχει στην εποπτεία και τη διαχείριση των κοινωνικών κινδύνων. Οι πληροφορίες αυτές καλύπτουν το σκεπτικό της προσέγγισης που ακολουθεί το διοικητικό όργανο και λαμβάνουν υπόψη διάφορους κοινωνικούς παράγοντες. Στους παράγοντες αυτούς περιλαμβάνονται η δέσμευση του ιδρύματος έναντι της κοινότητας και της κοινωνίας, οι σχέσεις του με τους εργαζομένους και η συμμόρφωση με τα εργασιακά πρότυπα, η προστασία των πελατών και η ευθύνη για τα προϊόντα, καθώς και τα ανθρώπινα δικαιώματα.</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ε)</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2 στοιχεία α), β) και γ) του εν λόγω κανονισμού, τα ιδρύματα περιγράφουν τον τρόπο οργάνωσης των επιτροπών κινδύνων τους και κατανομής καθηκόντων και αρμοδιοτήτων στο πλαίσιο </w:t>
            </w:r>
            <w:r>
              <w:rPr>
                <w:rFonts w:ascii="Times New Roman" w:hAnsi="Times New Roman"/>
                <w:sz w:val="24"/>
              </w:rPr>
              <w:lastRenderedPageBreak/>
              <w:t>διαχείρισης κινδύνων για την παρακολούθηση και τη διαχείριση των κοινωνικών κινδύνων.</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Τα ιδρύματα παρέχουν πληροφορίες για τους εσωτερικούς και τους εξωτερικούς πόρους τους που διατίθενται για την αξιολόγηση των κοινωνικών κινδύνων.</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lastRenderedPageBreak/>
              <w:t>στ</w:t>
            </w:r>
            <w:proofErr w:type="spellEnd"/>
            <w:r>
              <w:t>)</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2 στοιχείο ε) του εν λόγω κανονισμού, τα ιδρύματα περιγράφουν τον τρόπο με τον οποίο περιλαμβάνουν κοινωνικούς κινδύνους στο πλαίσιο και τη δομή των εσωτερικών αναφορών τους, και καθορίζουν τη συχνότητα των εσωτερικών αναφορών τους και την ανταλλαγή πληροφοριών σχετικά με τους κοινωνικούς κινδύνους.</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ζ)</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2 στοιχείο ε) του εν λόγω κανονισμού, τα ιδρύματα παρέχουν πληροφορίες σχετικά με το αν στην πολιτική αποδοχών τους περιλαμβάνονται κοινωνικοί κίνδυνοι, καθώς και σχετικά με τα κριτήρια και τους δείκτες μέτρησης που χρησιμοποιούνται για τον προσδιορισμό του αντικτύπου των παραμέτρων κοινωνικού κινδύνου στις μεταβλητές αποδοχές.</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2827F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Διαχείριση κινδύνων</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η)</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τις μεθόδους, τους ορισμούς και τα πρότυπα που χρησιμοποιούν για τον προσδιορισμό και τη διαχείριση των κοινωνικών παραγόντων και κινδύνων, καθώς και το πλαίσιο στο οποίο βασίζονται τα εν λόγω πρότυπα, οι ορισμοί και οι μέθοδοι.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πρέπει να επεξηγούν τον τρόπο με τον οποίο οι εν λόγω μέθοδοι, ορισμοί και πρότυπα σχετίζονται με το ισχύον διεθνές και </w:t>
            </w:r>
            <w:proofErr w:type="spellStart"/>
            <w:r>
              <w:rPr>
                <w:rFonts w:ascii="Times New Roman" w:hAnsi="Times New Roman"/>
                <w:sz w:val="24"/>
              </w:rPr>
              <w:t>ενωσιακό</w:t>
            </w:r>
            <w:proofErr w:type="spellEnd"/>
            <w:r>
              <w:rPr>
                <w:rFonts w:ascii="Times New Roman" w:hAnsi="Times New Roman"/>
                <w:sz w:val="24"/>
              </w:rPr>
              <w:t xml:space="preserve"> πλαίσιο πολιτικής και τους διαθέσιμους δείκτες αναφοράς.</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θ)</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τη διαδικασία με την οποία εντοπίζουν και παρακολουθούν τις δραστηριότητες και τα ανοίγματά τους, τα οποία είναι ευαίσθητα σε κοινωνικούς κινδύνους, μεταξύ άλλων μέσω των αντισυμβαλλομένων τους, των επενδυτικών δραστηριοτήτων ή των δραστηριοτήτων διαχείρισης στοιχείων ενεργητικού, συμπεριλαμβανομένων τυχόν κινητών και ακίνητων στοιχείων ενεργητικού που σχετίζονται με τις εν λόγω δραστηριότητες και ανοίγματα.</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παρέχουν πληροφορίες σχετικά με τη διαδικασία με την οποία εντοπίζουν και παρακολουθούν κοινωνικούς κινδύνους που είναι οικονομικά σημαντικοί ή επί του παρόντος μη σημαντικοί με προοπτική να αποκτήσουν σημαντικότητα στο μέλλον.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Οι εν λόγω δραστηριότητες, ανοίγματα και στοιχεία ενεργητικού με ευαισθησία σε κοινωνικούς κινδύνους μπορεί να σχετίζονται με </w:t>
            </w:r>
            <w:r>
              <w:rPr>
                <w:rFonts w:ascii="Times New Roman" w:hAnsi="Times New Roman"/>
                <w:sz w:val="24"/>
              </w:rPr>
              <w:lastRenderedPageBreak/>
              <w:t>αντισυμβαλλόμενους που παραβιάζουν το εργατικό δίκαιο, τα ανθρώπινα δικαιώματα ή άλλους κοινωνικούς νόμους ή δικαιώματα που ενδέχεται να αποτελούν αντικείμενο νομικών αντιπαραθέσεων. Πιο συγκεκριμένα, οι τομείς με αυξημένο κοινωνικό κίνδυνο μπορεί να περιλαμβάνουν τομείς με διακινούμενους εργαζομένους, χαμηλούς μισθούς, χαμηλά εργασιακά πρότυπα ή κακές συνθήκες εργασίας που επηρεάζουν αρνητικά τις κοινότητες και έχουν αυξημένες πιθανότητες να υποβληθούν σε δημόσιο και πολιτικό έλεγχο.</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ι)</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τις δραστηριότητες, τις δεσμεύσεις και τα στοιχεία ενεργητικού που διαθέτουν για τον μετριασμό των κοινωνικών κινδύνων.</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ια</w:t>
            </w:r>
            <w:proofErr w:type="spellEnd"/>
            <w:r>
              <w:t>)</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τα εργαλεία υλοποίησης που χρησιμοποιούν για τον εντοπισμό και τη διαχείριση κοινωνικών κινδύνων. Τα εργαλεία αυτά περιλαμβάνουν την ανάλυση σεναρίων, που εφαρμόζονται σε επίπεδο ανοίγματος, χαρτοφυλακίου, αντισυμβαλλομένου ή τομέα και καλύπτουν παράγοντες, όπως η μετανάστευση, οι δημογραφικές τάσεις, η μεταβολή του εργατικού δυναμικού και οι τεχνολογικές αλλαγές.</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Οι κοινωνικοί κίνδυνοι μπορούν επίσης να περιλαμβάνουν την αλλαγή της συμπεριφοράς των καταναλωτών, ζητήματα σχετικά με τις διακρίσεις και την κοινωνική ένταξη, ανάλυση σεναρίων σχετικά με την αύξηση της ανισότητας, τον κοινωνικό αντίκτυπο της κλιματικής αλλαγής, την προσαρμογή στην κλιματική αλλαγή/τον μετριασμό της και την υποβάθμιση του περιβάλλοντος.</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παρέχουν πληροφορίες σχετικά με τις παραδοχές και τις μεθόδους που χρησιμοποιούνται για τη διενέργεια της εν λόγω ανάλυσης σεναρίων. Τα ιδρύματα αναφέρουν τον χρονικό ορίζοντα που χρησιμοποιείται για την αξιολόγηση του κοινωνικού κινδύνου σε λογιστικούς και εποπτικούς δείκτες μέτρησης, δηλαδή βραχυπρόθεσμο, μεσοπρόθεσμο ή μακροπρόθεσμο χρονικό ορίζοντα.</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t>ιβ</w:t>
            </w:r>
            <w:proofErr w:type="spellEnd"/>
            <w:r>
              <w:t>)</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1 στοιχείο </w:t>
            </w:r>
            <w:proofErr w:type="spellStart"/>
            <w:r>
              <w:rPr>
                <w:rFonts w:ascii="Times New Roman" w:hAnsi="Times New Roman"/>
                <w:sz w:val="24"/>
              </w:rPr>
              <w:t>στ</w:t>
            </w:r>
            <w:proofErr w:type="spellEnd"/>
            <w:r>
              <w:rPr>
                <w:rFonts w:ascii="Times New Roman" w:hAnsi="Times New Roman"/>
                <w:sz w:val="24"/>
              </w:rPr>
              <w:t>) του εν λόγω κανονισμού, τα ιδρύματα παρέχουν πληροφορίες σχετικά με τα όρια που θέτουν σε σχέση με τη χρηματοδότηση έργων ή αντισυμβαλλομένων που βλάπτουν σημαντικά τους κοινωνικούς στόχους της επιχειρηματικής τους στρατηγικής.</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όρια αυτά περιλαμβάνουν τα όρια που θέτουν τα ιδρύματα κατά τη χρονική στιγμή της χορήγησης και της παρακολούθησης για την αποφυγή ή τον μετριασμό των κοινωνικών κινδύνων, καθώς και τα όρια που υποδεικνύουν πότε ένα συγκεκριμένο άνοιγμα μπορεί να ενεργοποιήσει περαιτέρω έρευνες, εσωτερική κλιμάκωση, διορθωτικά μέτρα ή αποκλεισμό από το χαρτοφυλάκιο.</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lastRenderedPageBreak/>
              <w:t>ιγ</w:t>
            </w:r>
            <w:proofErr w:type="spellEnd"/>
            <w:r>
              <w:t>)</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Σύμφωνα με το άρθρο 449α του κανονισμού (ΕΕ) αριθ. 575/2013, τα ιδρύματα παρέχουν πληροφορίες σχετικά με τους τρόπους με τους οποίους καταγράφουν και συνδέουν την εμφάνιση κοινωνικών κινδύνων στον ισολογισμό τους μέσω του πιστωτικού κινδύνου, του κινδύνου ρευστότητας, του κινδύνου αγοράς και του λειτουργικού κινδύνου.</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πρέπει να παρέχουν πληροφορίες σχετικά με τους τρόπους με τους οποίους αξιολογούν και διαχειρίζονται τον αντίκτυπο των σχετικών κοινωνικά επιζήμιων γεγονότων στις εποπτικές κατηγορίες κινδύνων, συμπεριλαμβανομένου του πιστωτικού κινδύνου, του κινδύνου ρευστότητας, του κινδύνου αγοράς και του λειτουργικού κινδύνου.</w:t>
            </w:r>
          </w:p>
        </w:tc>
      </w:tr>
    </w:tbl>
    <w:p w14:paraId="7BD0A166" w14:textId="77777777" w:rsidR="00183989" w:rsidRPr="002827F5"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Πίνακας 3 – Ποιοτικές πληροφορίες σχετικά με τον κίνδυνο διακυβέρνησης:</w:t>
      </w:r>
      <w:r>
        <w:rPr>
          <w:rFonts w:ascii="Times New Roman" w:hAnsi="Times New Roman"/>
          <w:sz w:val="24"/>
        </w:rPr>
        <w:t xml:space="preserve"> Πλαίσια ελεύθερου κειμένου για δημοσιοποίηση ποιοτικών πληροφοριών στο παράρτημα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Τα ιδρύματα χρησιμοποιούν τις ακόλουθες οδηγίες για να συμπληρώσουν τον πίνακα 3 – «Ποιοτικές πληροφορίες σχετικά με τον κίνδυνο διακυβέρνησης» που παρατίθεται στο παράρτημα XXXIX του παρόντος κανονισμού, προκειμένου να περιγράψουν την ενσωμάτωση των κινδύνων διακυβέρνησης στη διακυβέρνηση και τη διαχείριση κινδύνων, σύμφωνα με το άρθρο 449α του κανονισμού (ΕΕ) αριθ. 575/2013, σε συνδυασμό με το άρθρο 435 του εν λόγω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Νομικά κείμενα αναφοράς και οδηγίες</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Αριθμός γραμμής</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Επεξήγηση</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Διακυβέρνηση</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α)</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Σύμφωνα με το άρθρο 449α του κανονισμού (ΕΕ) αριθ. 575/2013, σε συνδυασμό με το άρθρο 435 παράγραφος 2 του εν λόγω κανονισμού, τα ιδρύματα παρέχουν πληροφορίες σχετικά με τους τρόπους με τους οποίους ενσωματώνουν τις επιδόσεις διακυβέρνησης του αντισυμβαλλομένου στις ρυθμίσεις διακυβέρνησής τους.</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Οι εκτιμήσεις σχετικά με τις επιδόσεις διακυβέρνησης του αντισυμβαλλομένου πρέπει να καλύπτουν τα αναγκαία στάδια των διαδικασιών λήψης αποφάσεων, εποπτείας και διαχείρισης του αντισυμβαλλομένου σε όλα τα επίπεδα, συμπεριλαμβανομένων των επιτροπών του ανώτατου οργάνου διακυβέρνησης και των επιτροπών που είναι αρμόδιες για τη λήψη αποφάσεων σε οικονομικά, περιβαλλοντικά και κοινωνικά θέματα.</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β)</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Τα ιδρύματα επεξηγούν τον τρόπο με τον οποίο λαμβάνουν υπόψη τον ρόλο του ανώτατου οργάνου διακυβέρνησης του αντισυμβαλλομένου στην υποβολή μη χρηματοοικονομικών εκθέσεων, συμπεριλαμβανομένης της ανώτατης επιτροπής ή της λειτουργικής θέσης που επανεξετάζει επίσημα και εγκρίνει την έκθεση βιωσιμότητας του οργανισμού και διασφαλίζει ότι καλύπτονται όλα τα σημαντικά θέματα.</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γ)</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Σύμφωνα με το άρθρο 449α του κανονισμού (ΕΕ) αριθ. 575/2013, σε συνδυασμό με το άρθρο 435 παράγραφος 2 του εν λόγω κανονισμού, τα ιδρύματα παρέχουν πληροφορίες σχετικά με τον τρόπο με τον οποίο </w:t>
            </w:r>
            <w:r>
              <w:rPr>
                <w:rFonts w:ascii="Times New Roman" w:hAnsi="Times New Roman"/>
                <w:sz w:val="24"/>
              </w:rPr>
              <w:lastRenderedPageBreak/>
              <w:t>ενσωματώνουν τις επιδόσεις διακυβέρνησης των αντισυμβαλλομένων τους στις ρυθμίσεις διακυβέρνησής τους.</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Οι εκτιμήσεις που σχετίζονται με τις επιδόσεις διακυβέρνησης των αντισυμβαλλομένων του ιδρύματος πρέπει να καλύπτουν όλα τα ακόλουθα:</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ζητήματα δεοντολογίας, συμπεριλαμβανομένης της ακεραιότητας στη συμπεριφορά, των αξιών και της δεοντολογίας, των μέτρων για την καταπολέμηση της δωροδοκίας και της διαφθοράς, της λογοδοσίας και του κράτους δικαίου·</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στρατηγική και διαχείριση κινδύνων, συμπεριλαμβανομένης της εφαρμογής της στρατηγικής, της επιχειρησιακής εκτέλεσης και παρακολούθησης, των εσωτερικών ελέγχων και των πολιτικών και διαδικασιών διαχείρισης κινδύνων·</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τη </w:t>
            </w:r>
            <w:proofErr w:type="spellStart"/>
            <w:r>
              <w:rPr>
                <w:rFonts w:ascii="Times New Roman" w:hAnsi="Times New Roman"/>
                <w:sz w:val="24"/>
              </w:rPr>
              <w:t>συμμετοχικότητα</w:t>
            </w:r>
            <w:proofErr w:type="spellEnd"/>
            <w:r>
              <w:rPr>
                <w:rFonts w:ascii="Times New Roman" w:hAnsi="Times New Roman"/>
                <w:sz w:val="24"/>
              </w:rPr>
              <w:t>· συμπεριλαμβανομένου του χάσματος μεταξύ των φύλων και της εκπροσώπησης ατόμων από μειονοτικές ομάδες στη διοίκηση, του εισοδηματικού χάσματος·</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τη διαφάνεια· συμπεριλαμβανομένων των δημοσιοποιήσεων σχετικά με τις διακρίσεις, τις φορολογικές δεσμεύσεις και πληρωμές, τη δημοσιοποίηση πληροφοριών σχετικά με δραστηριότητες εκπροσώπησης συμφερόντων, και κανόνες και πρακτικές·</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τη διαχείριση της σύγκρουσης συμφερόντων, συμπεριλαμβανομένων των διαδικασιών για το ανώτατο όργανο διακυβέρνησης, ώστε να διασφαλίζεται η αποφυγή, η διαχείριση και ο μετριασμός τυχόν συγκρούσεων συμφερόντων· και</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την εσωτερική επικοινωνία για κρίσιμα ζητήματα, συμπεριλαμβανομένου του τρόπου με τον οποίο λειτουργεί η εσωτερική διαδικασία του αντισυμβαλλομένου για την κοινοποίηση κρίσιμων ζητημάτων στο ανώτατο όργανο διακυβέρνησης.</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2827F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Διαχείριση κινδύνων</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δ)</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Σύμφωνα με το άρθρο 449α του κανονισμού (ΕΕ) αριθ. 575/2013, σε συνδυασμό με το άρθρο 435 παράγραφος 1 του εν λόγω κανονισμού, τα ιδρύματα παρέχουν πληροφορίες σχετικά με τον τρόπο με τον οποίο ενσωματώνουν στις ρυθμίσεις διαχείρισης κινδύνων τις επιδόσεις διακυβέρνησης των αντισυμβαλλομένων τους, λαμβάνοντας υπόψη τις πτυχές που ορίζονται στη γραμμή 3.</w:t>
            </w:r>
          </w:p>
        </w:tc>
      </w:tr>
    </w:tbl>
    <w:p w14:paraId="4ABD82C5" w14:textId="77777777" w:rsidR="00183989" w:rsidRPr="002827F5"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Υπόδειγμα 1 — Τραπεζικό χαρτοφυλάκιο — Δείκτες πιθανού κινδύνου μετάβασης στην κλιματική αλλαγή: </w:t>
      </w:r>
      <w:r>
        <w:rPr>
          <w:rFonts w:ascii="Times New Roman" w:hAnsi="Times New Roman"/>
          <w:sz w:val="24"/>
        </w:rPr>
        <w:t xml:space="preserve">Πιστωτική ποιότητα των ανοιγμάτων ανά τομέα, εκπομπές και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Σταθερός </w:t>
      </w:r>
      <w:proofErr w:type="spellStart"/>
      <w:r>
        <w:rPr>
          <w:rFonts w:ascii="Times New Roman" w:hAnsi="Times New Roman"/>
          <w:sz w:val="24"/>
        </w:rPr>
        <w:t>μορφότυπος</w:t>
      </w:r>
      <w:proofErr w:type="spellEnd"/>
      <w:r>
        <w:rPr>
          <w:rFonts w:ascii="Times New Roman" w:hAnsi="Times New Roman"/>
          <w:sz w:val="24"/>
        </w:rPr>
        <w:t>.</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χρησιμοποιούν τις ακόλουθες οδηγίες για τη συμπλήρωση του υποδείγματος 1 που παρατίθεται στο παράρτημα XXXIX του παρόντος κανονισμού με σκοπό την παροχή πληροφοριών σχετικά με τα ανοίγματα που είναι πιο επιρρεπή στους κινδύνους που ενδέχεται να αντιμετωπίσουν τα ιδρύματα από τη μετάβαση σε μια οικονομία χαμηλών εκπομπών διοξειδίου του άνθρακα και ανθεκτική στην κλιματική αλλαγή. Για τους σκοπούς του άρθρου 449α του κανονισμού (ΕΕ) αριθ.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α)</w:t>
      </w:r>
      <w:r>
        <w:rPr>
          <w:rFonts w:ascii="Times New Roman" w:hAnsi="Times New Roman"/>
          <w:sz w:val="24"/>
        </w:rPr>
        <w:tab/>
        <w:t xml:space="preserve">τα ιδρύματα δημοσιοποιούν πληροφορίες σχετικά με τα ανοίγματά τους έναντι μη χρηματοπιστωτικών επιχειρήσεων που δραστηριοποιούνται σε τομείς που σχετίζονται με τον άνθρακα, καθώς και σχετικά με την ποιότητα των εν λόγω ανοιγμάτων, συμπεριλαμβανομένης της κατάστασης των μη εξυπηρετούμενων ανοιγμάτων, της ταξινόμησης της βαθμίδας 2 και των σχετικών διατάξεων, καθώς και των κλιμακίων </w:t>
      </w:r>
      <w:proofErr w:type="spellStart"/>
      <w:r>
        <w:rPr>
          <w:rFonts w:ascii="Times New Roman" w:hAnsi="Times New Roman"/>
          <w:sz w:val="24"/>
        </w:rPr>
        <w:t>ληκτότητας</w:t>
      </w:r>
      <w:proofErr w:type="spellEnd"/>
      <w:r>
        <w:rPr>
          <w:rFonts w:ascii="Times New Roman" w:hAnsi="Times New Roman"/>
          <w:sz w:val="24"/>
        </w:rPr>
        <w:t xml:space="preserve">·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β)</w:t>
      </w:r>
      <w:r>
        <w:rPr>
          <w:rFonts w:ascii="Times New Roman" w:hAnsi="Times New Roman"/>
          <w:sz w:val="24"/>
        </w:rPr>
        <w:tab/>
        <w:t xml:space="preserve">τα ιδρύματα αρχίζουν να δημοσιοποιούν πληροφορίες σχετικά με τις εκπομπές αερίων του θερμοκηπίου πεδίου εφαρμογής 1, 2 και 3 των αντισυμβαλλομένων τους, εάν είναι ήδη διαθέσιμες, συμπεριλαμβανομένων των ποιοτικών πληροφοριών στο λεκτικό που συνοδεύει το παρόν υπόδειγμα σχετικά με τη μεθοδολογία και τις πηγές που χρησιμοποιούνται για τον υπολογισμό των εν λόγω εκπομπών. Όταν τα ιδρύματα δεν εκτιμούν ακόμη τις εκπομπές αερίων του θερμοκηπίου των αντισυμβαλλομένων τους που συνδέονται με τις χρηματοδοτικές τους δραστηριότητες, συμπεριλαμβανομένων των δανειοδοτικών και επενδυτικών δραστηριοτήτων τους, δημοσιοποιούν πληροφορίες σχετικά με τα σχέδιά τους να εφαρμόσουν μεθοδολογίες εκτίμησης και δημοσιοποιούν τις πληροφορίες αυτές. Τα ιδρύματα αρχίζουν να δημοσιοποιούν πληροφορίες στις στήλες θ) έως </w:t>
      </w:r>
      <w:proofErr w:type="spellStart"/>
      <w:r>
        <w:rPr>
          <w:rFonts w:ascii="Times New Roman" w:hAnsi="Times New Roman"/>
          <w:sz w:val="24"/>
        </w:rPr>
        <w:t>ια</w:t>
      </w:r>
      <w:proofErr w:type="spellEnd"/>
      <w:r>
        <w:rPr>
          <w:rFonts w:ascii="Times New Roman" w:hAnsi="Times New Roman"/>
          <w:sz w:val="24"/>
        </w:rPr>
        <w:t>) του υποδείγματος με ημερομηνία αναφοράς πρώτης δημοσιοποίησης την 30ή Ιουνίου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περιλαμβάνουν στο λεκτικό που συνοδεύει το υπόδειγμα επεξηγήσεις σχετικά με τις πληροφορίες που δημοσιοποιούνται και τις αλλαγές σε σύγκριση με προηγούμενες περιόδους δημοσιοποίησης, καθώς και τυχόν επιπτώσεις που ενδέχεται να έχουν τα εν λόγω ανοίγματα όσον αφορά τον πιστωτικό κίνδυνο, τον κίνδυνο αγοράς, τον λειτουργικό κίνδυνο, τον κίνδυνο φήμης και τον κίνδυνο ρευστότητας για τα ιδρύματα.</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Τα ιδρύματα περιλαμβάνουν στις γραμμές του υποδείγματος την ανάλυση της ακαθάριστης λογιστικής αξίας των δανείων και προκαταβολών, χρεωστικών τίτλων και μέσων μετοχικού κεφαλαίου προς μη χρηματοπιστωτικές επιχειρήσεις, εκτός των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ανά τομέα οικονομικών δραστηριοτήτων με βάση τους κωδικούς της ονοματολογίας οικονομικών δραστηριοτήτων (NACE), που προβλέπονται στον κανονισμό (ΕΚ) αριθ. 1893/2006 του Ευρωπαϊκού Κοινοβουλίου και του Συμβουλίου</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με βάση την κύρια δραστηριότητα του αντισυμβαλλομένου. Περιλαμβάνουν επίσης υποσύνολα στα οποία αθροίζεται η ακαθάριστη λογιστική αξία των ανοιγμάτων έναντι τομέων και </w:t>
      </w:r>
      <w:proofErr w:type="spellStart"/>
      <w:r>
        <w:rPr>
          <w:rFonts w:ascii="Times New Roman" w:hAnsi="Times New Roman"/>
          <w:sz w:val="24"/>
        </w:rPr>
        <w:t>υποτομέων</w:t>
      </w:r>
      <w:proofErr w:type="spellEnd"/>
      <w:r>
        <w:rPr>
          <w:rFonts w:ascii="Times New Roman" w:hAnsi="Times New Roman"/>
          <w:sz w:val="24"/>
        </w:rPr>
        <w:t xml:space="preserve"> που συμβάλλουν σε μεγάλο βαθμό στην κλιματική αλλαγή. Ειδικότερα, γίνεται αναφορά στους τομείς που απαριθμούνται στους τομείς Α έως Η και στον τομέα Λ του παραρτήματος I του κανονισμού (ΕΚ) αριθ. 1893/2006, οι οποίοι περιλαμβάνουν τους τομείς του πετρελαίου, του φυσικού αερίου, των ορυχείων και των μεταφορών, ως τομείς που συντελούν σημαντικά στην κλιματική αλλαγή, όπως ορίζεται στην αιτιολογική σκέψη 6 του κατ’ εξουσιοδότηση κανονισμού (ΕΕ) 2020/1818 της Επιτροπής</w:t>
      </w:r>
      <w:r>
        <w:rPr>
          <w:rFonts w:ascii="Times New Roman" w:hAnsi="Times New Roman"/>
          <w:sz w:val="24"/>
          <w:vertAlign w:val="superscript"/>
        </w:rPr>
        <w:t>*12</w:t>
      </w:r>
      <w:r>
        <w:rPr>
          <w:rFonts w:ascii="Times New Roman" w:hAnsi="Times New Roman"/>
          <w:sz w:val="24"/>
        </w:rPr>
        <w:t>· και ένα υποσύνολο ανοιγμάτων έναντι «άλλων τομέων» που δεν αναφέρονται στην εν λόγω αιτιολογική σκέψη.</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lastRenderedPageBreak/>
        <w:t>Η κατανομή ανά τομέα NACE αντισυμβαλλομένου βασίζεται στη φύση του άμεσου αντισυμβαλλομένου.</w:t>
      </w:r>
      <w:r>
        <w:t xml:space="preserve"> </w:t>
      </w:r>
      <w:r>
        <w:rPr>
          <w:rFonts w:ascii="Times New Roman" w:hAnsi="Times New Roman"/>
          <w:sz w:val="24"/>
        </w:rPr>
        <w:t xml:space="preserve">Όταν ο αντισυμβαλλόμενος του ιδρύματος είναι εταιρεία συμμετοχών, τα ιδρύματα λαμβάνουν υπόψη τον τομέα NACE του συγκεκριμένου οφειλέτη στο πλαίσιο της εταιρείας συμμετοχών (εάν είναι διαφορετικός από την εταιρεία συμμετοχών) που λαμβάνει τη χρηματοδότηση (δηλαδή τη συγκεκριμένη θυγατρική της εν λόγω εταιρείας συμμετοχών) και όχι τον τομέα της εταιρείας συμμετοχών, ιδίως στις περιπτώσεις όπου ο οφειλέτης που επωφελείται από τη χρηματοδότηση είναι μη χρηματοπιστωτική επιχείρηση. Ομοίως, όταν ο άμεσος αντισυμβαλλόμενος ενός ιδρύματος (ο οφειλέτης) είναι οντότητα ειδικού σκοπού, τα ιδρύματα δημοσιοποιούν τις σχετικές πληροφορίες στο πλαίσιο του τομέα NACE που συνδέονται με την οικονομική δραστηριότητα της μητρικής εταιρείας της οντότητας ειδικού σκοπού. Η κατάταξη των ανοιγμάτων τα οποία έχουν αναλάβει από κοινού περισσότεροι του ενός οφειλέτες βασίζεται στα χαρακτηριστικά του οφειλέτη τα οποία ήταν τα πλέον σχετικά, ή καθοριστικά, ώστε να χορηγήσει το ίδρυμα το άνοιγμα. Η κατανομή των από κοινού </w:t>
      </w:r>
      <w:proofErr w:type="spellStart"/>
      <w:r>
        <w:rPr>
          <w:rFonts w:ascii="Times New Roman" w:hAnsi="Times New Roman"/>
          <w:sz w:val="24"/>
        </w:rPr>
        <w:t>αναληφθέντων</w:t>
      </w:r>
      <w:proofErr w:type="spellEnd"/>
      <w:r>
        <w:rPr>
          <w:rFonts w:ascii="Times New Roman" w:hAnsi="Times New Roman"/>
          <w:sz w:val="24"/>
        </w:rPr>
        <w:t xml:space="preserve"> ανοιγμάτων ανά κωδικό NACE καθορίζεται με βάση τα χαρακτηριστικά του πλέον σχετικού ή καθοριστικού οφειλέτη. Τα ιδρύματα δημοσιοποιούν τις πληροφορίες ανά κωδικό NACE με το επίπεδο ανάλυσης που απαιτείται στις γραμμές του υποδείγματος.</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Οδηγίες</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α</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Συνολική ακαθάριστη λογιστική αξία</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που αναφέρεται στο παράρτημα V μέρος 1 του εκτελεστικού κανονισμού (ΕΕ) 2021/451, των εν λόγω ανοιγμάτων έναντι μη χρηματοπιστωτικών επιχειρήσεων, συμπεριλαμβανομένων των δανείων και προκαταβολών, χρεωστικών τίτλων και μέσων μετοχικού κεφαλαίου, που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ή πώληση.</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β</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ανοίγματα έναντι επιχειρήσεων που εξαιρούνται από τους ευθυγραμμισμένους με τη συμφωνία του Παρισιού </w:t>
            </w:r>
            <w:proofErr w:type="spellStart"/>
            <w:r>
              <w:rPr>
                <w:rFonts w:ascii="Times New Roman" w:hAnsi="Times New Roman"/>
                <w:b/>
                <w:sz w:val="24"/>
                <w:u w:val="single"/>
              </w:rPr>
              <w:t>ενωσιακούς</w:t>
            </w:r>
            <w:proofErr w:type="spellEnd"/>
            <w:r>
              <w:rPr>
                <w:rFonts w:ascii="Times New Roman" w:hAnsi="Times New Roman"/>
                <w:b/>
                <w:sz w:val="24"/>
                <w:u w:val="single"/>
              </w:rPr>
              <w:t xml:space="preserve"> δείκτες αναφοράς</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των εν λόγω ανοιγμάτων έναντι αντισυμβαλλομένων που εξαιρούνται από τους ευθυγραμμισμένους με τη συμφωνία του Παρισιού </w:t>
            </w:r>
            <w:proofErr w:type="spellStart"/>
            <w:r>
              <w:rPr>
                <w:rFonts w:ascii="Times New Roman" w:hAnsi="Times New Roman"/>
                <w:sz w:val="24"/>
              </w:rPr>
              <w:t>ενωσιακούς</w:t>
            </w:r>
            <w:proofErr w:type="spellEnd"/>
            <w:r>
              <w:rPr>
                <w:rFonts w:ascii="Times New Roman" w:hAnsi="Times New Roman"/>
                <w:sz w:val="24"/>
              </w:rPr>
              <w:t xml:space="preserve"> δείκτες αναφοράς, όπως ορίζεται στο άρθρο 12 παράγραφος 1 στοιχεία δ) έως ζ) και στο άρθρο 12 παράγραφος 2 του κατ’ εξουσιοδότηση κανονισμού (ΕΕ)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γ</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περιβαλλοντικά βιώσιμα (CCM)</w:t>
            </w:r>
          </w:p>
          <w:p w14:paraId="3835363F" w14:textId="77777777" w:rsidR="00183989" w:rsidRPr="00E50FA4" w:rsidRDefault="00183989" w:rsidP="00D0691F">
            <w:pPr>
              <w:spacing w:before="120" w:after="120"/>
              <w:jc w:val="both"/>
              <w:rPr>
                <w:bCs/>
                <w:noProof/>
              </w:rPr>
            </w:pPr>
            <w:r>
              <w:rPr>
                <w:rFonts w:ascii="Times New Roman" w:hAnsi="Times New Roman"/>
                <w:sz w:val="24"/>
              </w:rPr>
              <w:t>Τα ιδρύματα δημοσιοποιούν ανοίγματα που χαρακτηρίζονται ως περιβαλλοντικά βιώσιμα διότι αποτελούν χρηματοδοτικές δραστηριότητες που συμβάλλουν ή καθιστούν δυνατή την επίτευξη του περιβαλλοντικού στόχου του μετριασμού της κλιματικής αλλαγής σύμφωνα με τα άρθρα 10 και 16 του κανονισμού (ΕΕ) 2020/852, όπως δημοσιοποιούνται στο υπόδειγμα 7 του παραρτήματος XXXIX του παρόντος κανονισμού.</w:t>
            </w:r>
          </w:p>
          <w:p w14:paraId="6C6EE831" w14:textId="77777777" w:rsidR="00183989" w:rsidRPr="00E50FA4" w:rsidRDefault="00183989" w:rsidP="00D0691F">
            <w:pPr>
              <w:pStyle w:val="Fait"/>
              <w:spacing w:after="120"/>
              <w:rPr>
                <w:noProof/>
              </w:rPr>
            </w:pPr>
            <w:r>
              <w:lastRenderedPageBreak/>
              <w:t xml:space="preserve">Τα ιδρύματα αρχίζουν να δημοσιοποιούν τις εν λόγω πληροφορίες το 2024, με ημερομηνία αναφοράς πρώτης δημοσιοποίησης την 31η Δεκεμβρίου 2023, για ανοίγματα που περιλαμβάνονται στον αριθμητή του GAR. </w:t>
            </w:r>
          </w:p>
          <w:p w14:paraId="75CE7E22" w14:textId="77777777" w:rsidR="00183989" w:rsidRPr="00E50FA4" w:rsidRDefault="00183989" w:rsidP="00D0691F">
            <w:pPr>
              <w:pStyle w:val="Fait"/>
              <w:spacing w:after="120"/>
              <w:rPr>
                <w:noProof/>
              </w:rPr>
            </w:pPr>
            <w:r>
              <w:t>Τα ιδρύματα μπορούν να αρχίσουν να δημοσιοποιούν τις εν λόγω πληροφορίες το 2025, με ημερομηνία αναφοράς πρώτης δημοσιοποίησης την 31η Δεκεμβρίου 2024, για όσα ανοίγματα περιλαμβάνονται στον αριθμητή της BTAR αλλά όχι στον αριθμητή του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δ</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βαθμίδας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που εφαρμόζουν τα διεθνή πρότυπα χρηματοοικονομικής αναφοράς (ΔΠΧΑ) δημοσιοποιούν την ακαθάριστη λογιστική αξία των μέσων της «βαθμίδας 2» όπως αναφέρεται στο ΔΠΧΑ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 του Συμβουλίου</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ε</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μη εξυπηρετούμενα ανοίγματα</w:t>
            </w:r>
          </w:p>
          <w:p w14:paraId="102B58BE" w14:textId="77777777" w:rsidR="00183989" w:rsidRPr="00E50FA4" w:rsidRDefault="00183989" w:rsidP="00D0691F">
            <w:pPr>
              <w:pStyle w:val="Fait"/>
              <w:spacing w:before="0" w:after="120"/>
              <w:rPr>
                <w:b/>
                <w:noProof/>
                <w:u w:val="single"/>
              </w:rPr>
            </w:pPr>
            <w:r>
              <w:t>Τα ιδρύματα δημοσιοποιούν τα μη εξυπηρετούμενα ανοίγματα όπως ορίζονται στο άρθρο 47α παράγραφος 3 του κανονισμού (ΕΕ) αριθ.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στ</w:t>
            </w:r>
            <w:proofErr w:type="spellEnd"/>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Σωρευτική </w:t>
            </w:r>
            <w:proofErr w:type="spellStart"/>
            <w:r>
              <w:rPr>
                <w:rFonts w:ascii="Times New Roman" w:hAnsi="Times New Roman"/>
                <w:b/>
                <w:sz w:val="24"/>
                <w:u w:val="single"/>
              </w:rPr>
              <w:t>απομείωση</w:t>
            </w:r>
            <w:proofErr w:type="spellEnd"/>
            <w:r>
              <w:rPr>
                <w:rFonts w:ascii="Times New Roman" w:hAnsi="Times New Roman"/>
                <w:b/>
                <w:sz w:val="24"/>
                <w:u w:val="single"/>
              </w:rPr>
              <w:t xml:space="preserve"> αξίας, σωρευτικές αρνητικές μεταβολές εύλογης αξίας λόγω πιστωτικού κινδύνου και προβλέψεις</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τα ποσά που ορίζονται στο παράρτημα V μέρος 2 σημεία 11, 69, 70, 71, 106 και 110 του κατ’ εξουσιοδότηση κανονισμού (ΕΕ) αριθ.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ζ</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βαθμίδας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το σωρευτικό ποσό </w:t>
            </w:r>
            <w:proofErr w:type="spellStart"/>
            <w:r>
              <w:rPr>
                <w:rFonts w:ascii="Times New Roman" w:hAnsi="Times New Roman"/>
                <w:sz w:val="24"/>
              </w:rPr>
              <w:t>απομείωσης</w:t>
            </w:r>
            <w:proofErr w:type="spellEnd"/>
            <w:r>
              <w:rPr>
                <w:rFonts w:ascii="Times New Roman" w:hAnsi="Times New Roman"/>
                <w:sz w:val="24"/>
              </w:rPr>
              <w:t xml:space="preserve"> των ανοιγμάτων βαθμίδας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που εφαρμόζουν τα ΔΠΧΑ πρέπει να δημοσιοποιούν την ακαθάριστη λογιστική αξία των μέσων της «βαθμίδας 2», όπως ορίζεται στο ΔΠΧΑ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η</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μη εξυπηρετούμενα ανοίγματα</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Τα ιδρύματα δημοσιοποιούν τα μη εξυπηρετούμενα ανοίγματα όπως αναφέρεται στο άρθρο 47α παράγραφος 3 του κανονισμού (ΕΕ) αριθ.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θ</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Χρηματοδοτούμενες εκπομπές αερίων του θερμοκηπίου (εκπομπές των πεδίων εφαρμογής 1, 2 και 3 του αντισυμβαλλομένου) (σε τόνους ισοδυνάμου CO2)</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Όταν οι πληροφορίες είναι διαθέσιμες, τα ιδρύματα δημοσιοποιούν τις εκτιμήσεις των εκπομπών αερίων του θερμοκηπίου (GHG) πεδίου εφαρμογής 3 σε τόνους CO2 (TCO2) στο πλαίσιο της στήλης θ). Η δημοσιοποίηση καλύπτει όλους τους τομείς και </w:t>
            </w:r>
            <w:proofErr w:type="spellStart"/>
            <w:r>
              <w:rPr>
                <w:rFonts w:ascii="Times New Roman" w:hAnsi="Times New Roman"/>
                <w:sz w:val="24"/>
              </w:rPr>
              <w:t>υποτομείς</w:t>
            </w:r>
            <w:proofErr w:type="spellEnd"/>
            <w:r>
              <w:rPr>
                <w:rFonts w:ascii="Times New Roman" w:hAnsi="Times New Roman"/>
                <w:sz w:val="24"/>
              </w:rPr>
              <w:t xml:space="preserve"> που συμβάλλουν σημαντικά στην κλιματική </w:t>
            </w:r>
            <w:r>
              <w:rPr>
                <w:rFonts w:ascii="Times New Roman" w:hAnsi="Times New Roman"/>
                <w:sz w:val="24"/>
              </w:rPr>
              <w:lastRenderedPageBreak/>
              <w:t xml:space="preserve">αλλαγή, συμπεριλαμβανομένων των τομέων του πετρελαίου, του φυσικού αερίου, των ορυχείων και των μεταφορών, όπως ορίζεται στην αιτιολογική σκέψη 6 του κατ’ εξουσιοδότηση κανονισμού (ΕΕ) 2020/1818, που περιλαμβάνονται στις γραμμές 2 έως 52 του υποδείγματος.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Τα ιδρύματα βασίζουν την εκτίμηση των εκπομπών αερίων του θερμοκηπίου πεδίου εφαρμογής 3 στις πληροφορίες σχετικά με τις εκπομπές που συλλέγονται από τους αντισυμβαλλομένους τους και στις πληροφορίες σχετικά με τη μέση ένταση εκπομπών του τομέα. Οι μέθοδοι υπολογισμού των εκπομπών διοξειδίου του άνθρακα των εταιρειών περιλαμβάνουν το παγκόσμιο λογιστικό πρότυπο και πρότυπο χρηματοοικονομικής αναφοράς αερίων του θερμοκηπίου για τον χρηματοπιστωτικό κλάδο, το οποίο αναπτύχθηκε από την εταιρική σχέση για τον λογιστικό έλεγχο του άνθρακα</w:t>
            </w:r>
            <w:r>
              <w:rPr>
                <w:rFonts w:ascii="Times New Roman" w:hAnsi="Times New Roman"/>
                <w:sz w:val="24"/>
                <w:vertAlign w:val="superscript"/>
              </w:rPr>
              <w:t>*14</w:t>
            </w:r>
            <w:r>
              <w:rPr>
                <w:rFonts w:ascii="Times New Roman" w:hAnsi="Times New Roman"/>
                <w:sz w:val="24"/>
              </w:rPr>
              <w:t xml:space="preserve"> (PCAF, που έχει ιδιαίτερη σημασία για την ειδική ομάδα για τις χρηματοοικονομικές γνωστοποιήσεις που σχετίζονται με το κλίμα), ή το σχέδιο δημοσιοποίησης των εκπομπών άνθρακα</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Τα ιδρύματα εκτιμούν τις εκπομπές αερίων του θερμοκηπίου πεδίου εφαρμογής 3 ανά τομέα με αναλογικό τρόπο, μεταξύ άλλων λαμβάνοντας υπόψη τα ανοίγματά τους (δάνεια και προκαταβολές, χρεωστικοί τίτλοι και συμμετοχές σε μετοχικό κεφάλαιο) έναντι του αντισυμβαλλομένου σε σύγκριση με τις συνολικές υποχρεώσεις (λογιστικές υποχρεώσεις και μετοχικό κεφάλαιο των μετόχων)</w:t>
            </w:r>
            <w:bookmarkEnd w:id="10"/>
            <w:r>
              <w:rPr>
                <w:rFonts w:ascii="Times New Roman" w:hAnsi="Times New Roman"/>
                <w:sz w:val="24"/>
              </w:rPr>
              <w:t>του αντισυμβαλλομένου.</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Στο λεκτικό που συνοδεύει το υπόδειγμα, τα ιδρύματα παρέχουν λεπτομερείς επεξηγήσεις σχετικά με τις πηγές των δεδομένων που χρησιμοποιήθηκαν και τη μεθοδολογία που έχουν εφαρμόσει για την εκτίμηση των εκπομπών αερίων του θερμοκηπίου πεδίου εφαρμογής 3. Ειδικότερα, τα ιδρύματα επεξηγούν αν δημοσιοποιούν οποιοδήποτε από τα ακόλουθα:</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α)</w:t>
            </w:r>
            <w:r>
              <w:tab/>
            </w:r>
            <w:r>
              <w:rPr>
                <w:rFonts w:ascii="Times New Roman" w:hAnsi="Times New Roman"/>
                <w:sz w:val="24"/>
              </w:rPr>
              <w:t xml:space="preserve">αναφερόμενες εκπομπές (οι εκπομπές συλλέγονται απευθείας από τον δανειολήπτη ή την εταιρεία στην οποία πραγματοποιούνται επενδύσεις)·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β)</w:t>
            </w:r>
            <w:r>
              <w:tab/>
            </w:r>
            <w:r>
              <w:rPr>
                <w:rFonts w:ascii="Times New Roman" w:hAnsi="Times New Roman"/>
                <w:sz w:val="24"/>
              </w:rPr>
              <w:t xml:space="preserve">εκπομπές που βασίζονται στη φυσική δραστηριότητα (οι εκπομπές εκτιμώνται από το χρηματοπιστωτικό ίδρυμα που υποβάλλει αναφορά με βάση τα δεδομένα της πρωτογενούς φυσικής δραστηριότητας που συλλέγονται από τον δανειολήπτη ή την εταιρεία στην οποία πραγματοποιούνται επενδύσεις)·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γ)</w:t>
            </w:r>
            <w:r>
              <w:tab/>
            </w:r>
            <w:r>
              <w:rPr>
                <w:rFonts w:ascii="Times New Roman" w:hAnsi="Times New Roman"/>
                <w:sz w:val="24"/>
              </w:rPr>
              <w:t>εκπομπές που βασίζονται στην οικονομική δραστηριότητα (οι εκπομπές εκτιμώνται από το χρηματοπιστωτικό ίδρυμα που υποβάλλει αναφορά με βάση τα δεδομένα της οικονομικής δραστηριότητας που συλλέγονται από τον δανειολήπτη ή την εταιρεία στην οποία πραγματοποιούνται επενδύσεις).</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 xml:space="preserve">Όταν τα ιδρύματα δεν εκτιμούν ακόμη τις εκπομπές αερίων του θερμοκηπίου των αντισυμβαλλομένων τους που συνδέονται με τις χρηματοδοτικές τους δραστηριότητες, συμπεριλαμβανομένων των δανειοδοτικών και επενδυτικών δραστηριοτήτων τους, δημοσιοποιούν πληροφορίες σχετικά με τα σχέδιά τους να εφαρμόσουν μεθόδους για την εκτίμηση των εν λόγω πληροφοριών. Τα ιδρύματα δημοσιοποιούν τις πληροφορίες στις στήλες θ), ι) και </w:t>
            </w:r>
            <w:proofErr w:type="spellStart"/>
            <w:r>
              <w:rPr>
                <w:rFonts w:ascii="Times New Roman" w:hAnsi="Times New Roman"/>
                <w:sz w:val="24"/>
              </w:rPr>
              <w:t>ια</w:t>
            </w:r>
            <w:proofErr w:type="spellEnd"/>
            <w:r>
              <w:rPr>
                <w:rFonts w:ascii="Times New Roman" w:hAnsi="Times New Roman"/>
                <w:sz w:val="24"/>
              </w:rPr>
              <w:t>) του υποδείγματος με ημερομηνία αναφοράς πρώτης δημοσιοποίησης την 30ή Ιουνίου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Τα ιδρύματα μπορούν να αποφασίσουν να αρχίσουν να δημοσιοποιούν τις πληροφορίες αυτές νωρίτερα, δηλαδή με ημερομηνία αναφοράς πρώτης δημοσιοποίησης την 31η Δεκεμβρίου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ι</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χρηματοδοτούμενες εκπομπές αερίων του θερμοκηπίου του πεδίου εφαρμογής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τις εκπομπές αερίων του θερμοκηπίου πεδίου εφαρμογής 3 των αντισυμβαλλομένων τους που συνδέονται με τις δανειοδοτικές και επενδυτικές δραστηριότητες των ιδρυμάτων. Όταν τα ιδρύματα δεν έχουν εκτιμήσει ακόμη τις οικείες εκπομπές αερίων του θερμοκηπίου του πεδίου εφαρμογής 3, αφήνουν κενή τη στήλη ι) και, στο περιγραφικό μέρος που συνοδεύει το υπόδειγμα, δημοσιοποιούν τα σχέδιά τους για την εφαρμογή μεθόδων εκτίμησης και δημοσιοποίησης των εν λόγω πληροφοριών.</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Τα ιδρύματα δημοσιοποιούν τις εκπομπές αερίων του θερμοκηπίου του πεδίου εφαρμογής 3 με τη βέλτιστη δυνατή προσπάθεια, καλύπτοντας τους σημαντικότερους τομείς σύμφωνα με την προσέγγιση PCAF και την προσέγγιση σταδιακής εφαρμογής των δεδομένων για τις εκπομπές αερίων του θερμοκηπίου πεδίου εφαρμογής 3 που περιλαμβάνονται στο άρθρο 5 του κατ’ εξουσιοδότηση κανονισμού (ΕΕ)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Τα ιδρύματα δημοσιοποιούν πληροφορίες σχετικά με τις εκπομπές αερίων του θερμοκηπίου του πεδίου εφαρμογής 3 του αντισυμβαλλομένου για όλους τους τομείς που περιλαμβάνονται στο υπόδειγμα με πρώτη ημερομηνία αναφοράς την 30ή Ιουνίου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Για τους τομείς στους οποίους υπάρχουν δεδομένα και μεθοδολογικές προκλήσεις, τα ιδρύματα ακολουθούν το πρωτόκολλο για τις εκπομπές αερίων του θερμοκηπίου και τα 15 στάδιά του, τόσο </w:t>
            </w:r>
            <w:proofErr w:type="spellStart"/>
            <w:r>
              <w:rPr>
                <w:rFonts w:ascii="Times New Roman" w:hAnsi="Times New Roman"/>
                <w:color w:val="auto"/>
                <w:sz w:val="24"/>
              </w:rPr>
              <w:t>ανάντη</w:t>
            </w:r>
            <w:proofErr w:type="spellEnd"/>
            <w:r>
              <w:rPr>
                <w:rFonts w:ascii="Times New Roman" w:hAnsi="Times New Roman"/>
                <w:color w:val="auto"/>
                <w:sz w:val="24"/>
              </w:rPr>
              <w:t xml:space="preserve"> όσο και </w:t>
            </w:r>
            <w:proofErr w:type="spellStart"/>
            <w:r>
              <w:rPr>
                <w:rFonts w:ascii="Times New Roman" w:hAnsi="Times New Roman"/>
                <w:color w:val="auto"/>
                <w:sz w:val="24"/>
              </w:rPr>
              <w:t>κατάντη</w:t>
            </w:r>
            <w:proofErr w:type="spellEnd"/>
            <w:r>
              <w:rPr>
                <w:rFonts w:ascii="Times New Roman" w:hAnsi="Times New Roman"/>
                <w:color w:val="auto"/>
                <w:sz w:val="24"/>
              </w:rPr>
              <w:t>.</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Σύμφωνα με την καθοδήγηση της ειδικής ομάδας για τις χρηματοοικονομικές γνωστοποιήσεις που σχετίζονται με το κλίμα όσον αφορά τους δείκτες μέτρησης και τους στόχους, τα ιδρύματα είναι διαφανή όσον αφορά τις προκλήσεις που αντιμετωπίζουν στη συλλογή πληροφοριών αυτού του είδους και την αποφυγή διπλής καταμέτρησης στο μέτρο του δυνατού.</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Τα ιδρύματα αρχίζουν να δημοσιοποιούν πληροφορίες στη στήλη ι) του υποδείγματος με ημερομηνία αναφοράς πρώτης δημοσιοποίησης την 30ή Ιουνίου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Τα ιδρύματα μπορούν να αποφασίσουν να αρχίσουν να δημοσιοποιούν τις πληροφορίες αυτές νωρίτερα, δηλαδή με ημερομηνία αναφοράς πρώτης δημοσιοποίησης την 31η Δεκεμβρίου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ια</w:t>
            </w:r>
            <w:proofErr w:type="spellEnd"/>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Εκπομπές αερίων του θερμοκηπίου [στήλη θ)]: ποσοστό ακαθάριστης λογιστικής αξίας του χαρτοφυλακίου που προκύπτει από την υποβολή στοιχείων ανά εταιρεία</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αναφέρουν το ποσοστό του χαρτοφυλακίου (ακαθάριστη λογιστική αξία των ανοιγμάτων) για το οποίο ήταν σε θέση να εκτιμήσουν τις εκπομπές αερίων του θερμοκηπίου πεδίου εφαρμογής 1, 2 και 3 των αντισυμβαλλομένων τους που συνδέονται με δανειοδοτικές και επενδυτικές δραστηριότητες των ιδρυμάτων βάσει πληροφοριών που δημοσιοποιούν οι αντισυμβαλλόμενοί τους ή που αναφέρονται στο ίδρυμα σε διμερή βάση.</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ιβ</w:t>
            </w:r>
            <w:proofErr w:type="spellEnd"/>
            <w:r>
              <w:rPr>
                <w:rFonts w:ascii="Times New Roman" w:hAnsi="Times New Roman"/>
                <w:sz w:val="24"/>
              </w:rPr>
              <w:t xml:space="preserve">) – </w:t>
            </w:r>
            <w:proofErr w:type="spellStart"/>
            <w:r>
              <w:rPr>
                <w:rFonts w:ascii="Times New Roman" w:hAnsi="Times New Roman"/>
                <w:sz w:val="24"/>
              </w:rPr>
              <w:t>ιστ</w:t>
            </w:r>
            <w:proofErr w:type="spellEnd"/>
            <w:r>
              <w:rPr>
                <w:rFonts w:ascii="Times New Roman" w:hAnsi="Times New Roman"/>
                <w:sz w:val="24"/>
              </w:rPr>
              <w:t>)</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 xml:space="preserve">&lt;= 5 έτη· &gt; 5 έτη &lt;= 10 έτη· &gt; 10 έτη &lt;= 20 έτη· &gt; 20 έτη· Μέση σταθμισμένη </w:t>
            </w:r>
            <w:proofErr w:type="spellStart"/>
            <w:r>
              <w:rPr>
                <w:rFonts w:ascii="Times New Roman" w:hAnsi="Times New Roman"/>
                <w:b/>
                <w:sz w:val="24"/>
              </w:rPr>
              <w:t>ληκτότητα</w:t>
            </w:r>
            <w:proofErr w:type="spellEnd"/>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Τα ιδρύματα κατανέμουν τα ανοίγματα στο σχετικό κλιμάκιο ανάλογα με την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του χρηματοοικονομικού μέσου, λαμβάνοντας υπόψη τα ακόλουθα:</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 xml:space="preserve">α) όταν το ποσό αποπληρώνεται σε δόσεις, το άνοιγμα κατανέμεται στο κλιμάκιο </w:t>
            </w:r>
            <w:proofErr w:type="spellStart"/>
            <w:r>
              <w:rPr>
                <w:rFonts w:ascii="Times New Roman" w:hAnsi="Times New Roman"/>
                <w:sz w:val="24"/>
              </w:rPr>
              <w:t>ληκτότητας</w:t>
            </w:r>
            <w:proofErr w:type="spellEnd"/>
            <w:r>
              <w:rPr>
                <w:rFonts w:ascii="Times New Roman" w:hAnsi="Times New Roman"/>
                <w:sz w:val="24"/>
              </w:rPr>
              <w:t xml:space="preserve"> που αντιστοιχεί στην τελευταία δόση·</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 xml:space="preserve">β) όταν ένα άνοιγμα δεν έχει προσδιορισθείσα </w:t>
            </w:r>
            <w:proofErr w:type="spellStart"/>
            <w:r>
              <w:rPr>
                <w:rFonts w:ascii="Times New Roman" w:hAnsi="Times New Roman"/>
                <w:sz w:val="24"/>
              </w:rPr>
              <w:t>ληκτότητα</w:t>
            </w:r>
            <w:proofErr w:type="spellEnd"/>
            <w:r>
              <w:rPr>
                <w:rFonts w:ascii="Times New Roman" w:hAnsi="Times New Roman"/>
                <w:sz w:val="24"/>
              </w:rPr>
              <w:t xml:space="preserve"> για λόγους διαφορετικούς από το ότι ο αντισυμβαλλόμενος έχει την επιλογή της ημερομηνίας αποπληρωμής ή στην περίπτωση συμμετοχών σε μετοχικό κεφάλαιο, το ποσό του εν λόγω ανοίγματος δημοσιοποιείται στο κλιμάκιο της μεγαλύτερης </w:t>
            </w:r>
            <w:proofErr w:type="spellStart"/>
            <w:r>
              <w:rPr>
                <w:rFonts w:ascii="Times New Roman" w:hAnsi="Times New Roman"/>
                <w:sz w:val="24"/>
              </w:rPr>
              <w:t>ληκτότητας</w:t>
            </w:r>
            <w:proofErr w:type="spellEnd"/>
            <w:r>
              <w:rPr>
                <w:rFonts w:ascii="Times New Roman" w:hAnsi="Times New Roman"/>
                <w:sz w:val="24"/>
              </w:rPr>
              <w:t xml:space="preserve"> «&gt; 20 έτη».</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 xml:space="preserve">γ) για τον υπολογισμό της μέσης </w:t>
            </w:r>
            <w:proofErr w:type="spellStart"/>
            <w:r>
              <w:rPr>
                <w:rFonts w:ascii="Times New Roman" w:hAnsi="Times New Roman"/>
                <w:sz w:val="24"/>
              </w:rPr>
              <w:t>ληκτότητας</w:t>
            </w:r>
            <w:proofErr w:type="spellEnd"/>
            <w:r>
              <w:rPr>
                <w:rFonts w:ascii="Times New Roman" w:hAnsi="Times New Roman"/>
                <w:sz w:val="24"/>
              </w:rPr>
              <w:t xml:space="preserve"> των ανοιγμάτων, τα ιδρύματα σταθμίζουν τη </w:t>
            </w:r>
            <w:proofErr w:type="spellStart"/>
            <w:r>
              <w:rPr>
                <w:rFonts w:ascii="Times New Roman" w:hAnsi="Times New Roman"/>
                <w:sz w:val="24"/>
              </w:rPr>
              <w:t>ληκτότητα</w:t>
            </w:r>
            <w:proofErr w:type="spellEnd"/>
            <w:r>
              <w:rPr>
                <w:rFonts w:ascii="Times New Roman" w:hAnsi="Times New Roman"/>
                <w:sz w:val="24"/>
              </w:rPr>
              <w:t xml:space="preserve"> κάθε ανοίγματος με την ακαθάριστη λογιστική αξία των ανοιγμάτων.</w:t>
            </w:r>
          </w:p>
        </w:tc>
      </w:tr>
    </w:tbl>
    <w:p w14:paraId="386F8D8E" w14:textId="77777777" w:rsidR="00183989" w:rsidRPr="002827F5"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 xml:space="preserve">Υπόδειγμα 2: Τραπεζικό χαρτοφυλάκιο — Δείκτες πιθανού κινδύνου μετάβασης στην κλιματική αλλαγή: Δάνεια εξασφαλισμένα με ακίνητη περιουσία — Ενεργειακή απόδοση της εξασφάλισης. Σταθερός </w:t>
      </w:r>
      <w:proofErr w:type="spellStart"/>
      <w:r>
        <w:rPr>
          <w:rFonts w:ascii="Times New Roman" w:hAnsi="Times New Roman"/>
          <w:b/>
          <w:sz w:val="24"/>
        </w:rPr>
        <w:t>μορφότυπος</w:t>
      </w:r>
      <w:proofErr w:type="spellEnd"/>
      <w:r>
        <w:rPr>
          <w:rFonts w:ascii="Times New Roman" w:hAnsi="Times New Roman"/>
          <w:b/>
          <w:sz w:val="24"/>
        </w:rPr>
        <w:t>.</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Τα ιδρύματα χρησιμοποιούν τις ακόλουθες οδηγίες για να δημοσιοποιούν τις πληροφορίες που απαιτούνται στο «Υπόδειγμα 2: Τραπεζικό χαρτοφυλάκιο — Δείκτες πιθανού κινδύνου μετάβασης στην κλιματική αλλαγή: Δάνεια εξασφαλισμένα με ακίνητη περιουσία — Ενεργειακή απόδοση της εξασφάλισης», όπως ορίζεται στο παράρτημα XXXIX του παρόντος κανονισμού.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Η οδηγία 2010/31/ΕΕ του Ευρωπαϊκού Κοινοβουλίου και του Συμβουλίου</w:t>
      </w:r>
      <w:r>
        <w:rPr>
          <w:rStyle w:val="FootnoteReference"/>
        </w:rPr>
        <w:t>*</w:t>
      </w:r>
      <w:r>
        <w:rPr>
          <w:rFonts w:ascii="Times New Roman" w:hAnsi="Times New Roman"/>
          <w:sz w:val="24"/>
          <w:vertAlign w:val="superscript"/>
        </w:rPr>
        <w:t>16</w:t>
      </w:r>
      <w:r>
        <w:rPr>
          <w:rFonts w:ascii="Times New Roman" w:hAnsi="Times New Roman"/>
          <w:sz w:val="24"/>
        </w:rPr>
        <w:t xml:space="preserve"> και η οδηγία 2012/27/ΕΕ του Ευρωπαϊκού Κοινοβουλίου και του Συμβουλίου</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προωθούν πολιτικές που αποσκοπούν στην επίτευξη ενός κτιριακού αποθέματος υψηλής ενεργειακής απόδοσης και απαλλαγμένου από ανθρακούχες εκπομπές έως το 2050. Με την οδηγία 2010/31/ΕΕ θεσπίστηκαν τα πιστοποιητικά ενεργειακής απόδοσης (ΠΕΑ) ως μέσα για τη βελτίωση της ενεργειακής απόδοσης των κτιρίων. Τα πιστοποιητικά αυτά αναφέρονται ως πιστοποιητικό αναγνωρισμένο από κράτος μέλος ή νομικό πρόσωπο ορισθέν από αυτό, το οποίο αναφέρει την ενεργειακή απόδοση ενός κτιρίου ή κτιριακής μονάδας, η οποία υπολογίζεται σύμφωνα με την εν λόγω οδηγία.</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Στο παρόν υπόδειγμα παρουσιάζεται η ακαθάριστη λογιστική αξία, όπως αναφέρεται στο παράρτημα V μέρος 1 του εκτελεστικού κανονισμού (ΕΕ) 2021/451, των δανείων που εξασφαλίζονται με εμπορικά ακίνητα και κατοικίες και των ανακτηθεισών εξασφαλίσεων επί ακινήτων, συμπεριλαμβανομένων των πληροφοριών σχετικά με το επίπεδο ενεργειακής απόδοσης των εξασφαλίσεων που </w:t>
      </w:r>
      <w:proofErr w:type="spellStart"/>
      <w:r>
        <w:rPr>
          <w:rFonts w:ascii="Times New Roman" w:hAnsi="Times New Roman"/>
          <w:sz w:val="24"/>
        </w:rPr>
        <w:t>μετρώνται</w:t>
      </w:r>
      <w:proofErr w:type="spellEnd"/>
      <w:r>
        <w:rPr>
          <w:rFonts w:ascii="Times New Roman" w:hAnsi="Times New Roman"/>
          <w:sz w:val="24"/>
        </w:rPr>
        <w:t xml:space="preserve"> ως κατανάλωση ενέργειας σε </w:t>
      </w:r>
      <w:proofErr w:type="spellStart"/>
      <w:r>
        <w:rPr>
          <w:rFonts w:ascii="Times New Roman" w:hAnsi="Times New Roman"/>
          <w:sz w:val="24"/>
        </w:rPr>
        <w:t>kWh</w:t>
      </w:r>
      <w:proofErr w:type="spellEnd"/>
      <w:r>
        <w:rPr>
          <w:rFonts w:ascii="Times New Roman" w:hAnsi="Times New Roman"/>
          <w:sz w:val="24"/>
        </w:rPr>
        <w:t xml:space="preserve">/m² [στήλες β) έως ζ) του υποδείγματος], όσον αφορά το σήμα του πιστοποιητικού ενεργειακής απόδοσης (ΠΕΑ) της εξασφάλισης, όπως αναφέρεται στο άρθρο 2 σημείο 12) της οδηγίας 2010/31/ΕΕ για τα κράτη μέλη, ή όπως ορίζεται σε σχετικό τοπικό κανονισμό για τα ανοίγματα εκτός της Ένωσης, όπου υπάρχει χαρτογράφηση με το σήμα ΠΕΑ της Ένωσης [στήλες η) έως </w:t>
      </w:r>
      <w:proofErr w:type="spellStart"/>
      <w:r>
        <w:rPr>
          <w:rFonts w:ascii="Times New Roman" w:hAnsi="Times New Roman"/>
          <w:sz w:val="24"/>
        </w:rPr>
        <w:t>ιδ</w:t>
      </w:r>
      <w:proofErr w:type="spellEnd"/>
      <w:r>
        <w:rPr>
          <w:rFonts w:ascii="Times New Roman" w:hAnsi="Times New Roman"/>
          <w:sz w:val="24"/>
        </w:rPr>
        <w:t xml:space="preserve">)].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 xml:space="preserve">Ειδικότερα, στις στήλες β) έως ζ), τα ιδρύματα δημοσιοποιούν την ακαθάριστη λογιστική αξία των ανοιγμάτων ανά κλιμάκια ενεργειακής απόδοσης με βάση την ειδική κατανάλωση ενέργειας της εξασφάλισης σε </w:t>
      </w:r>
      <w:proofErr w:type="spellStart"/>
      <w:r>
        <w:rPr>
          <w:rFonts w:ascii="Times New Roman" w:hAnsi="Times New Roman"/>
          <w:sz w:val="24"/>
        </w:rPr>
        <w:t>kWh</w:t>
      </w:r>
      <w:proofErr w:type="spellEnd"/>
      <w:r>
        <w:rPr>
          <w:rFonts w:ascii="Times New Roman" w:hAnsi="Times New Roman"/>
          <w:sz w:val="24"/>
        </w:rPr>
        <w:t>/m</w:t>
      </w:r>
      <w:r>
        <w:rPr>
          <w:rFonts w:ascii="Times New Roman" w:hAnsi="Times New Roman"/>
          <w:sz w:val="24"/>
          <w:vertAlign w:val="superscript"/>
        </w:rPr>
        <w:t>2</w:t>
      </w:r>
      <w:r>
        <w:rPr>
          <w:rFonts w:ascii="Times New Roman" w:hAnsi="Times New Roman"/>
          <w:sz w:val="24"/>
        </w:rPr>
        <w:t xml:space="preserve">, όπως αναφέρεται στο σήμα ΠΕΑ της εξασφάλισης ή εκτιμάται από τα ιδρύματα ελλείψει του σήματος ΠΕΑ. Τα ιδρύματα αναφέρουν στις γραμμές 5 και 10 του υποδείγματος τον βαθμό στον οποίο τα εν λόγω δεδομένα εκτιμώνται και δεν βασίζονται σε σήματα ΠΕΑ. Στις στήλες η) έως </w:t>
      </w:r>
      <w:proofErr w:type="spellStart"/>
      <w:r>
        <w:rPr>
          <w:rFonts w:ascii="Times New Roman" w:hAnsi="Times New Roman"/>
          <w:sz w:val="24"/>
        </w:rPr>
        <w:t>ιδ</w:t>
      </w:r>
      <w:proofErr w:type="spellEnd"/>
      <w:r>
        <w:rPr>
          <w:rFonts w:ascii="Times New Roman" w:hAnsi="Times New Roman"/>
          <w:sz w:val="24"/>
        </w:rPr>
        <w:t xml:space="preserve">), τα ιδρύματα δημοσιοποιούν την ακαθάριστη λογιστική αξία των ανοιγμάτων που ομαδοποιούνται ανά σήμα ΠΕΑ της εξασφάλισης για τις εν λόγω εξασφαλίσεις όταν το ΠΕΑ είναι διαθέσιμο στο ίδρυμα.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Κατά τη δημοσιοποίηση της κατανομής ΠΕΑ των εξασφαλίσεων, τα ιδρύματα δημοσιοποιούν χωριστά, στη στήλη </w:t>
      </w:r>
      <w:proofErr w:type="spellStart"/>
      <w:r>
        <w:rPr>
          <w:rFonts w:ascii="Times New Roman" w:hAnsi="Times New Roman"/>
          <w:sz w:val="24"/>
        </w:rPr>
        <w:t>ιε</w:t>
      </w:r>
      <w:proofErr w:type="spellEnd"/>
      <w:r>
        <w:rPr>
          <w:rFonts w:ascii="Times New Roman" w:hAnsi="Times New Roman"/>
          <w:sz w:val="24"/>
        </w:rPr>
        <w:t>), τα ανοίγματα για τα οποία δεν διαθέτουν τις πληροφορίες ΠΕΑ της εξασφάλισης. Όταν τα ιδρύματα δεν διαθέτουν πληροφορίες για το ΠΕΑ, αλλά χρησιμοποιούν εσωτερικούς υπολογισμούς για την εκτίμηση της ενεργειακής απόδοσης της εξασφάλισης, τα ιδρύματα πρέπει να δημοσιοποιούν το ποσοστό των ανοιγμάτων χωρίς το σήμα ΠΕΑ της εξασφάλισης για το οποίο παρέχουν εκτιμήσεις (το ποσοστό πρέπει να υπολογίζεται με βάση την ακαθάριστη λογιστική αξία των ανοιγμάτων). Τα ιδρύματα δημοσιοποιούν τις συνολικές ακαθάριστες λογιστικές αξίες ανά επίπεδο κατανάλωσης ενέργειας και ανά σήμα ΠΕΑ, με ανάλυση ανά τοποθεσία (</w:t>
      </w:r>
      <w:proofErr w:type="spellStart"/>
      <w:r>
        <w:rPr>
          <w:rFonts w:ascii="Times New Roman" w:hAnsi="Times New Roman"/>
          <w:sz w:val="24"/>
        </w:rPr>
        <w:t>ενωσιακή</w:t>
      </w:r>
      <w:proofErr w:type="spellEnd"/>
      <w:r>
        <w:rPr>
          <w:rFonts w:ascii="Times New Roman" w:hAnsi="Times New Roman"/>
          <w:sz w:val="24"/>
        </w:rPr>
        <w:t xml:space="preserve"> έναντι μη </w:t>
      </w:r>
      <w:proofErr w:type="spellStart"/>
      <w:r>
        <w:rPr>
          <w:rFonts w:ascii="Times New Roman" w:hAnsi="Times New Roman"/>
          <w:sz w:val="24"/>
        </w:rPr>
        <w:t>ενωσιακής</w:t>
      </w:r>
      <w:proofErr w:type="spellEnd"/>
      <w:r>
        <w:rPr>
          <w:rFonts w:ascii="Times New Roman" w:hAnsi="Times New Roman"/>
          <w:sz w:val="24"/>
        </w:rPr>
        <w:t xml:space="preserve"> έκτασης) με διάκριση μεταξύ δανείων εξασφαλισμένων με εμπορικά ακίνητα, δανείων εξασφαλισμένων με ακίνητα κατοικίας και εξασφαλίσεων που λαμβάνονται με την απόκτηση κατοχής.</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Στην περίπτωση ανοιγμάτων σε οντότητες εγκατεστημένες σε τρίτες χώρες όπου δεν υπάρχει ισοδύναμο σήμα ΠΕΑ, τα ιδρύματα αφήνουν κενές τις στήλες η) έως </w:t>
      </w:r>
      <w:proofErr w:type="spellStart"/>
      <w:r>
        <w:rPr>
          <w:rFonts w:ascii="Times New Roman" w:hAnsi="Times New Roman"/>
          <w:sz w:val="24"/>
        </w:rPr>
        <w:t>ιδ</w:t>
      </w:r>
      <w:proofErr w:type="spellEnd"/>
      <w:r>
        <w:rPr>
          <w:rFonts w:ascii="Times New Roman" w:hAnsi="Times New Roman"/>
          <w:sz w:val="24"/>
        </w:rPr>
        <w:t>). Ωστόσο, τα ιδρύματα δημοσιοποιούν τις πληροφορίες που απαιτούνται στις στήλες </w:t>
      </w:r>
      <w:proofErr w:type="spellStart"/>
      <w:r>
        <w:rPr>
          <w:rFonts w:ascii="Times New Roman" w:hAnsi="Times New Roman"/>
          <w:sz w:val="24"/>
        </w:rPr>
        <w:t>ιε</w:t>
      </w:r>
      <w:proofErr w:type="spellEnd"/>
      <w:r>
        <w:rPr>
          <w:rFonts w:ascii="Times New Roman" w:hAnsi="Times New Roman"/>
          <w:sz w:val="24"/>
        </w:rPr>
        <w:t xml:space="preserve">) και </w:t>
      </w:r>
      <w:proofErr w:type="spellStart"/>
      <w:r>
        <w:rPr>
          <w:rFonts w:ascii="Times New Roman" w:hAnsi="Times New Roman"/>
          <w:sz w:val="24"/>
        </w:rPr>
        <w:t>ιστ</w:t>
      </w:r>
      <w:proofErr w:type="spellEnd"/>
      <w:r>
        <w:rPr>
          <w:rFonts w:ascii="Times New Roman" w:hAnsi="Times New Roman"/>
          <w:sz w:val="24"/>
        </w:rPr>
        <w:t>) και, κατά περίπτωση, στις στήλες β) έως ζ) συμπληρώνοντας δεδομένα εκτίμησης.</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Για τα ανοίγματα που συνδέονται με περισσότερες από μία εξασφαλίσεις, όπως δύο ακίνητα, οι πληροφορίες για την ενεργειακή απόδοση των ακινήτων που συνδέονται με το άνοιγμα διαχωρίζονται και δημοσιοποιούνται χωριστά στα επίπεδα ενεργειακής απόδοσης [τόσο για την τιμή </w:t>
      </w:r>
      <w:proofErr w:type="spellStart"/>
      <w:r>
        <w:rPr>
          <w:rFonts w:ascii="Times New Roman" w:hAnsi="Times New Roman"/>
          <w:sz w:val="24"/>
        </w:rPr>
        <w:t>Kwh</w:t>
      </w:r>
      <w:proofErr w:type="spellEnd"/>
      <w:r>
        <w:rPr>
          <w:rFonts w:ascii="Times New Roman" w:hAnsi="Times New Roman"/>
          <w:sz w:val="24"/>
        </w:rPr>
        <w:t xml:space="preserve">/m2 της εξασφάλισης, στήλες β) έως ζ), όσο και για το σήμα ΠΕΑ, στήλες η) έως </w:t>
      </w:r>
      <w:proofErr w:type="spellStart"/>
      <w:r>
        <w:rPr>
          <w:rFonts w:ascii="Times New Roman" w:hAnsi="Times New Roman"/>
          <w:sz w:val="24"/>
        </w:rPr>
        <w:t>ιδ</w:t>
      </w:r>
      <w:proofErr w:type="spellEnd"/>
      <w:r>
        <w:rPr>
          <w:rFonts w:ascii="Times New Roman" w:hAnsi="Times New Roman"/>
          <w:sz w:val="24"/>
        </w:rPr>
        <w:t xml:space="preserve">) που αντιστοιχούν στην ενεργειακή απόδοση κάθε εξασφάλισης]. Ειδικότερα, τα ιδρύματα υπολογίζουν το μερίδιο κάθε εξασφάλισης στην ακαθάριστη λογιστική αξία του ανοίγματος με βάση την αξία της εξασφάλισης και το δημοσιοποιούν στο πλαίσιο του κλιμακίου ενεργειακής απόδοσης που συνδέεται με κάθε εξασφάλιση. Για παράδειγμα, το ίδρυμα έχει δάνειο με ακαθάριστη λογιστική αξία 100 000 EUR εξασφαλισμένο με δύο ακίνητα: το ακίνητο Α και το ακίνητο Β. Το ακίνητο Α έχει αξία εξασφάλισης 80 000 EUR και σήμα ΠΕΑ Α, ενώ το ακίνητο Β έχει αξία εξασφάλισης 70 000 EUR και σήμα ΠΕΑ Δ. Σε αυτό το παράδειγμα, τα ιδρύματα θα πρέπει να δημοσιοποιούν 53 333 EUR (δηλαδή, 100 000 EUR * [80 000 / (80 000 + 70 000)] με σήμα ΠΕΑ A και 46 667 EUR (δηλαδή, 100 000 EUR * [70 000 / (80 000 + 70 000)] με σήμα ΠΕΑ Δ, που αντιστοιχούν αμφότερα στο συγκεκριμένο δάνειο.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Υπόδειγμα 3: Τραπεζικό χαρτοφυλάκιο — Δείκτες πιθανού κινδύνου μετάβασης στην κλιματική αλλαγή: Δείκτες μέτρησης ευθυγράμμισης.</w:t>
      </w:r>
      <w:r>
        <w:rPr>
          <w:rFonts w:ascii="Times New Roman" w:hAnsi="Times New Roman"/>
          <w:sz w:val="24"/>
        </w:rPr>
        <w:t xml:space="preserve"> Ευέλικτος </w:t>
      </w:r>
      <w:proofErr w:type="spellStart"/>
      <w:r>
        <w:rPr>
          <w:rFonts w:ascii="Times New Roman" w:hAnsi="Times New Roman"/>
          <w:sz w:val="24"/>
        </w:rPr>
        <w:t>μορφότυπος</w:t>
      </w:r>
      <w:proofErr w:type="spellEnd"/>
      <w:r>
        <w:rPr>
          <w:rFonts w:ascii="Times New Roman" w:hAnsi="Times New Roman"/>
          <w:sz w:val="24"/>
        </w:rPr>
        <w:t xml:space="preserve"> (σταθερές στήλες, ευέλικτες σειρές).</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Τα ιδρύματα χρησιμοποιούν τις ακόλουθες οδηγίες για να δημοσιοποιούν τις πληροφορίες που απαιτούνται στο «Υπόδειγμα 3: Τραπεζικό χαρτοφυλάκιο — Δείκτες πιθανού κινδύνου μετάβασης στην κλιματική αλλαγή: Δείκτες μέτρησης ευθυγράμμισης», όπως ορίζεται στο παράρτημα XXXIX του παρόντος κανονισμού.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Τα ιδρύματα δημοσιοποιούν στο παρόν υπόδειγμα πληροφορίες σχετικά με τις προσπάθειες ευθυγράμμισής τους με τους στόχους της συμφωνίας του Παρισιού για επιλεγμένο αριθμό τομέων. Οι δημοσιοποιήσεις σχετικά με την ευθυγράμμιση αποτυπώνουν τον βαθμό στον οποίο οι χρηματοοικονομικές ροές συνάδουν με την πορεία προς τις χαμηλές εκπομπές αερίων του θερμοκηπίου και την ανθεκτική στην κλιματική αλλαγή ανάπτυξη, όπως αναφέρεται στη συμφωνία του Παρισιού. Το οικονομικό σενάριο που περιγράφει την εν λόγω πορεία απαλλαγής από τις ανθρακούχες εκπομπές είναι το σενάριο του Διεθνούς Οργανισμού Ενέργειας (ΔΟΕ) για επίτευξη μηδενικών καθαρών εκπομπών διοξειδίου του άνθρακα έως το 2050 (NZE2050)</w:t>
      </w:r>
      <w:r>
        <w:rPr>
          <w:rFonts w:ascii="Times New Roman" w:hAnsi="Times New Roman"/>
          <w:sz w:val="24"/>
          <w:vertAlign w:val="superscript"/>
        </w:rPr>
        <w:t>*18</w:t>
      </w:r>
      <w:r>
        <w:rPr>
          <w:rFonts w:ascii="Times New Roman" w:hAnsi="Times New Roman"/>
          <w:sz w:val="24"/>
        </w:rPr>
        <w:t xml:space="preserve">. Τα ιδρύματα λαμβάνουν υπόψη το εν λόγω σενάριο. Δεδομένου ότι ο ΔΟΕ παρέχει σενάρια σε παγκόσμιο επίπεδο και ορισμένους ειδικούς δείκτες μέτρησης σε ευρωπαϊκό επίπεδο, τα ιδρύματα πρέπει να μετρούν την απόσταση από τα κριτήρια αναφοράς των σεναρίων του ΔΟΕ σε παγκόσμιο επίπεδο και, όπου διατίθενται ειδικοί δείκτες μέτρησης σε ευρωπαϊκό επίπεδο, σε ευρωπαϊκό επίπεδο.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που εκτιμούν ήδη τις πληροφορίες σχετικά με την τομεακή ευθυγράμμισή τους με τη συμφωνία του Παρισιού δημοσιοποιούν τις πληροφορίες στο παρόν υπόδειγμα. Τα ιδρύματα επεξηγούν στο λεκτικό που συνοδεύει το υπόδειγμα τη μέθοδο που χρησιμοποιείται και την πηγή των δεδομένων. Τα ιδρύματα που δεν εκτιμούν ακόμη την τομεακή τους ευθυγράμμιση δημοσιοποιούν πληροφορίες σχετικά με τα σχέδιά τους για την εφαρμογή μεθόδου εκτίμησης και δημοσιοποίησης των εν λόγω πληροφοριών. Σε κάθε περίπτωση, τα ιδρύματα αρχίζουν να δημοσιοποιούν τις πληροφορίες που περιλαμβάνονται στο παρόν υπόδειγμα με ημερομηνία αναφοράς πρώτης δημοσιοποίησης την 30ή Ιουνίου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δημοσιοποιούν στο παρόν υπόδειγμα:</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Στήλες α) και β): οι στήλες αυτές περιλαμβάνουν στη στήλη α) τους τομείς (τομείς ΔΟΕ), όπου στις σειρές 1-8 παρατίθεται το υποχρεωτικό ελάχιστο σύνολο τομέων, και τους </w:t>
      </w:r>
      <w:proofErr w:type="spellStart"/>
      <w:r>
        <w:rPr>
          <w:rFonts w:ascii="Times New Roman" w:hAnsi="Times New Roman"/>
          <w:sz w:val="24"/>
        </w:rPr>
        <w:t>υποτομείς</w:t>
      </w:r>
      <w:proofErr w:type="spellEnd"/>
      <w:r>
        <w:rPr>
          <w:rFonts w:ascii="Times New Roman" w:hAnsi="Times New Roman"/>
          <w:sz w:val="24"/>
        </w:rPr>
        <w:t xml:space="preserve"> [τομείς NACE στη στήλη β) σύμφωνα με τον ελάχιστο «κατάλογο των τομέων NACE που πρέπει να λαμβάνονται υπόψη», όπως αναφέρεται στο υπόδειγμα).</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Όταν ο αντισυμβαλλόμενος του ιδρύματος είναι εταιρεία συμμετοχών, τα ιδρύματα λαμβάνουν υπόψη τον τομέα NACE του συγκεκριμένου οφειλέτη που ελέγχεται από την εταιρεία συμμετοχών (εάν είναι διαφορετικός από την εταιρεία συμμετοχών) και λαμβάνει τη χρηματοδότηση, και όχι τον τομέα της εταιρείας συμμετοχών, ιδίως στις περιπτώσεις όπου ο οφειλέτης είναι μη χρηματοπιστωτική επιχείρηση. Ομοίως, όταν ο άμεσος αντισυμβαλλόμενος του ιδρύματος (ο οφειλέτης) είναι οντότητα ειδικού σκοπού, τα ιδρύματα δημοσιοποιούν τις σχετικές πληροφορίες στο πλαίσιο του τομέα NACE που συνδέονται με την οικονομική δραστηριότητα της μητρικής εταιρείας της οντότητας ειδικού σκοπού.</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Η κατάταξη των ανοιγμάτων τα οποία έχουν αναλάβει από κοινού περισσότεροι του ενός οφειλέτες βασίζεται στα χαρακτηριστικά του οφειλέτη τα οποία ήταν τα πλέον σχετικά, ή καθοριστικά, ώστε να χορηγήσει το ίδρυμα το άνοιγμα. Τα ιδρύματα δημοσιοποιούν τις πληροφορίες ανά κωδικό NACE με το επίπεδο ανάλυσης που απαιτείται στη στήλη β).</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Στήλη γ): η ακαθάριστη λογιστική αξία, όπως ορίζεται στο παράρτημα V μέρος 1 του εκτελεστικού κανονισμού (ΕΕ) 2021/451, των εν λόγω ανοιγμάτων έναντι μη χρηματοπιστωτικών επιχειρήσεων σε κάθε τομέα που προσδιορίζεται στις στήλες α) και β), συμπεριλαμβανομένων των δανείων και προκαταβολών, χρεωστικών τίτλων και μέσων μετοχικού κεφαλαίου, που ταξινομούνται στα λογιστικά χαρτοφυλάκια του τραπεζικού χαρτοφυλακίου σύμφωνα με τον εν λόγω εκτελεστικό κανονισμό, </w:t>
      </w:r>
      <w:r>
        <w:rPr>
          <w:rFonts w:ascii="Times New Roman" w:hAnsi="Times New Roman"/>
          <w:sz w:val="24"/>
        </w:rPr>
        <w:lastRenderedPageBreak/>
        <w:t xml:space="preserve">εξαιρουμένων των χρηματοοικονομικών στοιχείων ενεργητικού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ή πώληση.</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Στήλες δ) και ε): δείκτες μέτρησης ευθυγράμμισης που εφαρμόζονται από το ίδρυμα και το πλησιέστερο έτος αναφοράς για τους δείκτες μέτρησης ευθυγράμμισης για κάθε τομέα. Τα ιδρύματα χρησιμοποιούν τους δείκτες μέτρησης ευθυγράμμισης που μπορούν να μετρηθούν με βάση το σενάριο για επίτευξη μηδενικών καθαρών εκπομπών διοξειδίου του άνθρακα έως το 2050 (NZE2050). Τα ιδρύματα πρέπει να διασφαλίζουν ότι οι δείκτες μέτρησης επιτρέπουν την πλήρη δημοσιοποίηση των παραγωγικών ικανοτήτων που χρηματοδοτούνται από τα ιδρύματα και περιλαμβάνουν όλες τις σχετικές χρηματοδοτούμενες δραστηριότητες υψηλής έντασης άνθρακα. Στο υπόδειγμα περιλαμβάνονται ορισμένοι δειγματοληπτικοί δείκτες μέτρησης. Τα ιδρύματα πρέπει να δημοσιοποιούν διάφορους δείκτες μέτρησης για κάθε τομέα που σχετίζεται με τη χρηματοδοτική τους δραστηριότητα. Οι δείκτες αυτοί καλύπτουν τους δείκτες μέτρησης της έντασης των εκπομπών, τους δείκτες μέτρησης βάσει μείγματος τεχνολογίας και τους δείκτες μέτρησης με βάση την παραγωγή. Τα ιδρύματα πρέπει να βασίζονται στην αξιολόγηση των υποκείμενων στοιχείων ενεργητικού και των δραστηριοτήτων που συνδέονται με τα χρηματοπιστωτικά μέσα.</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Όσον αφορά τα δάνεια για τα οποία είναι γνωστή η χρήση των εσόδων, η τιμή περιλαμβάνεται για τον σχετικό τομέα και τον δείκτη μέτρησης ευθυγράμμισης. Όσον αφορά τα δάνεια για τα οποία δεν είναι γνωστή η χρήση των εσόδων, η ακαθάριστη λογιστική αξία του ανοίγματος κατανέμεται στους σχετικούς τομείς και στους δείκτες μέτρησης ευθυγράμμισης με βάση την κατανομή των δραστηριοτήτων των αντισυμβαλλομένων, συμπεριλαμβανομένου του κύκλου εργασιών των αντισυμβαλλομένων ανά δραστηριότητα.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Τα ιδρύματα προσθέτουν στο υπόδειγμα μια γραμμή για κάθε σχετικό συνδυασμό τομέων που δημοσιοποιούνται στη στήλη β) και δείκτες μέτρησης ευθυγράμμισης που περιλαμβάνονται στη στήλη δ).</w:t>
      </w:r>
    </w:p>
    <w:p w14:paraId="1D2A64A6" w14:textId="77777777" w:rsidR="00183989" w:rsidRPr="00E50FA4" w:rsidRDefault="00183989" w:rsidP="00EA40C4">
      <w:pPr>
        <w:pStyle w:val="ListParagraph"/>
        <w:numPr>
          <w:ilvl w:val="0"/>
          <w:numId w:val="32"/>
        </w:numPr>
        <w:spacing w:before="120" w:after="120"/>
        <w:jc w:val="both"/>
        <w:rPr>
          <w:rFonts w:ascii="Times New Roman" w:hAnsi="Times New Roman"/>
          <w:noProof/>
          <w:sz w:val="24"/>
        </w:rPr>
      </w:pPr>
      <w:r>
        <w:rPr>
          <w:rFonts w:ascii="Times New Roman" w:hAnsi="Times New Roman"/>
          <w:sz w:val="24"/>
        </w:rPr>
        <w:t>Στήλη </w:t>
      </w:r>
      <w:proofErr w:type="spellStart"/>
      <w:r>
        <w:rPr>
          <w:rFonts w:ascii="Times New Roman" w:hAnsi="Times New Roman"/>
          <w:sz w:val="24"/>
        </w:rPr>
        <w:t>στ</w:t>
      </w:r>
      <w:proofErr w:type="spellEnd"/>
      <w:r>
        <w:rPr>
          <w:rFonts w:ascii="Times New Roman" w:hAnsi="Times New Roman"/>
          <w:sz w:val="24"/>
        </w:rPr>
        <w:t>): η χρονική απόσταση των δεικτών μέτρησης της στήλης δ) από τα σημεία δεδομένων του 2030 του σεναρίου για επίτευξη μηδενικών καθαρών εκπομπών διοξειδίου του άνθρακα έως το 2050 (NZE2050) εκφράζεται σε ποσοστιαίες μονάδες. Η απόσταση αυτή αντιπροσωπεύει τον τρέχοντα βαθμό ευθυγράμμισης με τον δείκτη του σεναρίου για το 2030 και εκφράζεται ως η διαφορά μεταξύ του δείκτη στη στήλη δ) και της πρόβλεψης του σεναρίου του ΔΟΕ για το 2030, διαιρούμενη με τον δείκτη αναφοράς σεναρίου, και μετατρέπεται σε ποσοστά.</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Τα ιδρύματα μπορούν να αναζητήσουν τις σχετικές πληροφορίες και τους εφαρμοστέους δείκτες σεναρίων για το 2030 ανά τομέα στον δικτυακό τόπο του ΔΟΕ. Ειδικότερα, τα ιδρύματα ανατρέχουν στο έγγραφο «Καθαρές μηδενικές εκπομπές έως το 2050 — Χάρτης πορείας για τον παγκόσμιο ενεργειακό τομέα» που δημοσιεύει ο ΔΟΕ σε ετήσια βάση</w:t>
      </w:r>
      <w:r>
        <w:rPr>
          <w:rFonts w:ascii="Times New Roman" w:hAnsi="Times New Roman"/>
          <w:sz w:val="24"/>
          <w:vertAlign w:val="superscript"/>
        </w:rPr>
        <w:t>*19</w:t>
      </w:r>
      <w:r>
        <w:rPr>
          <w:rFonts w:ascii="Times New Roman" w:hAnsi="Times New Roman"/>
          <w:sz w:val="24"/>
        </w:rPr>
        <w:t>. Τα συγκεκριμένα σημεία δεδομένων και οι δείκτες μπορούν να καταφορτωθούν από τον πίνακα Excel που περιλαμβάνεται στο σενάριο για την επίτευξη μηδενικών καθαρών εκπομπών διοξειδίου του άνθρακα έως το 2050, το οποίο σχεδιάστηκε από τον Διεθνή Οργανισμό Ενέργειας.</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Οι υποκείμενες δραστηριότητες των ανοιγμάτων θεωρούνται ευθυγραμμισμένες όταν το επίπεδο του δείκτη είναι χαμηλότερο από εκείνο του δείκτη αναφοράς για τους μειούμενους δείκτες αναφοράς (δραστηριότητες έντασης άνθρακα) ή υψηλότερο για τους αυξανόμενους δείκτες αναφοράς (δραστηριότητες χαμηλών ανθρακούχων εκπομπών)·</w:t>
      </w:r>
    </w:p>
    <w:p w14:paraId="7182897D" w14:textId="77777777" w:rsidR="00183989" w:rsidRPr="002827F5"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ζ)</w:t>
      </w:r>
      <w:r>
        <w:rPr>
          <w:rFonts w:ascii="Times New Roman" w:hAnsi="Times New Roman"/>
          <w:sz w:val="24"/>
        </w:rPr>
        <w:tab/>
        <w:t>Στήλη ζ): ο στόχος των ιδρυμάτων για 3 έτη μετά το έτος αναφοράς που αναφέρεται στη στήλη ε) και ο δείκτης μέτρησης ευθυγράμμισης που αναφέρεται στη στήλη δ). Η στήλη ζ) αναφέρει την πορεία ευθυγράμμισης χαρτοφυλακίου και τους στόχους που σχεδιάζουν να επιτύχουν τα ιδρύματα ώστε να παραμένουν σε ορθή πορεία σε σχέση με το σενάριο του ΔΟΕ μακροπρόθεσμα.</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Υπόδειγμα 4 — Τραπεζικό χαρτοφυλάκιο — Δείκτες πιθανού κινδύνου μετάβασης στην κλιματική αλλαγή: Ανοίγματα στις 20 επιχειρήσεις με την υψηλότερη ένταση άνθρακα.</w:t>
      </w:r>
      <w:r>
        <w:rPr>
          <w:rFonts w:ascii="Times New Roman" w:hAnsi="Times New Roman"/>
          <w:sz w:val="24"/>
        </w:rPr>
        <w:t xml:space="preserve"> </w:t>
      </w:r>
      <w:r>
        <w:rPr>
          <w:rFonts w:ascii="Times New Roman" w:hAnsi="Times New Roman"/>
          <w:b/>
          <w:sz w:val="24"/>
        </w:rPr>
        <w:t xml:space="preserve">Σταθερός </w:t>
      </w:r>
      <w:proofErr w:type="spellStart"/>
      <w:r>
        <w:rPr>
          <w:rFonts w:ascii="Times New Roman" w:hAnsi="Times New Roman"/>
          <w:b/>
          <w:sz w:val="24"/>
        </w:rPr>
        <w:t>μορφότυπος</w:t>
      </w:r>
      <w:proofErr w:type="spellEnd"/>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Τα ιδρύματα χρησιμοποιούν τις ακόλουθες οδηγίες για να δημοσιοποιούν τις πληροφορίες που απαιτούνται στο «Υπόδειγμα 4: Τραπεζικό χαρτοφυλάκιο — Δείκτες πιθανού κινδύνου μετάβασης στην κλιματική αλλαγή: Ανοίγματα στις 20 επιχειρήσεις με την υψηλότερη ένταση άνθρακα, όπως ορίζεται στο παράρτημα XXXIX του παρόντος κανονισμού.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Τα ιδρύματα δημοσιοποιούν στο παρόν υπόδειγμα συγκεντρωτικές πληροφορίες σχετικά με τα ανοίγματα έναντι αντισυμβαλλομένων με την υψηλότερη ένταση άνθρακα παγκοσμίως. Περιλαμβάνουν συγκεντρωτικές και </w:t>
      </w:r>
      <w:proofErr w:type="spellStart"/>
      <w:r>
        <w:rPr>
          <w:rFonts w:ascii="Times New Roman" w:hAnsi="Times New Roman"/>
          <w:sz w:val="24"/>
        </w:rPr>
        <w:t>ανωνυμοποιημένες</w:t>
      </w:r>
      <w:proofErr w:type="spellEnd"/>
      <w:r>
        <w:rPr>
          <w:rFonts w:ascii="Times New Roman" w:hAnsi="Times New Roman"/>
          <w:sz w:val="24"/>
        </w:rPr>
        <w:t xml:space="preserve"> πληροφορίες σχετικά με την ακαθάριστη λογιστική αξία των ανοιγμάτων έναντι έως και 20 αντισυμβαλλομένων που συγκαταλέγονται στις 20 επιχειρήσεις με τη μεγαλύτερη ένταση άνθρακα παγκοσμίως. Οι πληροφορίες βασίζονται σε δημοσίως διαθέσιμες αξιόπιστες και ακριβείς πληροφορίες. Παραδείγματα πηγών δεδομένων για τον προσδιορισμό των εταιρειών με την υψηλότερη ένταση άνθρακα περιλαμβάνουν τη βάση δεδομένων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Majors</w:t>
      </w:r>
      <w:proofErr w:type="spellEnd"/>
      <w:r>
        <w:rPr>
          <w:rFonts w:ascii="Times New Roman" w:hAnsi="Times New Roman"/>
          <w:sz w:val="24"/>
        </w:rPr>
        <w:t xml:space="preserve"> και τις εκθέσεις του σχεδίου δημοσιοποίησης των εκπομπών άνθρακα και του </w:t>
      </w:r>
      <w:proofErr w:type="spellStart"/>
      <w:r>
        <w:rPr>
          <w:rFonts w:ascii="Times New Roman" w:hAnsi="Times New Roman"/>
          <w:sz w:val="24"/>
        </w:rPr>
        <w:t>Climate</w:t>
      </w:r>
      <w:proofErr w:type="spellEnd"/>
      <w:r>
        <w:rPr>
          <w:rFonts w:ascii="Times New Roman" w:hAnsi="Times New Roman"/>
          <w:sz w:val="24"/>
        </w:rPr>
        <w:t xml:space="preserve"> </w:t>
      </w:r>
      <w:proofErr w:type="spellStart"/>
      <w:r>
        <w:rPr>
          <w:rFonts w:ascii="Times New Roman" w:hAnsi="Times New Roman"/>
          <w:sz w:val="24"/>
        </w:rPr>
        <w:t>Accountability</w:t>
      </w:r>
      <w:proofErr w:type="spellEnd"/>
      <w:r>
        <w:rPr>
          <w:rFonts w:ascii="Times New Roman" w:hAnsi="Times New Roman"/>
          <w:sz w:val="24"/>
        </w:rPr>
        <w:t xml:space="preserve"> </w:t>
      </w:r>
      <w:proofErr w:type="spellStart"/>
      <w:r>
        <w:rPr>
          <w:rFonts w:ascii="Times New Roman" w:hAnsi="Times New Roman"/>
          <w:sz w:val="24"/>
        </w:rPr>
        <w:t>Institute</w:t>
      </w:r>
      <w:proofErr w:type="spellEnd"/>
      <w:r>
        <w:rPr>
          <w:rFonts w:ascii="Times New Roman" w:hAnsi="Times New Roman"/>
          <w:sz w:val="24"/>
        </w:rPr>
        <w:t xml:space="preserve">, καθώς και της </w:t>
      </w:r>
      <w:proofErr w:type="spellStart"/>
      <w:r>
        <w:rPr>
          <w:rFonts w:ascii="Times New Roman" w:hAnsi="Times New Roman"/>
          <w:sz w:val="24"/>
        </w:rPr>
        <w:t>Thomson</w:t>
      </w:r>
      <w:proofErr w:type="spellEnd"/>
      <w:r>
        <w:rPr>
          <w:rFonts w:ascii="Times New Roman" w:hAnsi="Times New Roman"/>
          <w:sz w:val="24"/>
        </w:rPr>
        <w:t xml:space="preserve"> </w:t>
      </w:r>
      <w:proofErr w:type="spellStart"/>
      <w:r>
        <w:rPr>
          <w:rFonts w:ascii="Times New Roman" w:hAnsi="Times New Roman"/>
          <w:sz w:val="24"/>
        </w:rPr>
        <w:t>Reuters</w:t>
      </w:r>
      <w:proofErr w:type="spellEnd"/>
      <w:r>
        <w:rPr>
          <w:rFonts w:ascii="Times New Roman" w:hAnsi="Times New Roman"/>
          <w:sz w:val="24"/>
        </w:rPr>
        <w:t>.</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Τα ιδρύματα δημοσιοποιούν στο λεκτικό που συνοδεύει τη δημοσιοποίηση την πηγή των δεδομένων που χρησιμοποιούν. Όταν τα ιδρύματα δεν είναι σε θέση να εντοπίσουν ανοίγματα έναντι των 20 επιχειρήσεων με την υψηλότερη ένταση άνθρακα στον κόσμο, επεξηγούν τους λόγους για τους οποίους δεν ανέφεραν τέτοια ανοίγματα, συμπεριλαμβανομένης της περίπτωσης στην οποία δεν έχουν ανοίγματα έναντι των 20 επιχειρήσεων με την υψηλότερη ένταση άνθρακα παγκοσμίως. </w:t>
      </w:r>
    </w:p>
    <w:p w14:paraId="5749086F" w14:textId="77777777" w:rsidR="00183989" w:rsidRPr="002827F5"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2827F5"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Στήλη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Οδηγίες</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α</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Ακαθάριστη λογιστική αξία (συγκεντρωτικά)</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Η ακαθάριστη λογιστική αξία έχει την έννοια που αναφέρεται στο παράρτημα V μέρος 1 του εκτελεστικού κανονισμού (ΕΕ) αριθ. 2021/451 της Επιτροπής. Περιλαμβάνει δάνεια και προκαταβολές, χρεωστικούς τίτλους και μέσα μετοχικού κεφαλαίου, που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ή πώληση.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lastRenderedPageBreak/>
              <w:t>Τα ιδρύματα περιλαμβάνουν τα συγκεντρωτικά ανοίγματα έναντι έως και 20 αντισυμβαλλομένων του ιδρύματος που συγκαταλέγονται στις 20 επιχειρήσεις με τη μεγαλύτερη ένταση άνθρακα παγκοσμίως.</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β</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Ακαθάριστη λογιστική αξία έναντι της εταιρείας σε σύγκριση με τη συνολική ακαθάριστη λογιστική αξία (συγκεντρωτικά)</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 xml:space="preserve">Τα ιδρύματα δημοσιοποιούν το ποσοστό που προκύπτει από τη συγκεντρωτική ακαθάριστη λογιστική αξία που αναφέρεται στη στήλη α), διαιρούμενη διά της συνολικής ακαθάριστης λογιστικής αξίας των ανοιγμάτων των ιδρυμάτων στο τραπεζικό χαρτοφυλάκιο, όπως αναφέρεται στο παράρτημα V μέρος 1 του εκτελεστικού κανονισμού (ΕΕ) 2021/451, συμπεριλαμβανομένων των δανείων και προκαταβολών, των χρεωστικών τίτλων και των μέσων μετοχικού κεφαλαίου του τραπεζικού χαρτοφυλακίου, τα οποία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ή πώληση.</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γ</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Εκ των οποίων περιβαλλοντικά βιώσιμα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 συγκεντρωτική ακαθάριστη λογιστική αξία των περιβαλλοντικά βιώσιμων ανοιγμάτων που συμβάλλουν στον στόχο του μετριασμού της κλιματικής αλλαγής. Το ποσό αυτό βασίζεται στον σκοπό της χρηματοδοτούμενης δραστηριότητας, όσον αφορά τη δανειοδότηση ειδικού σκοπού, ή στις πληροφορίες του αντισυμβαλλομένου σχετικά με το επίπεδο ευθυγράμμισης των οικονομικών δραστηριοτήτων του με τον κανονισμό (ΕΕ) 2020/852, όσον αφορά τον στόχο του μετριασμού της κλιματικής αλλαγής (% επί του κύκλου εργασιών που συμβάλλει σημαντικά στον μετριασμό της κλιματικής αλλαγής).</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αρχίζουν να δημοσιοποιούν τις πληροφορίες αυτές με ημερομηνία αναφοράς πρώτης δημοσιοποίησης την 31η Δεκεμβρίου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δ</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Μέση </w:t>
            </w:r>
            <w:proofErr w:type="spellStart"/>
            <w:r>
              <w:rPr>
                <w:rFonts w:ascii="Times New Roman" w:hAnsi="Times New Roman"/>
                <w:sz w:val="24"/>
              </w:rPr>
              <w:t>ληκτότητα</w:t>
            </w:r>
            <w:proofErr w:type="spellEnd"/>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 μέση </w:t>
            </w:r>
            <w:proofErr w:type="spellStart"/>
            <w:r>
              <w:rPr>
                <w:rFonts w:ascii="Times New Roman" w:hAnsi="Times New Roman"/>
                <w:sz w:val="24"/>
              </w:rPr>
              <w:t>ληκτότητα</w:t>
            </w:r>
            <w:proofErr w:type="spellEnd"/>
            <w:r>
              <w:rPr>
                <w:rFonts w:ascii="Times New Roman" w:hAnsi="Times New Roman"/>
                <w:sz w:val="24"/>
              </w:rPr>
              <w:t xml:space="preserve"> των ανοιγμάτων που λαμβάνονται υπόψη στον υπολογισμό, σταθμισμένη ως προς την ακαθάριστη λογιστική αξία του ανοίγματος.</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ε</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Αριθμός 20 κορυφαίων ρυπογόνων επιχειρήσεων που περιλαμβάνονται</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αναφέρουν τον αριθμό των κορυφαίων ρυπογόνων επιχειρήσεων που περιλαμβάνονται στον υπολογισμό της συγκεντρωτικής ακαθάριστης λογιστικής αξίας.</w:t>
            </w:r>
          </w:p>
        </w:tc>
      </w:tr>
    </w:tbl>
    <w:p w14:paraId="09C823B2" w14:textId="77777777" w:rsidR="00183989" w:rsidRPr="002827F5"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Υπόδειγμα 5 — Τραπεζικό χαρτοφυλάκιο — Δείκτες πιθανού υλικού κινδύνου κλιματικής αλλαγής: Ανοίγματα που υπόκεινται σε υλικό κίνδυνο</w:t>
      </w:r>
      <w:r>
        <w:rPr>
          <w:rFonts w:ascii="Times New Roman" w:hAnsi="Times New Roman"/>
          <w:sz w:val="24"/>
        </w:rPr>
        <w:t xml:space="preserve">. Σταθερός </w:t>
      </w:r>
      <w:proofErr w:type="spellStart"/>
      <w:r>
        <w:rPr>
          <w:rFonts w:ascii="Times New Roman" w:hAnsi="Times New Roman"/>
          <w:sz w:val="24"/>
        </w:rPr>
        <w:t>μορφότυπος</w:t>
      </w:r>
      <w:proofErr w:type="spellEnd"/>
      <w:r>
        <w:rPr>
          <w:rFonts w:ascii="Times New Roman" w:hAnsi="Times New Roman"/>
          <w:sz w:val="24"/>
        </w:rPr>
        <w:t>.</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lastRenderedPageBreak/>
        <w:t xml:space="preserve">Τα ιδρύματα χρησιμοποιούν τις ακόλουθες οδηγίες για να δημοσιοποιούν τις πληροφορίες που απαιτούνται στο «Υπόδειγμα 5: Τραπεζικό χαρτοφυλάκιο — Δείκτες πιθανού υλικού κινδύνου κλιματικής αλλαγής: Ανοίγματα που υπόκεινται σε υλικό κίνδυνο, όπως ορίζεται στο παράρτημα XXXIX του παρόντος κανονισμού.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Τα ιδρύματα περιλαμβάνουν στο παρόν υπόδειγμα πληροφορίες σχετικά με τα ανοίγματα εντός του τραπεζικού χαρτοφυλακίου, συμπεριλαμβανομένων των δανείων και προκαταβολών, των χρεωστικών τίτλων και των μέσων μετοχικού κεφαλαίου που δεν </w:t>
      </w:r>
      <w:proofErr w:type="spellStart"/>
      <w:r>
        <w:rPr>
          <w:rFonts w:ascii="Times New Roman" w:hAnsi="Times New Roman"/>
          <w:sz w:val="24"/>
        </w:rPr>
        <w:t>διακρατούνται</w:t>
      </w:r>
      <w:proofErr w:type="spellEnd"/>
      <w:r>
        <w:rPr>
          <w:rFonts w:ascii="Times New Roman" w:hAnsi="Times New Roman"/>
          <w:sz w:val="24"/>
        </w:rPr>
        <w:t xml:space="preserve"> προς διαπραγμάτευση και δεν </w:t>
      </w:r>
      <w:proofErr w:type="spellStart"/>
      <w:r>
        <w:rPr>
          <w:rFonts w:ascii="Times New Roman" w:hAnsi="Times New Roman"/>
          <w:sz w:val="24"/>
        </w:rPr>
        <w:t>διακρατούνται</w:t>
      </w:r>
      <w:proofErr w:type="spellEnd"/>
      <w:r>
        <w:rPr>
          <w:rFonts w:ascii="Times New Roman" w:hAnsi="Times New Roman"/>
          <w:sz w:val="24"/>
        </w:rPr>
        <w:t xml:space="preserve"> προς πώληση, έναντι μη χρηματοπιστωτικών επιχειρήσεων, σχετικά με δάνεια εξασφαλισμένα με ακίνητη περιουσία και ανακτηθείσες εξασφαλίσεις επί ακινήτων, που εκτίθενται σε χρόνιους και σοβαρούς κλιματικούς κινδύνους, με ανάλυση ανά τομέα οικονομικής δραστηριότητας (ταξινόμηση NACE) και ανά γεωγραφική τοποθεσία της δραστηριότητας του αντισυμβαλλομένου ή της εξασφάλισης, για τους τομείς και τις γεωγραφικές περιοχές που υπόκεινται σε έντονα και χρόνια φαινόμενα που σχετίζονται με την κλιματική αλλαγή.</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Για τον προσδιορισμό των γεωγραφικών περιοχών που είναι επιρρεπείς σε συγκεκριμένους κλιματικούς κινδύνους, τα ιδρύματα χρησιμοποιούν ειδικές πύλες και βάσεις δεδομένων. Για να λάβουν πληροφορίες σχετικά με τα χαρακτηριστικά των τοποθεσιών που είναι ευαίσθητες σε φαινόμενα που σχετίζονται με την κλιματική αλλαγή, τα ιδρύματα μπορούν να χρησιμοποιούν τα δεδομένα που προσφέρουν οι φορείς της Ένωσης και οι εθνικές κυβερνητικές αρχές, συμπεριλαμβανομένων των μετεωρολογικών, περιβαλλοντικών, στατιστικών υπηρεσιών ή οργανισμών </w:t>
      </w:r>
      <w:proofErr w:type="spellStart"/>
      <w:r>
        <w:rPr>
          <w:rFonts w:ascii="Times New Roman" w:hAnsi="Times New Roman"/>
          <w:sz w:val="24"/>
        </w:rPr>
        <w:t>γεωεπιστημών</w:t>
      </w:r>
      <w:proofErr w:type="spellEnd"/>
      <w:r>
        <w:rPr>
          <w:rFonts w:ascii="Times New Roman" w:hAnsi="Times New Roman"/>
          <w:sz w:val="24"/>
        </w:rPr>
        <w:t>. Πηγές δεδομένων για τον προσδιορισμό γεωγραφικών περιοχών που υπόκεινται σε κινδύνους σχετικούς με την κλιματική αλλαγή είναι για παράδειγμα</w:t>
      </w:r>
      <w:r>
        <w:rPr>
          <w:rFonts w:ascii="Times New Roman" w:hAnsi="Times New Roman"/>
          <w:sz w:val="24"/>
          <w:vertAlign w:val="superscript"/>
        </w:rPr>
        <w:t>*20</w:t>
      </w:r>
      <w:r>
        <w:rPr>
          <w:rFonts w:ascii="Times New Roman" w:hAnsi="Times New Roman"/>
          <w:sz w:val="24"/>
        </w:rPr>
        <w:t xml:space="preserve">: GFDRR – </w:t>
      </w:r>
      <w:proofErr w:type="spellStart"/>
      <w:r>
        <w:rPr>
          <w:rFonts w:ascii="Times New Roman" w:hAnsi="Times New Roman"/>
          <w:sz w:val="24"/>
        </w:rPr>
        <w:t>ThinkHazard</w:t>
      </w:r>
      <w:proofErr w:type="spellEnd"/>
      <w:r>
        <w:rPr>
          <w:rFonts w:ascii="Times New Roman" w:hAnsi="Times New Roman"/>
          <w:sz w:val="24"/>
        </w:rPr>
        <w:t xml:space="preserve">! (που καλύπτει καύσωνες, λειψυδρία και καταπόνηση των υδάτινων πόρων, πλημμύρες, δασικές πυρκαγιές, τυφώνες, κατολισθήσεις)· PREP – </w:t>
      </w:r>
      <w:proofErr w:type="spellStart"/>
      <w:r>
        <w:rPr>
          <w:rFonts w:ascii="Times New Roman" w:hAnsi="Times New Roman"/>
          <w:sz w:val="24"/>
        </w:rPr>
        <w:t>PREPdata</w:t>
      </w:r>
      <w:proofErr w:type="spellEnd"/>
      <w:r>
        <w:rPr>
          <w:rFonts w:ascii="Times New Roman" w:hAnsi="Times New Roman"/>
          <w:sz w:val="24"/>
        </w:rPr>
        <w:t xml:space="preserve"> (πλημμύρα σε παράκτιες περιοχές, ακραία θερμότητα, κατολισθήσεις, λειψυδρία και καταπόνηση των υδάτινων πόρων, δασικές πυρκαγιές)· WRI - </w:t>
      </w:r>
      <w:proofErr w:type="spellStart"/>
      <w:r>
        <w:rPr>
          <w:rFonts w:ascii="Times New Roman" w:hAnsi="Times New Roman"/>
          <w:sz w:val="24"/>
        </w:rPr>
        <w:t>Aqueduct</w:t>
      </w:r>
      <w:proofErr w:type="spellEnd"/>
      <w:r>
        <w:rPr>
          <w:rFonts w:ascii="Times New Roman" w:hAnsi="Times New Roman"/>
          <w:sz w:val="24"/>
        </w:rPr>
        <w:t xml:space="preserve"> </w:t>
      </w:r>
      <w:proofErr w:type="spellStart"/>
      <w:r>
        <w:rPr>
          <w:rFonts w:ascii="Times New Roman" w:hAnsi="Times New Roman"/>
          <w:sz w:val="24"/>
        </w:rPr>
        <w:t>Water</w:t>
      </w:r>
      <w:proofErr w:type="spellEnd"/>
      <w:r>
        <w:rPr>
          <w:rFonts w:ascii="Times New Roman" w:hAnsi="Times New Roman"/>
          <w:sz w:val="24"/>
        </w:rPr>
        <w:t xml:space="preserve"> </w:t>
      </w:r>
      <w:proofErr w:type="spellStart"/>
      <w:r>
        <w:rPr>
          <w:rFonts w:ascii="Times New Roman" w:hAnsi="Times New Roman"/>
          <w:sz w:val="24"/>
        </w:rPr>
        <w:t>Risk</w:t>
      </w:r>
      <w:proofErr w:type="spellEnd"/>
      <w:r>
        <w:rPr>
          <w:rFonts w:ascii="Times New Roman" w:hAnsi="Times New Roman"/>
          <w:sz w:val="24"/>
        </w:rPr>
        <w:t xml:space="preserve"> </w:t>
      </w:r>
      <w:proofErr w:type="spellStart"/>
      <w:r>
        <w:rPr>
          <w:rFonts w:ascii="Times New Roman" w:hAnsi="Times New Roman"/>
          <w:sz w:val="24"/>
        </w:rPr>
        <w:t>Atlas</w:t>
      </w:r>
      <w:proofErr w:type="spellEnd"/>
      <w:r>
        <w:rPr>
          <w:rFonts w:ascii="Times New Roman" w:hAnsi="Times New Roman"/>
          <w:sz w:val="24"/>
        </w:rPr>
        <w:t xml:space="preserve"> (πλημμύρες, πλημμύρες σε παράκτιες περιοχές, λειψυδρία και καταπόνηση των υδάτινων πόρων) Swiss </w:t>
      </w:r>
      <w:proofErr w:type="spellStart"/>
      <w:r>
        <w:rPr>
          <w:rFonts w:ascii="Times New Roman" w:hAnsi="Times New Roman"/>
          <w:sz w:val="24"/>
        </w:rPr>
        <w:t>Re</w:t>
      </w:r>
      <w:proofErr w:type="spellEnd"/>
      <w:r>
        <w:rPr>
          <w:rFonts w:ascii="Times New Roman" w:hAnsi="Times New Roman"/>
          <w:sz w:val="24"/>
        </w:rPr>
        <w:t xml:space="preserve"> - </w:t>
      </w:r>
      <w:proofErr w:type="spellStart"/>
      <w:r>
        <w:rPr>
          <w:rFonts w:ascii="Times New Roman" w:hAnsi="Times New Roman"/>
          <w:sz w:val="24"/>
        </w:rPr>
        <w:t>CatNet</w:t>
      </w:r>
      <w:proofErr w:type="spellEnd"/>
      <w:r>
        <w:rPr>
          <w:rFonts w:ascii="Times New Roman" w:hAnsi="Times New Roman"/>
          <w:sz w:val="24"/>
        </w:rPr>
        <w:t xml:space="preserve">® [πλημμύρες, τροπικός κυκλώνας (θύελλα και τυφώνας), δασικές πυρκαγιές]· Παγκόσμια Τράπεζα – </w:t>
      </w:r>
      <w:proofErr w:type="spellStart"/>
      <w:r>
        <w:rPr>
          <w:rFonts w:ascii="Times New Roman" w:hAnsi="Times New Roman"/>
          <w:sz w:val="24"/>
        </w:rPr>
        <w:t>Climate</w:t>
      </w:r>
      <w:proofErr w:type="spellEnd"/>
      <w:r>
        <w:rPr>
          <w:rFonts w:ascii="Times New Roman" w:hAnsi="Times New Roman"/>
          <w:sz w:val="24"/>
        </w:rPr>
        <w:t xml:space="preserve"> </w:t>
      </w:r>
      <w:proofErr w:type="spellStart"/>
      <w:r>
        <w:rPr>
          <w:rFonts w:ascii="Times New Roman" w:hAnsi="Times New Roman"/>
          <w:sz w:val="24"/>
        </w:rPr>
        <w:t>Change</w:t>
      </w:r>
      <w:proofErr w:type="spellEnd"/>
      <w:r>
        <w:rPr>
          <w:rFonts w:ascii="Times New Roman" w:hAnsi="Times New Roman"/>
          <w:sz w:val="24"/>
        </w:rPr>
        <w:t xml:space="preserve"> </w:t>
      </w:r>
      <w:proofErr w:type="spellStart"/>
      <w:r>
        <w:rPr>
          <w:rFonts w:ascii="Times New Roman" w:hAnsi="Times New Roman"/>
          <w:sz w:val="24"/>
        </w:rPr>
        <w:t>Knowledge</w:t>
      </w:r>
      <w:proofErr w:type="spellEnd"/>
      <w:r>
        <w:rPr>
          <w:rFonts w:ascii="Times New Roman" w:hAnsi="Times New Roman"/>
          <w:sz w:val="24"/>
        </w:rPr>
        <w:t xml:space="preserve"> </w:t>
      </w:r>
      <w:proofErr w:type="spellStart"/>
      <w:r>
        <w:rPr>
          <w:rFonts w:ascii="Times New Roman" w:hAnsi="Times New Roman"/>
          <w:sz w:val="24"/>
        </w:rPr>
        <w:t>Portal</w:t>
      </w:r>
      <w:proofErr w:type="spellEnd"/>
      <w:r>
        <w:rPr>
          <w:rFonts w:ascii="Times New Roman" w:hAnsi="Times New Roman"/>
          <w:sz w:val="24"/>
        </w:rPr>
        <w:t xml:space="preserve"> (ακραία θερμότητα, ακραίες βροχοπτώσεις, ξηρασία)· PCA – Παγκόσμια πλατφόρμα για τον κίνδυνο ξηρασίας (ξηρασία)· NOAA – Ιστορικό τροχιάς τυφώνων [τροπικός κυκλώνας (θύελλα και τυφώνας)].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Όταν ο αντισυμβαλλόμενος είναι εταιρεία συμμετοχών, τα ιδρύματα λαμβάνουν υπόψη τον τομέα NACE του συγκεκριμένου οφειλέτη που ελέγχεται από την εταιρεία συμμετοχών (εάν είναι διαφορετικός από την ίδια την εταιρεία συμμετοχών) και λαμβάνει τη χρηματοδότηση, ιδίως στις περιπτώσεις όπου ο οφειλέτης είναι μη χρηματοδοτική εταιρεία. Ομοίως, όταν ο άμεσος αντισυμβαλλόμενος του ιδρύματος (ο οφειλέτης) είναι οντότητα ειδικού σκοπού, τα ιδρύματα δημοσιοποιούν τις σχετικές πληροφορίες στο πλαίσιο του τομέα NACE που συνδέονται με την οικονομική δραστηριότητα της μητρικής εταιρείας της οντότητας ειδικού σκοπού. Η κατάταξη των από κοινού </w:t>
      </w:r>
      <w:proofErr w:type="spellStart"/>
      <w:r>
        <w:rPr>
          <w:rFonts w:ascii="Times New Roman" w:hAnsi="Times New Roman"/>
          <w:sz w:val="24"/>
        </w:rPr>
        <w:t>αναληφθέντων</w:t>
      </w:r>
      <w:proofErr w:type="spellEnd"/>
      <w:r>
        <w:rPr>
          <w:rFonts w:ascii="Times New Roman" w:hAnsi="Times New Roman"/>
          <w:sz w:val="24"/>
        </w:rPr>
        <w:t xml:space="preserve"> ανοιγμάτων έναντι περισσότερων του ενός οφειλετών βασίζεται στα χαρακτηριστικά του οφειλέτη τα οποία ήταν τα πλέον σχετικά, ώστε να χορηγήσει το ίδρυμα το άνοιγμα. Η κατανομή των από κοινού </w:t>
      </w:r>
      <w:proofErr w:type="spellStart"/>
      <w:r>
        <w:rPr>
          <w:rFonts w:ascii="Times New Roman" w:hAnsi="Times New Roman"/>
          <w:sz w:val="24"/>
        </w:rPr>
        <w:t>αναληφθέντων</w:t>
      </w:r>
      <w:proofErr w:type="spellEnd"/>
      <w:r>
        <w:rPr>
          <w:rFonts w:ascii="Times New Roman" w:hAnsi="Times New Roman"/>
          <w:sz w:val="24"/>
        </w:rPr>
        <w:t xml:space="preserve"> ανοιγμάτων ανά κωδικό NACE καθορίζεται με βάση τα χαρακτηριστικά του πλέον σχετικού ή καθοριστικού οφειλέτη.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Τα ιδρύματα δημοσιοποιούν τις πληροφορίες του παρόντος υποδείγματος με τη μέγιστη δυνατή επιμέλεια και επεξηγούν στο λεκτικό που συνοδεύει το υπόδειγμα τις πηγές πληροφοριών και τις μεθόδους που έχουν χρησιμοποιήσει για τον προσδιορισμό των ανοιγμάτων που υπόκεινται σε υλικό κίνδυνο κλιματικής αλλαγής.</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Στήλες</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Οδηγίες</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α</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Γεωγραφική περιοχή που υπόκειται σε έντονα και χρόνια φαινόμενα που σχετίζονται με την κλιματική αλλαγή</w:t>
            </w:r>
          </w:p>
          <w:p w14:paraId="1D184C39" w14:textId="77777777" w:rsidR="00183989" w:rsidRPr="002827F5"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Τα ιδρύματα καλύπτουν γεωγραφικές περιοχές που είναι εκτεθειμένες σε δυσμενείς επιπτώσεις από φυσικά φαινόμενα που σχετίζονται με την κλιματική αλλαγή. Οι εν λόγω γεωγραφικές περιοχές περιλαμβάνουν τις χώρες ή άλλες γεωγραφικές ή διοικητικές περιοχές στις οποίες βρίσκονται οι δραστηριότητες του αντισυμβαλλομένου ή οι εξασφαλίσεις και οι οποίες εκτίθενται σε χρόνια ή έντονα φαινόμενα που σχετίζονται με την κλιματική αλλαγή. Όσον αφορά τη γεωγραφική κάλυψη των ανοιγμάτων, τα ιδρύματα χρησιμοποιούν το επίπεδο υποδιαιρέσεων που αναφέρεται στην ονοματολογία των εδαφικών στατιστικών μονάδων (ή NUTS), κατά περίπτωση.</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β</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Ακαθάριστη λογιστική αξία</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2021/451, των εν λόγω ανοιγμάτων έναντι μη χρηματοπιστωτικών επιχειρήσεων, συμπεριλαμβανομένων των δανείων και προκαταβολών, χρεωστικών τίτλων και μέσων μετοχικού κεφαλαίου, που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w:t>
            </w:r>
            <w:proofErr w:type="spellStart"/>
            <w:r>
              <w:rPr>
                <w:rFonts w:ascii="Times New Roman" w:hAnsi="Times New Roman"/>
                <w:sz w:val="24"/>
              </w:rPr>
              <w:t>διακρατούμενων</w:t>
            </w:r>
            <w:proofErr w:type="spellEnd"/>
            <w:r>
              <w:rPr>
                <w:rFonts w:ascii="Times New Roman" w:hAnsi="Times New Roman"/>
                <w:sz w:val="24"/>
              </w:rPr>
              <w:t xml:space="preserve"> για διαπραγμάτευση και πώληση.</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γ-</w:t>
            </w:r>
            <w:proofErr w:type="spellStart"/>
            <w:r>
              <w:rPr>
                <w:rFonts w:ascii="Times New Roman" w:hAnsi="Times New Roman"/>
                <w:sz w:val="24"/>
              </w:rPr>
              <w:t>ιε</w:t>
            </w:r>
            <w:proofErr w:type="spellEnd"/>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ανοίγματα ευαίσθητα στις επιπτώσεις από φυσικά φαινόμενα που σχετίζονται με την κλιματική αλλαγή</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των ανοιγμάτων που είναι επιρρεπή σε επιπτώσεις από φυσικά φαινόμενα που σχετίζονται με την κλιματική αλλαγή. Η ακαθάριστη λογιστική αξία των ανοιγμάτων που είναι επιρρεπή σε επιπτώσεις από φυσικά φαινόμενα που σχετίζονται με την κλιματική αλλαγή μπορεί να ισούται με το πλήρες ποσό ανοίγματος που δημοσιοποιείται στη στήλη β) του παρόντος υποδείγματος ή μπορεί να αποτελεί μέρος του εν λόγω ποσού ανοίγματος.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γ-ζ</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Ανάλυση ανά κλιμάκιο </w:t>
            </w:r>
            <w:proofErr w:type="spellStart"/>
            <w:r>
              <w:rPr>
                <w:rFonts w:ascii="Times New Roman" w:hAnsi="Times New Roman"/>
                <w:b/>
                <w:sz w:val="24"/>
                <w:u w:val="single"/>
              </w:rPr>
              <w:t>ληκτότητας</w:t>
            </w:r>
            <w:proofErr w:type="spellEnd"/>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Τα ιδρύματα κατανέμουν τα ανοίγματα στο σχετικό κλιμάκιο ανάλογα με την υπολειπόμενη </w:t>
            </w:r>
            <w:proofErr w:type="spellStart"/>
            <w:r>
              <w:rPr>
                <w:rFonts w:ascii="Times New Roman" w:hAnsi="Times New Roman"/>
                <w:sz w:val="24"/>
              </w:rPr>
              <w:t>ληκτότητα</w:t>
            </w:r>
            <w:proofErr w:type="spellEnd"/>
            <w:r>
              <w:rPr>
                <w:rFonts w:ascii="Times New Roman" w:hAnsi="Times New Roman"/>
                <w:sz w:val="24"/>
              </w:rPr>
              <w:t xml:space="preserve"> του χρηματοοικονομικού μέσου, λαμβάνοντας υπόψη τα ακόλουθα:</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 xml:space="preserve">όταν το ποσό πρέπει να αποπληρωθεί σε δόσεις, το άνοιγμα κατανέμεται στο κλιμάκιο </w:t>
            </w:r>
            <w:proofErr w:type="spellStart"/>
            <w:r>
              <w:rPr>
                <w:rFonts w:ascii="Times New Roman" w:hAnsi="Times New Roman"/>
                <w:sz w:val="24"/>
              </w:rPr>
              <w:t>ληκτότητας</w:t>
            </w:r>
            <w:proofErr w:type="spellEnd"/>
            <w:r>
              <w:rPr>
                <w:rFonts w:ascii="Times New Roman" w:hAnsi="Times New Roman"/>
                <w:sz w:val="24"/>
              </w:rPr>
              <w:t xml:space="preserve"> που αντιστοιχεί στην τελευταία δόση·</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 xml:space="preserve">όταν ένα άνοιγμα δεν έχει προσδιορισθείσα </w:t>
            </w:r>
            <w:proofErr w:type="spellStart"/>
            <w:r>
              <w:rPr>
                <w:rFonts w:ascii="Times New Roman" w:hAnsi="Times New Roman"/>
                <w:sz w:val="24"/>
              </w:rPr>
              <w:t>ληκτότητα</w:t>
            </w:r>
            <w:proofErr w:type="spellEnd"/>
            <w:r>
              <w:rPr>
                <w:rFonts w:ascii="Times New Roman" w:hAnsi="Times New Roman"/>
                <w:sz w:val="24"/>
              </w:rPr>
              <w:t xml:space="preserve"> για λόγους διαφορετικούς από το ότι ο αντισυμβαλλόμενος έχει την επιλογή της ημερομηνίας αποπληρωμής, το ποσό του εν λόγω ανοίγματος δημοσιοποιείται στη στήλη «&gt; 20 έτη»·</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 xml:space="preserve">για τον υπολογισμό της μέσης </w:t>
            </w:r>
            <w:proofErr w:type="spellStart"/>
            <w:r>
              <w:rPr>
                <w:rFonts w:ascii="Times New Roman" w:hAnsi="Times New Roman"/>
                <w:sz w:val="24"/>
              </w:rPr>
              <w:t>ληκτότητας</w:t>
            </w:r>
            <w:proofErr w:type="spellEnd"/>
            <w:r>
              <w:rPr>
                <w:rFonts w:ascii="Times New Roman" w:hAnsi="Times New Roman"/>
                <w:sz w:val="24"/>
              </w:rPr>
              <w:t xml:space="preserve"> του ανοίγματος, τα ιδρύματα σταθμίζουν τη </w:t>
            </w:r>
            <w:proofErr w:type="spellStart"/>
            <w:r>
              <w:rPr>
                <w:rFonts w:ascii="Times New Roman" w:hAnsi="Times New Roman"/>
                <w:sz w:val="24"/>
              </w:rPr>
              <w:t>ληκτότητα</w:t>
            </w:r>
            <w:proofErr w:type="spellEnd"/>
            <w:r>
              <w:rPr>
                <w:rFonts w:ascii="Times New Roman" w:hAnsi="Times New Roman"/>
                <w:sz w:val="24"/>
              </w:rPr>
              <w:t xml:space="preserve"> κάθε ανοίγματος με την ακαθάριστη λογιστική αξία των ανοιγμάτων.</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η</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ανοίγματα ευαίσθητα στις επιπτώσεις από χρόνια φαινόμενα που σχετίζονται με την κλιματική αλλαγή</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Τα ιδρύματα δημοσιοποιούν την ακαθάριστη λογιστική αξία των ανοιγμάτων που είναι ευαίσθητα στις επιπτώσεις από χρόνια φαινόμενα που σχετίζονται με την κλιματική αλλαγή, συμπεριλαμβανομένων των κινδύνων που σχετίζονται με τις σταδιακές μεταβολές των καιρικών συνθηκών και του κλίματος και έχουν πιθανό αντίκτυπο στην οικονομική παραγωγή και την παραγωγικότητα.</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θ</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ανοίγματα ευαίσθητα στις επιπτώσεις από έντονα φαινόμενα που σχετίζονται με την κλιματική αλλαγή</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Τα ιδρύματα δημοσιοποιούν την ακαθάριστη λογιστική αξία των ανοιγμάτων που είναι ευαίσθητα στις επιπτώσεις από έντονα φαινόμενα που σχετίζονται με την κλιματική αλλαγή, συμπεριλαμβανομένων των κινδύνων που ενδέχεται να προκαλέσουν αιφνίδια ζημία σε ακίνητα, διαταραχή των αλυσίδων εφοδιασμού και απόσβεση στοιχείων ενεργητικού.</w:t>
            </w:r>
          </w:p>
          <w:p w14:paraId="48D7B200" w14:textId="77777777" w:rsidR="00183989" w:rsidRPr="002827F5"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ι</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ανοίγματα ευαίσθητα στις επιπτώσεις από χρόνια και έντονα φαινόμενα που σχετίζονται με την κλιματική αλλαγή</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Τα ιδρύματα δημοσιοποιούν την ακαθάριστη λογιστική αξία που υπόκειται στις επιπτώσεις από χρόνια και έντονα φαινόμενα που σχετίζονται με την κλιματική αλλαγή, τα οποία αναφέρονται στις στήλες η) και θ).</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rPr>
                <w:rFonts w:ascii="Times New Roman" w:hAnsi="Times New Roman"/>
                <w:sz w:val="24"/>
              </w:rPr>
              <w:t>ια</w:t>
            </w:r>
            <w:proofErr w:type="spellEnd"/>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βαθμίδας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Τα ιδρύματα που εφαρμόζουν τα ΔΠΧΑ δημοσιοποιούν την ακαθάριστη λογιστική αξία των μέσων της «βαθμίδας 2», όπως ορίζεται στο ΔΠΧΑ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rPr>
                <w:rFonts w:ascii="Times New Roman" w:hAnsi="Times New Roman"/>
                <w:sz w:val="24"/>
              </w:rPr>
              <w:t>ιβ</w:t>
            </w:r>
            <w:proofErr w:type="spellEnd"/>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μη εξυπηρετούμενα ανοίγματα</w:t>
            </w:r>
          </w:p>
          <w:p w14:paraId="20F3319C" w14:textId="77777777" w:rsidR="00183989" w:rsidRPr="00E50FA4" w:rsidRDefault="00183989" w:rsidP="00D0691F">
            <w:pPr>
              <w:pStyle w:val="Fait"/>
              <w:spacing w:before="0" w:after="120"/>
              <w:rPr>
                <w:noProof/>
              </w:rPr>
            </w:pPr>
            <w:r>
              <w:t>Τα ιδρύματα δημοσιοποιούν την ακαθάριστη λογιστική αξία των μη εξυπηρετούμενων ανοιγμάτων, όπως αναφέρεται στο άρθρο 47α παράγραφος 3 του κανονισμού (ΕΕ) αριθ. 575/2013, τα οποία είναι επιρρεπή σε επιπτώσεις από φαινόμενα που σχετίζονται με την κλιματική αλλαγή.</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rPr>
                <w:rFonts w:ascii="Times New Roman" w:hAnsi="Times New Roman"/>
                <w:sz w:val="24"/>
              </w:rPr>
              <w:t>ιγ</w:t>
            </w:r>
            <w:proofErr w:type="spellEnd"/>
            <w:r>
              <w:rPr>
                <w:rFonts w:ascii="Times New Roman" w:hAnsi="Times New Roman"/>
                <w:sz w:val="24"/>
              </w:rPr>
              <w:t xml:space="preserve">, </w:t>
            </w:r>
            <w:proofErr w:type="spellStart"/>
            <w:r>
              <w:rPr>
                <w:rFonts w:ascii="Times New Roman" w:hAnsi="Times New Roman"/>
                <w:sz w:val="24"/>
              </w:rPr>
              <w:t>ιδ</w:t>
            </w:r>
            <w:proofErr w:type="spellEnd"/>
            <w:r>
              <w:rPr>
                <w:rFonts w:ascii="Times New Roman" w:hAnsi="Times New Roman"/>
                <w:sz w:val="24"/>
              </w:rPr>
              <w:t xml:space="preserve">, </w:t>
            </w:r>
            <w:proofErr w:type="spellStart"/>
            <w:r>
              <w:rPr>
                <w:rFonts w:ascii="Times New Roman" w:hAnsi="Times New Roman"/>
                <w:sz w:val="24"/>
              </w:rPr>
              <w:t>ιε</w:t>
            </w:r>
            <w:proofErr w:type="spellEnd"/>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Σωρευτική </w:t>
            </w:r>
            <w:proofErr w:type="spellStart"/>
            <w:r>
              <w:rPr>
                <w:rFonts w:ascii="Times New Roman" w:hAnsi="Times New Roman"/>
                <w:b/>
                <w:sz w:val="24"/>
                <w:u w:val="single"/>
              </w:rPr>
              <w:t>απομείωση</w:t>
            </w:r>
            <w:proofErr w:type="spellEnd"/>
            <w:r>
              <w:rPr>
                <w:rFonts w:ascii="Times New Roman" w:hAnsi="Times New Roman"/>
                <w:b/>
                <w:sz w:val="24"/>
                <w:u w:val="single"/>
              </w:rPr>
              <w:t xml:space="preserve"> αξίας, σωρευτικές αρνητικές μεταβολές εύλογης αξίας λόγω πιστωτικού κινδύνου και προβλέψεις</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ποσά που αναφέρονται στο παράρτημα V μέρος 2 σημεία 11, 69, 70, 71, 106 και 110 του κατ’ εξουσιοδότηση κανονισμού (ΕΕ) αριθ.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rPr>
                <w:rFonts w:ascii="Times New Roman" w:hAnsi="Times New Roman"/>
                <w:sz w:val="24"/>
              </w:rPr>
              <w:t>ιδ</w:t>
            </w:r>
            <w:proofErr w:type="spellEnd"/>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ανοίγματα βαθμίδας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Η στήλη </w:t>
            </w:r>
            <w:proofErr w:type="spellStart"/>
            <w:r>
              <w:rPr>
                <w:rFonts w:ascii="Times New Roman" w:hAnsi="Times New Roman"/>
                <w:sz w:val="24"/>
              </w:rPr>
              <w:t>ιγ</w:t>
            </w:r>
            <w:proofErr w:type="spellEnd"/>
            <w:r>
              <w:rPr>
                <w:rFonts w:ascii="Times New Roman" w:hAnsi="Times New Roman"/>
                <w:sz w:val="24"/>
              </w:rPr>
              <w:t xml:space="preserve">) περιλαμβάνει το σωρευτικό ποσό </w:t>
            </w:r>
            <w:proofErr w:type="spellStart"/>
            <w:r>
              <w:rPr>
                <w:rFonts w:ascii="Times New Roman" w:hAnsi="Times New Roman"/>
                <w:sz w:val="24"/>
              </w:rPr>
              <w:t>απομείωσης</w:t>
            </w:r>
            <w:proofErr w:type="spellEnd"/>
            <w:r>
              <w:rPr>
                <w:rFonts w:ascii="Times New Roman" w:hAnsi="Times New Roman"/>
                <w:sz w:val="24"/>
              </w:rPr>
              <w:t xml:space="preserve"> των ανοιγμάτων βαθμίδας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Τα ιδρύματα που εφαρμόζουν τα ΔΠΧΑ δημοσιοποιούν την ακαθάριστη λογιστική αξία των μέσων της «βαθμίδας 2», όπως ορίζεται στο ΔΠΧΑ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spellStart"/>
            <w:r>
              <w:rPr>
                <w:rFonts w:ascii="Times New Roman" w:hAnsi="Times New Roman"/>
                <w:sz w:val="24"/>
              </w:rPr>
              <w:lastRenderedPageBreak/>
              <w:t>ιε</w:t>
            </w:r>
            <w:proofErr w:type="spellEnd"/>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μη εξυπηρετούμενα ανοίγματα</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Τα ιδρύματα δημοσιοποιούν το σωρευτικό ποσό </w:t>
            </w:r>
            <w:proofErr w:type="spellStart"/>
            <w:r>
              <w:rPr>
                <w:rFonts w:ascii="Times New Roman" w:hAnsi="Times New Roman"/>
                <w:sz w:val="24"/>
              </w:rPr>
              <w:t>απομείωσης</w:t>
            </w:r>
            <w:proofErr w:type="spellEnd"/>
            <w:r>
              <w:rPr>
                <w:rFonts w:ascii="Times New Roman" w:hAnsi="Times New Roman"/>
                <w:sz w:val="24"/>
              </w:rPr>
              <w:t>, τις σωρευτικές αρνητικές μεταβολές εύλογης αξίας λόγω πιστωτικού κινδύνου και τις προβλέψεις που αποδίδονται σε μη εξυπηρετούμενα ανοίγματα, όπως αναφέρεται στο άρθρο 47α παράγραφος 3 του κανονισμού (ΕΕ) αριθ. 575/2013.</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Υπόδειγμα 6 — Σύνοψη των βασικών δεικτών επιδόσεων (ΒΔΕ) για τα ευθυγραμμισμένα με την ταξινομία ανοίγματα. </w:t>
      </w:r>
      <w:r>
        <w:rPr>
          <w:rFonts w:ascii="Times New Roman" w:hAnsi="Times New Roman"/>
          <w:sz w:val="24"/>
        </w:rPr>
        <w:t xml:space="preserve">Σταθερός </w:t>
      </w:r>
      <w:proofErr w:type="spellStart"/>
      <w:r>
        <w:rPr>
          <w:rFonts w:ascii="Times New Roman" w:hAnsi="Times New Roman"/>
          <w:sz w:val="24"/>
        </w:rPr>
        <w:t>μορφότυπος</w:t>
      </w:r>
      <w:proofErr w:type="spellEnd"/>
      <w:r>
        <w:rPr>
          <w:rFonts w:ascii="Times New Roman" w:hAnsi="Times New Roman"/>
          <w:sz w:val="24"/>
        </w:rPr>
        <w:t>.</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παρέχουν στο υπόδειγμα 6 επισκόπηση των ΒΔΕ που υπολογίζονται με βάση τα υποδείγματα 7 και 8 του παραρτήματος XXXIX, συμπεριλαμβανομένου του δείκτη πράσινων στοιχείων ενεργητικού (GAR), όπως αναφέρεται στον κατ’ εξουσιοδότηση κανονισμό (ΕΕ) 2021/2178</w:t>
      </w:r>
      <w:r>
        <w:rPr>
          <w:rFonts w:ascii="Times New Roman" w:hAnsi="Times New Roman"/>
          <w:sz w:val="24"/>
          <w:vertAlign w:val="superscript"/>
        </w:rPr>
        <w:t>*21</w:t>
      </w:r>
      <w:r>
        <w:rPr>
          <w:rFonts w:ascii="Times New Roman" w:hAnsi="Times New Roman"/>
          <w:sz w:val="24"/>
        </w:rPr>
        <w:t xml:space="preserve"> της Επιτροπής.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Παρότι ο κατ’ εξουσιοδότηση κανονισμός (ΕΕ) 2021/2178 απαιτεί από τις οντότητες να εκτιμούν και να δημοσιοποιούν τον GAR δύο φορές, μία φορά με βάση τον κύκλο εργασιών του αντισυμβαλλομένου που ευθυγραμμίζεται με την ταξινομία (για μη χρηματοπιστωτικές επιχειρήσεις) για τα ανοίγματα των οποίων σκοπός δεν είναι η χρηματοδότηση συγκεκριμένων προσδιορισμένων δραστηριοτήτων (δάνειο γενικού σκοπού), και άλλη μια φορά με βάση την ευθυγράμμιση των κεφαλαιουχικών δαπανών (</w:t>
      </w:r>
      <w:proofErr w:type="spellStart"/>
      <w:r>
        <w:rPr>
          <w:rFonts w:ascii="Times New Roman" w:hAnsi="Times New Roman"/>
          <w:sz w:val="24"/>
        </w:rPr>
        <w:t>CapEx</w:t>
      </w:r>
      <w:proofErr w:type="spellEnd"/>
      <w:r>
        <w:rPr>
          <w:rFonts w:ascii="Times New Roman" w:hAnsi="Times New Roman"/>
          <w:sz w:val="24"/>
        </w:rPr>
        <w:t>) του αντισυμβαλλομένου για τα ίδια ανοίγματα δανεισμού γενικού σκοπού, στο παρόν υπόδειγμα τα ιδρύματα δημοσιοποιούν τον GAR μόνο μία φορά, με βάση τον κύκλο εργασιών του αντισυμβαλλομένου που ευθυγραμμίζεται με την ταξινομία μόνο για το μέρος του δανεισμού γενικού σκοπού.</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Όσον αφορά το απόθεμα, οι GAR αποθέματος (μετριασμός της κλιματικής αλλαγής),  GAR (προσαρμογή στην κλιματική αλλαγή),  GAR (μετριασμός της κλιματικής αλλαγής και προσαρμογή στην κλιματική αλλαγή) αντιστοιχούν στους ΒΔΕ που περιλαμβάνονται στις στήλες β), ζ) και </w:t>
      </w:r>
      <w:proofErr w:type="spellStart"/>
      <w:r>
        <w:rPr>
          <w:rFonts w:ascii="Times New Roman" w:hAnsi="Times New Roman"/>
          <w:sz w:val="24"/>
        </w:rPr>
        <w:t>ιβ</w:t>
      </w:r>
      <w:proofErr w:type="spellEnd"/>
      <w:r>
        <w:rPr>
          <w:rFonts w:ascii="Times New Roman" w:hAnsi="Times New Roman"/>
          <w:sz w:val="24"/>
        </w:rPr>
        <w:t>) του υποδείγματος 8, αντίστοιχα. Ομοίως, όσον αφορά τη ροή, ο GAR (μετριασμός της κλιματικής αλλαγής), ο GAR (προσαρμογή στην κλιματική αλλαγή), ο GAR (μετριασμός της κλιματικής αλλαγής και προσαρμογή στην κλιματική αλλαγή) αντιστοιχούν στους ΒΔΕ που περιλαμβάνονται στη γραμμή 1, στήλες </w:t>
      </w:r>
      <w:proofErr w:type="spellStart"/>
      <w:r>
        <w:rPr>
          <w:rFonts w:ascii="Times New Roman" w:hAnsi="Times New Roman"/>
          <w:sz w:val="24"/>
        </w:rPr>
        <w:t>ιη</w:t>
      </w:r>
      <w:proofErr w:type="spellEnd"/>
      <w:r>
        <w:rPr>
          <w:rFonts w:ascii="Times New Roman" w:hAnsi="Times New Roman"/>
          <w:sz w:val="24"/>
        </w:rPr>
        <w:t xml:space="preserve">), </w:t>
      </w:r>
      <w:proofErr w:type="spellStart"/>
      <w:r>
        <w:rPr>
          <w:rFonts w:ascii="Times New Roman" w:hAnsi="Times New Roman"/>
          <w:sz w:val="24"/>
        </w:rPr>
        <w:t>κγ</w:t>
      </w:r>
      <w:proofErr w:type="spellEnd"/>
      <w:r>
        <w:rPr>
          <w:rFonts w:ascii="Times New Roman" w:hAnsi="Times New Roman"/>
          <w:sz w:val="24"/>
        </w:rPr>
        <w:t xml:space="preserve">) και </w:t>
      </w:r>
      <w:proofErr w:type="spellStart"/>
      <w:r>
        <w:rPr>
          <w:rFonts w:ascii="Times New Roman" w:hAnsi="Times New Roman"/>
          <w:sz w:val="24"/>
        </w:rPr>
        <w:t>αβ</w:t>
      </w:r>
      <w:proofErr w:type="spellEnd"/>
      <w:r>
        <w:rPr>
          <w:rFonts w:ascii="Times New Roman" w:hAnsi="Times New Roman"/>
          <w:sz w:val="24"/>
        </w:rPr>
        <w:t>) του ιδίου υποδείγματος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Πληροφορίες σχετικά με την κάλυψη περιλαμβάνονται στο υπόδειγμα 8, γραμμή 1, στήλη </w:t>
      </w:r>
      <w:proofErr w:type="spellStart"/>
      <w:r>
        <w:rPr>
          <w:rFonts w:ascii="Times New Roman" w:hAnsi="Times New Roman"/>
          <w:sz w:val="24"/>
        </w:rPr>
        <w:t>ιστ</w:t>
      </w:r>
      <w:proofErr w:type="spellEnd"/>
      <w:r>
        <w:rPr>
          <w:rFonts w:ascii="Times New Roman" w:hAnsi="Times New Roman"/>
          <w:sz w:val="24"/>
        </w:rPr>
        <w:t>) για τον GAR αποθέματος και στήλη </w:t>
      </w:r>
      <w:proofErr w:type="spellStart"/>
      <w:r>
        <w:rPr>
          <w:rFonts w:ascii="Times New Roman" w:hAnsi="Times New Roman"/>
          <w:sz w:val="24"/>
        </w:rPr>
        <w:t>κθ</w:t>
      </w:r>
      <w:proofErr w:type="spellEnd"/>
      <w:r>
        <w:rPr>
          <w:rFonts w:ascii="Times New Roman" w:hAnsi="Times New Roman"/>
          <w:sz w:val="24"/>
        </w:rPr>
        <w:t>) για τον GAR ροής.</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δημοσιοποιούν τις πληροφορίες αυτές με πρώτη ημερομηνία αναφοράς την 31η Δεκεμβρίου 2023, η οποία συνάδει με την πρώτη ημερομηνία αναφοράς για τη δημοσιοποίηση των πληροφοριών σχετικά με τον GAR που αναφέρεται στον κατ’ εξουσιοδότηση κανονισμό (ΕΕ) 2021/2178.</w:t>
      </w:r>
    </w:p>
    <w:p w14:paraId="0050DFCF" w14:textId="77777777" w:rsidR="00183989" w:rsidRPr="002827F5"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Υπόδειγμα 7 — Μέτρα μετριασμού: Στοιχεία ενεργητικού για τον υπολογισμό του GAR. </w:t>
      </w:r>
      <w:r>
        <w:rPr>
          <w:rFonts w:ascii="Times New Roman" w:hAnsi="Times New Roman"/>
          <w:sz w:val="24"/>
        </w:rPr>
        <w:t xml:space="preserve">Σταθερός </w:t>
      </w:r>
      <w:proofErr w:type="spellStart"/>
      <w:r>
        <w:rPr>
          <w:rFonts w:ascii="Times New Roman" w:hAnsi="Times New Roman"/>
          <w:sz w:val="24"/>
        </w:rPr>
        <w:t>μορφότυπος</w:t>
      </w:r>
      <w:proofErr w:type="spellEnd"/>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Τα ιδρύματα χρησιμοποιούν τις ακόλουθες οδηγίες για να δημοσιοποιούν τις πληροφορίες που απαιτούνται στο «Υπόδειγμα 7 — Μέτρα μετριασμού: Στοιχεία ενεργητικού για τον υπολογισμό του GAR», όπως ορίζεται στο παράρτημα XXXIX του παρόντος κανονισμού.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Τα ιδρύματα δημοσιοποιούν στο παρόν υπόδειγμα πληροφορίες σχετικά με την ακαθάριστη λογιστική αξία των δανείων και προκαταβολών, χρεωστικών τίτλων και μέσων μετοχικού κεφαλαίου των ιδρυμάτων στο τραπεζικό τους χαρτοφυλάκιο, με ανάλυση των πληροφοριών ανά είδος αντισυμβαλλομένου, συμπεριλαμβανομένων των χρηματοοικονομικών εταιρειών, των μη χρηματοπιστωτικών επιχειρήσεων, των νοικοκυριών, της τοπικής αυτοδιοίκησης, καθώς και του δανεισμού ακινήτων προς νοικοκυριά, και με την </w:t>
      </w:r>
      <w:proofErr w:type="spellStart"/>
      <w:r>
        <w:rPr>
          <w:rFonts w:ascii="Times New Roman" w:hAnsi="Times New Roman"/>
          <w:sz w:val="24"/>
        </w:rPr>
        <w:t>επιλεξιμότητα</w:t>
      </w:r>
      <w:proofErr w:type="spellEnd"/>
      <w:r>
        <w:rPr>
          <w:rFonts w:ascii="Times New Roman" w:hAnsi="Times New Roman"/>
          <w:sz w:val="24"/>
        </w:rPr>
        <w:t xml:space="preserve"> και την ταξινομία των ανοιγμάτων όσον αφορά τους περιβαλλοντικούς στόχους του μετριασμού της κλιματικής αλλαγής και της προσαρμογής </w:t>
      </w:r>
      <w:r>
        <w:rPr>
          <w:rFonts w:ascii="Times New Roman" w:hAnsi="Times New Roman"/>
          <w:sz w:val="24"/>
        </w:rPr>
        <w:lastRenderedPageBreak/>
        <w:t>στην κλιματική αλλαγή, όπως αναφέρονται στο άρθρο 9 στοιχεία α) και β) του κανονισμού (ΕΕ)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Ειδικότερα, τα ιδρύματα περιλαμβάνουν στο παρόν υπόδειγμα τις πληροφορίες που είναι αναγκαίες για τον υπολογισμό του GAR σύμφωνα με τον κατ’ εξουσιοδότηση κανονισμό (ΕΕ) 2021/2178. Παρότι ο κατ’ εξουσιοδότηση κανονισμός (ΕΕ) 2021/2178 απαιτεί από τα ιδρύματα να εκτιμούν και να δημοσιοποιούν τον GAR δύο φορές, μία φορά με βάση τον κύκλο εργασιών του αντισυμβαλλομένου που ευθυγραμμίζεται με την ταξινομία (για μη χρηματοπιστωτικές επιχειρήσεις) για τα ανοίγματα των οποίων σκοπός δεν είναι η χρηματοδότηση συγκεκριμένων προσδιορισμένων δραστηριοτήτων (δάνειο γενικού σκοπού), και άλλη μια φορά με βάση την ευθυγράμμιση των κεφαλαιουχικών δαπανών του αντισυμβαλλομένου για τα ίδια ανοίγματα δανεισμού γενικού σκοπού, στο παρόν υπόδειγμα τα ιδρύματα δημοσιοποιούν τον GAR μόνο μία φορά, με βάση μόνο τον κύκλο εργασιών του αντισυμβαλλομένου που ευθυγραμμίζεται με την ταξινομία για το μέρος του δανεισμού γενικού σκοπού.</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Με βάση τις πληροφορίες αυτές, τα ιδρύματα υπολογίζουν και δημοσιοποιούν τον GAR τους, όπως αναφέρεται στον κατ’ εξουσιοδότηση κανονισμό (ΕΕ) 2021/2178. Οι πληροφορίες που περιλαμβάνονται αφορούν τον μετριασμό της κλιματικής αλλαγής και την προσαρμογή στην κλιματική αλλαγή, όπως αναφέρεται στο άρθρο 9 στοιχεία α) και β) του κανονισμού (ΕΕ)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Τα ιδρύματα δημοσιοποιούν τις πληροφορίες αυτές με πρώτη ημερομηνία αναφοράς την 31η Δεκεμβρίου 2023, η οποία είναι η πρώτη ημερομηνία αναφοράς για τη δημοσιοποίηση των πληροφοριών σχετικά με τον GAR, όπως αναφέρεται στον κατ’ εξουσιοδότηση κανονισμό (ΕΕ)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Οδηγίες</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α</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Ακαθάριστη λογιστική αξία</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την ακαθάριστη λογιστική αξία όπως ορίζεται στο παράρτημα V μέρος 1 του εκτελεστικού κανονισμού (ΕΕ) αριθ.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β</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ανοίγματα προς τομείς συναφείς με την ταξινομία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την ακαθάριστη λογιστική αξία όπως ορίζεται στο παράρτημα V μέρος 1 του εκτελεστικού κανονισμού (ΕΕ) αριθ.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την ακαθάριστη λογιστική αξία των επιλέξιμων ανοιγμάτων σε τομείς (κωδικοί NACE 4 επιπέδου) που σχετίζονται με τον αντίστοιχο περιβαλλοντικό στόχο σύμφωνα με την ταξινομία, όπως ορίζεται στο παράρτημα I του κατ’ εξουσιοδότηση κανονισμού (ΕΕ) 2021/2139 της Επιτροπής</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ανοίγματα προς συναφείς τομείς στο πλαίσιο του στόχου μετριασμού της κλιματικής αλλαγής σύμφωνα με το άρθρο 9 στοιχείο α) και το άρθρο 10 του κανονισμού (ΕΕ)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γ</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Τα ιδρύματα δημοσιοποιούν την ακαθάριστη λογιστική αξία των επιλέξιμων ανοιγμάτων που είναι περιβαλλοντικά βιώσιμα, όπως ορίζεται στο παράρτημα I του κατ’ εξουσιοδότηση κανονισμού (ΕΕ)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περιβαλλοντικά βιώσιμα ανοίγματα στο πλαίσιο του στόχου μετριασμού της κλιματικής αλλαγής σύμφωνα με το άρθρο 9 στοιχείο α) και το άρθρο 10 του κανονισμού (ΕΕ)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Όταν είναι γνωστή η χρήση των εσόδων [ειδική δανειοδότηση, συμπεριλαμβανομένων των δανείων για τη χρηματοδότηση έργων, όπως αναφέρεται στο παράρτημα V του εκτελεστικού κανονισμού (ΕΕ) 2021/451], τα ιδρύματα δημοσιοποιούν τον βαθμό στον οποίο είναι περιβαλλοντικά βιώσιμο το άνοιγμα. Η εν λόγω δημοσιοποίηση βασίζεται στον βαθμό στον οποίο το χρηματοδοτούμενο έργο συμβάλλει σημαντικά στον μετριασμό της κλιματικής αλλαγής, σύμφωνα με το άρθρο 10 του κανονισμού (ΕΕ) 2020/852, ή αποτελεί ευνοϊκή δραστηριότητα σύμφωνα με το άρθρο 16 του εν λόγω κανονισμού, και πληροί τα κριτήρια που προσδιορίζονται στο άρθρο 3 του εν λόγω κανονισμού. Όταν η χρήση των εσόδων δεν είναι γνωστή, τα ιδρύματα δημοσιοποιούν τον βαθμό στον οποίο το άνοιγμα είναι περιβαλλοντικά βιώσιμο, χρησιμοποιώντας τις πληροφορίες που λαμβάνουν από τον αντισυμβαλλόμενο, σύμφωνα με το άρθρο 8 του κανονισμού (ΕΕ) 2020/852, σχετικά με το ποσοστό του κύκλου εργασιών που προέρχεται από προϊόντα ή υπηρεσίες που συνδέονται με οικονομικές δραστηριότητες οι οποίες χαρακτηρίζονται ως περιβαλλοντικά βιώσιμες σύμφωνα με το άρθρο 3 του εν λόγω κανονισμού.</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Κάθε άνοιγμα εξετάζεται μόνο μία φορά και κατανέμεται σε έναν μόνο περιβαλλοντικό στόχο. Όταν τα ανοίγματα αφορούν περισσότερους από έναν περιβαλλοντικούς στόχους, η κατανομή πραγματοποιείται στον πλέον συναφή στόχο.</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δ</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την ακαθάριστη λογιστική αξία όπως ορίζεται στο παράρτημα V μέρος 1 του εκτελεστικού κανονισμού (ΕΕ) αριθ.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ανοίγματα ειδικής δανειοδότησης νοούνται όπως αναφέρονται στο άρθρο 147 παράγραφος 8 του κανονισμού (ΕΕ) αριθ. 575/2013. Περιλαμβάνονται ανοίγματα που είναι περιβαλλοντικά βιώσιμα στο πλαίσιο του στόχου μετριασμού της κλιματικής αλλαγής σύμφωνα με το άρθρο 9 στοιχείο α) και το άρθρο 10 του κανονισμού (ΕΕ)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Όταν η χρήση των εσόδων είναι γνωστή, στην περίπτωση της ειδικής δανειοδότησης τα ιδρύματα δημοσιοποιούν τον βαθμό στον οποίο το άνοιγμα είναι περιβαλλοντικά βιώσιμο με βάση τον βαθμό και το ποσοστό στο οποίο το ειδικά χρηματοδοτούμενο έργο θεωρείται ότι συμβάλλει σημαντικά στον μετριασμό της κλιματικής αλλαγής (πληροφορίες ειδικά για το έργο), σύμφωνα με το άρθρο 10 του κανονισμού (ΕΕ) 2020/852, ή ευνοϊκή δραστηριότητα σύμφωνα με το άρθρο 16, και πληροί τα κριτήρια που προσδιορίζονται στο άρθρο 3 του εν λόγω κανονισμού. Τα ιδρύματα παρέχουν διαφανείς πληροφορίες σχετικά με το είδος των οικονομικών δραστηριοτήτων που χρηματοδοτούνται μέσω ειδικής δανειοδότησης. Όταν το ίδιο άνοιγμα ειδικής δανειοδότησης είναι συναφές με δύο περιβαλλοντικούς στόχους, τα ιδρύματα το κατανέμουν στον πλέον συναφή στόχο.</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ε</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μετάβασης</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Άρθρο 10 του κανονισμού (ΕΕ)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στ</w:t>
            </w:r>
            <w:proofErr w:type="spellEnd"/>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Άρθρο 16 του κανονισμού (ΕΕ)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ζ</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ανοίγματα προς τομείς συναφείς με την ταξινομία</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των επιλέξιμων ανοιγμάτων σε τομείς (κωδικοί NACE επιπέδου 4) που σχετίζονται με τον αντίστοιχο περιβαλλοντικό στόχο σύμφωνα με την ταξινομία, όπως ορίζεται στο παράρτημα IΙ του κατ’ εξουσιοδότηση κανονισμού (ΕΕ)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ανοίγματα προς συναφείς τομείς στο πλαίσιο του στόχου προσαρμογής στην κλιματική αλλαγή σύμφωνα με το άρθρο 9 στοιχείο β) και το άρθρο 11 του κανονισμού (ΕΕ)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η</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την ακαθάριστη λογιστική αξία των επιλέξιμων ανοιγμάτων που είναι περιβαλλοντικά βιώσιμα, όπως ορίζεται στο παράρτημα ΙI του κατ’ εξουσιοδότηση κανονισμού (ΕΕ)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περιβαλλοντικά βιώσιμα ανοίγματα στο πλαίσιο του στόχου προσαρμογής στην κλιματική αλλαγή σύμφωνα με το άρθρο 9 στοιχείο β) και το άρθρο 11 του κανονισμού (ΕΕ)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Όταν η χρήση των εσόδων είναι γνωστή, στην περίπτωση της ειδικής δανειοδότησης τα ιδρύματα δημοσιοποιούν τον βαθμό στον οποίο το άνοιγμα είναι περιβαλλοντικά βιώσιμο με βάση τον βαθμό και το ποσοστό στο οποίο το χρηματοδοτούμενο έργο θεωρείται ότι συμβάλλει σημαντικά στην προσαρμογή στην κλιματική αλλαγή, σύμφωνα με το άρθρο 11 του κανονισμού (ΕΕ) 2020/852, ή ευνοϊκή δραστηριότητα σύμφωνα με το άρθρο 16 του εν λόγω κανονισμού, και πληροί τα κριτήρια που προσδιορίζονται στο άρθρο 3 του εν λόγω κανονισμού.</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Όταν η χρήση των εσόδων δεν είναι γνωστή, τα ιδρύματα δημοσιοποιούν τον βαθμό στον οποίο το άνοιγμα είναι περιβαλλοντικά βιώσιμο, χρησιμοποιώντας τις πληροφορίες από τον αντισυμβαλλόμενο, σύμφωνα με το άρθρο 8 του κανονισμού (ΕΕ) 2020/852, σχετικά με το ποσοστό του κύκλου εργασιών που προέρχεται από προϊόντα ή υπηρεσίες που συνδέονται με οικονομικές δραστηριότητες οι οποίες χαρακτηρίζονται ως περιβαλλοντικά βιώσιμες σύμφωνα με το άρθρο 3 του εν λόγω κανονισμού.</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Κάθε άνοιγμα εξετάζεται μόνο μία φορά και κατανέμεται σε έναν μόνο περιβαλλοντικό στόχο. Όταν τα ανοίγματα αφορούν περισσότερους από έναν περιβαλλοντικούς στόχους, τα ανοίγματα κατανέμονται στον πλέον συναφή στόχο.</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θ</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πρέπει να δημοσιοποιούν την ακαθάριστη λογιστική αξία όπως ορίζεται στο παράρτημα V μέρος 1 του εκτελεστικού κανονισμού (ΕΕ) αριθ.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ανοίγματα ειδικής δανειοδότησης νοούνται όπως αναφέρονται στο άρθρο 147 παράγραφος 8 του κανονισμού (ΕΕ) αριθ.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τα ανοίγματα ειδικής δανειοδότησης που είναι περιβαλλοντικά βιώσιμα στο πλαίσιο του στόχου προσαρμογής στην κλιματική αλλαγή σύμφωνα με το άρθρο 9 στοιχείο β) και το άρθρο 11 του κανονισμού (ΕΕ)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τον βαθμό στον οποίο το άνοιγμα είναι περιβαλλοντικά βιώσιμο χρησιμοποιώντας τις πληροφορίες του αντισυμβαλλομένου.</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Όταν η χρήση των εσόδων είναι γνωστή, στην περίπτωση της ειδικής δανειοδότησης τα ιδρύματα δημοσιοποιούν τον βαθμό στον οποίο το άνοιγμα είναι περιβαλλοντικά βιώσιμο με βάση τον βαθμό και το ποσοστό στο οποίο το ειδικά χρηματοδοτούμενο έργο θεωρείται ότι συμβάλλει σημαντικά στην προσαρμογή στην κλιματική αλλαγή (πληροφορίες ειδικά για το έργο), σύμφωνα με το άρθρο 11 του κανονισμού (ΕΕ) 2020/852, ή ευνοϊκή δραστηριότητα σύμφωνα με το άρθρο 16 του εν λόγω κανονισμού, και πληροί τα κριτήρια που προσδιορίζονται στο άρθρο 3 του εν λόγω κανονισμού. Τα ιδρύματα παρέχουν διαφανείς πληροφορίες σχετικά με το είδος των οικονομικών δραστηριοτήτων που χρηματοδοτούνται μέσω ειδικής δανειοδότησης. Όταν το ίδιο άνοιγμα ειδικής δανειοδότησης μπορεί να είναι συναφές για δύο περιβαλλοντικούς στόχους, το άνοιγμα κατανέμεται στον πλέον συναφή στόχο.</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ι</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προσαρμογής</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Άρθρο 11 του κανονισμού (ΕΕ) 2020/852. Οι δραστηριότητες αυτές καλύπτουν εκείνες που δεν είναι ευνοϊκές δραστηριότητες.</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ια</w:t>
            </w:r>
            <w:proofErr w:type="spellEnd"/>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Άρθρο 16 του κανονισμού (ΕΕ)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ιβ</w:t>
            </w:r>
            <w:proofErr w:type="spellEnd"/>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ανοίγματα προς τομείς συναφείς με την ταξινομία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περιλαμβάνουν το άθροισμα της στήλης β) και της στήλης ζ) του παρόντος υποδείγματος.</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ιγ</w:t>
            </w:r>
            <w:proofErr w:type="spellEnd"/>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περιλαμβάνουν το άθροισμα της στήλης γ) και της στήλης η) του παρόντος υποδείγματος.</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ιδ</w:t>
            </w:r>
            <w:proofErr w:type="spellEnd"/>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ανοίγματα ειδικής δανειοδότησης νοούνται όπως αναφέρονται στο άρθρο 147 παράγραφος 8 του κανονισμού (ΕΕ) αριθ.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περιλαμβάνουν το άθροισμα της στήλης δ) και της στήλης θ) του παρόντος υποδείγματος.</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ιε</w:t>
            </w:r>
            <w:proofErr w:type="spellEnd"/>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μετάβασης/προσαρμογής</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10 και άρθρο 11 του κανονισμού (ΕΕ)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περιλαμβάνουν το άθροισμα της στήλης ε) και της στήλης ι) του παρόντος υποδείγματος.</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ιστ</w:t>
            </w:r>
            <w:proofErr w:type="spellEnd"/>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περιλαμβάνουν το άθροισμα της στήλης </w:t>
            </w:r>
            <w:proofErr w:type="spellStart"/>
            <w:r>
              <w:rPr>
                <w:rFonts w:ascii="Times New Roman" w:hAnsi="Times New Roman"/>
                <w:sz w:val="24"/>
              </w:rPr>
              <w:t>στ</w:t>
            </w:r>
            <w:proofErr w:type="spellEnd"/>
            <w:r>
              <w:rPr>
                <w:rFonts w:ascii="Times New Roman" w:hAnsi="Times New Roman"/>
                <w:sz w:val="24"/>
              </w:rPr>
              <w:t>) και της στήλης </w:t>
            </w:r>
            <w:proofErr w:type="spellStart"/>
            <w:r>
              <w:rPr>
                <w:rFonts w:ascii="Times New Roman" w:hAnsi="Times New Roman"/>
                <w:sz w:val="24"/>
              </w:rPr>
              <w:t>ια</w:t>
            </w:r>
            <w:proofErr w:type="spellEnd"/>
            <w:r>
              <w:rPr>
                <w:rFonts w:ascii="Times New Roman" w:hAnsi="Times New Roman"/>
                <w:sz w:val="24"/>
              </w:rPr>
              <w:t>) του παρόντος υποδείγματος.</w:t>
            </w:r>
          </w:p>
        </w:tc>
      </w:tr>
    </w:tbl>
    <w:p w14:paraId="4B432C06" w14:textId="77777777" w:rsidR="00183989" w:rsidRPr="002827F5"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Γραμμές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Οδηγίες</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Καλυπτόμενα στοιχεία ενεργητικού στον αριθμητή και στον παρονομαστή</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Επιλέξιμα ανοίγματα είναι εκείνα που σχετίζονται με τους αντισυμβαλλομένους και τις κατηγορίες στοιχείων ενεργητικού που καλύπτονται από το πεδίο εφαρμογής των απαιτήσεων δημοσιοποίησης σύμφωνα με το άρθρο 8 του κανονισμού (ΕΕ)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Δάνεια και προκαταβολές, χρεωστικοί τίτλοι και μέσα μετοχικού κεφαλαίου μη </w:t>
            </w:r>
            <w:proofErr w:type="spellStart"/>
            <w:r>
              <w:rPr>
                <w:rFonts w:ascii="Times New Roman" w:hAnsi="Times New Roman"/>
                <w:b/>
                <w:sz w:val="24"/>
                <w:u w:val="single"/>
              </w:rPr>
              <w:t>διακρατούμενα</w:t>
            </w:r>
            <w:proofErr w:type="spellEnd"/>
            <w:r>
              <w:rPr>
                <w:rFonts w:ascii="Times New Roman" w:hAnsi="Times New Roman"/>
                <w:b/>
                <w:sz w:val="24"/>
                <w:u w:val="single"/>
              </w:rPr>
              <w:t xml:space="preserve"> για διαπραγμάτευση, επιλέξιμα για τον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δάνεια και προκαταβολές, χρεωστικούς τίτλους και μέσα μετοχικού κεφαλαίου που ταξινομούνται στο τραπεζικό χαρτοφυλάκιο, δεν </w:t>
            </w:r>
            <w:proofErr w:type="spellStart"/>
            <w:r>
              <w:rPr>
                <w:rFonts w:ascii="Times New Roman" w:hAnsi="Times New Roman"/>
                <w:sz w:val="24"/>
              </w:rPr>
              <w:t>διακρατούνται</w:t>
            </w:r>
            <w:proofErr w:type="spellEnd"/>
            <w:r>
              <w:rPr>
                <w:rFonts w:ascii="Times New Roman" w:hAnsi="Times New Roman"/>
                <w:sz w:val="24"/>
              </w:rPr>
              <w:t xml:space="preserve"> για διαπραγμάτευση και δεν </w:t>
            </w:r>
            <w:proofErr w:type="spellStart"/>
            <w:r>
              <w:rPr>
                <w:rFonts w:ascii="Times New Roman" w:hAnsi="Times New Roman"/>
                <w:sz w:val="24"/>
              </w:rPr>
              <w:t>διακρατούνται</w:t>
            </w:r>
            <w:proofErr w:type="spellEnd"/>
            <w:r>
              <w:rPr>
                <w:rFonts w:ascii="Times New Roman" w:hAnsi="Times New Roman"/>
                <w:sz w:val="24"/>
              </w:rPr>
              <w:t xml:space="preserve"> προς πώληση, όπως ορίζονται στο παράρτημα V του εκτελεστικού κανονισμού (ΕΕ)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Χρηματοπιστωτικές επιχειρήσεις</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ανοίγματα που αναφέρονται στο παράρτημα V μέρος 1 σημείο 42 στοιχεία γ) και δ) του κατ’ εξουσιοδότηση κανονισμού (ΕΕ) αριθ.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Πιστωτικά ιδρύματα</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τα ανοίγματα που αναφέρονται στο παράρτημα V μέρος 1 σημείο 42 στοιχείο γ) του κατ’ εξουσιοδότηση κανονισμού (ΕΕ) αριθ.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Δάνεια και προκαταβολές</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δάνεια και τις προκαταβολές που αναφέρονται στο παράρτημα V μέρος 1 σημείο 32 του εκτελεστικού κανονισμού (ΕΕ) αριθ.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Χρεωστικοί τίτλοι</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τους χρεωστικούς τίτλους που αναφέρονται στο παράρτημα V μέρος 1 σημείο 31 του εκτελεστικού κανονισμού (ΕΕ) αριθ.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Μέσα μετοχικού κεφαλαίου</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τα μέσα μετοχικού κεφαλαίου που αναφέρονται στο παράρτημα V του εκτελεστικού κανονισμού (ΕΕ) αριθ. 2021/451. Οι μετοχικοί τίτλοι του τραπεζικού χαρτοφυλακίου περιλαμβάνουν επενδύσεις σε συγγενείς επιχειρήσεις, κοινοπραξίες και θυγατρικές που δεν είναι πλήρως ή αναλογικά ενοποιημένες.</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Άλλες χρηματοπιστωτικές επιχειρήσεις</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τα ανοίγματα προς άλλες χρηματοπιστωτικές επιχειρήσεις που αναφέρονται στο παράρτημα V μέρος 1 σημείο 42 στοιχείο δ) του κατ’ εξουσιοδότηση κανονισμού (ΕΕ) αριθ.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επιχειρήσεις επενδύσεων</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ανοίγματα έναντι επιχειρήσεων επενδύσεων, όπως ορίζονται στο άρθρο 4 παράγραφος 1 σημείο 2) του κανονισμού (ΕΕ) αριθ.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εταιρείες διαχείρισης</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τα ανοίγματα έναντι εταιρειών διαχείρισης, όπως ορίζονται στο άρθρο 4 παράγραφος 1 σημείο 19) του κανονισμού (ΕΕ) αριθ.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ασφαλιστικές επιχειρήσεις</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ανοίγματα έναντι ασφαλιστικών επιχειρήσεων, όπως ορίζονται στο άρθρο 4 παράγραφος 1 σημείο 5) του κανονισμού (ΕΕ) αριθ.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Μη χρηματοπιστωτικές επιχειρήσεις που υπόκεινται στις υποχρεώσεις δημοσιοποίησης της NFRD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τα ανοίγματα προς μη χρηματοπιστωτικές επιχειρήσεις που αναφέρονται στο παράρτημα V μέρος 1 σημείο 42 στοιχείο ε) του κατ’ εξουσιοδότηση κανονισμού (ΕΕ) αριθ. 2021/451, οι οποίες υπόκεινται στις υποχρεώσεις δημοσιοποίησης της οδηγίας 2014/95/ΕΕ.</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εμπορικών ακινήτων</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Τα ιδρύματα δημοσιοποιούν τα ανοίγματα που αναφέρονται στο παράρτημα V μέρος 2 σημείο 173 στοιχείο α) και σημείο 239ix του κατ’ εξουσιοδότηση κανονισμού (ΕΕ) αριθ.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Νοικοκυριά</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τα δάνεια και τις προκαταβολές όπως αναφέρονται στο παράρτημα V μέρος 1 σημείο 42 στοιχείο </w:t>
            </w:r>
            <w:proofErr w:type="spellStart"/>
            <w:r>
              <w:rPr>
                <w:rFonts w:ascii="Times New Roman" w:hAnsi="Times New Roman"/>
                <w:sz w:val="24"/>
              </w:rPr>
              <w:t>στ</w:t>
            </w:r>
            <w:proofErr w:type="spellEnd"/>
            <w:r>
              <w:rPr>
                <w:rFonts w:ascii="Times New Roman" w:hAnsi="Times New Roman"/>
                <w:sz w:val="24"/>
              </w:rPr>
              <w:t>) του εκτελεστικού κανονισμού (ΕΕ) αριθ.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πρέπει να συλλέγουν πληροφορίες από τους αντισυμβαλλομένους σε διμερή βάση μέσω της διαδικασίας χορήγησης δανείων και της τακτικής διαδικασίας επανεξέτασης και παρακολούθησης των πιστώσεων.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εξασφαλισμένα με ακίνητα κατοικίας</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δάνεια και τις προκαταβολές που είναι εξασφαλισμένα με ακίνητα κατοικίας, όπως αναφέρονται στο παράρτημα V μέρος 2 σημείο 173 στοιχείο α) του εκτελεστικού κανονισμού (ΕΕ) αριθ.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Η ευθυγράμμιση των εν λόγω ανοιγμάτων με 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ανακαίνισης κτιρίων</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δάνεια που χορηγούνται σε νοικοκυριά με σκοπό την ανακαίνιση της κατοικίας τους.</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Η ευθυγράμμιση των εν λόγω ανοιγμάτων με 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αγοράς μηχανοκίνητου οχήματος</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τα δάνεια για μηχανοκίνητα οχήματα, όπως αναφέρονται στο παράρτημα V μέρος 2 σημείο 173 στοιχείο β) σημείο </w:t>
            </w:r>
            <w:proofErr w:type="spellStart"/>
            <w:r>
              <w:rPr>
                <w:rFonts w:ascii="Times New Roman" w:hAnsi="Times New Roman"/>
                <w:sz w:val="24"/>
              </w:rPr>
              <w:t>ii</w:t>
            </w:r>
            <w:proofErr w:type="spellEnd"/>
            <w:r>
              <w:rPr>
                <w:rFonts w:ascii="Times New Roman" w:hAnsi="Times New Roman"/>
                <w:sz w:val="24"/>
              </w:rPr>
              <w:t>) του εκτελεστικού κανονισμού (ΕΕ) 2021/451 και άλλα δάνεια που χορηγούνται για την απόκτηση μηχανοκίνητου οχήματος, τα οποία αξιολογούνται βάσει απλουστευμένης προσέγγισης για τον στόχο του μετριασμού της κλιματικής αλλαγής σύμφωνα με τα τεχνικά κριτήρια ελέγχου για τη χρηματοδότηση, την ενοικίαση, τη χρηματοδοτική μίσθωση οχημάτων σύμφωνα με το παράρτημα Ι τμήμα 6.5 του κατ’ εξουσιοδότηση κανονισμού (ΕΕ) 2021/2139, με βάση την ενεργειακή απόδοση του υποκείμενου οχήματος.</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Χρηματοδότηση τοπικής αυτοδιοίκησης</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Άθροισμα των γραμμών 29 και 30.</w:t>
            </w:r>
          </w:p>
          <w:p w14:paraId="2D7809A8" w14:textId="77777777" w:rsidR="00183989" w:rsidRPr="002827F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Χρηματοδότηση της στέγασης</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δάνεια που χορηγούν στην τοπική αυτοδιοίκηση με σκοπό τη χρηματοδότηση της αγοράς δημόσιων κατοικιών.</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Άλλη χρηματοδότηση τοπικής αυτοδιοίκησης</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τα δάνεια που χορηγούν στην τοπική αυτοδιοίκηση με σκοπό τη χρηματοδότηση ανοιγμάτων ειδικής δανειοδότησης εκτός από εκείνα που προκύπτουν από την αγορά δημόσιων κατοικιών.</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Εξασφαλίσεις που λαμβάνονται με απόκτηση: ακίνητα κατοικίας και εμπορικά ακίνητα</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τις εξασφαλίσεις που λαμβάνονται με απόκτηση, όπως αναφέρονται στο παράρτημα V μέρος 2 σημείο 341 του εκτελεστικού κανονισμού (ΕΕ) αριθ.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Σύνολο στοιχείων ενεργητικού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Η γραμμή αυτή ισούται με τη γραμμή 1 του παρόντος υποδείγματος.</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2827F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Στοιχεία ενεργητικού που εξαιρούνται από τον αριθμητή για τον υπολογισμό του GAR (καλυπτόμενα στον παρονομαστή)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Μη χρηματοπιστωτικές επιχειρήσεις εντός ΕΕ (που δεν υπόκεινται στις υποχρεώσεις δημοσιοποίησης της NFRD)</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ανοίγματα προς μη χρηματοπιστωτικές επιχειρήσεις που ορίζονται στο παράρτημα V μέρος 1 σημείο 42 στοιχείο ε) του κατ’ εξουσιοδότηση κανονισμού (ΕΕ) αριθ. 2021/451, οι οποίες βρίσκονται εντός της Ένωσης και δεν υπόκεινται στις υποχρεώσεις δημοσιοποίησης της οδηγίας 2014/95/ΕΕ.</w:t>
            </w:r>
          </w:p>
          <w:p w14:paraId="4E60C6B4" w14:textId="77777777" w:rsidR="00183989" w:rsidRPr="002827F5"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Μη χρηματοπιστωτικές επιχειρήσεις εκτός ΕΕ (που δεν υπόκεινται στις υποχρεώσεις δημοσιοποίησης της NFRD)</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τα ανοίγματα προς μη χρηματοπιστωτικές επιχειρήσεις που ορίζονται στο παράρτημα V μέρος 1 σημείο 42 στοιχείο ε) του κατ’ εξουσιοδότηση κανονισμού (ΕΕ) αριθ. 2021/451, οι οποίες βρίσκονται εκτός της Ένωσης και δεν υπόκεινται στις υποχρεώσεις δημοσιοποίησης της οδηγίας 2014/95/ΕΕ.</w:t>
            </w:r>
          </w:p>
          <w:p w14:paraId="7242C1A3" w14:textId="77777777" w:rsidR="00183989" w:rsidRPr="002827F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2827F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Στοιχεία ενεργητικού που εξαιρούνται από τον αριθμητή για τον GAR (καλυπτόμενα στον παρονομαστή)</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Παράγωγα</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lastRenderedPageBreak/>
              <w:t xml:space="preserve">Τα ιδρύματα δημοσιοποιούν τα παράγωγα που δεν </w:t>
            </w:r>
            <w:proofErr w:type="spellStart"/>
            <w:r>
              <w:rPr>
                <w:rFonts w:ascii="Times New Roman" w:hAnsi="Times New Roman"/>
                <w:sz w:val="24"/>
              </w:rPr>
              <w:t>διακρατούνται</w:t>
            </w:r>
            <w:proofErr w:type="spellEnd"/>
            <w:r>
              <w:rPr>
                <w:rFonts w:ascii="Times New Roman" w:hAnsi="Times New Roman"/>
                <w:sz w:val="24"/>
              </w:rPr>
              <w:t xml:space="preserve"> για διαπραγμάτευση, όπως αναφέρονται στο παράρτημα V μέρος 1 σημείο 10 του εκτελεστικού κανονισμού (ΕΕ) αριθ.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Διατραπεζικά δάνεια σε πρώτη ζήτηση</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Τα ιδρύματα δημοσιοποιούν «Άλλες καταθέσεις όψεως», όπως αναφέρονται στο παράρτημα V μέρος 2 σημείο 3 του εκτελεστικού κανονισμού (ΕΕ) αριθ.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Μετρητά και στοιχεία ενεργητικού σχετικά με μετρητά</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Τα ιδρύματα δημοσιοποιούν τα μετρητά που αναφέρονται στο παράρτημα V μέρος 2 σημείο 1 του εκτελεστικού κανονισμού (ΕΕ) αριθ.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Άλλα στοιχεία ενεργητικού (μεταξύ άλλων υπεραξία, εμπορεύματα κ.λπ.)</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Τα ιδρύματα δημοσιοποιούν άλλα στοιχεία ενεργητικού στον ισολογισμό του ιδρύματος που δεν περιλαμβάνονται στις γραμμές 41, 42 και 43 του παρόντος υποδείγματος.</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Σύνολο ενεργητικού στον παρονομαστή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Η γραμμή αυτή είναι το άθροισμα των γραμμών 32, 33, 37 και 41 έως 44 του παρόντος υποδείγματος.</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2827F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Άλλα στοιχεία ενεργητικού που εξαιρούνται από τον αριθμητή και από τον παρονομαστή για τον υπολογισμό του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Κρατικά</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Τα ιδρύματα δημοσιοποιούν τις γενικές κυβερνήσεις, όπως αναφέρεται στο παράρτημα V μέρος 1 σημείο 42 του εκτελεστικού κανονισμού (ΕΕ) 2021/451, εξαιρουμένων των ανοιγμάτων που περιλαμβάνονται στις γραμμές 29 και 30 του παρόντος υποδείγματος.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Ανοίγματα στην κεντρική τράπεζα</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Τα ιδρύματα δημοσιοποιούν τα ανοίγματα έναντι κεντρικών τραπεζών.</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Χαρτοφυλάκιο συναλλαγών</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Τα ιδρύματα δημοσιοποιούν χρηματοοικονομικά στοιχεία ενεργητικού </w:t>
            </w:r>
            <w:proofErr w:type="spellStart"/>
            <w:r>
              <w:rPr>
                <w:rFonts w:ascii="Times New Roman" w:hAnsi="Times New Roman"/>
                <w:sz w:val="24"/>
              </w:rPr>
              <w:t>διακρατούμενα</w:t>
            </w:r>
            <w:proofErr w:type="spellEnd"/>
            <w:r>
              <w:rPr>
                <w:rFonts w:ascii="Times New Roman" w:hAnsi="Times New Roman"/>
                <w:sz w:val="24"/>
              </w:rPr>
              <w:t xml:space="preserve"> για διαπραγμάτευση ή χρηματοοικονομικά στοιχεία συναλλαγών, όπως ορίζονται στις εφαρμοστέες λογιστικές αρχές.</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Σύνολο στοιχείων ενεργητικού που εξαιρούνται από τον αριθμητή και τον παρονομαστή</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Η γραμμή αυτή είναι το άθροισμα των γραμμών 46, 47 και 48 του παρόντος υποδείγματος.</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Σύνολο ενεργητικού</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Η γραμμή αυτή είναι το άθροισμα των γραμμών 45 και 49 του παρόντος υποδείγματος.</w:t>
            </w:r>
          </w:p>
        </w:tc>
      </w:tr>
    </w:tbl>
    <w:p w14:paraId="7DD51BA0" w14:textId="77777777" w:rsidR="00183989" w:rsidRPr="002827F5" w:rsidRDefault="00183989" w:rsidP="00183989">
      <w:pPr>
        <w:jc w:val="both"/>
        <w:rPr>
          <w:rFonts w:ascii="Times New Roman" w:hAnsi="Times New Roman" w:cs="Times New Roman"/>
          <w:b/>
          <w:noProof/>
          <w:sz w:val="24"/>
        </w:rPr>
      </w:pPr>
    </w:p>
    <w:p w14:paraId="7391C4C1" w14:textId="77777777" w:rsidR="00183989" w:rsidRPr="002827F5"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Υπόδειγμα 8 —</w:t>
      </w:r>
      <w:bookmarkStart w:id="14" w:name="_Hlk86261561"/>
      <w:r>
        <w:rPr>
          <w:rFonts w:ascii="Times New Roman" w:hAnsi="Times New Roman"/>
          <w:b/>
          <w:sz w:val="24"/>
        </w:rPr>
        <w:t xml:space="preserve"> 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Τα ιδρύματα χρησιμοποιούν τις ακόλουθες οδηγίες για να δημοσιοποιούν τις πληροφορίες που απαιτούνται στο «Υπόδειγμα 8 — GAR (%)», όπως ορίζεται στο παράρτημα XXXIX του παρόντος κανονισμού.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Με βάση τις πληροφορίες που περιλαμβάνονται στο υπόδειγμα 7, τα ιδρύματα δημοσιοποιούν στο παρόν υπόδειγμα τον GAR, όπως αναφέρεται στον κατ’ εξουσιοδότηση κανονισμό (ΕΕ)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Σκοπός του παρόντος υποδείγματος είναι να καταδείξει τον βαθμό στον οποίο οι δραστηριότητες των ιδρυμάτων χαρακτηρίζονται περιβαλλοντικά βιώσιμες σύμφωνα με τα άρθρα 3 και 9 του κανονισμού (ΕΕ) 2020/852, ώστε τα ενδιαφερόμενα μέρη να μπορούν να κατανοούν τις δράσεις που εφαρμόζουν τα ιδρύματα για τον μετριασμό των κινδύνων μετάβασης στην κλιματική αλλαγή και των υλικών κινδύνων.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Ο κατ’ εξουσιοδότηση κανονισμός (ΕΕ) 2021/2178 απαιτεί από τα ιδρύματα να εκτιμούν και να δημοσιοποιούν τον GAR δύο φορές. Την μία φορά, η δημοσιοποίηση βασίζεται στην ευθυγράμμιση του κύκλου εργασιών του αντισυμβαλλομένου με την ταξινομία (για μη χρηματοπιστωτικές επιχειρήσεις) όσον αφορά τα ανοίγματα σκοπός των οποίων δεν είναι η χρηματοδότηση συγκεκριμένων προσδιορισμένων δραστηριοτήτων (δανειοδότηση γενικού σκοπού). Η δεύτερη δημοσιοποίηση βασίζεται στην ευθυγράμμιση των κεφαλαιουχικών δαπανών με τον κανονισμό (ΕΕ) 2020/852 του αντισυμβαλλομένου όσον αφορά τα ίδια δανειοδοτικά ανοίγματα γενικού σκοπού. Στο παρόν υπόδειγμα, τα ιδρύματα δημοσιοποιούν τον GAR μόνο μία φορά, με βάση την ευθυγράμμιση του κύκλου εργασιών του αντισυμβαλλομένου μόνο για το μέρος του δανεισμού γενικού σκοπού.</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αρχίζουν να δημοσιοποιούν τις πληροφορίες αυτές με πρώτη ημερομηνία αναφοράς την 31η Δεκεμβρίου 2023, η οποία συνάδει με την πρώτη ημερομηνία αναφοράς για τη δημοσιοποίηση των πληροφοριών σχετικά με τον GAR που αναφέρεται στον κατ’ εξουσιοδότηση κανονισμό (ΕΕ)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Οδηγίες</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α</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στοιχείων ενεργητικού που χρηματοδοτούν τομείς συναφείς με την ταξινομία</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χρηματοδοτούν δραστηριότητες που αναφέρονται στον κατ’ εξουσιοδότηση κανονισμό (ΕΕ) 2020/852</w:t>
            </w:r>
            <w:r>
              <w:rPr>
                <w:rFonts w:ascii="Times New Roman" w:hAnsi="Times New Roman"/>
                <w:color w:val="666666"/>
                <w:sz w:val="21"/>
                <w:shd w:val="clear" w:color="auto" w:fill="FFFFFF"/>
              </w:rPr>
              <w:t xml:space="preserve"> </w:t>
            </w:r>
            <w:r>
              <w:rPr>
                <w:rFonts w:ascii="Times New Roman" w:hAnsi="Times New Roman"/>
                <w:sz w:val="24"/>
              </w:rPr>
              <w:t>(δηλαδή επιλέξιμα στοιχεία ενεργητικού) επί του συνολικού αποθέματος των καλυπτόμενων στοιχείων ενεργητικού. Το στοιχείο αυτό εκφράζεται σε ποσοστό.</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στοιχείων ενεργητικού που χρηματοδοτούν τομείς συναφείς με την ταξινομία, όπως αναφέρεται στον κανονισμό (ΕΕ) 2020/852</w:t>
            </w:r>
            <w:r>
              <w:rPr>
                <w:rFonts w:ascii="Times New Roman" w:hAnsi="Times New Roman"/>
                <w:color w:val="666666"/>
                <w:sz w:val="21"/>
                <w:shd w:val="clear" w:color="auto" w:fill="FFFFFF"/>
              </w:rPr>
              <w:t xml:space="preserve"> </w:t>
            </w:r>
            <w:r>
              <w:rPr>
                <w:rFonts w:ascii="Times New Roman" w:hAnsi="Times New Roman"/>
                <w:sz w:val="24"/>
              </w:rPr>
              <w:t>για τον στόχο του μετριασμού της κλιματικής αλλαγής, όπως αναφέρεται στις οδηγίες που αντιστοιχούν στη στήλη β) του υποδείγματος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Ο παρονομαστής του ΒΔΕ είναι η ακαθάριστη λογιστική αξία των καλυπτόμενων στοιχείων ενεργητικού, όπως ορίζεται στις οδηγίες που αντιστοιχούν στη στήλη α) του υποδείγματος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β</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χρηματοδοτούν περιβαλλοντικά βιώσιμες δραστηριότητες (δηλαδή ευθυγραμμισμένα στοιχεία ενεργητικού) στο απόθεμα επιλέξιμων στοιχείων ενεργητικού. Το στοιχείο εκφράζεται σε ποσοστό.</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στοιχείων ενεργητικού που χρηματοδοτούν περιβαλλοντικά βιώσιμες δραστηριότητες για τον στόχο του μετριασμού της κλιματικής αλλαγής, όπως αναφέρεται στις οδηγίες που αντιστοιχούν στη στήλη γ) του υποδείγματος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ανοιγμάτων, όπως αναφέρεται στις οδηγίες που αντιστοιχούν στη στήλη α) του υποδείγματος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γ</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ταξινομούνται ως χρηματοδότηση από ειδική δανειοδότηση περιβαλλοντικά βιώσιμων δραστηριοτήτων για τον στόχο του μετριασμού της κλιματικής αλλαγής στο απόθεμα στοιχείων ενεργητικού που χρηματοδοτούν περιβαλλοντικά βιώσιμες δραστηριότητες. Το στοιχείο εκφράζεται σε ποσοστό.</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στοιχείων ενεργητικού, όπως αναφέρεται στις οδηγίες που αντιστοιχούν στη στήλη δ) του υποδείγματος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δ</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μετάβασης</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10 του κανονισμού (ΕΕ)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αφορά μεταβατικές δραστηριότητες για τον στόχο του μετριασμού της κλιματικής αλλαγής στο απόθεμα στοιχείων ενεργητικού που χρηματοδοτούν περιβαλλοντικά βιώσιμες δραστηριότητες. Το στοιχείο εκφράζεται σε ποσοστό.</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στοιχείων ενεργητικού, όπως αναφέρεται στις οδηγίες που αντιστοιχούν στη στήλη ε) του υποδείγματος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ε</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Τα ιδρύματα δημοσιοποιούν το ποσοστό του αποθέματος στοιχείων ενεργητικού που αφορά ευνοϊκές δραστηριότητες για τον στόχο του μετριασμού της κλιματικής αλλαγής στο απόθεμα στοιχείων ενεργητικού που χρηματοδοτούν περιβαλλοντικά βιώσιμες δραστηριότητες. Το στοιχείο εκφράζεται σε ποσοστό.</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στοιχείων ενεργητικού, όπως αναφέρεται στις οδηγίες που αντιστοιχούν στη στήλη </w:t>
            </w:r>
            <w:proofErr w:type="spellStart"/>
            <w:r>
              <w:rPr>
                <w:rFonts w:ascii="Times New Roman" w:hAnsi="Times New Roman"/>
                <w:sz w:val="24"/>
              </w:rPr>
              <w:t>στ</w:t>
            </w:r>
            <w:proofErr w:type="spellEnd"/>
            <w:r>
              <w:rPr>
                <w:rFonts w:ascii="Times New Roman" w:hAnsi="Times New Roman"/>
                <w:sz w:val="24"/>
              </w:rPr>
              <w:t>) του υποδείγματος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στ</w:t>
            </w:r>
            <w:proofErr w:type="spellEnd"/>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στοιχείων ενεργητικού που χρηματοδοτούν τομείς συναφείς με την ταξινομία</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χρηματοδοτούν δραστηριότητες συναφείς με την ταξινομία (δηλαδή επιλέξιμα στοιχεία ενεργητικού) στο συνολικό απόθεμα καλυπτόμενων στοιχείων ενεργητικού. Το στοιχείο εκφράζεται σε ποσοστό.</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στοιχείων ενεργητικού που χρηματοδοτούν τομείς συναφείς με την ταξινομία για τον στόχο της προσαρμογής στην κλιματική αλλαγή, όπως αναφέρεται στις οδηγίες που αντιστοιχούν στη στήλη ζ) του υποδείγματος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ζ</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χρηματοδοτούν περιβαλλοντικά βιώσιμες δραστηριότητες (δηλαδή ευθυγραμμισμένα στοιχεία ενεργητικού) στο απόθεμα επιλέξιμων στοιχείων ενεργητικού. Το στοιχείο εκφράζεται σε ποσοστό.</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στοιχείων ενεργητικού που χρηματοδοτούν περιβαλλοντικά βιώσιμες δραστηριότητες για τον στόχο της προσαρμογής στην κλιματική αλλαγή, όπως αναφέρεται στις οδηγίες που αντιστοιχούν στη στήλη η) του υποδείγματος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Ο παρονομαστής του ΒΔΕ είναι η ακαθάριστη λογιστική αξία των καλυπτόμενων ανοιγμάτων, όπως αναφέρεται στις οδηγίες που αντιστοιχούν στη στήλη α) του υποδείγματος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η</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ταξινομούνται ως χρηματοδότηση από ειδική δανειοδότηση περιβαλλοντικά βιώσιμων δραστηριοτήτων για τον στόχο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Ο αριθμητής του ΒΔΕ είναι η ακαθάριστη λογιστική αξία των στοιχείων ενεργητικού, όπως αναφέρεται στις οδηγίες που αντιστοιχούν στη στήλη θ) του υποδείγματος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θ</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προσαρμογής</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11 του κανονισμού (ΕΕ)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αφορά δραστηριότητες προσαρμογής για τον στόχο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στοιχείων ενεργητικού, όπως αναφέρεται στις οδηγίες που αντιστοιχούν στη στήλη ι) του υποδείγματος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ι</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αφορά ευνοϊκές δραστηριότητες για τον στόχο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στοιχείων ενεργητικού, όπως αναφέρεται στις οδηγίες που αντιστοιχούν στη στήλη </w:t>
            </w:r>
            <w:proofErr w:type="spellStart"/>
            <w:r>
              <w:rPr>
                <w:rFonts w:ascii="Times New Roman" w:hAnsi="Times New Roman"/>
                <w:sz w:val="24"/>
              </w:rPr>
              <w:t>ια</w:t>
            </w:r>
            <w:proofErr w:type="spellEnd"/>
            <w:r>
              <w:rPr>
                <w:rFonts w:ascii="Times New Roman" w:hAnsi="Times New Roman"/>
                <w:sz w:val="24"/>
              </w:rPr>
              <w:t>) του υποδείγματος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ια</w:t>
            </w:r>
            <w:proofErr w:type="spellEnd"/>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στοιχείων ενεργητικού που χρηματοδοτούν τομείς συναφείς με την ταξινομία</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χρηματοδοτούν τομείς συναφείς με την ταξινομία (δηλαδή επιλέξιμα στοιχεία ενεργητικού) για τους στόχους του μετριασμού της κλιματικής αλλαγής και της προσαρμογής στην κλιματική αλλαγή, σε σύγκριση με το συνολικό απόθεμα των καλυπτόμενων στοιχείων ενεργητικού. Το στοιχείο εκφράζεται σε ποσοστό.</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στοιχείων ενεργητικού που χρηματοδοτούν τομείς συναφείς με την ταξινομία, όπως αναφέρεται στις οδηγίες που αντιστοιχούν στη στήλη </w:t>
            </w:r>
            <w:proofErr w:type="spellStart"/>
            <w:r>
              <w:rPr>
                <w:rFonts w:ascii="Times New Roman" w:hAnsi="Times New Roman"/>
                <w:sz w:val="24"/>
              </w:rPr>
              <w:t>ιβ</w:t>
            </w:r>
            <w:proofErr w:type="spellEnd"/>
            <w:r>
              <w:rPr>
                <w:rFonts w:ascii="Times New Roman" w:hAnsi="Times New Roman"/>
                <w:sz w:val="24"/>
              </w:rPr>
              <w:t>) του υποδείγματος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ιβ</w:t>
            </w:r>
            <w:proofErr w:type="spellEnd"/>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χρηματοδοτούν περιβαλλοντικά βιώσιμες δραστηριότητες για τους στόχους του μετριασμού της κλιματικής αλλαγής και της προσαρμογής στην κλιματική αλλαγή στο απόθεμα επιλέξιμων στοιχείων ενεργητικού. Το στοιχείο εκφράζεται σε ποσοστό.</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στοιχείων ενεργητικού που χρηματοδοτούν περιβαλλοντικά βιώσιμες δραστηριότητες, όπως αναφέρεται στις οδηγίες που αντιστοιχούν στη στήλη </w:t>
            </w:r>
            <w:proofErr w:type="spellStart"/>
            <w:r>
              <w:rPr>
                <w:rFonts w:ascii="Times New Roman" w:hAnsi="Times New Roman"/>
                <w:sz w:val="24"/>
              </w:rPr>
              <w:t>ιγ</w:t>
            </w:r>
            <w:proofErr w:type="spellEnd"/>
            <w:r>
              <w:rPr>
                <w:rFonts w:ascii="Times New Roman" w:hAnsi="Times New Roman"/>
                <w:sz w:val="24"/>
              </w:rPr>
              <w:t>) του υποδείγματος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ανοιγμάτων, όπως αναφέρεται στις οδηγίες που αντιστοιχούν στη στήλη α) του υποδείγματος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ιγ</w:t>
            </w:r>
            <w:proofErr w:type="spellEnd"/>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του αποθέματος στοιχείων ενεργητικού που ταξινομούνται ως χρηματοδότηση από ειδική δανειοδότηση περιβαλλοντικά βιώσιμων δραστηριοτήτων για τους στόχους του μετριασμού της κλιματικής αλλαγής και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στοιχείων ενεργητικού, όπως αναφέρεται στις οδηγίες που αντιστοιχούν στη στήλη </w:t>
            </w:r>
            <w:proofErr w:type="spellStart"/>
            <w:r>
              <w:rPr>
                <w:rFonts w:ascii="Times New Roman" w:hAnsi="Times New Roman"/>
                <w:sz w:val="24"/>
              </w:rPr>
              <w:t>ιδ</w:t>
            </w:r>
            <w:proofErr w:type="spellEnd"/>
            <w:r>
              <w:rPr>
                <w:rFonts w:ascii="Times New Roman" w:hAnsi="Times New Roman"/>
                <w:sz w:val="24"/>
              </w:rPr>
              <w:t>) του υποδείγματος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ιδ</w:t>
            </w:r>
            <w:proofErr w:type="spellEnd"/>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μετάβασης/προσαρμογής</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Άρθρα 10 και 11 του κανονισμού (ΕΕ)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Το ποσοστό αντιστοιχεί στις στήλες δ) και θ).</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ιε</w:t>
            </w:r>
            <w:proofErr w:type="spellEnd"/>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Το ποσοστό αντιστοιχεί στις στήλες ε) και ι).</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ιστ</w:t>
            </w:r>
            <w:proofErr w:type="spellEnd"/>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των συνολικών καλυπτόμενων στοιχείων ενεργητικού</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συνολικών καλυπτόμενων στοιχείων ενεργητικού που καλύπτονται από τον GAR. Το στοιχείο εκφράζεται σε ποσοστό.</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Ο αριθμητής του ΒΔΕ είναι η ακαθάριστη λογιστική αξία του αποθέματος καλυπτόμενων στοιχείων ενεργητικού, όπως αναφέρεται στις οδηγίες που αντιστοιχούν στη στήλη 1 του υποδείγματος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Ο παρονομαστής του ΒΔΕ είναι η ακαθάριστη λογιστική αξία των συνολικών στοιχείων ενεργητικού στον ισολογισμό του ιδρύματος, όπως αναφέρεται στις οδηγίες που αντιστοιχούν στη γραμμή 50 του υποδείγματος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ιζ</w:t>
            </w:r>
            <w:proofErr w:type="spellEnd"/>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νέων στοιχείων ενεργητικού που χρηματοδοτούν τομείς συναφείς με την ταξινομία</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δραστηριότητες συναφείς με την ταξινομία (δηλαδή επιλέξιμα στοιχεία ενεργητικού) για τον στόχο του μετριασμού της κλιματικής αλλαγής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ως ποσοστό.</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που χρηματοδοτούν τομείς συναφείς με την ταξινομία, όπως αναφέρεται στις οδηγίες που αντιστοιχούν στη στήλη β) του υποδείγματος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ιη</w:t>
            </w:r>
            <w:proofErr w:type="spellEnd"/>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περιβαλλοντικά βιώσιμες δραστηριότητες για τον στόχο του μετριασμού της κλιματικής αλλαγής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εκφράζεται σε ποσοστό.</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γ) του υποδείγματος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ιθ</w:t>
            </w:r>
            <w:proofErr w:type="spellEnd"/>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ταξινομούνται ως χρηματοδότηση ειδικής </w:t>
            </w:r>
            <w:r>
              <w:rPr>
                <w:rFonts w:ascii="Times New Roman" w:hAnsi="Times New Roman"/>
                <w:sz w:val="24"/>
              </w:rPr>
              <w:lastRenderedPageBreak/>
              <w:t>δανειοδότησης περιβαλλοντικά βιώσιμων δραστηριοτήτων για τον στόχο του μετριασμού της κλιματικής αλλαγής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εκφράζεται σε ποσοστό.</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δ) του υποδείγματος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κ</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μετάβασης</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10 του κανονισμού (ΕΕ)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δραστηριότητες μετάβασης για τον στόχο του μετριασμού της κλιματικής αλλαγής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εκφράζεται σε ποσοστό.</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ε) του υποδείγματος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καλυπτόμενων νέων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κα</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ευνοϊκές δραστηριότητες για τον στόχο του μετριασμού της κλιματικής αλλαγής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εκφράζεται σε ποσοστό.</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w:t>
            </w:r>
            <w:proofErr w:type="spellStart"/>
            <w:r>
              <w:rPr>
                <w:rFonts w:ascii="Times New Roman" w:hAnsi="Times New Roman"/>
                <w:sz w:val="24"/>
              </w:rPr>
              <w:t>στ</w:t>
            </w:r>
            <w:proofErr w:type="spellEnd"/>
            <w:r>
              <w:rPr>
                <w:rFonts w:ascii="Times New Roman" w:hAnsi="Times New Roman"/>
                <w:sz w:val="24"/>
              </w:rPr>
              <w:t>) του υποδείγματος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καλυπτόμενων νέων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κβ</w:t>
            </w:r>
            <w:proofErr w:type="spellEnd"/>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νέων στοιχείων ενεργητικού που χρηματοδοτούν τομείς συναφείς με την ταξινομία</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δραστηριότητες οι οποίες καλύπτονται από τον κανονισμό (ΕΕ) 2020/852 για τον στόχο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που χρηματοδοτούν τομείς συναφείς με την ταξινομία, όπως αναφέρεται στις οδηγίες που αντιστοιχούν στη στήλη ζ) του υποδείγματος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κγ</w:t>
            </w:r>
            <w:proofErr w:type="spellEnd"/>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περιβαλλοντικά βιώσιμες δραστηριότητες για τον στόχο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η) του υποδείγματος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κδ</w:t>
            </w:r>
            <w:proofErr w:type="spellEnd"/>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ταξινομούνται ως χρηματοδότηση ειδικής </w:t>
            </w:r>
            <w:r>
              <w:rPr>
                <w:rFonts w:ascii="Times New Roman" w:hAnsi="Times New Roman"/>
                <w:sz w:val="24"/>
              </w:rPr>
              <w:lastRenderedPageBreak/>
              <w:t>δανειοδότησης περιβαλλοντικά βιώσιμων δραστηριοτήτων για τον στόχο της προσαρμογής στην κλιματική αλλαγή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θ) του υποδείγματος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κε</w:t>
            </w:r>
            <w:proofErr w:type="spellEnd"/>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προσαρμογής</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11 του κανονισμού (ΕΕ)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δραστηριότητες μετάβασης για τον στόχο της προσαρμογής στην κλιματική αλλαγή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ι) του υποδείγματος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κστ</w:t>
            </w:r>
            <w:proofErr w:type="spellEnd"/>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ευνοϊκές δραστηριότητες για τον στόχο της προσαρμογής στην κλιματική αλλαγή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w:t>
            </w:r>
            <w:proofErr w:type="spellStart"/>
            <w:r>
              <w:rPr>
                <w:rFonts w:ascii="Times New Roman" w:hAnsi="Times New Roman"/>
                <w:sz w:val="24"/>
              </w:rPr>
              <w:t>ια</w:t>
            </w:r>
            <w:proofErr w:type="spellEnd"/>
            <w:r>
              <w:rPr>
                <w:rFonts w:ascii="Times New Roman" w:hAnsi="Times New Roman"/>
                <w:sz w:val="24"/>
              </w:rPr>
              <w:t>) του υποδείγματος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κζ</w:t>
            </w:r>
            <w:proofErr w:type="spell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στοιχείων ενεργητικού που χρηματοδοτούν τομείς συναφείς με την ταξινομία</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δραστηριότητες οι οποίες καλύπτονται από τους στόχους του κανονισμού (ΕΕ) 2020/852 για τον στόχο του μετριασμού της κλιματικής αλλαγής και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που χρηματοδοτούν τομείς συναφείς με την ταξινομία, όπως αναφέρεται στις οδηγίες που αντιστοιχούν στη στήλη </w:t>
            </w:r>
            <w:proofErr w:type="spellStart"/>
            <w:r>
              <w:rPr>
                <w:rFonts w:ascii="Times New Roman" w:hAnsi="Times New Roman"/>
                <w:sz w:val="24"/>
              </w:rPr>
              <w:t>ιβ</w:t>
            </w:r>
            <w:proofErr w:type="spellEnd"/>
            <w:r>
              <w:rPr>
                <w:rFonts w:ascii="Times New Roman" w:hAnsi="Times New Roman"/>
                <w:sz w:val="24"/>
              </w:rPr>
              <w:t>) του υποδείγματος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κη</w:t>
            </w:r>
            <w:proofErr w:type="spellEnd"/>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Εκ των οποίων: περιβαλλοντικά βιώσιμα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περιβαλλοντικά βιώσιμες δραστηριότητες για τον στόχο του μετριασμού της κλιματικής αλλαγής και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w:t>
            </w:r>
            <w:proofErr w:type="spellStart"/>
            <w:r>
              <w:rPr>
                <w:rFonts w:ascii="Times New Roman" w:hAnsi="Times New Roman"/>
                <w:sz w:val="24"/>
              </w:rPr>
              <w:t>ιγ</w:t>
            </w:r>
            <w:proofErr w:type="spellEnd"/>
            <w:r>
              <w:rPr>
                <w:rFonts w:ascii="Times New Roman" w:hAnsi="Times New Roman"/>
                <w:sz w:val="24"/>
              </w:rPr>
              <w:t>) του υποδείγματος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κθ</w:t>
            </w:r>
            <w:proofErr w:type="spellEnd"/>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ειδική δανειοδότηση</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Τα ιδρύματα δημοσιοποιούν το ποσοστό των νέων στοιχείων ενεργητικού (δηλαδή των στοιχείων ενεργητικού που χορηγούνται εντός της τρέχουσας </w:t>
            </w:r>
            <w:r>
              <w:rPr>
                <w:rFonts w:ascii="Times New Roman" w:hAnsi="Times New Roman"/>
                <w:sz w:val="24"/>
              </w:rPr>
              <w:lastRenderedPageBreak/>
              <w:t>περιόδου δημοσιοποίησης) που ταξινομούνται ως χρηματοδότηση ειδικής δανειοδότησης περιβαλλοντικά βιώσιμων δραστηριοτήτων για τον στόχο του μετριασμού της κλιματικής αλλαγής και της προσαρμογής στην κλιματική αλλαγή στα συνολικά νέα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στοιχεία ενεργητικού υπολογίζονται χωρίς τις αποπληρωμές και άλλες μειώσεις.</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αυτό εκφράζεται σε ποσοστό.</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w:t>
            </w:r>
            <w:proofErr w:type="spellStart"/>
            <w:r>
              <w:rPr>
                <w:rFonts w:ascii="Times New Roman" w:hAnsi="Times New Roman"/>
                <w:sz w:val="24"/>
              </w:rPr>
              <w:t>ιδ</w:t>
            </w:r>
            <w:proofErr w:type="spellEnd"/>
            <w:r>
              <w:rPr>
                <w:rFonts w:ascii="Times New Roman" w:hAnsi="Times New Roman"/>
                <w:sz w:val="24"/>
              </w:rPr>
              <w:t>) του υποδείγματος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λ</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δραστηριότητες μετάβασης/προσαρμογής</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Άρθρα 10 και 11 του κανονισμού (ΕΕ)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Το ποσοστό αντιστοιχεί στις στήλες κ) και </w:t>
            </w:r>
            <w:proofErr w:type="spellStart"/>
            <w:r>
              <w:rPr>
                <w:rFonts w:ascii="Times New Roman" w:hAnsi="Times New Roman"/>
                <w:sz w:val="24"/>
              </w:rPr>
              <w:t>κε</w:t>
            </w:r>
            <w:proofErr w:type="spellEnd"/>
            <w:r>
              <w:rPr>
                <w:rFonts w:ascii="Times New Roman" w:hAnsi="Times New Roman"/>
                <w:sz w:val="24"/>
              </w:rPr>
              <w:t>).</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λα</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ευνοϊκές δραστηριότητες</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Άρθρο 16 του κανονισμού (ΕΕ)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Το ποσοστό αντιστοιχεί στις στήλες κα) και </w:t>
            </w:r>
            <w:proofErr w:type="spellStart"/>
            <w:r>
              <w:rPr>
                <w:rFonts w:ascii="Times New Roman" w:hAnsi="Times New Roman"/>
                <w:sz w:val="24"/>
              </w:rPr>
              <w:t>κστ</w:t>
            </w:r>
            <w:proofErr w:type="spellEnd"/>
            <w:r>
              <w:rPr>
                <w:rFonts w:ascii="Times New Roman" w:hAnsi="Times New Roman"/>
                <w:sz w:val="24"/>
              </w:rPr>
              <w:t>).</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λβ</w:t>
            </w:r>
            <w:proofErr w:type="spell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Ποσοστό των νέων συνολικών καλυπτόμενων στοιχείων ενεργητικού</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ποσοστό των νέων συνολικών καλυπτόμενων στοιχείων ενεργητικού που καλύπτονται από τον GAR. Τα νέα στοιχεία ενεργητικού υπολογίζονται χωρίς τις αποπληρωμές και άλλες μειώσεις.</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Το στοιχείο εκφράζεται σε ποσοστό.</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αριθμητής του ΒΔΕ είναι η διαφορά της ακαθάριστης λογιστικής αξίας των καλυμμένων στοιχείων ενεργητικού, όπως αναφέρεται στις οδηγίες που αντιστοιχούν στη γραμμή 1 του υποδείγματος 7, μεταξύ της τρέχουσας περιόδου δημοσιοποίησης (t) και της προηγούμενης περιόδου δημοσιοποίησης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 παρονομαστής του ΒΔΕ είναι η διαφορά της ακαθάριστης λογιστικής αξίας των νέων συνολικών στοιχείων ενεργητικού, όπως αναφέρεται στις οδηγίες που αντιστοιχούν στη γραμμή 53 του υποδείγματος 7, μεταξύ της τρέχουσας περιόδου δημοσιοποίησης (t) και της προηγούμενης περιόδου δημοσιοποίησης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Γραμμές</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Οδηγίες</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Ο </w:t>
            </w:r>
            <w:r>
              <w:rPr>
                <w:rFonts w:ascii="Times New Roman" w:hAnsi="Times New Roman"/>
                <w:b/>
                <w:sz w:val="24"/>
                <w:u w:val="single"/>
              </w:rPr>
              <w:t>GAR</w:t>
            </w:r>
            <w:r>
              <w:rPr>
                <w:rFonts w:ascii="Times New Roman" w:hAnsi="Times New Roman"/>
                <w:sz w:val="24"/>
              </w:rPr>
              <w:t xml:space="preserve"> όπως αναφέρεται στον κατ’ εξουσιοδότηση κανονισμό (ΕΕ)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Δάνεια και προκαταβολές, χρεωστικοί τίτλοι και μέσα μετοχικού κεφαλαίου μη </w:t>
            </w:r>
            <w:proofErr w:type="spellStart"/>
            <w:r>
              <w:rPr>
                <w:rFonts w:ascii="Times New Roman" w:hAnsi="Times New Roman"/>
                <w:b/>
                <w:sz w:val="24"/>
                <w:u w:val="single"/>
              </w:rPr>
              <w:t>διακρατούμενα</w:t>
            </w:r>
            <w:proofErr w:type="spellEnd"/>
            <w:r>
              <w:rPr>
                <w:rFonts w:ascii="Times New Roman" w:hAnsi="Times New Roman"/>
                <w:b/>
                <w:sz w:val="24"/>
                <w:u w:val="single"/>
              </w:rPr>
              <w:t xml:space="preserve"> για διαπραγμάτευση, επιλέξιμα για τον υπολογισμό του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σε % για ανοίγματα στη γραμμή 1 του υποδείγματος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Χρηματοπιστωτικές επιχειρήσεις</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 του υποδείγματος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Πιστωτικά ιδρύματα</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3 του υποδείγματος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Άλλες χρηματοπιστωτικές επιχειρήσεις</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7 του υποδείγματος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επιχειρήσεις επενδύσεων</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8 του υποδείγματος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εταιρείες διαχείρισης</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12 του υποδείγματος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ασφαλιστικές επιχειρήσεις</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16 του υποδείγματος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Μη χρηματοπιστωτικές εταιρείες (ΜΧΕ) που υπόκεινται στις υποχρεώσεις δημοσιοποίησης της NFRD</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σε % για ανοίγματα στη γραμμή 20 του υποδείγματος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Νοικοκυριά</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24 του υποδείγματος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εξασφαλισμένα με ακίνητα κατοικίας</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25 του υποδείγματος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ανακαίνισης κτιρίων</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26 του υποδείγματος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αγοράς μηχανοκίνητου οχήματος</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27 του υποδείγματος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Χρηματοδότηση τοπικής αυτοδιοίκησης</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28 του υποδείγματος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Χρηματοδότηση της στέγασης</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29 του υποδείγματος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Άλλη χρηματοδότηση τοπικής αυτοδιοίκησης</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σε % για ανοίγματα στη γραμμή 30 του υποδείγματος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Εξασφαλίσεις που λαμβάνονται με απόκτηση: ακίνητα κατοικίας και εμπορικά ακίνητα</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GAR σε % για ανοίγματα στη γραμμή 31 του υποδείγματος 7.</w:t>
            </w:r>
          </w:p>
        </w:tc>
      </w:tr>
    </w:tbl>
    <w:p w14:paraId="3F596C29" w14:textId="77777777" w:rsidR="00183989" w:rsidRPr="002827F5"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Υπόδειγμα 9 — Μέτρα μετριασμού: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Το άρθρο 9 του εκτελεστικού κανονισμού (ΕΕ) 2021/2178 προβλέπει ότι η Επιτροπή επανεξετάζει την εφαρμογή του εν λόγω κανονισμού έως τις 30 Ιουνίου 2024. Η Επιτροπή πρέπει να αξιολογήσει ειδικότερα την ανάγκη για περαιτέρω τροποποιήσεις όσον αφορά τη συμπερίληψη των:</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α)</w:t>
      </w:r>
      <w:r>
        <w:rPr>
          <w:rFonts w:ascii="Times New Roman" w:hAnsi="Times New Roman"/>
          <w:sz w:val="24"/>
        </w:rPr>
        <w:tab/>
        <w:t>ανοιγμάτων έναντι κεντρικών κυβερνήσεων και κεντρικών τραπεζών στον αριθμητή και τον παρονομαστή των βασικών δεικτών επιδόσεων των χρηματοπιστωτικών επιχειρήσεων·</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β)</w:t>
      </w:r>
      <w:r>
        <w:rPr>
          <w:rFonts w:ascii="Times New Roman" w:hAnsi="Times New Roman"/>
          <w:sz w:val="24"/>
        </w:rPr>
        <w:tab/>
        <w:t>ανοιγμάτων έναντι επιχειρήσεων που δεν δημοσιεύουν μη χρηματοοικονομικές καταστάσεις σύμφωνα με το άρθρα 19α ή 29α της οδηγίας 2013/34/ΕΕ στον αριθμητή των βασικών δεικτών επιδόσεων των χρηματοπιστωτικών επιχειρήσεων.</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Τα ιδρύματα μπορούν να επιλέξουν να συμπεριλάβουν στο παρόν υπόδειγμα τις ακόλουθες πληροφορίες. Όσον αφορά τους αντισυμβαλλομένους που είναι μη χρηματοπιστωτικές επιχειρήσεις και δεν έχουν υποχρεώσεις δημοσιοποίησης, τα ιδρύματα μπορούν να δημοσιοποιούν, με εύλογη προσπάθεια και βάσει πληροφοριών που είναι ήδη διαθέσιμες και συλλέγονται σε οικειοθελή και διμερή βάση από τους αντισυμβαλλομένους τους ή υπολογίζονται με τη χρήση εκτιμήσεων, εκτεταμένες πληροφορίες σχετικά με την </w:t>
      </w:r>
      <w:proofErr w:type="spellStart"/>
      <w:r>
        <w:rPr>
          <w:rFonts w:ascii="Times New Roman" w:hAnsi="Times New Roman"/>
          <w:sz w:val="24"/>
        </w:rPr>
        <w:t>επιλεξιμότητα</w:t>
      </w:r>
      <w:proofErr w:type="spellEnd"/>
      <w:r>
        <w:rPr>
          <w:rFonts w:ascii="Times New Roman" w:hAnsi="Times New Roman"/>
          <w:sz w:val="24"/>
        </w:rPr>
        <w:t xml:space="preserve"> και την ευθυγράμμιση ως προς την ταξινομία, όπως αναφέρεται στον κανονισμό (ΕΕ) 2020/852, όσον αφορά τους περιβαλλοντικούς στόχους του μετριασμού της κλιματικής αλλαγής και της προσαρμογής στην κλιματική αλλαγή, όπως αναφέρονται στο άρθρο 9 στοιχεία α) και β), του κανονισμού (ΕΕ) 2020/852, των ανοιγμάτων έναντι ευρωπαϊκών μη χρηματοπιστωτικών επιχειρήσεων που δεν υπόκεινται στις υποχρεώσεις δημοσιοποίησης που ορίζονται στην οδηγία 2013/34/ΕΕ και έναντι μη ευρωπαϊκών μη χρηματοπιστωτικών επιχειρήσεων που δεν υπόκεινται στις υποχρεώσεις δημοσιοποίησης που ορίζονται στην οδηγία 2013/34/ΕΕ. Οι πληροφορίες αυτές μπορούν να δημοσιοποιούνται μόνο μία φορά, με βάση την ευθυγράμμιση του κύκλου εργασιών των αντισυμβαλλομένων για τα δάνεια γενικής χρήσης, όπως στην περίπτωση του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Η πρώτη ημερομηνία αναφοράς για τη δημοσιοποίηση του παρόντος υποδείγματος είναι η 31η Δεκεμβρίου 2024. Τα ιδρύματα δεν υποχρεούνται να δημοσιοποιούν τις πληροφορίες αυτές πριν από την 1η Ιανουαρίου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Υπόδειγμα 9.1 — Μέτρα μετριασμού: Στοιχεία ενεργητικού για τον υπολογισμό της BTAR</w:t>
      </w:r>
    </w:p>
    <w:p w14:paraId="0B7C6AF5" w14:textId="77777777" w:rsidR="00183989" w:rsidRPr="002827F5"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μπορούν να δημοσιοποιούν στο παρόν υπόδειγμα την ακαθάριστη λογιστική αξία μεταξύ των στοιχείων ενεργητικού που είναι σημαντικά για τον υπολογισμό της BTAR. Το παρόν υπόδειγμα εφαρμόζεται μόνο σε αντισυμβαλλομένους που δεν υπόκεινται σε υποχρεώσεις δημοσιοποίησης.</w:t>
      </w:r>
    </w:p>
    <w:p w14:paraId="48AB863E" w14:textId="77777777" w:rsidR="00183989" w:rsidRPr="002827F5"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ΣΥΝΟΛΟ ΣΤΟΙΧΕΙΩΝ ΕΝΕΡΓΗΤΙΚΟΥ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Όπως δημοσιοποιείται στη γραμμή 32 του υποδείγματος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Μη χρηματοπιστωτικές επιχειρήσεις εντός ΕΕ (που δεν υπόκεινται στις υποχρεώσεις δημοσιοποίησης της NFRD)</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Τα ιδρύματα δημοσιοποιούν τα ανοίγματα προς μη χρηματοπιστωτικές επιχειρήσεις που ορίζονται στο παράρτημα V μέρος 1 σημείο 42 στοιχείο ε) του κατ’ εξουσιοδότηση κανονισμού (ΕΕ) αριθ. 2021/451, οι οποίες βρίσκονται εντός της Ένωσης και δεν υπόκεινται στις υποχρεώσεις δημοσιοποίησης της οδηγίας 2013/34/ΕΕ.</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Όταν ο αντισυμβαλλόμενος δεν υπόκειται σε υποχρεώσεις δημοσιοποίησης δυνάμει του άρθρου 8 του κανονισμού (ΕΕ) 2020/852, τα ιδρύματα μπορούν, για τον υπολογισμό του ποσοστού των ευθυγραμμισμένων με την ταξινομία ανοιγμάτων, όπως αναφέρεται στον κανονισμό (ΕΕ) 2020/852, να συλλέγουν, με εύλογη προσπάθεια, πληροφορίες από τους αντισυμβαλλομένους τους σε οικειοθελή και διμερή βάση μέσω της διαδικασίας χορήγησης δανείων και της τακτικής διαδικασίας επανεξέτασης και παρακολούθησης των πιστώσεων. Μόνον όταν ο αντισυμβαλλόμενος δεν είναι σε θέση ή δεν επιθυμεί να παρέχει τα σχετικά δεδομένα, τα πιστωτικά ιδρύματα χρησιμοποιούν εσωτερικές εκτιμήσεις και προσεγγιστικά δεδομένα και επεξηγούν στο λεκτικό που συνοδεύει το υπόδειγμα τον βαθμό χρήσης των εν λόγω εκτιμήσεων και το είδος των εκτιμήσεων που εφαρμόζονται. Όταν τα ιδρύματα δεν είναι σε θέση να συλλέξουν σε οικειοθελή και διμερή βάση ή να εκτιμήσουν τις σχετικές πληροφορίες, ή δεν είναι σε θέση να το πράξουν με εύλογο τρόπο που δεν είναι υπερβολικά επαχθής για τα ίδια ή για τους αντισυμβαλλομένους τους, επεξηγούν το γεγονός αυτό στο λεκτικό που συνοδεύει το υπόδειγμα, εξηγώντας τους λόγους και τους θιγόμενους αντισυμβαλλομένους.</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Όσον αφορά τις δημοσιοποιήσεις στις οποίες εμπλέκονται επιχειρήσεις που δεν υπόκεινται σε υποχρεώσεις δημοσιοποίησης βάσει της οδηγίας 2013/34/ΕΕ, συμπεριλαμβανομένων των μικρών και μεσαίων επιχειρήσεων (ΜΜΕ), κατά την αξιολόγηση της δανειοδότησης/χρηματοδότησης γενικού σκοπού με μη γνωστή χρήση των εσόδων, τα ιδρύματα ακολουθούν απλουστευμένη προσέγγιση και εστιάζουν την αξιολόγησή τους στην κύρια οικονομική δραστηριότητα της επιχείρησης, δηλαδή στην κύρια πηγή κύκλου εργασιών της, προκειμένου να προσδιοριστεί η συνολική ευθυγράμμιση των ανοιγμάτων με τον κανονισμό (ΕΕ) 2020/852. Στην περίπτωση ειδικής δανειοδότησης, η αξιολόγηση βασίζεται στον βαθμό στον οποίο το συγκεκριμένο χρηματοδοτούμενο έργο μπορεί να θεωρηθεί ότι συμβάλλει σημαντικά στον μετριασμό της κλιματικής αλλαγής ή στην προσαρμογή σε αυτήν (πληροφορίες ειδικά για το έργο). </w:t>
            </w:r>
          </w:p>
          <w:p w14:paraId="2FBC7A11" w14:textId="77777777" w:rsidR="00183989" w:rsidRPr="002827F5"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εξασφαλισμένα με εμπορικά ακίνητα</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ανοίγματα που αναφέρονται στο παράρτημα V μέρος 2 σημείο 173 στοιχείο α) και σημείο 239ix του κατ’ εξουσιοδότηση κανονισμού (ΕΕ) αριθ.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Η ευθυγράμμιση των εν λόγω ανοιγμάτων με την ταξινομία, όπως αναφέρεται στον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w:t>
            </w:r>
            <w:r>
              <w:rPr>
                <w:rFonts w:ascii="Times New Roman" w:hAnsi="Times New Roman"/>
                <w:sz w:val="24"/>
              </w:rPr>
              <w:lastRenderedPageBreak/>
              <w:t>(ΕΕ) 2021/2139, με βάση την ενεργειακή απόδοση των υποκείμενων εξασφαλίσεων.</w:t>
            </w:r>
          </w:p>
          <w:p w14:paraId="3BADEF70" w14:textId="77777777" w:rsidR="00183989" w:rsidRPr="002827F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Εκ των οποίων: δάνεια ανακαίνισης κτιρίων</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Δάνεια που χορηγούνται σε ΜΜΕ και άλλες μη χρηματοπιστωτικές επιχειρήσεις που δεν υπόκεινται σε υποχρεώσεις δημοσιοποίησης δυνάμει της οδηγίας 2014/95/ΕΕ με σκοπό την ανακαίνιση κτιρίου.</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Η ευθυγράμμιση των εν λόγω ανοιγμάτων με την ταξινομία, όπως αναφέρεται στον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w:t>
            </w:r>
          </w:p>
          <w:p w14:paraId="0F3F5D7F" w14:textId="77777777" w:rsidR="00183989" w:rsidRPr="002827F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Μη χρηματοπιστωτικές επιχειρήσεις εκτός ΕΕ (που δεν υπόκεινται στις υποχρεώσεις δημοσιοποίησης της NFRD)</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ανοίγματα προς μη χρηματοπιστωτικές επιχειρήσεις που αναφέρονται στο παράρτημα V μέρος 1 σημείο 42 στοιχείο ε) του κατ’ εξουσιοδότηση κανονισμού (ΕΕ) αριθ. 2021/451, οι οποίες βρίσκονται εκτός της Ένωσης και δεν υπόκεινται στις υποχρεώσεις δημοσιοποίησης της οδηγίας 2014/95/ΕΕ.</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Όταν τα ιδρύματα παρέχουν στις δημοσιοποιήσεις τους δυνάμει του άρθρου 8 του κανονισμού (ΕΕ) 2020/852 τις εν λόγω πληροφορίες σύμφωνα με το άρθρο 7 παράγραφος 7 του κατ’ εξουσιοδότηση κανονισμού (ΕΕ) 2021/2178, δημοσιοποιούν εδώ τις ίδιες πληροφορίες. Διαφορετικά, τα ιδρύματα συλλέγουν πληροφορίες από τους αντισυμβαλλομένους τους σε διμερή βάση μέσω της διαδικασίας χορήγησης δανείων και τακτικής επανεξέτασης και παρακολούθησης των πιστώσεων, ή χρησιμοποιούν τα ακόλουθα προσεγγιστικά δεδομένα για τη δημοσιοποίηση πληροφοριών σχετικά με ανοίγματα εκτός ΕΕ με βάση τη βέλτιστη προσπάθεια:</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α) </w:t>
            </w:r>
            <w:r>
              <w:rPr>
                <w:rFonts w:ascii="Times New Roman" w:hAnsi="Times New Roman"/>
                <w:sz w:val="24"/>
              </w:rPr>
              <w:tab/>
              <w:t>δικά τους πρότυπα και την ταξινόμηση των ανοιγμάτων σύμφωνα με αυτά· στην περίπτωση αυτή, τα ιδρύματα επεξηγούν τα κύρια χαρακτηριστικά των προτύπων που εφαρμόστηκαν·</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β) </w:t>
            </w:r>
            <w:r>
              <w:rPr>
                <w:rFonts w:ascii="Times New Roman" w:hAnsi="Times New Roman"/>
                <w:sz w:val="24"/>
              </w:rPr>
              <w:tab/>
              <w:t xml:space="preserve">εφόσον είναι διαθέσιμες, τις δημοσιοποιήσεις των αντισυμβαλλομένων βάσει διεθνών προτύπων (συμπεριλαμβανομένης της ειδικής ομάδας για τις χρηματοοικονομικές γνωστοποιήσεις)· στην περίπτωση αυτή, τα ιδρύματα επεξηγούν το είδος των διαθέσιμων πληροφοριών και τα πρότυπα που εφαρμόστηκαν·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γ) </w:t>
            </w:r>
            <w:r>
              <w:rPr>
                <w:rFonts w:ascii="Times New Roman" w:hAnsi="Times New Roman"/>
                <w:sz w:val="24"/>
              </w:rPr>
              <w:tab/>
              <w:t>άλλα δημοσίως διαθέσιμα δεδομένα.</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Τα ιδρύματα πρέπει να επεξηγούν στο λεκτικό που συνοδεύει το παρόν υπόδειγμα τις πηγές που χρησιμοποιήθηκαν για τη δημοσιοποίηση των εν λόγω πληροφοριών. Όταν τα ιδρύματα δεν είναι σε θέση να συλλέξουν σε διμερή βάση ή να εκτιμήσουν τις σχετικές πληροφορίες, ή δεν είναι σε θέση να το πράξουν με εύλογο τρόπο που δεν είναι υπερβολικά επαχθής για τα ίδια ή για </w:t>
            </w:r>
            <w:r>
              <w:rPr>
                <w:rFonts w:ascii="Times New Roman" w:hAnsi="Times New Roman"/>
                <w:sz w:val="24"/>
              </w:rPr>
              <w:lastRenderedPageBreak/>
              <w:t>τους αντισυμβαλλομένους τους, επεξηγούν το γεγονός αυτό στο λεκτικό που συνοδεύει το υπόδειγμα, εξηγώντας τους λόγους και τους θιγόμενους αντισυμβαλλομένους.</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Όσον αφορά αυτό το είδος αντισυμβαλλομένων, κατά την αξιολόγηση της δανειοδότησης/χρηματοδότησης γενικού σκοπού με μη γνωστή χρήση των εσόδων, τα ιδρύματα ακολουθούν απλουστευμένη προσέγγιση και εστιάζουν την αξιολόγησή τους στην κύρια οικονομική δραστηριότητα της επιχείρησης, δηλαδή στην κύρια πηγή κύκλου εργασιών της, προκειμένου να προσδιοριστεί η συνολική ευθυγράμμιση των ανοιγμάτων με τον κανονισμό (ΕΕ) 2020/852. Στην περίπτωση ειδικής δανειοδότησης, η αξιολόγηση βασίζεται στον βαθμό και την αναλογία στην οποία το συγκεκριμένο χρηματοδοτούμενο έργο μπορεί να θεωρηθεί ότι συμβάλλει σημαντικά στον μετριασμό της κλιματικής αλλαγής ή στην προσαρμογή σε αυτήν (πληροφορίες ειδικά για το έργο), και όσον αφορά το χαρτοφυλάκιο ακινήτων η αξιολόγηση διενεργείται για τον στόχο του μετριασμού της κλιματικής αλλαγής με βάση την ενεργειακή απόδοση της υποκείμενης εξασφάλισης και την ευθυγράμμισή της με τα κριτήρια που ορίζονται για τις σχετικές δραστηριότητες στον κανονισμό (ΕΕ) 2020/852.</w:t>
            </w:r>
          </w:p>
          <w:p w14:paraId="4DEC21F9" w14:textId="77777777" w:rsidR="00183989" w:rsidRPr="002827F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Σειρά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ΣΥΝΟΛΟ ΣΤΟΙΧΕΙΩΝ ΕΝΕΡΓΗΤΙΚΟΥ ΤΗΣ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Άθροισμα των γραμμών 1, 2 και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Γραμμές 13 έως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Βλέπε ορισμούς στο υπόδειγμα 7 (γραμμές 41 έως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2827F5" w:rsidRDefault="00183989" w:rsidP="00183989">
      <w:pPr>
        <w:jc w:val="both"/>
        <w:rPr>
          <w:rFonts w:ascii="Times New Roman" w:hAnsi="Times New Roman" w:cs="Times New Roman"/>
          <w:b/>
          <w:noProof/>
          <w:sz w:val="24"/>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Υπόδειγμα 9.2 — BTAR (%)</w:t>
      </w:r>
    </w:p>
    <w:p w14:paraId="53FD78FD" w14:textId="77777777" w:rsidR="00183989" w:rsidRPr="002827F5" w:rsidRDefault="00183989" w:rsidP="00183989">
      <w:pPr>
        <w:jc w:val="both"/>
        <w:rPr>
          <w:rFonts w:ascii="Times New Roman" w:hAnsi="Times New Roman" w:cs="Times New Roman"/>
          <w:b/>
          <w:noProof/>
          <w:sz w:val="24"/>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Τα ιδρύματα μπορούν να δημοσιοποιούν στο παρόν υπόδειγμα το ποσοστό των στοιχείων ενεργητικού της BTAR, όπως δημοσιοποιείται στο υπόδειγμα 1, σε σύγκριση με το σύνολο των στοιχείων ενεργητικού στον παρονομαστή της BTAR, όπως δημοσιοποιείται στη γραμμή 17 του υποδείγματος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Υπόδειγμα 9.3 —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Το παρόν υπόδειγμα περιέχει σύνοψη των ΒΔΕ της BTAR, ανάλυση ανά περιβαλλοντικό στόχο για την κλιματική αλλαγή και το σύνολο, καθώς και την ανάλυση των αποθεμάτων και των ροών.</w:t>
      </w:r>
    </w:p>
    <w:p w14:paraId="3FE48325" w14:textId="77777777" w:rsidR="00183989" w:rsidRPr="002827F5"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Υπόδειγμα 10 — Άλλα μέτρα μετριασμού της κλιματικής αλλαγής που δεν καλύπτονται από τον κανονισμό (ΕΕ) 2020/852</w:t>
      </w:r>
    </w:p>
    <w:p w14:paraId="45960278" w14:textId="77777777" w:rsidR="00183989" w:rsidRPr="002827F5"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Το παρόν υπόδειγμα καλύπτει άλλα μέτρα μετριασμού της κλιματικής αλλαγής και περιλαμβάνει ανοίγματα των ιδρυμάτων που δεν είναι ευθυγραμμισμένα με την ταξινομία, όπως αναφέρεται στον κανονισμό (ΕΕ) 2020/852 σύμφωνα με τα υποδείγματα 7 και 8, αλλά εξακολουθούν να στηρίζουν τους αντισυμβαλλομένους στη διαδικασία μετάβασης και προσαρμογής για τους στόχους του μετριασμού της κλιματικής αλλαγής και της προσαρμογής στην κλιματική αλλαγή. Τα εν λόγω μέτρα και δραστηριότητες μετριασμού περιλαμβάνουν ομόλογα και δάνεια που εκδίδονται βάσει προτύπων άλλων από τα </w:t>
      </w:r>
      <w:proofErr w:type="spellStart"/>
      <w:r>
        <w:rPr>
          <w:rFonts w:ascii="Times New Roman" w:hAnsi="Times New Roman"/>
          <w:sz w:val="24"/>
        </w:rPr>
        <w:lastRenderedPageBreak/>
        <w:t>ενωσιακά</w:t>
      </w:r>
      <w:proofErr w:type="spellEnd"/>
      <w:r>
        <w:rPr>
          <w:rFonts w:ascii="Times New Roman" w:hAnsi="Times New Roman"/>
          <w:sz w:val="24"/>
        </w:rPr>
        <w:t xml:space="preserve"> πρότυπα, συμπεριλαμβανομένων των πράσινων ομολόγων· βιώσιμα ομόλογα που συνδέονται με πτυχές της κλιματικής αλλαγής· ομόλογα συνδεδεμένα με τη βιωσιμότητα που συνδέονται με πτυχές της κλιματικής αλλαγής· πράσινα δάνεια· δάνεια συνδεδεμένα με τη βιωσιμότητα που συνδέονται με πτυχές της κλιματικής αλλαγής· δάνεια συνδεδεμένα με τη βιωσιμότητα που συνδέονται με πτυχές της κλιματικής αλλαγής.</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περιλαμβάνουν στο λεκτικό που συνοδεύει το παρόν υπόδειγμα λεπτομερείς επεξηγήσεις σχετικά με τη φύση και το είδος των μέτρων μετριασμού που αποτυπώνονται στο παρόν υπόδειγμα, συμπεριλαμβανομένων των πληροφοριών σχετικά με το είδος των κινδύνων που αποσκοπούν στον μετριασμό, τους στόχους για την κλιματική αλλαγή που υποστηρίζουν και πληροφορίες σχετικά με τους σχετικούς αντισυμβαλλομένους και το χρονοδιάγραμμα των μέτρων. Επεξηγούν επίσης τους λόγους για τους οποίους τα εν λόγω ανοίγματα δεν ευθυγραμμίζονται πλήρως με τα κριτήρια που ορίζονται στον κανονισμό (ΕΕ) 2020/852 και δεν είναι βιώσιμα σύμφωνα με τον κανονισμό (ΕΕ) 2020/852, αλλά εξακολουθούν να συμβάλλουν στον μετριασμό του κινδύνου μετάβασης στην κλιματική αλλαγή ή του υλικού κινδύνου, καθώς και κάθε άλλη σχετική πληροφορία που μπορεί να συμβάλει στην κατανόηση του πλαισίου διαχείρισης κινδύνων του ιδρύματος.</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Τα ιδρύματα αρχίζουν να δημοσιοποιούν τις πληροφορίες του παρόντος υποδείγματος με ημερομηνία αναφοράς πρώτης δημοσιοποίησης την 31η Δεκεμβρίου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Οδηγίες</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α</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Είδος χρηματοπιστωτικού μέσου</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είδος χρηματοπιστωτικού μέσου όπως αναφέρεται στο παράρτημα V του εκτελεστικού κανονισμού (ΕΕ) αριθ. 2021/451.</w:t>
            </w:r>
          </w:p>
          <w:p w14:paraId="3D74D2CE"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β</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Είδος αντισυμβαλλομένου</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το είδος αντισυμβαλλομένου που αναφέρεται στο παράρτημα V μέρος 1 σημείο 42 του εκτελεστικού κανονισμού (ΕΕ) αριθ.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γ</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Ακαθάριστη λογιστική αξία (εκατ.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Τα ιδρύματα δημοσιοποιούν την ακαθάριστη λογιστική αξία που αναφέρεται στο παράρτημα V μέρος 1 σημείο 34 του εκτελεστικού κανονισμού (ΕΕ) αριθ.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δ</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Είδος κινδύνου που μετριάστηκε (κίνδυνος μετάβασης λόγω της κλιματικής αλλαγής)</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Τα ιδρύματα δημοσιοποιούν το είδος του κινδύνου που μετριάστηκε με το εν λόγω μέτρο: κίνδυνος μετάβασης στην κλιματική αλλαγή.</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ε</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Είδος κινδύνου που μετριάστηκε (υλικός κίνδυνος κλιματικής αλλαγής)</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Τα ιδρύματα δημοσιοποιούν το είδος του κινδύνου που μετριάστηκε με το εν λόγω μέτρο: υλικός κίνδυνος λόγω κλιματικής αλλαγής.</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στ</w:t>
            </w:r>
            <w:proofErr w:type="spellEnd"/>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Ποιοτικές πληροφορίες σχετικά με τη φύση των μέτρων μετριασμού</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Τα ιδρύματα περιγράφουν τη φύση των μέτρων μετριασμού που συμβάλλουν στον μετριασμό της κλιματικής αλλαγής που αναφέρεται στο άρθρο 10 του κανονισμού (ΕΕ) 2020/852 και στην προσαρμογή στην κλιματική αλλαγή που αναφέρεται στο άρθρο 11 του εν λόγω κανονισμού, καθώς και τους λόγους για τους οποίους τα ανοίγματα δεν θεωρούνται ευθυγραμμισμένα με την ταξινομία για τους σκοπούς του GAR.</w:t>
            </w:r>
          </w:p>
        </w:tc>
      </w:tr>
    </w:tbl>
    <w:p w14:paraId="0935413C" w14:textId="77777777" w:rsidR="00183989" w:rsidRPr="002827F5" w:rsidRDefault="00183989" w:rsidP="00183989">
      <w:pPr>
        <w:jc w:val="both"/>
        <w:rPr>
          <w:rFonts w:ascii="Times New Roman" w:hAnsi="Times New Roman" w:cs="Times New Roman"/>
          <w:noProof/>
          <w:sz w:val="24"/>
          <w:lang w:val="en-IE"/>
        </w:rPr>
      </w:pPr>
      <w:r w:rsidRPr="002827F5">
        <w:rPr>
          <w:rFonts w:ascii="Times New Roman" w:hAnsi="Times New Roman"/>
          <w:sz w:val="24"/>
          <w:lang w:val="en-IE"/>
        </w:rPr>
        <w:lastRenderedPageBreak/>
        <w:t>___________</w:t>
      </w:r>
    </w:p>
    <w:p w14:paraId="5B143D56" w14:textId="77777777" w:rsidR="00183989" w:rsidRPr="002827F5" w:rsidRDefault="00183989" w:rsidP="00183989">
      <w:pPr>
        <w:ind w:left="567" w:hanging="567"/>
        <w:jc w:val="both"/>
        <w:rPr>
          <w:rFonts w:ascii="Times New Roman" w:hAnsi="Times New Roman" w:cs="Times New Roman"/>
          <w:noProof/>
          <w:sz w:val="20"/>
          <w:szCs w:val="20"/>
          <w:lang w:val="en-IE"/>
        </w:rPr>
      </w:pPr>
      <w:r w:rsidRPr="002827F5">
        <w:rPr>
          <w:rFonts w:ascii="Times New Roman" w:hAnsi="Times New Roman"/>
          <w:sz w:val="20"/>
          <w:vertAlign w:val="superscript"/>
          <w:lang w:val="en-IE"/>
        </w:rPr>
        <w:t>⃰1</w:t>
      </w:r>
      <w:r w:rsidRPr="002827F5">
        <w:rPr>
          <w:rFonts w:ascii="Times New Roman" w:hAnsi="Times New Roman"/>
          <w:sz w:val="20"/>
          <w:vertAlign w:val="superscript"/>
          <w:lang w:val="en-IE"/>
        </w:rPr>
        <w:tab/>
      </w:r>
      <w:r>
        <w:rPr>
          <w:rFonts w:ascii="Times New Roman" w:hAnsi="Times New Roman"/>
          <w:sz w:val="20"/>
        </w:rPr>
        <w:t>ΕΕ</w:t>
      </w:r>
      <w:r w:rsidRPr="002827F5">
        <w:rPr>
          <w:rFonts w:ascii="Times New Roman" w:hAnsi="Times New Roman"/>
          <w:sz w:val="20"/>
          <w:lang w:val="en-IE"/>
        </w:rPr>
        <w:t xml:space="preserve"> L 282 </w:t>
      </w:r>
      <w:r>
        <w:rPr>
          <w:rFonts w:ascii="Times New Roman" w:hAnsi="Times New Roman"/>
          <w:sz w:val="20"/>
        </w:rPr>
        <w:t>της</w:t>
      </w:r>
      <w:r w:rsidRPr="002827F5">
        <w:rPr>
          <w:rFonts w:ascii="Times New Roman" w:hAnsi="Times New Roman"/>
          <w:sz w:val="20"/>
          <w:lang w:val="en-IE"/>
        </w:rPr>
        <w:t xml:space="preserve"> 19.10.2016, </w:t>
      </w:r>
      <w:r>
        <w:rPr>
          <w:rFonts w:ascii="Times New Roman" w:hAnsi="Times New Roman"/>
          <w:sz w:val="20"/>
        </w:rPr>
        <w:t>σ</w:t>
      </w:r>
      <w:r w:rsidRPr="002827F5">
        <w:rPr>
          <w:rFonts w:ascii="Times New Roman" w:hAnsi="Times New Roman"/>
          <w:sz w:val="20"/>
          <w:lang w:val="en-IE"/>
        </w:rPr>
        <w:t>. 4.</w:t>
      </w:r>
    </w:p>
    <w:p w14:paraId="32820255" w14:textId="77777777" w:rsidR="00183989" w:rsidRPr="002827F5" w:rsidRDefault="00183989" w:rsidP="00183989">
      <w:pPr>
        <w:ind w:left="567" w:hanging="567"/>
        <w:jc w:val="both"/>
        <w:rPr>
          <w:rFonts w:ascii="Times New Roman" w:hAnsi="Times New Roman" w:cs="Times New Roman"/>
          <w:noProof/>
          <w:sz w:val="20"/>
          <w:szCs w:val="20"/>
          <w:lang w:val="en-IE"/>
        </w:rPr>
      </w:pPr>
      <w:r w:rsidRPr="002827F5">
        <w:rPr>
          <w:rFonts w:ascii="Times New Roman" w:hAnsi="Times New Roman"/>
          <w:sz w:val="20"/>
          <w:vertAlign w:val="superscript"/>
          <w:lang w:val="en-IE"/>
        </w:rPr>
        <w:t>*2</w:t>
      </w:r>
      <w:r w:rsidRPr="002827F5">
        <w:rPr>
          <w:rFonts w:ascii="Times New Roman" w:hAnsi="Times New Roman"/>
          <w:sz w:val="20"/>
          <w:lang w:val="en-IE"/>
        </w:rPr>
        <w:tab/>
      </w:r>
      <w:proofErr w:type="gramStart"/>
      <w:r w:rsidRPr="002827F5">
        <w:rPr>
          <w:rFonts w:ascii="Times New Roman" w:hAnsi="Times New Roman"/>
          <w:sz w:val="20"/>
          <w:lang w:val="en-IE"/>
        </w:rPr>
        <w:t>COM(</w:t>
      </w:r>
      <w:proofErr w:type="gramEnd"/>
      <w:r w:rsidRPr="002827F5">
        <w:rPr>
          <w:rFonts w:ascii="Times New Roman" w:hAnsi="Times New Roman"/>
          <w:sz w:val="20"/>
          <w:lang w:val="en-IE"/>
        </w:rPr>
        <w:t>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Οδηγία 2014/95/ΕΕ του Ευρωπαϊκού Κοινοβουλίου και του Συμβουλίου, της 22ας Οκτωβρίου 2014, για την τροποποίηση της οδηγίας 2013/34/ΕΕ όσον αφορά τη δημοσιοποίηση μη χρηματοοικονομικών πληροφοριών και πληροφοριών για την πολυμορφία από ορισμένες μεγάλες επιχειρήσεις και ομίλους (ΕΕ L 330 της 15.11.2014, σ.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 4490 (ΕΕ C 209 της 20.6.2019, σ.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r>
      <w:r>
        <w:t xml:space="preserve">Συστάσεις της ειδικής ομάδας για τη δημοσιοποίηση χρηματοοικονομικών πληροφοριών σχετικών με το κλίμα, </w:t>
      </w:r>
      <w:hyperlink r:id="rId7" w:history="1">
        <w:r>
          <w:rPr>
            <w:rStyle w:val="Hyperlink"/>
            <w:rFonts w:ascii="Times New Roman" w:hAnsi="Times New Roman"/>
            <w:sz w:val="20"/>
          </w:rPr>
          <w:t>https://www.fsb-tcfd.org/recommendations</w:t>
        </w:r>
      </w:hyperlink>
      <w:r>
        <w:rPr>
          <w:rFonts w:ascii="Times New Roman" w:hAnsi="Times New Roman"/>
          <w:sz w:val="20"/>
        </w:rPr>
        <w:t xml:space="preserve">. </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Πρωτοβουλία χρηματοδότησης του προγράμματος των Ηνωμένων Εθνών για το περιβάλλον (UNEP FI),</w:t>
      </w:r>
      <w:hyperlink r:id="rId8" w:history="1">
        <w:r>
          <w:rPr>
            <w:rStyle w:val="Hyperlink"/>
            <w:rFonts w:ascii="Times New Roman" w:hAnsi="Times New Roman"/>
            <w:sz w:val="20"/>
          </w:rPr>
          <w:t>https://www.unepfi.org</w:t>
        </w:r>
      </w:hyperlink>
      <w: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Παγκόσμια πρότυπα για την υποβολή εκθέσεων βιωσιμότητας στο πλαίσιο της πρωτοβουλίας για την υποβολή εκθέσεων, </w:t>
      </w:r>
      <w:hyperlink r:id="rId9" w:history="1">
        <w:r>
          <w:rPr>
            <w:rStyle w:val="Hyperlink"/>
          </w:rPr>
          <w:t>https://www.globalreporting.org/standards</w:t>
        </w:r>
      </w:hyperlink>
      <w: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Αρχές των Ηνωμένων Εθνών για υπεύθυνες επενδύσεις (UNPRI), </w:t>
      </w:r>
      <w:hyperlink r:id="rId10" w:history="1">
        <w:r>
          <w:rPr>
            <w:rStyle w:val="Hyperlink"/>
          </w:rPr>
          <w:t>https://www.unpri.org</w:t>
        </w:r>
      </w:hyperlink>
      <w: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Οδηγία 2013/36/ΕΕ του Ευρωπαϊκού Κοινοβουλίου και του Συμβουλίου, της 26ης Ιουνίου 2013, σχετικά με την πρόσβαση στη δραστηριότητα των πιστωτικών ιδρυμάτων και την προληπτική εποπτεία των πιστωτικών ιδρυμάτων, την τροποποίηση της οδηγίας 2002/87/ΕΚ και την κατάργηση των οδηγιών 2006/48/ΕΚ και 2006/49/ΕΚ (ΕΕ L 176 της 27.6.2013, σ.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NACE—αναθεώρηση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 xml:space="preserve">Κατ’ εξουσιοδότηση κανονισμός (ΕΕ) 2020/1818 της Επιτροπής, της 17ης Ιουλίου 2020, για τη συμπλήρωση του κανονισμού (ΕΕ) 2016/1011 του Ευρωπαϊκού Κοινοβουλίου και του Συμβουλίου όσον αφορά ελάχιστα πρότυπα για </w:t>
      </w:r>
      <w:proofErr w:type="spellStart"/>
      <w:r>
        <w:rPr>
          <w:rFonts w:ascii="Times New Roman" w:hAnsi="Times New Roman"/>
          <w:sz w:val="20"/>
        </w:rPr>
        <w:t>ενωσιακούς</w:t>
      </w:r>
      <w:proofErr w:type="spellEnd"/>
      <w:r>
        <w:rPr>
          <w:rFonts w:ascii="Times New Roman" w:hAnsi="Times New Roman"/>
          <w:sz w:val="20"/>
        </w:rPr>
        <w:t xml:space="preserve"> δείκτες αναφοράς για την κλιματική μετάβαση και ευθυγραμμισμένους με τη συμφωνία του Παρισιού </w:t>
      </w:r>
      <w:proofErr w:type="spellStart"/>
      <w:r>
        <w:rPr>
          <w:rFonts w:ascii="Times New Roman" w:hAnsi="Times New Roman"/>
          <w:sz w:val="20"/>
        </w:rPr>
        <w:t>ενωσιακούς</w:t>
      </w:r>
      <w:proofErr w:type="spellEnd"/>
      <w:r>
        <w:rPr>
          <w:rFonts w:ascii="Times New Roman" w:hAnsi="Times New Roman"/>
          <w:sz w:val="20"/>
        </w:rPr>
        <w:t xml:space="preserve"> δείκτες αναφοράς (ΕΕ L 406 της 3.12.2020, σ.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Οδηγία 2010/31/ΕΕ του Ευρωπαϊκού Κοινοβουλίου και του Συμβουλίου, της 19ης Μαΐου 2010, για την ενεργειακή απόδοση των κτιρίων (ΕΕ L 153 της 18.6.2010, σ.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Οδηγία 2012/27/ΕΕ του Ευρωπαϊκού Κοινοβουλίου και του Συμβουλίου, της 25ης Οκτωβρίου 2012, για την ενεργειακή απόδοση, την τροποποίηση των οδηγιών 2009/125/ΕΚ και 2010/30/ΕΕ και την κατάργηση των οδηγιών 2004/8/ΕΚ και 2006/32/ΕΚ (ΕΕ L 315 της 14.11.2012, σ.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r>
      <w:r>
        <w:t xml:space="preserve">Σενάριο καθαρών μηδενικών εκπομπών έως το 2050 (NZE) — ΔΟΕ (2021), World Energy </w:t>
      </w:r>
      <w:proofErr w:type="spellStart"/>
      <w:r>
        <w:t>Model</w:t>
      </w:r>
      <w:proofErr w:type="spellEnd"/>
      <w:r>
        <w:t>, ΔΟΕ, Παρίσι</w:t>
      </w:r>
      <w:r>
        <w:rPr>
          <w:rFonts w:ascii="Times New Roman" w:hAnsi="Times New Roman"/>
          <w:sz w:val="20"/>
        </w:rPr>
        <w:t xml:space="preserve"> </w:t>
      </w:r>
      <w:hyperlink r:id="rId12" w:history="1">
        <w:r>
          <w:rPr>
            <w:rStyle w:val="Hyperlink"/>
            <w:rFonts w:ascii="Times New Roman" w:hAnsi="Times New Roman"/>
            <w:sz w:val="20"/>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Η έκθεση του 2021 διατίθεται σε αυτόν τον </w:t>
      </w:r>
      <w:hyperlink r:id="rId13" w:history="1">
        <w:r>
          <w:rPr>
            <w:rStyle w:val="Hyperlink"/>
            <w:rFonts w:ascii="Times New Roman" w:hAnsi="Times New Roman"/>
            <w:sz w:val="20"/>
          </w:rPr>
          <w:t>σύνδεσμο</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Για περισσότερα παραδείγματα, ανατρέξτε στο έγγραφο UNEP FI και στην έκθεση εγκλιματισμού: «</w:t>
      </w:r>
      <w:proofErr w:type="spellStart"/>
      <w:r>
        <w:rPr>
          <w:rFonts w:ascii="Times New Roman" w:hAnsi="Times New Roman"/>
          <w:sz w:val="20"/>
        </w:rPr>
        <w:t>Chartering</w:t>
      </w:r>
      <w:proofErr w:type="spellEnd"/>
      <w:r>
        <w:rPr>
          <w:rFonts w:ascii="Times New Roman" w:hAnsi="Times New Roman"/>
          <w:sz w:val="20"/>
        </w:rPr>
        <w:t xml:space="preserve"> </w:t>
      </w:r>
      <w:proofErr w:type="spellStart"/>
      <w:r>
        <w:rPr>
          <w:rFonts w:ascii="Times New Roman" w:hAnsi="Times New Roman"/>
          <w:sz w:val="20"/>
        </w:rPr>
        <w:t>New</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State</w:t>
      </w:r>
      <w:proofErr w:type="spellEnd"/>
      <w:r>
        <w:rPr>
          <w:rFonts w:ascii="Times New Roman" w:hAnsi="Times New Roman"/>
          <w:sz w:val="20"/>
        </w:rPr>
        <w:t>-of-the-</w:t>
      </w:r>
      <w:proofErr w:type="spellStart"/>
      <w:r>
        <w:rPr>
          <w:rFonts w:ascii="Times New Roman" w:hAnsi="Times New Roman"/>
          <w:sz w:val="20"/>
        </w:rPr>
        <w:t>art</w:t>
      </w:r>
      <w:proofErr w:type="spellEnd"/>
      <w:r>
        <w:rPr>
          <w:rFonts w:ascii="Times New Roman" w:hAnsi="Times New Roman"/>
          <w:sz w:val="20"/>
        </w:rPr>
        <w:t xml:space="preserve"> </w:t>
      </w:r>
      <w:proofErr w:type="spellStart"/>
      <w:r>
        <w:rPr>
          <w:rFonts w:ascii="Times New Roman" w:hAnsi="Times New Roman"/>
          <w:sz w:val="20"/>
        </w:rPr>
        <w:t>tools</w:t>
      </w:r>
      <w:proofErr w:type="spellEnd"/>
      <w:r>
        <w:rPr>
          <w:rFonts w:ascii="Times New Roman" w:hAnsi="Times New Roman"/>
          <w:sz w:val="20"/>
        </w:rPr>
        <w:t xml:space="preserve"> and </w:t>
      </w:r>
      <w:proofErr w:type="spellStart"/>
      <w:r>
        <w:rPr>
          <w:rFonts w:ascii="Times New Roman" w:hAnsi="Times New Roman"/>
          <w:sz w:val="20"/>
        </w:rPr>
        <w:t>data</w:t>
      </w:r>
      <w:proofErr w:type="spellEnd"/>
      <w:r>
        <w:rPr>
          <w:rFonts w:ascii="Times New Roman" w:hAnsi="Times New Roman"/>
          <w:sz w:val="20"/>
        </w:rPr>
        <w:t xml:space="preserve"> for </w:t>
      </w:r>
      <w:proofErr w:type="spellStart"/>
      <w:r>
        <w:rPr>
          <w:rFonts w:ascii="Times New Roman" w:hAnsi="Times New Roman"/>
          <w:sz w:val="20"/>
        </w:rPr>
        <w:t>banks</w:t>
      </w:r>
      <w:proofErr w:type="spellEnd"/>
      <w:r>
        <w:rPr>
          <w:rFonts w:ascii="Times New Roman" w:hAnsi="Times New Roman"/>
          <w:sz w:val="20"/>
        </w:rPr>
        <w:t xml:space="preserve"> </w:t>
      </w:r>
      <w:proofErr w:type="spellStart"/>
      <w:r>
        <w:rPr>
          <w:rFonts w:ascii="Times New Roman" w:hAnsi="Times New Roman"/>
          <w:sz w:val="20"/>
        </w:rPr>
        <w:t>to</w:t>
      </w:r>
      <w:proofErr w:type="spellEnd"/>
      <w:r>
        <w:rPr>
          <w:rFonts w:ascii="Times New Roman" w:hAnsi="Times New Roman"/>
          <w:sz w:val="20"/>
        </w:rPr>
        <w:t xml:space="preserve"> </w:t>
      </w:r>
      <w:proofErr w:type="spellStart"/>
      <w:r>
        <w:rPr>
          <w:rFonts w:ascii="Times New Roman" w:hAnsi="Times New Roman"/>
          <w:sz w:val="20"/>
        </w:rPr>
        <w:t>assess</w:t>
      </w:r>
      <w:proofErr w:type="spellEnd"/>
      <w:r>
        <w:rPr>
          <w:rFonts w:ascii="Times New Roman" w:hAnsi="Times New Roman"/>
          <w:sz w:val="20"/>
        </w:rPr>
        <w:t xml:space="preserve"> </w:t>
      </w:r>
      <w:proofErr w:type="spellStart"/>
      <w:r>
        <w:rPr>
          <w:rFonts w:ascii="Times New Roman" w:hAnsi="Times New Roman"/>
          <w:sz w:val="20"/>
        </w:rPr>
        <w:t>credit</w:t>
      </w:r>
      <w:proofErr w:type="spellEnd"/>
      <w:r>
        <w:rPr>
          <w:rFonts w:ascii="Times New Roman" w:hAnsi="Times New Roman"/>
          <w:sz w:val="20"/>
        </w:rPr>
        <w:t xml:space="preserve"> </w:t>
      </w:r>
      <w:proofErr w:type="spellStart"/>
      <w:r>
        <w:rPr>
          <w:rFonts w:ascii="Times New Roman" w:hAnsi="Times New Roman"/>
          <w:sz w:val="20"/>
        </w:rPr>
        <w:t>risks</w:t>
      </w:r>
      <w:proofErr w:type="spellEnd"/>
      <w:r>
        <w:rPr>
          <w:rFonts w:ascii="Times New Roman" w:hAnsi="Times New Roman"/>
          <w:sz w:val="20"/>
        </w:rPr>
        <w:t xml:space="preserve"> and </w:t>
      </w:r>
      <w:proofErr w:type="spellStart"/>
      <w:r>
        <w:rPr>
          <w:rFonts w:ascii="Times New Roman" w:hAnsi="Times New Roman"/>
          <w:sz w:val="20"/>
        </w:rPr>
        <w:t>opportunities</w:t>
      </w:r>
      <w:proofErr w:type="spellEnd"/>
      <w:r>
        <w:rPr>
          <w:rFonts w:ascii="Times New Roman" w:hAnsi="Times New Roman"/>
          <w:sz w:val="20"/>
        </w:rPr>
        <w:t xml:space="preserve"> </w:t>
      </w:r>
      <w:proofErr w:type="spellStart"/>
      <w:r>
        <w:rPr>
          <w:rFonts w:ascii="Times New Roman" w:hAnsi="Times New Roman"/>
          <w:sz w:val="20"/>
        </w:rPr>
        <w:t>from</w:t>
      </w:r>
      <w:proofErr w:type="spellEnd"/>
      <w:r>
        <w:rPr>
          <w:rFonts w:ascii="Times New Roman" w:hAnsi="Times New Roman"/>
          <w:sz w:val="20"/>
        </w:rPr>
        <w:t xml:space="preserve"> </w:t>
      </w:r>
      <w:proofErr w:type="spellStart"/>
      <w:r>
        <w:rPr>
          <w:rFonts w:ascii="Times New Roman" w:hAnsi="Times New Roman"/>
          <w:sz w:val="20"/>
        </w:rPr>
        <w:t>physical</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change</w:t>
      </w:r>
      <w:proofErr w:type="spellEnd"/>
      <w:r>
        <w:rPr>
          <w:rFonts w:ascii="Times New Roman" w:hAnsi="Times New Roman"/>
          <w:sz w:val="20"/>
        </w:rPr>
        <w:t xml:space="preserve"> </w:t>
      </w:r>
      <w:proofErr w:type="spellStart"/>
      <w:r>
        <w:rPr>
          <w:rFonts w:ascii="Times New Roman" w:hAnsi="Times New Roman"/>
          <w:sz w:val="20"/>
        </w:rPr>
        <w:t>impacts</w:t>
      </w:r>
      <w:proofErr w:type="spellEnd"/>
      <w:r>
        <w:rPr>
          <w:rFonts w:ascii="Times New Roman" w:hAnsi="Times New Roman"/>
          <w:sz w:val="20"/>
        </w:rPr>
        <w:t xml:space="preserve">», Σεπτέμβριος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Η έκθεση παρέχει λεπτομερείς πληροφορίες σχετικά με τις καλυπτόμενες χρονικές περιόδους, τη χρήση μελλοντικών </w:t>
      </w:r>
      <w:r>
        <w:rPr>
          <w:rFonts w:ascii="Times New Roman" w:hAnsi="Times New Roman"/>
          <w:sz w:val="20"/>
        </w:rPr>
        <w:lastRenderedPageBreak/>
        <w:t xml:space="preserve">σεναρίων, τη χωρική ευκρίνεια και κάλυψη, τον </w:t>
      </w:r>
      <w:proofErr w:type="spellStart"/>
      <w:r>
        <w:rPr>
          <w:rFonts w:ascii="Times New Roman" w:hAnsi="Times New Roman"/>
          <w:sz w:val="20"/>
        </w:rPr>
        <w:t>μορφότυπο</w:t>
      </w:r>
      <w:proofErr w:type="spellEnd"/>
      <w:r>
        <w:rPr>
          <w:rFonts w:ascii="Times New Roman" w:hAnsi="Times New Roman"/>
          <w:sz w:val="20"/>
        </w:rPr>
        <w:t xml:space="preserve"> των αποτελεσμάτων που πρέπει να λαμβάνονται από συγκεκριμένα σύνολα δεδομένων, καθώς και την </w:t>
      </w:r>
      <w:proofErr w:type="spellStart"/>
      <w:r>
        <w:rPr>
          <w:rFonts w:ascii="Times New Roman" w:hAnsi="Times New Roman"/>
          <w:sz w:val="20"/>
        </w:rPr>
        <w:t>αδειοδότηση</w:t>
      </w:r>
      <w:proofErr w:type="spellEnd"/>
      <w:r>
        <w:rPr>
          <w:rFonts w:ascii="Times New Roman" w:hAnsi="Times New Roman"/>
          <w:sz w:val="20"/>
        </w:rPr>
        <w:t xml:space="preserve"> και το κόστος (επισημαίνεται ότι οι περισσότερες πύλες και βάσεις δεδομένων προσφέρουν δωρεάν πρόσβαση). Επιπλέον, η έκθεση αναλύει διάφορες τεχνικές εκτίμησης και μέτρησης του υλικού κινδύνου, όπως π.χ. χαρτογράφηση της θερμότητας, ανάλυση συσχετισμού, ειδικά εργαλεία και αναλύσεις.</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Κατ’ εξουσιοδότηση κανονισμός (ΕΕ) 2021/2178 της Επιτροπής, της 6ης Ιουλίου 2021, για τη συμπλήρωση του κανονισμού (ΕΕ) 2020/852 του Ευρωπαϊκού Κοινοβουλίου και του Συμβουλίου με τη διευκρίνιση του περιεχομένου και της παρουσίασης των πληροφοριών που πρέπει να δημοσιοποιούνται από τις επιχειρήσεις που εμπίπτουν στο άρθρο 19α ή στο άρθρο 29α της οδηγίας 2013/34/ΕΕ όσον αφορά τις περιβαλλοντικά βιώσιμες οικονομικές δραστηριότητες, και τον καθορισμό της μεθοδολογίας για τη συμμόρφωση με την υποχρέωση γνωστοποίησης (ΕΕ L 443 της 10.12.2021, σ.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r>
      <w:r>
        <w:rPr>
          <w:rFonts w:ascii="Times New Roman" w:hAnsi="Times New Roman"/>
        </w:rPr>
        <w:t>Κατ’ εξουσιοδότηση κανονισμός (ΕΕ) 2021/2139 της Επιτροπής, της 4ης Ιουνίου 2021, για τη συμπλήρωση του κανονισμού (ΕΕ) 2020/852 του Ευρωπαϊκού Κοινοβουλίου και του Συμβουλίου με τη θέσπιση τεχνικών κριτηρίων ελέγχου για τον προσδιορισμό των προϋποθέσεων υπό τις οποίες μια οικονομική δραστηριότητα θεωρείται ότι συμβάλλει σημαντικά στον μετριασμό της κλιματικής αλλαγής ή στην προσαρμογή στην κλιματική αλλαγή και για τον προσδιορισμό του κατά πόσον αυτή η οικονομική δραστηριότητα δεν επιβαρύνει σημαντικά οποιονδήποτε από τους άλλους περιβαλλοντικούς στόχους (ΕΕ L 442 της 9.12.2021, σ. 1).»</w:t>
      </w:r>
    </w:p>
    <w:p w14:paraId="6FD0C4F3" w14:textId="77777777" w:rsidR="00E240EE" w:rsidRPr="002827F5" w:rsidRDefault="00E240EE"/>
    <w:sectPr w:rsidR="00E240EE" w:rsidRPr="002827F5"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7C7AD2D0" w:rsidR="00AD0F23" w:rsidRDefault="002827F5">
    <w:pPr>
      <w:pStyle w:val="Header"/>
    </w:pPr>
    <w:r>
      <w:rPr>
        <w:noProof/>
      </w:rPr>
      <mc:AlternateContent>
        <mc:Choice Requires="wps">
          <w:drawing>
            <wp:anchor distT="0" distB="0" distL="0" distR="0" simplePos="0" relativeHeight="251660288" behindDoc="0" locked="0" layoutInCell="1" allowOverlap="1" wp14:anchorId="47C7C94C" wp14:editId="7144EE67">
              <wp:simplePos x="0" y="0"/>
              <wp:positionH relativeFrom="leftMargin">
                <wp:align>left</wp:align>
              </wp:positionH>
              <wp:positionV relativeFrom="paragraph">
                <wp:posOffset>635</wp:posOffset>
              </wp:positionV>
              <wp:extent cx="443865" cy="443865"/>
              <wp:effectExtent l="0" t="0" r="0" b="0"/>
              <wp:wrapSquare wrapText="bothSides"/>
              <wp:docPr id="15022286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7C7C94C" id="_x0000_t202" coordsize="21600,21600" o:spt="202" path="m,l,21600r21600,l21600,xe">
              <v:stroke joinstyle="miter"/>
              <v:path gradientshapeok="t" o:connecttype="rect"/>
            </v:shapetype>
            <v:shape id="Text Box 2" o:spid="_x0000_s1026" type="#_x0000_t202" style="position:absolute;margin-left:0;margin-top:.05pt;width:34.95pt;height:34.95pt;z-index:251660288;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Irboe0QAgAA&#10;LQQAAA4AAAAAAAAAAAAAAAAALgIAAGRycy9lMm9Eb2MueG1sUEsBAi0AFAAGAAgAAAAhADSBOhba&#10;AAAAAwEAAA8AAAAAAAAAAAAAAAAAagQAAGRycy9kb3ducmV2LnhtbFBLBQYAAAAABAAEAPMAAABx&#10;BQ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7540874F" w:rsidR="00AD0F23" w:rsidRDefault="002827F5">
    <w:pPr>
      <w:pStyle w:val="Header"/>
    </w:pPr>
    <w:r>
      <w:rPr>
        <w:noProof/>
      </w:rPr>
      <mc:AlternateContent>
        <mc:Choice Requires="wps">
          <w:drawing>
            <wp:anchor distT="0" distB="0" distL="0" distR="0" simplePos="0" relativeHeight="251659264" behindDoc="0" locked="0" layoutInCell="1" allowOverlap="1" wp14:anchorId="260D80EA" wp14:editId="679FB71B">
              <wp:simplePos x="0" y="0"/>
              <wp:positionH relativeFrom="leftMargin">
                <wp:align>left</wp:align>
              </wp:positionH>
              <wp:positionV relativeFrom="paragraph">
                <wp:posOffset>635</wp:posOffset>
              </wp:positionV>
              <wp:extent cx="443865" cy="443865"/>
              <wp:effectExtent l="0" t="0" r="0" b="0"/>
              <wp:wrapSquare wrapText="bothSides"/>
              <wp:docPr id="19560825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60D80EA" id="_x0000_t202" coordsize="21600,21600" o:spt="202" path="m,l,21600r21600,l21600,xe">
              <v:stroke joinstyle="miter"/>
              <v:path gradientshapeok="t" o:connecttype="rect"/>
            </v:shapetype>
            <v:shape id="Text Box 1" o:spid="_x0000_s1027" type="#_x0000_t202" style="position:absolute;margin-left:0;margin-top:.05pt;width:34.95pt;height:34.95pt;z-index:251659264;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F5684C44"/>
    <w:lvl w:ilvl="0" w:tplc="75A4A05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CC5C9DE2"/>
    <w:lvl w:ilvl="0" w:tplc="75A4A05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36CD59A"/>
    <w:lvl w:ilvl="0" w:tplc="75A4A056">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4206322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mc:AlternateContent>
        <mc:Choice Requires="w14">
          <w:numFmt w:val="custom" w:format="α, β, γ, ..."/>
        </mc:Choice>
        <mc:Fallback>
          <w:numFmt w:val="decimal"/>
        </mc:Fallback>
      </mc:AlternateContent>
      <w:pStyle w:val="Point1letter"/>
      <w:lvlText w:val="%4)"/>
      <w:lvlJc w:val="left"/>
      <w:pPr>
        <w:ind w:left="1210" w:hanging="360"/>
      </w:pPr>
      <w:rPr>
        <w:rFonts w:hint="default"/>
      </w:r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EE8E4D52"/>
    <w:lvl w:ilvl="0" w:tplc="75A4A05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F6466B8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ind w:left="1777" w:hanging="360"/>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E66C2D"/>
    <w:multiLevelType w:val="hybridMultilevel"/>
    <w:tmpl w:val="AAA28C62"/>
    <w:lvl w:ilvl="0" w:tplc="44F0FD34">
      <w:start w:val="6"/>
      <mc:AlternateContent>
        <mc:Choice Requires="w14">
          <w:numFmt w:val="custom" w:format="α, β, γ, ..."/>
        </mc:Choice>
        <mc:Fallback>
          <w:numFmt w:val="decimal"/>
        </mc:Fallback>
      </mc:AlternateContent>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F94D79"/>
    <w:multiLevelType w:val="hybridMultilevel"/>
    <w:tmpl w:val="5E181B50"/>
    <w:lvl w:ilvl="0" w:tplc="AD7045B4">
      <w:start w:val="1"/>
      <w:numFmt w:val="decimal"/>
      <w:lvlText w:val="%1."/>
      <w:lvlJc w:val="left"/>
      <w:pPr>
        <w:ind w:left="720" w:hanging="360"/>
      </w:pPr>
      <w:rPr>
        <w:rFonts w:ascii="Times New Roman" w:hAnsi="Times New Roman" w:cs="Times New Roman" w:hint="default"/>
        <w:i w:val="0"/>
        <w:lang w:val="en-GB"/>
      </w:rPr>
    </w:lvl>
    <w:lvl w:ilvl="1" w:tplc="75A4A056">
      <w:start w:val="1"/>
      <mc:AlternateContent>
        <mc:Choice Requires="w14">
          <w:numFmt w:val="custom" w:format="α, β, γ, ..."/>
        </mc:Choice>
        <mc:Fallback>
          <w:numFmt w:val="decimal"/>
        </mc:Fallback>
      </mc:AlternateContent>
      <w:lvlText w:val="%2)"/>
      <w:lvlJc w:val="left"/>
      <w:pPr>
        <w:ind w:left="72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1"/>
  </w:num>
  <w:num w:numId="6" w16cid:durableId="527643500">
    <w:abstractNumId w:val="1"/>
  </w:num>
  <w:num w:numId="7" w16cid:durableId="1759323646">
    <w:abstractNumId w:val="30"/>
  </w:num>
  <w:num w:numId="8" w16cid:durableId="1186865733">
    <w:abstractNumId w:val="25"/>
  </w:num>
  <w:num w:numId="9" w16cid:durableId="1650984832">
    <w:abstractNumId w:val="0"/>
  </w:num>
  <w:num w:numId="10" w16cid:durableId="1485469165">
    <w:abstractNumId w:val="14"/>
  </w:num>
  <w:num w:numId="11" w16cid:durableId="1503810601">
    <w:abstractNumId w:val="28"/>
  </w:num>
  <w:num w:numId="12" w16cid:durableId="1197543771">
    <w:abstractNumId w:val="2"/>
  </w:num>
  <w:num w:numId="13" w16cid:durableId="889655841">
    <w:abstractNumId w:val="26"/>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7"/>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9"/>
  </w:num>
  <w:num w:numId="29" w16cid:durableId="873467813">
    <w:abstractNumId w:val="16"/>
  </w:num>
  <w:num w:numId="30" w16cid:durableId="445121452">
    <w:abstractNumId w:val="12"/>
  </w:num>
  <w:num w:numId="31" w16cid:durableId="101192687">
    <w:abstractNumId w:val="8"/>
  </w:num>
  <w:num w:numId="32" w16cid:durableId="941033090">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27F5"/>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E502C"/>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A40C4"/>
    <w:rsid w:val="00EB6792"/>
    <w:rsid w:val="00EC2369"/>
    <w:rsid w:val="00EC2D64"/>
    <w:rsid w:val="00ED4E73"/>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el-GR"/>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el-GR"/>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el-GR"/>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el-GR"/>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el-GR"/>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el-GR"/>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el-GR"/>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el-GR"/>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el-GR"/>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el-GR"/>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el-GR"/>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el-GR"/>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el-GR"/>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el-GR"/>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el-GR"/>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el-GR"/>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el-GR"/>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el-GR"/>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el-GR"/>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el-GR"/>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el-GR"/>
    </w:rPr>
  </w:style>
  <w:style w:type="character" w:styleId="EndnoteReference">
    <w:name w:val="endnote reference"/>
    <w:basedOn w:val="DefaultParagraphFont"/>
    <w:uiPriority w:val="99"/>
    <w:semiHidden/>
    <w:unhideWhenUsed/>
    <w:rsid w:val="00183989"/>
    <w:rPr>
      <w:vertAlign w:val="superscript"/>
    </w:rPr>
  </w:style>
  <w:style w:type="character" w:styleId="PlaceholderText">
    <w:name w:val="Placeholder Text"/>
    <w:basedOn w:val="DefaultParagraphFont"/>
    <w:uiPriority w:val="99"/>
    <w:semiHidden/>
    <w:rsid w:val="006E502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37FEBF-5BE3-4252-A1B0-080D07D33C3D}"/>
</file>

<file path=customXml/itemProps2.xml><?xml version="1.0" encoding="utf-8"?>
<ds:datastoreItem xmlns:ds="http://schemas.openxmlformats.org/officeDocument/2006/customXml" ds:itemID="{70ED275B-F278-42FE-A078-50376EA32402}"/>
</file>

<file path=customXml/itemProps3.xml><?xml version="1.0" encoding="utf-8"?>
<ds:datastoreItem xmlns:ds="http://schemas.openxmlformats.org/officeDocument/2006/customXml" ds:itemID="{51CEE365-498C-4D7B-B4C7-CF16D401AA18}"/>
</file>

<file path=docProps/app.xml><?xml version="1.0" encoding="utf-8"?>
<Properties xmlns="http://schemas.openxmlformats.org/officeDocument/2006/extended-properties" xmlns:vt="http://schemas.openxmlformats.org/officeDocument/2006/docPropsVTypes">
  <Template>Normal</Template>
  <TotalTime>30</TotalTime>
  <Pages>56</Pages>
  <Words>18927</Words>
  <Characters>128515</Characters>
  <Application>Microsoft Office Word</Application>
  <DocSecurity>0</DocSecurity>
  <Lines>2622</Lines>
  <Paragraphs>1016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MATSAS Michail (DGT)</cp:lastModifiedBy>
  <cp:revision>5</cp:revision>
  <dcterms:created xsi:type="dcterms:W3CDTF">2024-06-28T09:37:00Z</dcterms:created>
  <dcterms:modified xsi:type="dcterms:W3CDTF">2024-10-14T13:06:00Z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