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 xml:space="preserve">PRILOG XXXII. – Upute za obrasce o objavi operativnog rizika</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bCs/>
          <w:sz w:val="24"/>
          <w:rFonts w:ascii="Times New Roman" w:hAnsi="Times New Roman"/>
        </w:rPr>
      </w:pPr>
      <w:r>
        <w:rPr>
          <w:sz w:val="24"/>
          <w:b/>
          <w:rFonts w:ascii="Times New Roman" w:hAnsi="Times New Roman"/>
        </w:rPr>
        <w:t xml:space="preserve">Tablica EU ORA – Kvalitativne informacije o operativnom riziku.</w:t>
      </w:r>
      <w:r>
        <w:rPr>
          <w:sz w:val="24"/>
          <w:b/>
          <w:rFonts w:ascii="Times New Roman" w:hAnsi="Times New Roman"/>
        </w:rPr>
        <w:t xml:space="preserve"> </w:t>
      </w:r>
      <w:r>
        <w:rPr>
          <w:sz w:val="24"/>
          <w:rFonts w:ascii="Times New Roman" w:hAnsi="Times New Roman"/>
        </w:rPr>
        <w:t xml:space="preserve">Fleksibilna tablica</w:t>
      </w:r>
      <w:r>
        <w:rPr>
          <w:sz w:val="24"/>
          <w:rFonts w:ascii="Times New Roman" w:hAnsi="Times New Roman"/>
        </w:rPr>
        <w:t xml:space="preserve">.</w:t>
      </w:r>
    </w:p>
    <w:p w14:paraId="2E1E5572" w14:textId="6D56D6EF" w:rsidR="00E114F3" w:rsidRPr="008D71E9" w:rsidRDefault="2A1FD4BE" w:rsidP="44B77564">
      <w:pPr>
        <w:numPr>
          <w:ilvl w:val="0"/>
          <w:numId w:val="1"/>
        </w:numPr>
        <w:spacing w:after="120"/>
        <w:jc w:val="both"/>
        <w:rPr>
          <w:color w:val="000000"/>
          <w:rFonts w:ascii="Calibri" w:eastAsia="Times New Roman" w:hAnsi="Calibri" w:cs="Times New Roman"/>
        </w:rPr>
      </w:pPr>
      <w:r>
        <w:rPr>
          <w:sz w:val="24"/>
          <w:rFonts w:ascii="Times New Roman" w:hAnsi="Times New Roman"/>
        </w:rPr>
        <w:t xml:space="preserve">Institucije objavljuju informacije iz ove tablice u skladu s člankom 435. stavkom 1., člankom 446. stavkom 1. točkom (a) Uredbe (EU) br. 575/2013</w:t>
      </w:r>
      <w:r>
        <w:rPr>
          <w:rStyle w:val="FootnoteReference"/>
          <w:rFonts w:ascii="Times New Roman" w:hAnsi="Times New Roman"/>
          <w:sz w:val="24"/>
          <w:szCs w:val="24"/>
        </w:rPr>
        <w:footnoteReference w:id="2"/>
      </w:r>
      <w:r>
        <w:rPr>
          <w:sz w:val="24"/>
          <w:rFonts w:ascii="Times New Roman" w:hAnsi="Times New Roman"/>
        </w:rPr>
        <w:t xml:space="preserve">.</w:t>
      </w:r>
    </w:p>
    <w:p w14:paraId="728254AD" w14:textId="52B3E768" w:rsidR="00E114F3" w:rsidRPr="008D71E9" w:rsidRDefault="00E114F3" w:rsidP="00E114F3">
      <w:pPr>
        <w:numPr>
          <w:ilvl w:val="0"/>
          <w:numId w:val="1"/>
        </w:numPr>
        <w:spacing w:after="120"/>
        <w:jc w:val="both"/>
        <w:rPr>
          <w:bCs/>
          <w:sz w:val="24"/>
          <w:rFonts w:ascii="Times New Roman" w:hAnsi="Times New Roman"/>
        </w:rPr>
      </w:pPr>
      <w:r>
        <w:rPr>
          <w:sz w:val="24"/>
          <w:rFonts w:ascii="Times New Roman" w:hAnsi="Times New Roman"/>
        </w:rPr>
        <w:t xml:space="preserve">Institucije primjenjuju upute u nastavku ovog Priloga za popunjavanje tablice o objavi operativnog rizika EU ORA kako je navedeno u Prilogu XXXI. IT rješenjima EBA-e.</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Pravna osnova i upute</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Broj retka</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Objašnjenje</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(a)</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Objava ciljeva i politika upravljanja rizicima</w:t>
            </w:r>
          </w:p>
          <w:p w14:paraId="65684A44" w14:textId="7101D8E2" w:rsidR="00E114F3" w:rsidRPr="008D71E9" w:rsidRDefault="2A1FD4BE">
            <w:pPr>
              <w:spacing w:after="120"/>
              <w:rPr>
                <w:color w:val="000000"/>
                <w:sz w:val="24"/>
                <w:rFonts w:ascii="Times New Roman" w:eastAsia="Times New Roman" w:hAnsi="Times New Roman" w:cs="Times New Roman"/>
              </w:rPr>
            </w:pPr>
            <w:r>
              <w:rPr>
                <w:sz w:val="24"/>
                <w:color w:val="000000" w:themeColor="text1"/>
                <w:rFonts w:ascii="Times New Roman" w:hAnsi="Times New Roman"/>
              </w:rPr>
              <w:t xml:space="preserve">U skladu s člankom 435. stavkom 1. točkom (a) </w:t>
            </w:r>
            <w:r>
              <w:rPr>
                <w:sz w:val="24"/>
                <w:rFonts w:ascii="Times New Roman" w:hAnsi="Times New Roman"/>
              </w:rPr>
              <w:t xml:space="preserve">Uredbe (EU) br. 575/2013</w:t>
            </w:r>
            <w:r>
              <w:rPr>
                <w:sz w:val="24"/>
                <w:color w:val="000000" w:themeColor="text1"/>
                <w:rFonts w:ascii="Times New Roman" w:hAnsi="Times New Roman"/>
              </w:rPr>
              <w:t xml:space="preserve"> institucije objavljuju svoje ciljeve, politike, okvire i smjernice za upravljanje operativnim rizikom, uključujući strategije i postupke upravljanja tim rizikom.</w:t>
            </w:r>
            <w:r>
              <w:t xml:space="preserve"> </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(b)</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Objava informacija o strukturi i organizaciji funkcije upravljanja operativnim rizikom</w:t>
            </w:r>
          </w:p>
          <w:p w14:paraId="739779F0" w14:textId="092C61F0" w:rsidR="00E114F3" w:rsidRPr="008D71E9" w:rsidRDefault="00885AC5">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U skladu s člankom 435. stavkom 1. točkom (b) </w:t>
            </w:r>
            <w:r>
              <w:rPr>
                <w:sz w:val="24"/>
                <w:rFonts w:ascii="Times New Roman" w:hAnsi="Times New Roman"/>
              </w:rPr>
              <w:t xml:space="preserve">Uredbe (EU) br. 575/2013</w:t>
            </w:r>
            <w:r>
              <w:rPr>
                <w:sz w:val="24"/>
                <w:color w:val="000000" w:themeColor="text1"/>
                <w:rFonts w:ascii="Times New Roman" w:hAnsi="Times New Roman"/>
              </w:rPr>
              <w:t xml:space="preserve"> institucije objavljuju informacije o strukturi i organizaciji funkcije upravljanja operativnim rizikom, uključujući informacije na kojima se temelji njezina nadležnost, ovlasti i odgovornosti u skladu s aktima o osnivanju institucije i upravljanju institucijom.</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Opis opsega i vrste sustava mjerenja</w:t>
            </w:r>
          </w:p>
          <w:p w14:paraId="2426746E" w14:textId="37F86BBD" w:rsidR="00E114F3" w:rsidRPr="008D71E9" w:rsidRDefault="005129A3">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U skladu s člankom 435. stavkom 1. točkom (c)</w:t>
            </w:r>
            <w:r>
              <w:rPr>
                <w:sz w:val="24"/>
                <w:rFonts w:ascii="Times New Roman" w:hAnsi="Times New Roman"/>
              </w:rPr>
              <w:t xml:space="preserve"> Uredbe (EU) br. 575/2013</w:t>
            </w:r>
            <w:r>
              <w:rPr>
                <w:sz w:val="24"/>
                <w:color w:val="000000" w:themeColor="text1"/>
                <w:rFonts w:ascii="Times New Roman" w:hAnsi="Times New Roman"/>
              </w:rPr>
              <w:t xml:space="preserve"> institucije objavljuju opseg i vrstu sustava mjerenja operativnog rizika (tj. sustava i podataka korištenih za mjerenje operativnog rizika kako bi se procijenio kapitalni zahtjev za operativni rizik).</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b/>
                <w:color w:val="000000"/>
                <w:sz w:val="24"/>
                <w:rFonts w:ascii="Times New Roman" w:eastAsia="Times New Roman" w:hAnsi="Times New Roman" w:cs="Times New Roman"/>
              </w:rPr>
            </w:pPr>
            <w:r>
              <w:rPr>
                <w:b/>
                <w:color w:val="000000" w:themeColor="text1"/>
                <w:sz w:val="24"/>
                <w:rFonts w:ascii="Times New Roman" w:hAnsi="Times New Roman"/>
              </w:rPr>
              <w:t xml:space="preserve">Opis opsega i vrste okvira za izvješćivanje o operativnom riziku</w:t>
            </w:r>
          </w:p>
          <w:p w14:paraId="1EE9A69D" w14:textId="3E92FDF7" w:rsidR="00E114F3" w:rsidRPr="008D71E9" w:rsidRDefault="005D02AE">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U skladu s člankom 435. stavkom 1. točkom (c)</w:t>
            </w:r>
            <w:r>
              <w:rPr>
                <w:sz w:val="24"/>
                <w:rFonts w:ascii="Times New Roman" w:hAnsi="Times New Roman"/>
              </w:rPr>
              <w:t xml:space="preserve"> Uredbe (EU) br. 575/2013</w:t>
            </w:r>
            <w:r>
              <w:rPr>
                <w:sz w:val="24"/>
                <w:color w:val="000000" w:themeColor="text1"/>
                <w:rFonts w:ascii="Times New Roman" w:hAnsi="Times New Roman"/>
              </w:rPr>
              <w:t xml:space="preserve"> institucije objavljuju opseg i vrstu okvira za izvješćivanje izvršnog rukovodstva i upravnog odbora o operativnom riziku.</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color w:val="000000"/>
                <w:sz w:val="24"/>
                <w:rFonts w:ascii="Times New Roman" w:eastAsia="Times New Roman" w:hAnsi="Times New Roman" w:cs="Times New Roman"/>
              </w:rPr>
            </w:pPr>
            <w:r>
              <w:rPr>
                <w:b/>
                <w:color w:val="000000" w:themeColor="text1"/>
                <w:sz w:val="24"/>
                <w:rFonts w:ascii="Times New Roman" w:hAnsi="Times New Roman"/>
              </w:rPr>
              <w:t xml:space="preserve">Opis politika i strategija za smanjenje rizika i zaštitu od rizika</w:t>
            </w:r>
          </w:p>
          <w:p w14:paraId="443DC7A5" w14:textId="704D717D" w:rsidR="00E5460F" w:rsidRPr="008D71E9" w:rsidDel="009A4E43" w:rsidRDefault="00E25C0C" w:rsidP="00E25C0C">
            <w:pPr>
              <w:spacing w:after="120"/>
              <w:jc w:val="both"/>
              <w:rPr>
                <w:b/>
                <w:color w:val="000000"/>
                <w:sz w:val="24"/>
                <w:rFonts w:ascii="Times New Roman" w:eastAsia="Times New Roman" w:hAnsi="Times New Roman" w:cs="Times New Roman"/>
              </w:rPr>
            </w:pPr>
            <w:r>
              <w:t xml:space="preserve"> </w:t>
            </w:r>
            <w:r>
              <w:rPr>
                <w:sz w:val="24"/>
                <w:color w:val="000000" w:themeColor="text1"/>
                <w:rFonts w:ascii="Times New Roman" w:hAnsi="Times New Roman"/>
              </w:rPr>
              <w:t xml:space="preserve">U skladu s člankom 435. stavkom 1. točkom (d)</w:t>
            </w:r>
            <w:r>
              <w:rPr>
                <w:sz w:val="24"/>
                <w:rFonts w:ascii="Times New Roman" w:hAnsi="Times New Roman"/>
              </w:rPr>
              <w:t xml:space="preserve"> Uredbe (EU) br. 575/2013</w:t>
            </w:r>
            <w:r>
              <w:rPr>
                <w:sz w:val="24"/>
                <w:color w:val="000000" w:themeColor="text1"/>
                <w:rFonts w:ascii="Times New Roman" w:hAnsi="Times New Roman"/>
              </w:rPr>
              <w:t xml:space="preserve"> institucije objavljuju svoje politike i strategije smanjenja rizika i zaštite od rizika koje koriste u upravljanju operativnim rizikom, među ostalim ako se smanjenje operativnog rizika postiže politikom (u tom slučaju objavljuju politike o kulturi rizika, sklonosti preuzimanju rizika i eksternalizaciji), ili ako se postiže odvajanjem od visokorizičnih poslovanja ili uspostavom kontrola.</w:t>
            </w:r>
            <w:r>
              <w:rPr>
                <w:sz w:val="24"/>
                <w:color w:val="000000" w:themeColor="text1"/>
                <w:rFonts w:ascii="Times New Roman" w:hAnsi="Times New Roman"/>
              </w:rPr>
              <w:t xml:space="preserve"> </w:t>
            </w:r>
            <w:r>
              <w:rPr>
                <w:sz w:val="24"/>
                <w:color w:val="000000" w:themeColor="text1"/>
                <w:rFonts w:ascii="Times New Roman" w:hAnsi="Times New Roman"/>
              </w:rPr>
              <w:t xml:space="preserve">Institucije objavljuju i preostale izloženosti koje su apsorbirale same institucije ili, ako je primjenjivo, preostale izloženosti koje se prenose na različite načine, među ostalim preko osiguranja.</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bCs/>
          <w:sz w:val="24"/>
          <w:rFonts w:ascii="Times New Roman" w:hAnsi="Times New Roman" w:cs="Times New Roman"/>
        </w:rPr>
      </w:pPr>
      <w:r>
        <w:rPr>
          <w:sz w:val="24"/>
          <w:b/>
          <w:rFonts w:ascii="Times New Roman" w:hAnsi="Times New Roman"/>
        </w:rPr>
        <w:t xml:space="preserve">Obrazac EU OR1 – Gubici od operativnog rizika.</w:t>
      </w:r>
      <w:r>
        <w:rPr>
          <w:sz w:val="24"/>
          <w:b/>
          <w:rFonts w:ascii="Times New Roman" w:hAnsi="Times New Roman"/>
        </w:rPr>
        <w:t xml:space="preserve"> </w:t>
      </w:r>
      <w:r>
        <w:rPr>
          <w:sz w:val="24"/>
          <w:rFonts w:ascii="Times New Roman" w:hAnsi="Times New Roman"/>
        </w:rPr>
        <w:t xml:space="preserve">Fiksni obrazac.</w:t>
      </w:r>
    </w:p>
    <w:p w14:paraId="70B287DB" w14:textId="2D9C856F"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Institucije objavljuju informacije iz obrasca EU OR1 u skladu s člankom 446. stavkom 2. točkama (a) i (b) Uredbe (EU) br. 575/2013.</w:t>
      </w:r>
      <w:r>
        <w:rPr>
          <w:sz w:val="24"/>
          <w:rFonts w:ascii="Times New Roman" w:hAnsi="Times New Roman"/>
        </w:rPr>
        <w:t xml:space="preserve"> </w:t>
      </w:r>
      <w:r>
        <w:rPr>
          <w:sz w:val="24"/>
          <w:rFonts w:ascii="Times New Roman" w:hAnsi="Times New Roman"/>
        </w:rPr>
        <w:t xml:space="preserve">U ovom obrascu navode se informacije o godišnjim gubicima od operativnog rizika koji su nastali u proteklih deset godina, na temelju datuma knjiženja nastalih gubitaka.</w:t>
      </w:r>
      <w:r>
        <w:rPr>
          <w:sz w:val="24"/>
          <w:rFonts w:ascii="Times New Roman" w:hAnsi="Times New Roman"/>
        </w:rPr>
        <w:t xml:space="preserve"> </w:t>
      </w:r>
      <w:r>
        <w:rPr>
          <w:sz w:val="24"/>
          <w:rFonts w:ascii="Times New Roman" w:hAnsi="Times New Roman"/>
        </w:rPr>
        <w:t xml:space="preserve">Ti godišnji gubici od operativnog rizika izračunavaju se u skladu s člankom 316. stavkom 1. Uredbe (EU) br. 575/2013 i sadržavaju, u skladu s člankom 317. stavkom 2. Uredbe (EU) br. 575/2013, sve gubitke koji proizlaze iz svih subjekata obuhvaćenih područjem primjene konsolidacije, uključujući gubitke od spojenih odnosno pripojenih ili preuzetih subjekata (u skladu s člankom 321. stavkom 1. Uredbe (EU) br. 575/2013).</w:t>
      </w:r>
      <w:r>
        <w:rPr>
          <w:sz w:val="24"/>
          <w:rFonts w:ascii="Times New Roman" w:hAnsi="Times New Roman"/>
        </w:rPr>
        <w:t xml:space="preserve"> </w:t>
      </w:r>
      <w:r>
        <w:rPr>
          <w:sz w:val="24"/>
          <w:rFonts w:ascii="Times New Roman" w:hAnsi="Times New Roman"/>
        </w:rPr>
        <w:t xml:space="preserve">Te informacije navode se u mjeri u kojoj su dostupne i koliko je to moguće, do početka primjene članka 316. stavka 3., članka 317. stavka 9., članka 320. stavka 3. i članka 321. stavka 2. Uredbe (EU) br. 575/2013.</w:t>
      </w:r>
      <w:r>
        <w:rPr>
          <w:sz w:val="24"/>
          <w:rFonts w:ascii="Times New Roman" w:hAnsi="Times New Roman"/>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Institucije za svaku od zadnjih deset godina objavljuju podatke o broju gubitaka od operativnog rizika i broju isključenih gubitaka od operativnog rizika, ukupni iznos gubitaka od operativnog rizika bez povrata i ukupni iznos gubitaka od operativnog rizika bez povrata i bez isključenih gubitaka.</w:t>
      </w:r>
      <w:r>
        <w:rPr>
          <w:sz w:val="24"/>
          <w:rFonts w:ascii="Times New Roman" w:hAnsi="Times New Roman"/>
        </w:rPr>
        <w:t xml:space="preserve"> </w:t>
      </w:r>
      <w:r>
        <w:rPr>
          <w:sz w:val="24"/>
          <w:rFonts w:ascii="Times New Roman" w:hAnsi="Times New Roman"/>
        </w:rPr>
        <w:t xml:space="preserve">Ukupni godišnji iznos gubitka od operativnog rizika izračunat će se kao zbroj svih neto gubitaka u određenoj financijskoj godini, koji se izračunavaju u skladu s člankom 318. stavkom 1. Uredbe (EU) br. 575/2013, koji su jednaki ili premašuju pragove podataka o gubicima iz članka 319. stavka 1. odnosno 2. te uredbe (tj. 20 000 EUR i 100 000 EUR).</w:t>
      </w:r>
      <w:r>
        <w:rPr>
          <w:sz w:val="24"/>
          <w:rFonts w:ascii="Times New Roman" w:hAnsi="Times New Roman"/>
        </w:rPr>
        <w:t xml:space="preserve"> </w:t>
      </w:r>
      <w:r>
        <w:rPr>
          <w:sz w:val="24"/>
          <w:rFonts w:ascii="Times New Roman" w:hAnsi="Times New Roman"/>
        </w:rPr>
        <w:t xml:space="preserve">Međutim, gubici koji su uzrokovani zajedničkim događajem operativnog rizika, ili više događaja povezanih s istim događajem operativnog rizika („temeljni događaj”), koji se priznaju u različitim računovodstvenim godinama, zbrajaju se za zadnjih deset godina kako bi se utvrdilo je li prag za objavu premašen.</w:t>
      </w:r>
      <w:r>
        <w:rPr>
          <w:sz w:val="24"/>
          <w:rFonts w:ascii="Times New Roman" w:hAnsi="Times New Roman"/>
        </w:rPr>
        <w:t xml:space="preserve"> </w:t>
      </w:r>
      <w:r>
        <w:rPr>
          <w:sz w:val="24"/>
          <w:rFonts w:ascii="Times New Roman" w:hAnsi="Times New Roman"/>
        </w:rPr>
        <w:t xml:space="preserve">Gubici i prilagodbe trebaju se objaviti u skladu s odredbama iz članka 317. stavka 3. točke (c) i članka 318. Uredbe (EU) br. 575/2013.</w:t>
      </w:r>
      <w:r>
        <w:rPr>
          <w:sz w:val="24"/>
          <w:rFonts w:ascii="Times New Roman" w:hAnsi="Times New Roman"/>
        </w:rPr>
        <w:t xml:space="preserve"> </w:t>
      </w:r>
      <w:r>
        <w:rPr>
          <w:sz w:val="24"/>
          <w:rFonts w:ascii="Times New Roman" w:hAnsi="Times New Roman"/>
        </w:rPr>
        <w:t xml:space="preserve">Ti se iznosi objavljuju u godini kad su knjiženi u financijskim izvještajima.</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U popratnim opisnim informacijama institucije u agregiranom obliku objavljuju obrazloženja za izvanredne događaje operativnog rizika koji su bili isključeni iz izračuna godišnjih gubitaka od operativnog rizika, u skladu s člankom 446. stavkom 2. točkom (b) Uredbe (EU) br. 575/2013.</w:t>
      </w:r>
      <w:r>
        <w:rPr>
          <w:sz w:val="24"/>
          <w:rFonts w:ascii="Times New Roman" w:hAnsi="Times New Roman"/>
        </w:rPr>
        <w:t xml:space="preserve">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Institucije na agregiranoj osnovi objavljuju i sve materijalno značajne informacije koje bi korisnicima mogle pomoći da razumiju njihove povijesne podatke o gubicima, povrate i zakonske pričuve, uz iznimku povjerljivih i zaštićenih informacija.</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bCs/>
                <w:sz w:val="24"/>
                <w:rFonts w:ascii="Times New Roman" w:hAnsi="Times New Roman"/>
              </w:rPr>
            </w:pPr>
            <w:r>
              <w:rPr>
                <w:b/>
                <w:sz w:val="24"/>
                <w:rFonts w:ascii="Times New Roman" w:hAnsi="Times New Roman"/>
              </w:rPr>
              <w:t xml:space="preserve">Stupac</w:t>
            </w:r>
          </w:p>
        </w:tc>
        <w:tc>
          <w:tcPr>
            <w:tcW w:w="7745" w:type="dxa"/>
            <w:shd w:val="clear" w:color="auto" w:fill="BFBFBF" w:themeFill="background1" w:themeFillShade="BF"/>
          </w:tcPr>
          <w:p w14:paraId="0773BD79"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Pravna osnova i upute</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od a do j</w:t>
            </w:r>
          </w:p>
        </w:tc>
        <w:tc>
          <w:tcPr>
            <w:tcW w:w="7745" w:type="dxa"/>
          </w:tcPr>
          <w:p w14:paraId="0B872A50" w14:textId="77777777" w:rsidR="00D740B8" w:rsidRPr="002755E0" w:rsidRDefault="00D740B8">
            <w:pPr>
              <w:spacing w:before="120" w:after="120"/>
              <w:jc w:val="both"/>
              <w:rPr>
                <w:sz w:val="24"/>
                <w:rFonts w:ascii="Times New Roman" w:eastAsia="Times New Roman" w:hAnsi="Times New Roman" w:cs="Times New Roman"/>
              </w:rPr>
            </w:pPr>
            <w:r>
              <w:rPr>
                <w:b/>
                <w:sz w:val="24"/>
                <w:rFonts w:ascii="Times New Roman" w:hAnsi="Times New Roman"/>
              </w:rPr>
              <w:t xml:space="preserve">Godina (T, T-1, T-2, T-3, T-4, T-5, T-6, T-7, T-8, T-9)</w:t>
            </w:r>
          </w:p>
          <w:p w14:paraId="5B6EF35C" w14:textId="3033D1CC" w:rsidR="00D740B8" w:rsidRPr="008D71E9" w:rsidRDefault="00D740B8">
            <w:pPr>
              <w:spacing w:before="120" w:after="120"/>
              <w:rPr>
                <w:sz w:val="24"/>
                <w:rFonts w:ascii="Times New Roman" w:hAnsi="Times New Roman"/>
              </w:rPr>
            </w:pPr>
            <w:r>
              <w:rPr>
                <w:sz w:val="24"/>
                <w:rFonts w:ascii="Times New Roman" w:hAnsi="Times New Roman"/>
              </w:rPr>
              <w:t xml:space="preserve">Vrijednost navedena u odgovarajućem retku, za proteklih 10 financijskih godina.</w:t>
            </w:r>
            <w:r>
              <w:rPr>
                <w:sz w:val="24"/>
                <w:rFonts w:ascii="Times New Roman" w:hAnsi="Times New Roman"/>
              </w:rPr>
              <w:t xml:space="preserve">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k</w:t>
            </w:r>
          </w:p>
        </w:tc>
        <w:tc>
          <w:tcPr>
            <w:tcW w:w="7745" w:type="dxa"/>
          </w:tcPr>
          <w:p w14:paraId="50D93A86"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Desetogodišnji prosjek</w:t>
            </w:r>
          </w:p>
          <w:p w14:paraId="38A7187F" w14:textId="0CB464F2" w:rsidR="00D740B8" w:rsidRPr="008D71E9" w:rsidRDefault="00D740B8">
            <w:pPr>
              <w:spacing w:before="120" w:after="120"/>
              <w:rPr>
                <w:bCs/>
                <w:sz w:val="24"/>
                <w:rFonts w:ascii="Times New Roman" w:hAnsi="Times New Roman"/>
              </w:rPr>
            </w:pPr>
            <w:r>
              <w:rPr>
                <w:sz w:val="24"/>
                <w:rFonts w:ascii="Times New Roman" w:hAnsi="Times New Roman"/>
              </w:rPr>
              <w:t xml:space="preserve">Prosjek vrijednosti navedenih u odgovarajućem retku za proteklih 10 godina.</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Redak</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b/>
                <w:sz w:val="24"/>
                <w:rFonts w:ascii="Times New Roman" w:hAnsi="Times New Roman" w:cs="Times New Roman"/>
              </w:rPr>
            </w:pPr>
            <w:r>
              <w:rPr>
                <w:b/>
                <w:sz w:val="24"/>
                <w:rFonts w:ascii="Times New Roman" w:hAnsi="Times New Roman"/>
              </w:rPr>
              <w:t xml:space="preserve">Pravna osnova i upute</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Ukupni iznos gubitaka od operativnog rizika bez povrata (bez isključenja)</w:t>
            </w:r>
          </w:p>
          <w:p w14:paraId="73A6B59F" w14:textId="42A729DD"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Članak 446. stavak 2. točka (a) i članak 316. stavak 1. Uredbe (EU) br. 575/2013</w:t>
            </w:r>
          </w:p>
          <w:p w14:paraId="5D929629" w14:textId="149BDB35" w:rsidR="00D740B8" w:rsidRPr="008D71E9" w:rsidRDefault="002B0785">
            <w:pPr>
              <w:spacing w:before="120" w:after="120"/>
              <w:jc w:val="both"/>
              <w:rPr>
                <w:b/>
                <w:sz w:val="24"/>
                <w:rFonts w:ascii="Times New Roman" w:eastAsia="Times New Roman" w:hAnsi="Times New Roman" w:cs="Times New Roman"/>
              </w:rPr>
            </w:pPr>
            <w:r>
              <w:rPr>
                <w:sz w:val="24"/>
                <w:rFonts w:ascii="Times New Roman" w:hAnsi="Times New Roman"/>
              </w:rPr>
              <w:t xml:space="preserve">U ovom retku objavljuje se ukupni iznos gubitaka bez povrata, koji proizlaze iz događaja gubitka koji premašuju prag za događaj gubitka od 20 000 EUR, za svako od zadnjih deset izvještajnih razdoblja, uključujući gubitke od spajanja odnosno pripajanja i preuzimanja.</w:t>
            </w:r>
            <w:r>
              <w:rPr>
                <w:sz w:val="24"/>
                <w:rFonts w:ascii="Times New Roman" w:hAnsi="Times New Roman"/>
              </w:rPr>
              <w:t xml:space="preserve"> </w:t>
            </w:r>
            <w:r>
              <w:rPr>
                <w:sz w:val="24"/>
                <w:rFonts w:ascii="Times New Roman" w:hAnsi="Times New Roman"/>
              </w:rPr>
              <w:t xml:space="preserve">Gubici koji su uzrokovani zajedničkim događajem operativnog rizika, ili više događaja povezanih s istim događajem operativnog rizika, koji se priznaju u različitim računovodstvenim godinama, zbrajaju se za zadnjih 10 godina kako bi se utvrdilo je li prag za objavu premašen.</w:t>
            </w:r>
            <w:r>
              <w:rPr>
                <w:sz w:val="24"/>
                <w:rFonts w:ascii="Times New Roman" w:hAnsi="Times New Roman"/>
              </w:rPr>
              <w:t xml:space="preserve"> </w:t>
            </w:r>
            <w:r>
              <w:rPr>
                <w:sz w:val="24"/>
                <w:rFonts w:ascii="Times New Roman" w:hAnsi="Times New Roman"/>
              </w:rPr>
              <w:t xml:space="preserve">Izvanredni događaji operativnog rizika koji više nisu relevantni za profil rizičnosti institucije za koji je institucija od nadležnog tijela dobila dopuštenje da ih isključi iz svojih godišnjih gubitaka od operativnog rizika, u skladu s člankom 320. stavkom 1. Uredbe (EU) br. 575/2013, i dalje se uzimaju u obzir u izračunu stavke u ovom retku.</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Ukupni broj gubitaka od operativnog rizika</w:t>
            </w:r>
          </w:p>
          <w:p w14:paraId="2EA91375" w14:textId="28AF0058"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Članak 446. stavak 2. točka (a) i članak 316. stavak 1. Uredbe (EU) br. 575/2013</w:t>
            </w:r>
          </w:p>
          <w:p w14:paraId="275C478C" w14:textId="69738AFF" w:rsidR="00D740B8" w:rsidRPr="008D71E9" w:rsidRDefault="00471410">
            <w:pPr>
              <w:spacing w:before="120" w:after="120"/>
              <w:rPr>
                <w:sz w:val="24"/>
                <w:rFonts w:ascii="Times New Roman" w:eastAsia="Times New Roman" w:hAnsi="Times New Roman" w:cs="Times New Roman"/>
              </w:rPr>
            </w:pPr>
            <w:r>
              <w:rPr>
                <w:sz w:val="24"/>
                <w:rFonts w:ascii="Times New Roman" w:hAnsi="Times New Roman"/>
              </w:rPr>
              <w:t xml:space="preserve">Ukupni broj gubitaka od operativnog rizika koji premašuju prag za događaj gubitka od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Ukupni iznos isključenih gubitaka od operativnog rizika</w:t>
            </w:r>
          </w:p>
          <w:p w14:paraId="5C1A66AF" w14:textId="5CAD041D"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Članak 446. stavak 2. točka (b) i članak 320. stavak 1. Uredbe (EU) br. 575/2013</w:t>
            </w:r>
          </w:p>
          <w:p w14:paraId="7BE235CA" w14:textId="7483A5B2" w:rsidR="00D740B8" w:rsidRPr="008D71E9" w:rsidRDefault="002B0785">
            <w:pPr>
              <w:spacing w:before="120" w:after="120"/>
              <w:rPr>
                <w:sz w:val="24"/>
                <w:rFonts w:ascii="Times New Roman" w:eastAsia="Times New Roman" w:hAnsi="Times New Roman" w:cs="Times New Roman"/>
              </w:rPr>
            </w:pPr>
            <w:r>
              <w:rPr>
                <w:sz w:val="24"/>
                <w:rFonts w:ascii="Times New Roman" w:hAnsi="Times New Roman"/>
              </w:rPr>
              <w:t xml:space="preserve">Ukupni iznosi neto gubitaka koji premašuju prag za gubitak od 20 000 EUR, koji su bili isključeni u skladu s člankom 320. stavkom 1. Uredbe (EU) br. 575/2013, za svako od zadnjih deset izvještajnih razdoblja.</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Ukupni broj isključenih događaja operativnog rizika</w:t>
            </w:r>
          </w:p>
          <w:p w14:paraId="7914E462" w14:textId="7978A3B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Članak 446. stavak 2. točka (b) i članak 320. stavak 1. Uredbe (EU) br. 575/2013</w:t>
            </w:r>
          </w:p>
          <w:p w14:paraId="318A732C" w14:textId="242D554F" w:rsidR="00D740B8" w:rsidRPr="008D71E9" w:rsidRDefault="009D4A12">
            <w:pPr>
              <w:spacing w:before="120" w:after="120"/>
              <w:jc w:val="both"/>
              <w:rPr>
                <w:sz w:val="24"/>
                <w:rFonts w:ascii="Times New Roman" w:eastAsia="Times New Roman" w:hAnsi="Times New Roman" w:cs="Times New Roman"/>
              </w:rPr>
            </w:pPr>
            <w:r>
              <w:rPr>
                <w:sz w:val="24"/>
                <w:rFonts w:ascii="Times New Roman" w:hAnsi="Times New Roman"/>
              </w:rPr>
              <w:t xml:space="preserve">Ukupni broj izvanrednih događaja operativnog rizika koji premašuju prag za događaj gubitka od 20 000 EUR, koji su bili isključeni u skladu s člankom 320. stavkom 1. Uredbe (EU) br. 575/2013, za svako od zadnjih deset izvještajnih razdoblja.</w:t>
            </w:r>
            <w:r>
              <w:rPr>
                <w:sz w:val="24"/>
                <w:rFonts w:ascii="Times New Roman" w:hAnsi="Times New Roman"/>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Ukupni iznos gubitaka od operativnog rizika bez povrata i bez isključenih gubitaka</w:t>
            </w:r>
          </w:p>
          <w:p w14:paraId="4203582A" w14:textId="6CAD1497" w:rsidR="00D740B8" w:rsidRPr="008D71E9" w:rsidRDefault="002B0785">
            <w:pPr>
              <w:spacing w:before="120" w:after="120"/>
              <w:jc w:val="both"/>
              <w:rPr>
                <w:sz w:val="24"/>
                <w:rFonts w:ascii="Times New Roman" w:eastAsia="Times New Roman" w:hAnsi="Times New Roman" w:cs="Times New Roman"/>
              </w:rPr>
            </w:pPr>
            <w:r>
              <w:rPr>
                <w:sz w:val="24"/>
                <w:rFonts w:ascii="Times New Roman" w:hAnsi="Times New Roman"/>
              </w:rPr>
              <w:t xml:space="preserve">Ukupni iznos gubitaka od operativnog rizika, umanjen za iznos povrata objavljen u retku 1 i umanjen za isključene gubitke objavljene u retku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Ukupni iznos gubitaka od operativnog rizika bez povrata (bez isključenja)</w:t>
            </w:r>
          </w:p>
          <w:p w14:paraId="647BDEC8" w14:textId="66617A83"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Članak 446. stavak 2. točka (a) i članak 316. stavak 1. Uredbe (EU) br. 575/2013</w:t>
            </w:r>
          </w:p>
          <w:p w14:paraId="7F1E94AA" w14:textId="28CE55AE"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Ukupni iznos gubitaka od operativnog rizika, umanjen za iznos povrata, koji proizlazi iz događaja gubitka koji premašuju prag za događaj gubitka od 100 000 EUR, za svako od zadnjih deset izvještajnih razdoblja, uključujući gubitke od spajanja odnosno pripajanja i preuzimanja.</w:t>
            </w:r>
            <w:r>
              <w:rPr>
                <w:sz w:val="24"/>
                <w:rFonts w:ascii="Times New Roman" w:hAnsi="Times New Roman"/>
              </w:rPr>
              <w:t xml:space="preserve"> </w:t>
            </w:r>
            <w:r>
              <w:rPr>
                <w:sz w:val="24"/>
                <w:rFonts w:ascii="Times New Roman" w:hAnsi="Times New Roman"/>
              </w:rPr>
              <w:t xml:space="preserve">Gubici koji su uzrokovani zajedničkim događajem operativnog rizika, ili više događaja povezanih s istim događajem operativnog rizika, koji se priznaju u različitim računovodstvenim godinama, zbrajaju se za zadnjih 10 godina kako bi se utvrdilo je li prag za objavu premašen.</w:t>
            </w:r>
            <w:r>
              <w:rPr>
                <w:sz w:val="24"/>
                <w:rFonts w:ascii="Times New Roman" w:hAnsi="Times New Roman"/>
              </w:rPr>
              <w:t xml:space="preserve"> </w:t>
            </w:r>
            <w:r>
              <w:rPr>
                <w:sz w:val="24"/>
                <w:rFonts w:ascii="Times New Roman" w:hAnsi="Times New Roman"/>
              </w:rPr>
              <w:t xml:space="preserve">Izvanredni događaji operativnog rizika koji više nisu relevantni za profil rizičnosti institucije za koji je institucija od nadležnog tijela dobila dopuštenje da ih isključi iz godišnjih gubitaka od operativnog rizika, u skladu s člankom 320. stavkom 1. Uredbe (EU) br. 575/2013, i dalje se uzimaju u obzir u izračunu stavke u ovom retku.</w:t>
            </w:r>
            <w:r>
              <w:rPr>
                <w:sz w:val="24"/>
                <w:rFonts w:ascii="Times New Roman" w:hAnsi="Times New Roman"/>
              </w:rPr>
              <w:t xml:space="preserv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Ukupni broj gubitaka od operativnog rizika</w:t>
            </w:r>
          </w:p>
          <w:p w14:paraId="7AD8EE0D" w14:textId="092E19E2"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Članak 446. stavak 2. točka (a) i članak 316. stavak 1. Uredbe (EU) br. 575/2013</w:t>
            </w:r>
          </w:p>
          <w:p w14:paraId="6F316B8B" w14:textId="6ABB567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Ukupni broj gubitaka od operativnog rizika koji premašuju prag za događaj gubitka od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Ukupni iznos isključenih gubitaka od operativnog rizika</w:t>
            </w:r>
          </w:p>
          <w:p w14:paraId="71DECF65" w14:textId="48A395A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Članak 446. stavak 2. točka (b) i članak 320. stavak 1. Uredbe (EU) br. 575/2013</w:t>
            </w:r>
          </w:p>
          <w:p w14:paraId="0BC74916" w14:textId="396B699A"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Ukupni iznosi neto gubitaka koji premašuju prag za događaj gubitka od 100 000 EUR, koji su bili isključeni u skladu s člankom 320. stavkom 1. Uredbe (EU) br. 575/2013, za svako od zadnjih deset izvještajnih razdoblja.</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Ukupni broj isključenih događaja operativnog rizika</w:t>
            </w:r>
          </w:p>
          <w:p w14:paraId="2B56754D" w14:textId="46B0AAAA"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Članak 446. stavak 2. točka (b) i članak 320. stavak 1. Uredbe (EU) br. 575/2013</w:t>
            </w:r>
          </w:p>
          <w:p w14:paraId="2EDEC8CA" w14:textId="02901FC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Ukupni broj izvanrednih događaja operativnog rizika koji premašuju prag za događaj gubitka od 100 000 EUR, koji su bili isključeni u skladu s člankom 320. stavkom 1. Uredbe (EU) br. 575/2013, za svako od zadnjih deset izvještajnih razdoblja.</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Ukupni iznos gubitaka od operativnog rizika bez povrata i bez isključenih gubitaka</w:t>
            </w:r>
          </w:p>
          <w:p w14:paraId="65622881" w14:textId="32C07686" w:rsidR="00D740B8" w:rsidRPr="008D71E9" w:rsidRDefault="006943D3">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U ovom retku objavljuje se ukupni iznos gubitaka od operativnog rizika umanjen za iznos povrata objavljen u retku 6, i umanjen za iznos isključenih gubitaka objavljen u retku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bCs w:val="0"/>
                <w:sz w:val="24"/>
                <w:rFonts w:ascii="Times New Roman" w:eastAsia="Times New Roman" w:hAnsi="Times New Roman"/>
              </w:rPr>
            </w:pPr>
            <w:r>
              <w:rPr>
                <w:sz w:val="24"/>
                <w:rFonts w:ascii="Times New Roman" w:hAnsi="Times New Roman"/>
              </w:rPr>
              <w:t xml:space="preserve">Nije primjenjivo.</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Nije primjenjivo.</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Nije primjenjivo.</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Obrazac EU OR2 – Pokazatelj poslovanja, komponente i podkomponente.</w:t>
      </w:r>
      <w:r>
        <w:rPr>
          <w:sz w:val="24"/>
          <w:b/>
          <w:rFonts w:ascii="Times New Roman" w:hAnsi="Times New Roman"/>
        </w:rPr>
        <w:t xml:space="preserve"> </w:t>
      </w:r>
      <w:r>
        <w:rPr>
          <w:sz w:val="24"/>
          <w:rFonts w:ascii="Times New Roman" w:hAnsi="Times New Roman"/>
        </w:rPr>
        <w:t xml:space="preserve">Fiksni obrazac.</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Institucije objavljuju informacije iz obrasca EU OR2 u skladu s člankom 446. stavkom 1. točkama (c) i (d) Uredbe (EU) br. 575/2013.</w:t>
      </w:r>
      <w:r>
        <w:rPr>
          <w:sz w:val="24"/>
          <w:rFonts w:ascii="Times New Roman" w:hAnsi="Times New Roman"/>
        </w:rPr>
        <w:t xml:space="preserve"> </w:t>
      </w:r>
      <w:r>
        <w:rPr>
          <w:sz w:val="24"/>
          <w:rFonts w:ascii="Times New Roman" w:hAnsi="Times New Roman"/>
        </w:rPr>
        <w:t xml:space="preserve">U ovom obrascu navode se informacije o izračunu komponente pokazatelja poslovanja (BIC), u skladu s člankom 313. Uredbe (EU) br. 575/2013 i o izračunu pokazatelja poslovanja (BI), komponenata i podkomponenata, u skladu s člankom 314. Uredbe (EU) br. 575/2013.</w:t>
      </w:r>
      <w:r>
        <w:rPr>
          <w:sz w:val="24"/>
          <w:rFonts w:ascii="Times New Roman" w:hAnsi="Times New Roman"/>
        </w:rPr>
        <w:t xml:space="preserve"> </w:t>
      </w:r>
      <w:r>
        <w:rPr>
          <w:sz w:val="24"/>
          <w:rFonts w:ascii="Times New Roman" w:hAnsi="Times New Roman"/>
        </w:rPr>
        <w:t xml:space="preserve">Osim toga, u ovom obrascu navode se informacije o iznosima koji su isključeni iz pokazatelja poslovanja koji se odnose na otuđene subjekte ili aktivnosti, u skladu s člankom 315. stavkom 2.</w:t>
      </w:r>
      <w:r>
        <w:rPr>
          <w:sz w:val="24"/>
          <w:rFonts w:ascii="Times New Roman" w:hAnsi="Times New Roman"/>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Institucije objavljuju, za zadnje tri financijske godine, informacije o iznosu relevantnih popisa stavki koje su propisane za izračun podkomponenata pokazatelja poslovanja koje pridonose izračunu kapitalnih zahtjeva za operativni rizik.</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U skladu s člankom 314. stavkom 8. Uredbe (EU) br. 575/2013, ako povijesni podaci nisu dostupni, institucije iskazuju procjene budućeg poslovanja.</w:t>
      </w:r>
      <w:r>
        <w:rPr>
          <w:sz w:val="24"/>
          <w:rFonts w:ascii="Times New Roman" w:hAnsi="Times New Roman"/>
        </w:rPr>
        <w:t xml:space="preserve"> </w:t>
      </w:r>
    </w:p>
    <w:p w14:paraId="14A23528" w14:textId="485ED75C"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Ako institucija ima podatke o dostupnim relevantnim detaljnim stavkama koje su dio komponenata pokazatelja poslovanja za manje od 3 godine, dostupni povijesni podaci raspoređuju se prema prioritetu u odgovarajuće stupce u obrascu.</w:t>
      </w:r>
      <w:r>
        <w:rPr>
          <w:sz w:val="24"/>
          <w:rFonts w:ascii="Times New Roman" w:hAnsi="Times New Roman"/>
        </w:rPr>
        <w:t xml:space="preserve"> </w:t>
      </w:r>
      <w:r>
        <w:rPr>
          <w:sz w:val="24"/>
          <w:rFonts w:ascii="Times New Roman" w:hAnsi="Times New Roman"/>
        </w:rPr>
        <w:t xml:space="preserve">Ako institucija ima povijesne podatke o dostupnim komponentama pokazatelja poslovanja samo za jednu godinu, ti podaci iskazuju se u stupcu koji odgovara posljednjoj godini (npr. „zadnja godina”).</w:t>
      </w:r>
      <w:r>
        <w:rPr>
          <w:sz w:val="24"/>
          <w:rFonts w:ascii="Times New Roman" w:hAnsi="Times New Roman"/>
        </w:rPr>
        <w:t xml:space="preserve"> </w:t>
      </w:r>
      <w:r>
        <w:rPr>
          <w:sz w:val="24"/>
          <w:rFonts w:ascii="Times New Roman" w:hAnsi="Times New Roman"/>
        </w:rPr>
        <w:t xml:space="preserve">Ako se čini razumnim, procjene budućeg poslovanja uključuju se u godinu –1 odnosno godinu –2, dok ti podaci ne budu dostupni.</w:t>
      </w:r>
    </w:p>
    <w:p w14:paraId="2DDE0943" w14:textId="7978B770"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Institucije u podstavke koje su dio izračuna komponente kamata, najmova i dividendi (ILDC) ne uključuju iznose koji se odnose na one pojedinačne institucije koje su društva kćeri čiji se ILDC izračunava zasebno u skladu s člankom 314. stavkom 3. Uredbe (EU) br. 575/2013.</w:t>
      </w:r>
      <w:r>
        <w:rPr>
          <w:sz w:val="24"/>
          <w:rFonts w:ascii="Times New Roman" w:hAnsi="Times New Roman"/>
        </w:rPr>
        <w:t xml:space="preserve"> </w:t>
      </w:r>
    </w:p>
    <w:p w14:paraId="3512454B" w14:textId="27224DC8" w:rsidR="00841A0D"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Institucije u podstavke koje su dio izračuna komponente kamata, najmova i dividendi (ILDC) ne uključuju iznose iz poslovnih linija poslovanja sa stanovništvom i/ili poslovnog bankarstva u onim slučajevima kad je institucija dobila odobrenje za primjenu članka 314. stavka 4. Uredbe (EU) br.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bCs/>
          <w:sz w:val="24"/>
          <w:rFonts w:ascii="Times New Roman" w:hAnsi="Times New Roman" w:cs="Times New Roman"/>
        </w:rPr>
      </w:pPr>
      <w:r>
        <w:rPr>
          <w:sz w:val="24"/>
          <w:rFonts w:ascii="Times New Roman" w:hAnsi="Times New Roman"/>
        </w:rPr>
        <w:t xml:space="preserve">Ipak, institucije u retku 1 iskazuju ukupni iznos ILDC-a uključujući iznose koji se izračunavaju u skladu s člankom 314. stavkom 3</w:t>
      </w:r>
      <w:r>
        <w:rPr>
          <w:sz w:val="24"/>
          <w:color w:val="000000" w:themeColor="text1"/>
          <w:rFonts w:ascii="Times New Roman" w:hAnsi="Times New Roman"/>
        </w:rPr>
        <w:t xml:space="preserve">.</w:t>
      </w:r>
      <w:r>
        <w:rPr>
          <w:sz w:val="24"/>
          <w:rFonts w:ascii="Times New Roman" w:hAnsi="Times New Roman"/>
        </w:rPr>
        <w:t xml:space="preserve"> Uredbe (EU) br. 575/2013.</w:t>
      </w:r>
      <w:r>
        <w:rPr>
          <w:sz w:val="24"/>
          <w:rFonts w:ascii="Times New Roman" w:hAnsi="Times New Roman"/>
        </w:rPr>
        <w:t xml:space="preserve"> </w:t>
      </w:r>
      <w:r>
        <w:rPr>
          <w:sz w:val="24"/>
          <w:rFonts w:ascii="Times New Roman" w:hAnsi="Times New Roman"/>
        </w:rPr>
        <w:t xml:space="preserve">U retku EU 1 iskazuje se i ILDC isključujući subjekte navedene u članku 314. stavku 3.</w:t>
      </w:r>
      <w:r>
        <w:rPr>
          <w:sz w:val="24"/>
          <w:rFonts w:ascii="Times New Roman" w:hAnsi="Times New Roman"/>
        </w:rPr>
        <w:t xml:space="preserve">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U popratnim opisnim informacijama, u skladu s člankom 446. stavkom 1. Uredbe (EU) br. 575/2013, institucije objavljuju obrazloženja za svako isključenje iz pokazatelja poslovanja s iznimkom isključenja poslovnih linija poslovanja sa stanovništvom i poslovnog bankarstva iz članka 314. stavka 4.</w:t>
      </w:r>
      <w:r>
        <w:rPr>
          <w:sz w:val="24"/>
          <w:rFonts w:ascii="Times New Roman" w:hAnsi="Times New Roman"/>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bCs/>
          <w:sz w:val="24"/>
          <w:rFonts w:ascii="Times New Roman" w:hAnsi="Times New Roman" w:cs="Times New Roman"/>
        </w:rPr>
      </w:pPr>
      <w:r>
        <w:rPr>
          <w:sz w:val="24"/>
          <w:rFonts w:ascii="Times New Roman" w:hAnsi="Times New Roman"/>
        </w:rPr>
        <w:t xml:space="preserve">S obzirom na veliku povezanost zahtjeva za objavu operativnog rizika i financijskih izvještaja institucije, u uputama se navode upućivanja na zahtjeve za izvješćivanje iz Priloga V. Provedbenoj uredbi (EU) 2021/451 (FINREP).</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Stupac</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b/>
                <w:sz w:val="24"/>
                <w:rFonts w:ascii="Times New Roman" w:hAnsi="Times New Roman"/>
              </w:rPr>
              <w:t xml:space="preserve">Pravna osnova i upute</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a, b, c</w:t>
            </w:r>
          </w:p>
        </w:tc>
        <w:tc>
          <w:tcPr>
            <w:tcW w:w="7756" w:type="dxa"/>
          </w:tcPr>
          <w:p w14:paraId="510A12A5"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Vrijednost</w:t>
            </w:r>
            <w:r>
              <w:rPr>
                <w:rStyle w:val="InstructionsTabelleberschrift"/>
                <w:sz w:val="24"/>
                <w:u w:val="none"/>
                <w:rFonts w:ascii="Times New Roman" w:hAnsi="Times New Roman"/>
              </w:rPr>
              <w:t xml:space="preserv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Članak 446. stavak 1. točka (d). i članak 314. stavak 1. Uredbe (EU) br.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Vrijednost popisa stavki koje su dio izračuna pokazatelja poslovanja i njegovih komponenata (izračun ILDC-a, komponente usluga (SC) i financijske komponente (FC)) u skladu s računovodstvenim standardima koji su primjenjivi za svaku od zadnje tri financijske godine.</w:t>
            </w:r>
            <w:r>
              <w:t xml:space="preserve">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Iznosi se iskazuju nakon prilagodbi koje se odnose na spajanja odnosno pripajanja / preuzimanja i izdvojene aktivnosti.</w:t>
            </w:r>
            <w:r>
              <w:t xml:space="preserv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Za financijsku komponentu, vrijednosti koje se objavljuju odražavat će računovodstvene vrijednosti utvrđene primjenom računovodstvene ili bonitetne granice kako bi se utvrdile stavke iz knjige trgovanja i knjige pozicija kojima se ne trguje </w:t>
            </w:r>
            <w:r>
              <w:rPr>
                <w:rStyle w:val="normaltextrun"/>
              </w:rPr>
              <w:t xml:space="preserve">za svaku od posljednje tri financijske godine u skladu s člankom 314. stavkom 6. Uredbe (EU) br. 575/2013.</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d</w:t>
            </w:r>
          </w:p>
        </w:tc>
        <w:tc>
          <w:tcPr>
            <w:tcW w:w="7756" w:type="dxa"/>
          </w:tcPr>
          <w:p w14:paraId="117DF1D7"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Prosječne vrijednosti</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Članak 314. stavci 2., 5. i 6. Uredbe (EU) br.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Izračunate vrijednosti komponenata ILDC, SC i FC i prosječna vrijednost njihovih povezanih podkomponenata izračunati tijekom zadnje tri financijske godine i koji se odnose na godinu T.</w:t>
            </w:r>
            <w:r>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sz w:val="24"/>
                <w:rFonts w:ascii="Times New Roman" w:hAnsi="Times New Roman"/>
              </w:rPr>
            </w:pPr>
            <w:r>
              <w:rPr>
                <w:rStyle w:val="normaltextrun"/>
              </w:rPr>
              <w:t xml:space="preserve">Prosjek se izračunava uzimajući u obzir računovodstvene vrijednosti za svaku od zadnje tri godine.</w:t>
            </w:r>
            <w:r>
              <w:rPr>
                <w:rStyle w:val="normaltextrun"/>
              </w:rPr>
              <w:t xml:space="preserve">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Redak</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b/>
                <w:sz w:val="24"/>
                <w:rFonts w:ascii="Times New Roman" w:hAnsi="Times New Roman" w:cs="Times New Roman"/>
              </w:rPr>
            </w:pPr>
            <w:r>
              <w:rPr>
                <w:b/>
                <w:sz w:val="24"/>
                <w:rFonts w:ascii="Times New Roman" w:hAnsi="Times New Roman"/>
              </w:rPr>
              <w:t xml:space="preserve">Pravna osnova i upute</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Komponenta kamata, najmova i dividendi (ILDC)</w:t>
            </w:r>
            <w:r>
              <w:rPr>
                <w:b/>
                <w:sz w:val="24"/>
                <w:rFonts w:ascii="Times New Roman" w:hAnsi="Times New Roman"/>
              </w:rPr>
              <w:t xml:space="preserve"> </w:t>
            </w:r>
          </w:p>
          <w:p w14:paraId="78381763" w14:textId="2625CE0B" w:rsidR="00D740B8" w:rsidRPr="008D71E9" w:rsidRDefault="00D740B8">
            <w:pPr>
              <w:spacing w:before="60" w:after="120"/>
              <w:jc w:val="both"/>
              <w:rPr>
                <w:b/>
                <w:sz w:val="24"/>
                <w:rFonts w:ascii="Times New Roman" w:eastAsia="Times New Roman" w:hAnsi="Times New Roman" w:cs="Times New Roman"/>
              </w:rPr>
            </w:pPr>
            <w:r>
              <w:rPr>
                <w:sz w:val="24"/>
                <w:rFonts w:ascii="Times New Roman" w:hAnsi="Times New Roman"/>
              </w:rPr>
              <w:t xml:space="preserve">Komponenta kamata, najmova i dividendi (ILDC) izračunava se u skladu s člankom 314. stavkom 2. Uredbe (EU) br. 575/2013, uključujući, prema potrebi, iznose izračunate u skladu s člankom 314. stavkom 3. Uredbe (EU) br. 575/2013.</w:t>
            </w:r>
            <w:r>
              <w:rPr>
                <w:sz w:val="24"/>
                <w:rFonts w:ascii="Times New Roman" w:hAnsi="Times New Roman"/>
              </w:rPr>
              <w:t xml:space="preserve"> </w:t>
            </w:r>
            <w:r>
              <w:rPr>
                <w:sz w:val="24"/>
                <w:rFonts w:ascii="Times New Roman" w:hAnsi="Times New Roman"/>
              </w:rPr>
              <w:t xml:space="preserve">Ako se na instituciju primjenjuje odstupanje iz članka 314. stavka 4. Uredbe (EU) br. 575/2013, institucija ne uključuje iznose iz poslovnih linija poslovanja sa stanovništvom i poslovnog bankarstva.</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b/>
                <w:sz w:val="24"/>
                <w:rFonts w:ascii="Times New Roman" w:eastAsia="Times New Roman" w:hAnsi="Times New Roman" w:cs="Times New Roman"/>
              </w:rPr>
            </w:pPr>
            <w:r>
              <w:rPr>
                <w:b/>
                <w:sz w:val="24"/>
                <w:rFonts w:ascii="Times New Roman" w:hAnsi="Times New Roman"/>
              </w:rPr>
              <w:t xml:space="preserve">ILDC povezan s pojedinačnom institucijom / konsolidiranom grupom (ne uključujući subjekte iz članka 314. stavka 3.)</w:t>
            </w:r>
          </w:p>
          <w:p w14:paraId="3B4A0231" w14:textId="6A33703B" w:rsidR="00E2624F" w:rsidRPr="008D71E9" w:rsidRDefault="00E2624F" w:rsidP="00413B96">
            <w:pPr>
              <w:rPr>
                <w:color w:val="000000" w:themeColor="text1"/>
                <w:sz w:val="24"/>
                <w:rFonts w:ascii="Times New Roman" w:hAnsi="Times New Roman"/>
              </w:rPr>
            </w:pPr>
            <w:r>
              <w:rPr>
                <w:sz w:val="24"/>
                <w:rFonts w:ascii="Times New Roman" w:hAnsi="Times New Roman"/>
              </w:rPr>
              <w:t xml:space="preserve">Komponenta kamata, najmova i dividendi (ILDC) izračunata u skladu s člankom 314. stavkom 2. Uredbe (EU) br. 575/2013, ne uključujući iznose koji su dio izračuna ILDC-a </w:t>
            </w:r>
            <w:r>
              <w:rPr>
                <w:sz w:val="24"/>
                <w:color w:val="000000" w:themeColor="text1"/>
                <w:rFonts w:ascii="Times New Roman" w:hAnsi="Times New Roman"/>
              </w:rPr>
              <w:t xml:space="preserve">u onim slučajevima kada institucija primjenjuje odstupanje u skladu s člankom 314. stavkom 3. Uredbe (EU) br.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Prihodi od kamata i najma</w:t>
            </w:r>
          </w:p>
          <w:p w14:paraId="742C7468" w14:textId="52553B06" w:rsidR="00D740B8" w:rsidRPr="008D71E9" w:rsidRDefault="00D740B8">
            <w:pPr>
              <w:rPr>
                <w:sz w:val="24"/>
                <w:rFonts w:ascii="Times New Roman" w:eastAsia="Times New Roman" w:hAnsi="Times New Roman" w:cs="Times New Roman"/>
              </w:rPr>
            </w:pPr>
            <w:r>
              <w:rPr>
                <w:sz w:val="24"/>
                <w:rFonts w:ascii="Times New Roman" w:hAnsi="Times New Roman"/>
              </w:rPr>
              <w:t xml:space="preserve">Zbroj kamatnog prihoda od sve financijske imovine, drugih prihoda od imovine u najmu i profita od imovine u najmu, u skladu s Prilogom V. Provedbene uredbe (EU) 2021/451, uključujući, ako je primjenjivo, iznose izračunate u skladu s člankom 314. stavkom 3. Uredbe (EU) br. 575/2013.</w:t>
            </w:r>
            <w:r>
              <w:rPr>
                <w:sz w:val="24"/>
                <w:rFonts w:ascii="Times New Roman" w:hAnsi="Times New Roman"/>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Izdaci od kamata i najma</w:t>
            </w:r>
          </w:p>
          <w:p w14:paraId="0FA351B6" w14:textId="0A358A40" w:rsidR="00D740B8" w:rsidRPr="008D71E9" w:rsidRDefault="00D740B8">
            <w:pPr>
              <w:rPr>
                <w:sz w:val="24"/>
                <w:rFonts w:ascii="Times New Roman" w:eastAsia="Times New Roman" w:hAnsi="Times New Roman" w:cs="Times New Roman"/>
              </w:rPr>
            </w:pPr>
            <w:r>
              <w:rPr>
                <w:sz w:val="24"/>
                <w:rFonts w:ascii="Times New Roman" w:hAnsi="Times New Roman"/>
              </w:rPr>
              <w:t xml:space="preserve">Zbroj izdataka od kamata od sve financijske imovine, drugih izdataka, izdataka od imovine u najmu, amortizacije i umanjenja vrijednosti imovine u najmu, u skladu s Prilogom V. Provedbene uredbe (EU) 2021/451, uključujući, ako je primjenjivo, iznose izračunate u skladu s člankom 314. stavkom 3. Uredbe (EU) br. 575/2013.</w:t>
            </w:r>
            <w:r>
              <w:rPr>
                <w:sz w:val="24"/>
                <w:rFonts w:ascii="Times New Roman" w:hAnsi="Times New Roman"/>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Ukupno imovina / komponenta imovine</w:t>
            </w:r>
            <w:r>
              <w:rPr>
                <w:rStyle w:val="InstructionsTabelleberschrift"/>
                <w:sz w:val="24"/>
                <w:u w:val="none"/>
                <w:rFonts w:ascii="Times New Roman" w:hAnsi="Times New Roman"/>
              </w:rPr>
              <w:t xml:space="preserve"> </w:t>
            </w:r>
          </w:p>
          <w:p w14:paraId="15501679" w14:textId="5BCDFDC6" w:rsidR="00D740B8" w:rsidRPr="008D71E9" w:rsidRDefault="00B76736">
            <w:pPr>
              <w:spacing w:before="60" w:after="120"/>
              <w:jc w:val="both"/>
              <w:rPr>
                <w:sz w:val="24"/>
                <w:rFonts w:ascii="Times New Roman" w:eastAsia="Times New Roman" w:hAnsi="Times New Roman" w:cs="Times New Roman"/>
              </w:rPr>
            </w:pPr>
            <w:r>
              <w:rPr>
                <w:sz w:val="24"/>
                <w:rFonts w:ascii="Times New Roman" w:hAnsi="Times New Roman"/>
              </w:rPr>
              <w:t xml:space="preserve">U stupcu d), komponenta imovine koja se izračunava u skladu s člankom 314. stavkom 2. Uredbe (EU) br. 575/2013.</w:t>
            </w:r>
            <w:r>
              <w:rPr>
                <w:sz w:val="24"/>
                <w:rFonts w:ascii="Times New Roman" w:hAnsi="Times New Roman"/>
              </w:rPr>
              <w:t xml:space="preserve"> </w:t>
            </w:r>
          </w:p>
          <w:p w14:paraId="65FF56C9" w14:textId="3B0DD3E9" w:rsidR="004E3E86" w:rsidRPr="008D71E9" w:rsidRDefault="003E3201" w:rsidP="00373F9D">
            <w:pPr>
              <w:rPr>
                <w:sz w:val="24"/>
                <w:rFonts w:ascii="Times New Roman" w:hAnsi="Times New Roman"/>
              </w:rPr>
            </w:pPr>
            <w:r>
              <w:rPr>
                <w:sz w:val="24"/>
                <w:rFonts w:ascii="Times New Roman" w:hAnsi="Times New Roman"/>
              </w:rPr>
              <w:t xml:space="preserve">U drugim stupcima ukupna imovina odgovara zbroju bruto knjigovodstvene vrijednosti sredstava u središnjim bankama i ostalih depozita po viđenju, dužničkih vrijednosnih papira, kredita i predujmova kao i knjigovodstvene vrijednosti izvedenica (kojima se trguje i koje su ekonomske zaštite i računovodstvo zaštite) i imovine u najmu (materijalna i nematerijalne imovina).</w:t>
            </w:r>
            <w:r>
              <w:rPr>
                <w:sz w:val="24"/>
                <w:rFonts w:ascii="Times New Roman" w:hAnsi="Times New Roman"/>
              </w:rPr>
              <w:t xml:space="preserve"> </w:t>
            </w:r>
            <w:r>
              <w:rPr>
                <w:sz w:val="24"/>
                <w:rFonts w:ascii="Times New Roman" w:hAnsi="Times New Roman"/>
              </w:rPr>
              <w:t xml:space="preserve">Te stavke upućuju na Prilog V. Provedbenoj uredbi Komisije (EU) 2021/451, uključujući, ako je primjenjivo, iznose izračunate u skladu s člankom 314. stavkom 3. Uredbe (EU) br. 575/2013.</w:t>
            </w:r>
            <w:r>
              <w:rPr>
                <w:sz w:val="24"/>
                <w:rFonts w:ascii="Times New Roman" w:hAnsi="Times New Roman"/>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Prihod od dividendi / komponenta dividendi</w:t>
            </w:r>
          </w:p>
          <w:p w14:paraId="1A066B7B" w14:textId="7F67417D" w:rsidR="00D740B8" w:rsidRPr="008D71E9" w:rsidRDefault="00B76736" w:rsidP="004E3E86">
            <w:pPr>
              <w:spacing w:before="60" w:after="120"/>
              <w:jc w:val="both"/>
              <w:rPr>
                <w:sz w:val="24"/>
                <w:rFonts w:ascii="Times New Roman" w:eastAsia="Times New Roman" w:hAnsi="Times New Roman" w:cs="Times New Roman"/>
              </w:rPr>
            </w:pPr>
            <w:r>
              <w:rPr>
                <w:sz w:val="24"/>
                <w:rFonts w:ascii="Times New Roman" w:hAnsi="Times New Roman"/>
              </w:rPr>
              <w:t xml:space="preserve">U stupcu d), komponenta dividendi koja se izračunava u skladu s člankom 314. stavkom 2. Uredbe (EU) br. 575/2013.</w:t>
            </w:r>
            <w:r>
              <w:rPr>
                <w:sz w:val="24"/>
                <w:rFonts w:ascii="Times New Roman" w:hAnsi="Times New Roman"/>
              </w:rPr>
              <w:t xml:space="preserve"> </w:t>
            </w:r>
          </w:p>
          <w:p w14:paraId="3F4B342E" w14:textId="6E4867AC" w:rsidR="004E3E86" w:rsidRPr="008D71E9" w:rsidRDefault="004E3E86" w:rsidP="004E3E86">
            <w:pPr>
              <w:rPr>
                <w:sz w:val="24"/>
                <w:rFonts w:ascii="Times New Roman" w:hAnsi="Times New Roman"/>
              </w:rPr>
            </w:pPr>
            <w:r>
              <w:rPr>
                <w:sz w:val="24"/>
                <w:rFonts w:ascii="Times New Roman" w:hAnsi="Times New Roman"/>
              </w:rPr>
              <w:t xml:space="preserve">Institucije iskazuju prihod od dividendi u skladu s Prilogom V. Provedbene uredbe Komisije (EU) 2021/451, uključujući, ako je primjenjivo, iznose izračunate u skladu s člankom 314. stavkom 3. Uredbe (EU) br. 575/2013.</w:t>
            </w:r>
            <w:r>
              <w:rPr>
                <w:sz w:val="24"/>
                <w:rFonts w:ascii="Times New Roman" w:hAnsi="Times New Roman"/>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Komponenta usluga (SC)</w:t>
            </w:r>
            <w:r>
              <w:rPr>
                <w:b/>
                <w:sz w:val="24"/>
                <w:rFonts w:ascii="Times New Roman" w:hAnsi="Times New Roman"/>
              </w:rPr>
              <w:t xml:space="preserve"> </w:t>
            </w:r>
          </w:p>
          <w:p w14:paraId="2EFCFDAF" w14:textId="1BEFB0FF" w:rsidR="003826D3" w:rsidRPr="008D71E9" w:rsidRDefault="005E7C4C"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Komponenta usluga izračunata u skladu s člankom 314. stavkom 5. Uredbe (EU) br. 575/2013.</w:t>
            </w:r>
            <w:r>
              <w:rPr>
                <w:sz w:val="24"/>
                <w:rFonts w:ascii="Times New Roman" w:hAnsi="Times New Roman"/>
              </w:rPr>
              <w:t xml:space="preserve"> </w:t>
            </w:r>
            <w:r>
              <w:rPr>
                <w:sz w:val="24"/>
                <w:rFonts w:ascii="Times New Roman" w:hAnsi="Times New Roman"/>
              </w:rPr>
              <w:t xml:space="preserve">Ako se na instituciju primjenjuje odstupanje iz članka 314. stavka 4. Uredbe (EU) br. 575/2013, institucija ne uključuje iznose iz poslovnih linija poslovanja sa stanovništvom i poslovnog bankarstva.</w:t>
            </w:r>
            <w:r>
              <w:rPr>
                <w:sz w:val="24"/>
                <w:rFonts w:ascii="Times New Roman" w:hAnsi="Times New Roman"/>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Prihodi od naknada i provizija</w:t>
            </w:r>
          </w:p>
          <w:p w14:paraId="388F841F" w14:textId="399AB0C3" w:rsidR="003826D3" w:rsidRPr="008D71E9" w:rsidRDefault="009816D6"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Prihodi od naknada i provizija iz Priloga V. Provedbene uredbe Komisije (EU) 2021/451 i izračunati u skladu s člankom 314. stavkom 5. Uredbe (EU) br.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Troškovi za naknade i provizije</w:t>
            </w:r>
          </w:p>
          <w:p w14:paraId="37B7C759" w14:textId="77939277" w:rsidR="003826D3" w:rsidRPr="008D71E9" w:rsidRDefault="009816D6"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Troškovi za naknade i provizije iz Priloga V. Provedbene uredbe Komisije (EU) 2021/451 i izračunati u skladu s člankom 314. stavkom 5. Uredbe (EU) br.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Ostali prihodi iz poslovanja</w:t>
            </w:r>
          </w:p>
          <w:p w14:paraId="035A399D" w14:textId="748A9DAE" w:rsidR="00671F1C"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Ostalih prihodi iz poslovanja uključujući:</w:t>
            </w:r>
            <w:r>
              <w:rPr>
                <w:sz w:val="24"/>
                <w:rFonts w:ascii="Times New Roman" w:hAnsi="Times New Roman"/>
              </w:rPr>
              <w:t xml:space="preserve"> </w:t>
            </w:r>
            <w:r>
              <w:rPr>
                <w:sz w:val="24"/>
                <w:rFonts w:ascii="Times New Roman" w:hAnsi="Times New Roman"/>
              </w:rPr>
              <w:t xml:space="preserve">dobitke </w:t>
            </w:r>
            <w:r>
              <w:rPr>
                <w:sz w:val="24"/>
                <w:color w:val="000000" w:themeColor="text1"/>
                <w:rFonts w:ascii="Times New Roman" w:hAnsi="Times New Roman"/>
              </w:rPr>
              <w:t xml:space="preserve">od dugotrajne imovine i skupina za otuđenje koji su klasificirani kao namijenjeni prodaji koji ne ispunjavaju uvjete prekinutog poslovanja (u slučaju gubitaka, vrijednosti se tretiraju kao nula) i ostale prihode iz poslovanja </w:t>
            </w:r>
            <w:r>
              <w:rPr>
                <w:sz w:val="24"/>
                <w:rFonts w:ascii="Times New Roman" w:hAnsi="Times New Roman"/>
              </w:rPr>
              <w:t xml:space="preserve">iz Priloga V. Provedbene uredbe Komisije (EU) 2021/451, ali isključujući prihode od poslovnih najmova i drugih stavki utvrđenih u članku 314. stavku 7. Uredbe (EU) 2021/451.</w:t>
            </w:r>
            <w:r>
              <w:rPr>
                <w:sz w:val="24"/>
                <w:rFonts w:ascii="Times New Roman" w:hAnsi="Times New Roman"/>
              </w:rPr>
              <w:t xml:space="preserve"> </w:t>
            </w:r>
          </w:p>
          <w:p w14:paraId="685D1BC1" w14:textId="3C43FE42"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Iznos u ovom retku izračunava se u skladu s člankom 314. stavkom 5. Uredbe (EU) br.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Ostali troškovi poslovanja</w:t>
            </w:r>
          </w:p>
          <w:p w14:paraId="4E633503" w14:textId="666616FA" w:rsidR="00543CE4"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Ostali troškovi poslovanja uključujući:</w:t>
            </w:r>
            <w:r>
              <w:rPr>
                <w:sz w:val="24"/>
                <w:rFonts w:ascii="Times New Roman" w:hAnsi="Times New Roman"/>
              </w:rPr>
              <w:t xml:space="preserve">  </w:t>
            </w:r>
            <w:r>
              <w:rPr>
                <w:sz w:val="24"/>
                <w:rFonts w:ascii="Times New Roman" w:hAnsi="Times New Roman"/>
              </w:rPr>
              <w:t xml:space="preserve">gubitke od dugotrajne imovine i skupina za otuđenje koji su klasificirani kao namijenjeni prodaji koji ne ispunjavaju uvjete prekinutog poslovanja (u slučaju dobitaka, vrijednosti se tretiraju kao nula);</w:t>
            </w:r>
            <w:r>
              <w:rPr>
                <w:sz w:val="24"/>
                <w:rFonts w:ascii="Times New Roman" w:hAnsi="Times New Roman"/>
              </w:rPr>
              <w:t xml:space="preserve"> </w:t>
            </w:r>
            <w:r>
              <w:rPr>
                <w:sz w:val="24"/>
                <w:rFonts w:ascii="Times New Roman" w:hAnsi="Times New Roman"/>
              </w:rPr>
              <w:t xml:space="preserve">sve gubitke, troškove, rezervacije i druge financijske učinke povezane s događajima operativnog rizika</w:t>
            </w:r>
            <w:r>
              <w:t xml:space="preserve"> </w:t>
            </w:r>
            <w:r>
              <w:rPr>
                <w:sz w:val="24"/>
                <w:rFonts w:ascii="Times New Roman" w:hAnsi="Times New Roman"/>
              </w:rPr>
              <w:t xml:space="preserve">i druge troškove poslovanja iz Priloga V. Provedbenoj uredbi (EU) 2021/451, osim onih stavki koje su već objavljene u drugim dijelovima ovog predloška, posebno isključujući sve troškove za poslovne najmove i isključujući stavke utvrđene u skladu s člankom 314. stavkom 7. Uredbe (EU) br. 575/2013.</w:t>
            </w:r>
            <w:r>
              <w:rPr>
                <w:sz w:val="24"/>
                <w:rFonts w:ascii="Times New Roman" w:hAnsi="Times New Roman"/>
              </w:rPr>
              <w:t xml:space="preserve"> </w:t>
            </w:r>
          </w:p>
          <w:p w14:paraId="6F1C30F0" w14:textId="6B1C9DD9" w:rsidR="003826D3" w:rsidRPr="008D71E9" w:rsidRDefault="00DE3384"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Iznos u ovom retku izračunava se u skladu s člankom 314. stavkom 5. Uredbe (EU) br.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Financijska komponenta (FC)</w:t>
            </w:r>
          </w:p>
          <w:p w14:paraId="1C2CD9AE" w14:textId="16B8F7FC"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Financijska komponenta (FC) koja se izračunava u skladu s člankom 314. stavkom 6. Uredbe (EU) br. 575/2013.</w:t>
            </w:r>
            <w:r>
              <w:rPr>
                <w:sz w:val="24"/>
                <w:rStyle w:val="InstructionsTabelleberschrift"/>
                <w:b w:val="0"/>
                <w:u w:val="none"/>
                <w:rFonts w:ascii="Times New Roman" w:hAnsi="Times New Roman"/>
              </w:rPr>
              <w:t xml:space="preserve"> </w:t>
            </w:r>
            <w:r>
              <w:rPr>
                <w:sz w:val="24"/>
                <w:rFonts w:ascii="Times New Roman" w:hAnsi="Times New Roman"/>
              </w:rPr>
              <w:t xml:space="preserve">Ako se na instituciju primjenjuje odstupanje iz članka 314. stavka 4. Uredbe (EU) br. 575/2013, institucija ne uključuje iznose iz poslovnih linija poslovanja sa stanovništvom i poslovnog bankarstva.</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Neto dobit ili gubitak koji se primjenjuju na knjigu trgovanja</w:t>
            </w:r>
          </w:p>
          <w:p w14:paraId="4E177CA3" w14:textId="3117C8C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Neto dobit ili gubitak koji se primjenjuju na knjigu trgovanja izračunati na temelju stavki uključenih u obrazac F 02.00 „Račun dobiti i gubitka” iz Priloga IV. Provedbenoj uredbi Komisije (EU) 2021/451.</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 xml:space="preserve">Vrijednosti koje se objavljuju odražavat će računovodstvene vrijednosti utvrđene primjenom računovodstvene ili bonitetne granice kako bi se utvrdile stavke iz knjige trgovanja i knjige pozicija kojima se ne trguje </w:t>
            </w:r>
            <w:r>
              <w:rPr>
                <w:rStyle w:val="normaltextrun"/>
              </w:rPr>
              <w:t xml:space="preserve">za svaku od posljednje tri financijske godine u skladu s člankom 314. stavkom 6. Uredbe (EU) br. 575/2013.</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Neto dobit ili gubitak koji se primjenjuju na knjigu pozicija kojima se ne trguje</w:t>
            </w:r>
          </w:p>
          <w:p w14:paraId="16F13570" w14:textId="2B0892A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Neto dobit ili gubitak koji se primjenjuju na knjigu pozicija kojima se ne trguje izračunati na temelju stavki uključenih u obrazac F 02.00 „Račun dobiti i gubitka” iz Priloga IV. Provedbenoj uredbi Komisije (EU) 2021/451.</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Vrijednosti koje se objavljuju odražavat će računovodstvene vrijednosti utvrđene primjenom računovodstvene ili bonitetne granice kako bi se utvrdile stavke iz knjige trgovanja i knjige pozicija kojima se ne trguje </w:t>
            </w:r>
            <w:r>
              <w:rPr>
                <w:rStyle w:val="normaltextrun"/>
              </w:rPr>
              <w:t xml:space="preserve">za svaku od posljednje tri financijske godine u skladu s člankom 314. stavkom 6. Uredbe (EU) br. 575/2013.</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Pristup primijenjen za određivanje granice TB/BB (PBA ili računovodstveni pristup)</w:t>
            </w:r>
          </w:p>
          <w:p w14:paraId="00A81A34" w14:textId="0A7D6D1A"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Pristup primijenjen na referentni datum za utvrđivanje FC-a: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računovodstvena ili bonitetna klasifikacija (PBA).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Pristup se dosljedno koristi za objavljene iznose za svaku od zadnje tri financijske godine.</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Pokazatelj poslovanja (BI)</w:t>
            </w:r>
          </w:p>
          <w:p w14:paraId="35C99FE1" w14:textId="0AFECB2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Pokazatelj poslovanja (BI), koji se izračunava u skladu s člankom 314. stavkom 1. </w:t>
            </w:r>
            <w:r>
              <w:rPr>
                <w:sz w:val="24"/>
                <w:rFonts w:ascii="Times New Roman" w:hAnsi="Times New Roman"/>
              </w:rPr>
              <w:t xml:space="preserve">Uredbe (EU) br. 575/2013, </w:t>
            </w:r>
            <w:r>
              <w:rPr>
                <w:sz w:val="24"/>
                <w:rStyle w:val="InstructionsTabelleberschrift"/>
                <w:b w:val="0"/>
                <w:u w:val="none"/>
                <w:rFonts w:ascii="Times New Roman" w:hAnsi="Times New Roman"/>
              </w:rPr>
              <w:t xml:space="preserve">koji je zbroj tri komponente:</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ILDC, SC i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Komponenta pokazatelja poslovanja (BIC)</w:t>
            </w:r>
          </w:p>
          <w:p w14:paraId="4AC6BDA5" w14:textId="5507A684"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Komponenta pokazatelja poslovanja (BIC) koja se izračunava</w:t>
            </w:r>
            <w:r>
              <w:rPr>
                <w:sz w:val="24"/>
                <w:rFonts w:ascii="Times New Roman" w:hAnsi="Times New Roman"/>
              </w:rPr>
              <w:t xml:space="preserve"> u skladu s člankom 313. Uredbe (EU) br. 575/2013.</w:t>
            </w:r>
            <w:r>
              <w:rPr>
                <w:sz w:val="24"/>
                <w:rFonts w:ascii="Times New Roman" w:hAnsi="Times New Roman"/>
              </w:rPr>
              <w:t xml:space="preserve">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Pokazatelj poslovanja s isključenim izdvojenim aktivnostima</w:t>
            </w:r>
          </w:p>
          <w:p w14:paraId="4B01F051" w14:textId="6AEF7EE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Iznos pokazatelja poslovanja uključujući isključene izdvojene aktivnosti u skladu s člankom 315. stavkom 2. Uredbe (EU) br. 575/2013</w:t>
            </w:r>
            <w:r>
              <w:rPr>
                <w:sz w:val="24"/>
                <w:b/>
                <w:color w:val="000000" w:themeColor="text1"/>
                <w:rFonts w:ascii="Times New Roman" w:hAnsi="Times New Roman"/>
              </w:rPr>
              <w:t xml:space="preserve">.</w:t>
            </w:r>
            <w:r>
              <w:rPr>
                <w:sz w:val="24"/>
                <w:rStyle w:val="InstructionsTabelleberschrift"/>
                <w:b w:val="0"/>
                <w:u w:val="none"/>
                <w:rFonts w:ascii="Times New Roman" w:hAnsi="Times New Roman"/>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Smanjenje pokazatelja poslovanja zbog isključenih izdvojenih aktivnosti</w:t>
            </w:r>
          </w:p>
          <w:p w14:paraId="100A0132" w14:textId="636B5EF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Razlika između pokazatelja poslovanja s izdvojenim aktivnostima (redak 6a) i ukupnog pokazatelja poslovanja (redak 4).</w:t>
            </w:r>
            <w:r>
              <w:rPr>
                <w:rStyle w:val="InstructionsTabelleberschrift"/>
                <w:b w:val="0"/>
                <w:sz w:val="24"/>
                <w:u w:val="none"/>
                <w:rFonts w:ascii="Times New Roman" w:hAnsi="Times New Roman"/>
              </w:rPr>
              <w:t xml:space="preserve">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Učinak spajanja odnosno pripajanja / preuzimanja na pokazatelja poslovanja</w:t>
            </w:r>
          </w:p>
          <w:p w14:paraId="68B0EB8C" w14:textId="39D7482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Iznos uključen u pokazatelja poslovanja koji odgovara komponentama pokazatelja poslovanja koje proizlaze od spojenih odnosno pripojenih ili preuzetih subjekata ili aktivnosti, koji se izračunava kako je navedeno u članku 315. stavku 1. Uredbe (EU) br.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Obrazac EU OR3 – Kapitalni zahtjevi za operativni rizik i iznosi izloženosti riziku.</w:t>
      </w:r>
      <w:r>
        <w:rPr>
          <w:sz w:val="24"/>
          <w:b/>
          <w:rFonts w:ascii="Times New Roman" w:hAnsi="Times New Roman"/>
        </w:rPr>
        <w:t xml:space="preserve"> </w:t>
      </w:r>
      <w:r>
        <w:rPr>
          <w:sz w:val="24"/>
          <w:rFonts w:ascii="Times New Roman" w:hAnsi="Times New Roman"/>
        </w:rPr>
        <w:t xml:space="preserve">Fiksni obrazac.</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Institucije objavljuju informacije iz obrasca EU OR3 u skladu s člankom 446. stavkom 1. točkom (b) Uredbe (EU) br. 575/2013.</w:t>
      </w:r>
      <w:r>
        <w:rPr>
          <w:sz w:val="24"/>
          <w:rFonts w:ascii="Times New Roman" w:hAnsi="Times New Roman"/>
        </w:rPr>
        <w:t xml:space="preserve"> </w:t>
      </w:r>
      <w:r>
        <w:rPr>
          <w:sz w:val="24"/>
          <w:rFonts w:ascii="Times New Roman" w:hAnsi="Times New Roman"/>
        </w:rPr>
        <w:t xml:space="preserve">U ovom se obrascu navode informacije o izračunu kapitalnih zahtjeva za operativni rizik u skladu s člancima od 312. do 315. Uredbe (EU) br. 575/2013.</w:t>
      </w:r>
      <w:r>
        <w:rPr>
          <w:sz w:val="24"/>
          <w:rFonts w:ascii="Times New Roman" w:hAnsi="Times New Roman"/>
        </w:rPr>
        <w:t xml:space="preserve">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Redak</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b/>
                <w:sz w:val="24"/>
                <w:rFonts w:ascii="Times New Roman" w:hAnsi="Times New Roman" w:cs="Times New Roman"/>
              </w:rPr>
            </w:pPr>
            <w:r>
              <w:rPr>
                <w:b/>
                <w:sz w:val="24"/>
                <w:rFonts w:ascii="Times New Roman" w:hAnsi="Times New Roman"/>
              </w:rPr>
              <w:t xml:space="preserve">Objašnjenje</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Komponenta pokazatelja poslovanja (BIC)</w:t>
            </w:r>
          </w:p>
          <w:p w14:paraId="1B10BB72" w14:textId="77777777" w:rsidR="00D740B8" w:rsidRPr="008D71E9"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U ovom retku navodi se komponenta pokazatelja poslovanja koja se izračunava u skladu s člankom 313. Uredbe (EU) br.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b/>
                <w:sz w:val="24"/>
                <w:rFonts w:ascii="Times New Roman" w:eastAsia="Times New Roman" w:hAnsi="Times New Roman" w:cs="Times New Roman"/>
              </w:rPr>
            </w:pPr>
            <w:r>
              <w:rPr>
                <w:b/>
                <w:sz w:val="24"/>
                <w:rFonts w:ascii="Times New Roman" w:hAnsi="Times New Roman"/>
              </w:rPr>
              <w:t xml:space="preserve">Alternativni standardizirani pristup (ASA) za izračun kapitalnih zahtjeva (OROF) na temelju članka 314. stavka 4.</w:t>
            </w:r>
          </w:p>
          <w:p w14:paraId="7762DF0B" w14:textId="6E2ACCB9" w:rsidR="004A58B5" w:rsidRPr="008D71E9" w:rsidRDefault="005B4907">
            <w:pPr>
              <w:spacing w:before="60" w:after="120"/>
              <w:jc w:val="both"/>
              <w:rPr>
                <w:b/>
                <w:sz w:val="24"/>
                <w:rFonts w:ascii="Times New Roman" w:eastAsia="Times New Roman" w:hAnsi="Times New Roman" w:cs="Times New Roman"/>
              </w:rPr>
            </w:pPr>
            <w:r>
              <w:rPr>
                <w:sz w:val="24"/>
                <w:rFonts w:ascii="Times New Roman" w:hAnsi="Times New Roman"/>
              </w:rPr>
              <w:t xml:space="preserve">Ovaj redak uključuje kapitalne zahtjeve za poslovne linije iz članka 314. stavka 4., ako je to primjenjivo, do 31. prosinca 2027. ili dok konsolidirajuće nadzorno tijelo ne izda odobrenje u skladu s člankom 314. stavkom 3., ovisno o tome što nastupi ranije.</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sz w:val="24"/>
                <w:rFonts w:ascii="Times New Roman" w:eastAsia="Times New Roman" w:hAnsi="Times New Roman" w:cs="Times New Roman"/>
              </w:rPr>
            </w:pPr>
            <w:r>
              <w:rPr>
                <w:sz w:val="24"/>
                <w:rFonts w:ascii="Times New Roman" w:hAnsi="Times New Roman"/>
              </w:rPr>
              <w:t xml:space="preserve">Nije primjenjivo.</w:t>
            </w:r>
            <w:r>
              <w:rPr>
                <w:sz w:val="24"/>
                <w:rFonts w:ascii="Times New Roman" w:hAnsi="Times New Roman"/>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Minimalni potrebni kapitalni zahtjevi za operativni rizik (OROF)</w:t>
            </w:r>
          </w:p>
          <w:p w14:paraId="2A7C24D0" w14:textId="54D9C5FF" w:rsidR="00D740B8" w:rsidRPr="008D71E9" w:rsidRDefault="00977842">
            <w:pPr>
              <w:spacing w:before="60" w:after="120"/>
              <w:jc w:val="both"/>
              <w:rPr>
                <w:sz w:val="24"/>
                <w:rFonts w:ascii="Times New Roman" w:eastAsia="Times New Roman" w:hAnsi="Times New Roman" w:cs="Times New Roman"/>
              </w:rPr>
            </w:pPr>
            <w:r>
              <w:rPr>
                <w:sz w:val="24"/>
                <w:rFonts w:ascii="Times New Roman" w:hAnsi="Times New Roman"/>
              </w:rPr>
              <w:t xml:space="preserve">Kapitalni zahtjevi izračunavaju se u skladu s člankom 312. Uredbe (EU) br. 575/2013.</w:t>
            </w:r>
            <w:r>
              <w:rPr>
                <w:sz w:val="24"/>
                <w:rFonts w:ascii="Times New Roman" w:hAnsi="Times New Roman"/>
              </w:rPr>
              <w:t xml:space="preserve"> </w:t>
            </w:r>
            <w:r>
              <w:rPr>
                <w:sz w:val="24"/>
                <w:rFonts w:ascii="Times New Roman" w:hAnsi="Times New Roman"/>
              </w:rPr>
              <w:t xml:space="preserve">U ovom retku navode se kapitalni zahtjevi za operativni rizik koji odgovaraju zbroju BIC-a i kapitalnih zahtjeva za poslovne linije iz članka 314. stavka 4., ako je to primjenjivo.</w:t>
            </w:r>
            <w:r>
              <w:rPr>
                <w:sz w:val="24"/>
                <w:rFonts w:ascii="Times New Roman" w:hAnsi="Times New Roman"/>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Iznosi izloženosti operativnom riziku (REA)</w:t>
            </w:r>
          </w:p>
          <w:p w14:paraId="317F9BDE" w14:textId="77777777" w:rsidR="00D740B8" w:rsidRPr="00CF1BAE"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Na temelju članka 92. stavka 3. točke (e) i članka 92. stavka 4. Uredbe (EU) br. 575/2013 u ovom retku objavljuju se kapitalni zahtjevi iz retka (1) pomnoženi s 12,5.</w:t>
            </w:r>
            <w:r>
              <w:rPr>
                <w:sz w:val="24"/>
                <w:rFonts w:ascii="Times New Roman" w:hAnsi="Times New Roman"/>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t xml:space="preserve">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Uredba (EU) br. 575/2013 Europskog parlamenta i Vijeća od 26. lipnja 2013. o bonitetnim zahtjevima za kreditne institucije i o izmjeni Uredbe (EU) br. 648/2012, kako je izmijenjena Uredbom (EU) br. 2024/1623 </w:t>
      </w:r>
      <w:r>
        <w:rPr>
          <w:color w:val="444444"/>
        </w:rPr>
        <w:t xml:space="preserve">(</w:t>
      </w:r>
      <w:hyperlink r:id="rId1" w:history="1">
        <w:r>
          <w:rPr>
            <w:rStyle w:val="Hyperlink"/>
            <w:color w:val="800080"/>
          </w:rPr>
          <w:t xml:space="preserve">SL L 176, 27.6.2013., str. 1.</w:t>
        </w:r>
      </w:hyperlink>
      <w:r>
        <w:rPr>
          <w:color w:val="444444"/>
        </w:rPr>
        <w:t xml:space="preserve">;</w:t>
      </w:r>
      <w:r>
        <w:rPr>
          <w:color w:val="800080"/>
          <w:u w:val="single"/>
        </w:rPr>
        <w:t xml:space="preserve"> </w:t>
      </w:r>
      <w:hyperlink r:id="rId2" w:history="1">
        <w:r>
          <w:rPr>
            <w:rStyle w:val="Hyperlink"/>
          </w:rPr>
          <w:t xml:space="preserve">Uredba – EU – 2024/1623 – EN – EUR-Lex (europa.eu)</w:t>
        </w:r>
      </w:hyperlink>
      <w:r>
        <w:rPr>
          <w:color w:val="444444"/>
        </w:rPr>
        <w:t xml:space="preserve">)</w:t>
      </w:r>
      <w:r>
        <w:t xml:space="preserve">.</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hr-HR"/>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hr-HR"/>
    </w:rPr>
  </w:style>
  <w:style w:type="character" w:customStyle="1" w:styleId="FootnoteTextChar">
    <w:name w:val="Footnote Text Char"/>
    <w:basedOn w:val="DefaultParagraphFont"/>
    <w:link w:val="FootnoteText"/>
    <w:rsid w:val="003D3122"/>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hr-HR"/>
    </w:rPr>
  </w:style>
  <w:style w:type="character" w:customStyle="1" w:styleId="CommentTextChar">
    <w:name w:val="Comment Text Char"/>
    <w:basedOn w:val="DefaultParagraphFont"/>
    <w:link w:val="CommentText"/>
    <w:uiPriority w:val="99"/>
    <w:rsid w:val="00095D07"/>
    <w:rPr>
      <w:rFonts w:eastAsiaTheme="minorEastAsia"/>
      <w:sz w:val="20"/>
      <w:szCs w:val="20"/>
      <w:lang w:val="hr-HR"/>
    </w:rPr>
  </w:style>
  <w:style w:type="paragraph" w:customStyle="1" w:styleId="numberedparagraph">
    <w:name w:val="numbered paragraph"/>
    <w:basedOn w:val="Normal"/>
    <w:qFormat/>
    <w:rsid w:val="00095D07"/>
    <w:pPr>
      <w:numPr>
        <w:numId w:val="7"/>
      </w:numPr>
      <w:spacing w:before="240" w:after="120" w:line="276" w:lineRule="auto"/>
      <w:jc w:val="both"/>
    </w:pPr>
    <w:rPr>
      <w:lang w:val="hr-HR"/>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hr-HR"/>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724E8CFA-E376-44E0-9D5D-1BDB9C841BD7}"/>
</file>

<file path=customXml/itemProps3.xml><?xml version="1.0" encoding="utf-8"?>
<ds:datastoreItem xmlns:ds="http://schemas.openxmlformats.org/officeDocument/2006/customXml" ds:itemID="{C4655CCA-A2B7-4466-AAA5-671D4E5A13EE}"/>
</file>

<file path=customXml/itemProps4.xml><?xml version="1.0" encoding="utf-8"?>
<ds:datastoreItem xmlns:ds="http://schemas.openxmlformats.org/officeDocument/2006/customXml" ds:itemID="{E4F47672-90DA-402B-A81E-1D41C3520A6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3687</Words>
  <Characters>20248</Characters>
  <Application>Microsoft Office Word</Application>
  <DocSecurity>0</DocSecurity>
  <Lines>460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2024-09-26T14:33:00Z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