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XX. melléklet – Útmutató a hitelkockázati sztenderd módszer alkalmazásának nyilvánosságra hozatalához (kivéve a partnerkockázatot és az értékpapírosítási pozíciókat)</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Az 575/2013/EU rendelet (CRR)</w:t>
      </w:r>
      <w:r>
        <w:rPr>
          <w:rStyle w:val="FootnoteReference"/>
          <w:rFonts w:ascii="Times New Roman" w:hAnsi="Times New Roman"/>
        </w:rPr>
        <w:footnoteReference w:id="2"/>
      </w:r>
      <w:r>
        <w:rPr>
          <w:rFonts w:ascii="Times New Roman" w:hAnsi="Times New Roman"/>
          <w:sz w:val="24"/>
        </w:rPr>
        <w:t xml:space="preserve"> harmadik része II. címe 6. fejezetének hatálya alá tartozó instrumentumok (partnerkockázati kitettségek), valamint azok az instrumentumok, amelyekre az 575/2013/EU) rendelet harmadik része II. címének 5. fejezetében foglalt követelmények alkalmazandók (értékpapírosítási kitettségek) nem azokhoz a táblákhoz tartoznak, amelyekre az e mellékletbe foglalt útmutató vonatkozik.</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EU CRD táblázat – A sztenderd módszer alkalmazására vonatkozó minőségi nyilvánosságra hozatali követelmények. </w:t>
      </w:r>
      <w:r>
        <w:rPr>
          <w:rFonts w:ascii="Times New Roman" w:hAnsi="Times New Roman"/>
          <w:sz w:val="24"/>
        </w:rPr>
        <w:t>Rugalmas formátum</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Az intézmények az EBH IT-megoldásainak XIX. mellékletében található EU CRD táblázat e mellékletben foglalt útmutató szerinti kitöltésével hozzák nyilvánosságra az 575/2013/EU rendelet 444. cikkének a)–d) pontjában említett információkat.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Jogszabályi hivatkozások és útmutató</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Magyarázat</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 CRR 444. cikkének a) pontja</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Az intézményeknek nyilvánosságra kell hozniuk a kijelölt külső hitelminősítő intézetek (KHMI) és exporthitel-ügynökségek nevét, valamint a kijelölésben a nyilvánosságra hozatali időszak során történt esetleges változások okait.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 CRR 444. cikkének b) pontja</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Az intézményeknek fel kell tüntetniük az 575/2013/EU rendelet 112. cikke szerinti azon kitettségi osztályokat, amelyek esetében a kijelölt külső hitelminősítő intézetek vagy exporthitel-ügynökségek hitelminősítését igénybe veszik a kockázattal súlyozott kitettségértékeknek a CRR harmadik része II. címének 2. fejezete szerinti kiszámításához.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 CRR 444. cikkének c) pontja</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Amennyiben az intézmények a kibocsátóra és a kibocsátott értékpapírra vonatkozó hitelminősítéseket használnak a kereskedési könyvben nem szereplő kitettséghez rendelendő kockázati súly meghatározásához az 575/2013/EU rendelet harmadik része II. címe 2. fejezete 139. cikkének megfelelően, ismertetniük kell az alkalmazott folyamatot.</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 CRR 444. cikkének d) pontja</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Az intézményeknek az 575/2013/EU rendelet 112. cikkében meghatározott minden egyes kitettségi osztály esetében fel kell tüntetniük (az e tábla „a” sorában említett) egyes kijelölt külső hitelminősítő intézetek / exporthitel-ügynökségek alfanumerikus skáláját, az 575/2013/EU rendelet harmadik része II. címének 2. fejezetében meghatározott hitelminőségi besorolásoknak megfelelő kockázati súlyokkal, kivéve, ha az intézet megfelel az EBH által kiadott standard megfeleltetésnek.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EU CR4 tábla – Sztenderd módszer – Hitelkockázati kitettség és a hitelkockázat-mérséklés hatásai.</w:t>
      </w:r>
      <w:r>
        <w:rPr>
          <w:rFonts w:ascii="Times New Roman" w:hAnsi="Times New Roman"/>
          <w:sz w:val="24"/>
        </w:rPr>
        <w:t xml:space="preserve"> Kötött formátum</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A hitelkockázatra vonatkozó, kockázattal súlyozott kitettségértékeket az 575/2013/EU rendelet harmadik része II. címének 2. fejezete szerint számító intézmények az 575/2013/EU rendelet 453. cikkének g), h) és i) pontjában és 444. cikkének e) pontjában említett információkat az EBH IT-megoldásainak XIX. mellékletében található EU CR4 tábla e mellékletben foglalt útmutató szerinti kitöltésével hozzák nyilvánosságra.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Jogszabályi hivatkozások és útmutató</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Magyarázat</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Kitettségek a hitel-egyenértékesítési tényező és a hitelkockázat-mérséklés alkalmazása előtt – Mérlegen belüli kitettségek: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intézményeknek a prudenciális konszolidáció hatókörébe tartozó mérlegen belüli kitettség az 575/2013/EU rendelet 111. cikke szerinti értékét kell nyilvánosságra hozniuk, amely az 575/2013/EU rendelet 110. cikke szerinti egyedi hitelkockázati kiigazítások, az 575/2013/EU rendelet 34. és 105. cikke szerinti kiegészítő értékelési korrekciók, az 575/2013/EU rendelet 36. cikke (1) bekezdésének m) pontja szerinti levont összegek, az alkalmazandó számviteli szabályozásban meghatározott egyéb szavatolótőke-csökkentések és leírások után, de i. az ugyanezen cikkben meghatározott hitel-egyenértékesítési tényezők alkalmazása és ii. az 575/2013/EU rendelet harmadik része II. címének 4. fejezetében meghatározott hitelkockázat-mérséklési technikák alkalmazása előtt számított összeg. A lízing kitettségértékét az 575/2013/EU rendelet 134. cikkének (7) bekezdése szabályozza.</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Kitettségek a hitel-egyenértékesítési tényező és a hitelkockázat-mérséklés alkalmazása előtt – Mérlegen kívüli kitettségek:</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Az intézményeknek a prudenciális konszolidáció hatókörébe tartozó mérlegen kívüli kitettségértéket kell nyilvánosságra hozniuk, az 575/2013/EU rendelet 36. cikke (1) bekezdésének m) pontja szerinti egyedi hitelkockázati kiigazításokkal és levont összegekkel csökkentve, de az 575/2013/EU rendelet 111. cikkében meghatározott hitel-egyenértékesítési tényezők alkalmazása és </w:t>
            </w:r>
            <w:r>
              <w:rPr>
                <w:rFonts w:ascii="Times New Roman" w:hAnsi="Times New Roman"/>
                <w:sz w:val="24"/>
              </w:rPr>
              <w:lastRenderedPageBreak/>
              <w:t>a hitelkockázat-mérséklési technikák hatása előtt (az 575/2013/EU rendelet harmadik része II. címe 4. fejezetének alkalmazásában).</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Kitettségek a hitel-egyenértékesítési tényező és a hitelkockázat-mérséklés alkalmazása után – Mérlegen belüli kitettségek: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intézményeknek a prudenciális konszolidáció hatókörébe tartozó mérlegen belüli kitettség az 575/2013/EU rendelet 111. cikke szerinti értékét kell nyilvánosságra hozniuk, amely az 575/2013/EU rendelet 110. cikke szerinti egyedi hitelkockázati kiigazítások, az 575/2013/EU rendelet 34. és 105. cikke szerinti kiegészítő értékelési korrekciók, az 575/2013/EU rendelet 36. cikke (1) bekezdésének m) pontja szerinti levont összegek, az alkalmazandó számviteli szabályozásban meghatározott egyéb szavatolótőke-csökkentések és leírások után, továbbá valamennyi hitelkockázat-mérséklő eszköz és hitel-egyenértékesítési tényező alkalmazása után számított összeg. Ez az az összeg, amelyre a kockázati súlyokat alkalmazzák az 575/2013/EU rendelet 113. cikkének és az 575/2013/EU rendelet harmadik része II. címe 2. fejezete 2. szakaszának megfelelően. Ez a nettó hitelegyenérték összege, amely a hitelkockázat-mérséklési technikák és a hitel-egyenértékesítési tényező alkalmazása után adódik.</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Kitettségek a hitel-egyenértékesítési tényező és a hitelkockázat-mérséklés alkalmazása után – Mérlegen kívüli kitettségek: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intézményeknek a mérlegen kívüli kitettségértéket kell nyilvánosságra hozniuk, amely a 183/2014/EU felhatalmazáson alapuló bizottsági rendeletben</w:t>
            </w:r>
            <w:r>
              <w:rPr>
                <w:rStyle w:val="FootnoteReference"/>
                <w:rFonts w:ascii="Times New Roman" w:eastAsia="Times New Roman" w:hAnsi="Times New Roman" w:cs="Times New Roman"/>
              </w:rPr>
              <w:footnoteReference w:id="3"/>
            </w:r>
            <w:r>
              <w:rPr>
                <w:rFonts w:ascii="Times New Roman" w:hAnsi="Times New Roman"/>
                <w:sz w:val="24"/>
              </w:rPr>
              <w:t xml:space="preserve"> meghatározott egyedi hitelkockázati kiigazítások, a kiegészítő értékelési korrekciók és egyéb szavatolótőke-csökkentések figyelembevételével és az összes hitelkockázat-mérséklő eszköz és hitel-egyenértékesítési tényező alkalmazása után számított összeg. Ez az az összeg, amelyre a kockázati súlyokat alkalmazzák az 575/2013/EU rendelet 113. cikkének és a CRR harmadik része II. címe 2. fejezete 2. szakaszának megfelelően. Ez a nettó hitelegyenérték összege, amely a hitelkockázat-mérséklési technikák és a hitel-egyenértékesítési tényező alkalmazása után adódik.</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RWEA-k</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Az 575/2013/EU rendelet harmadik része II. címe 2. fejezetének 2. szakasza szerint számított, kockázattal súlyozott kitettségértékek</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RWEA-sűrűség</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 tábla „e” oszlopa / (c+d) oszlopa)</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Az arányt úgy kell kiszámítani, hogy az adott kitettségi osztály kockázattal súlyozott kitettségértékeit (e tábla „e” oszlopa) el kell osztani a vonatkozó kitettségek összegével, figyelembe véve az összes hitelkockázat-mérséklő eszközt és hitel-egyenértékesítési tényezőt (a tábla „c” és „d” oszlopában szereplő tételek összege).</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Jogszabályi hivatkozások és útmutató</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 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Az 575/2013/EU rendelet 112. cikke szerinti kitettségi osztályok.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Nem tartoznak ide az 575/2013/EU rendelet 112. cikkének m) pontjában említett „értékpapírosítási pozíciókat megtestesítő tételek” kitettségi osztályba sorolt kitettségek.</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Nem központi kormányzati közszektorbeli intézmények</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Az EU 2a. és az EU 2b. sorokon szereplő kitettségek összege.</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Regionális kormányzatok vagy helyi hatóságok</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rPr>
              <w:t xml:space="preserve">SA-kitettségek esetében az 575/2013/EU rendelet 112. cikkének b) pontjában és az 575/2013/EU rendelet 115. cikkének (–1), (1), (3), (4) és (5) bekezdésében meghatározott kitettségek.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Közszektorbeli intézmények</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SA-kitettségek esetében az 575/2013/EU rendelet 4. cikke (1) bekezdésének 8. pontjában, 112. cikkének c) pontjában, valamint 116. cikkének (1), (2), (3), (4) és (5) bekezdésében meghatározott kitettségek.</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Vállalkozások</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Az 575/2013/EU rendelet 112. cikkének g) pontjában és 122. cikkében meghatározott kitettségek.</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Ebből: Speciális hitelezés</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Az 575/2013/EU rendelet 122a. cikkében meghatározott kitettségek.</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Alárendelt hitelviszonyt megtestesítő, valamint részvényjellegű kitettségek</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Az EU 7a. és az EU 7b. sorokban szereplő kitettségek összege.</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Alárendelt hitelviszonyt megtestesítő kitettségek</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Az 575/2013/EU rendelet 112. cikkének k) pontjában és 128. cikkében meghatározott kitettségek.</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Részvényjellegű kitettségek</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Az 575/2013/EU rendelet 112. cikkének p) pontjában és 133. cikkének (1) bekezdésében meghatározott kitettségek.</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Ingatlanra bejegyzett zálogjoggal fedezett, valamint földterületszerzéssel, fejlesztéssel és építéssel szembeni kitettségek</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Itt az 575/2013/EU rendelet 4. cikke (1) bekezdésének 75–75f. pontjában meghatározott ingatlannal fedezett kitettségeket és az 575/2013/EU rendelet </w:t>
            </w:r>
            <w:r>
              <w:rPr>
                <w:rFonts w:ascii="Times New Roman" w:hAnsi="Times New Roman"/>
                <w:sz w:val="24"/>
              </w:rPr>
              <w:lastRenderedPageBreak/>
              <w:t xml:space="preserve">4. cikke (1) bekezdésének 78a. pontjában meghatározott kitettségeket kell feltüntetni.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Ez a sor a 9.1., a 9.2., a 9.3., a 9.4. és 9.5. sorok összege.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Lakóingatlanra bejegyzett zálogjoggal fedezett kitettségek – nem jövedelemtermelő ingatlanok</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Az 575/2013/EU rendelet 125. cikkének (1) bekezdése szerint kezelt kitettségeket itt kell feltüntetni.</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Ebben a sorban a következőket is fel kell tüntetni: lakóingatlanra bejegyzett zálogjoggal fedezett egyéb azon kitettségek a nem jövedelemtermelő ingatlanok vonatkozásában, amelyek nem felelnek meg a 124. cikk (3) bekezdésében foglalt feltételeknek, vagy a nem földterületszerzéssel, fejlesztéssel és építéssel szembeni kitettségeknek az 575/2013/EU rendelet 124. cikke (1) bekezdésének a) pontjában említett, az ingatlanra vonatkozó zálogjog névértékét meghaladó része.</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Lakóingatlanra bejegyzett zálogjoggal fedezett kitettségek – jövedelemtermelő ingatlanok</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Itt csak az 575/2013/EU rendelet 4. cikke (1) bekezdésének 75b. pontjában szereplő meghatározásnak megfelelő kitettségeket kell feltüntetni, beleértve az 575/2013/EU rendelet 124. cikke (2) bekezdése a) pontja ii. alpontjának 1–4. pontjában meghatározott feltételek bármelyikét teljesítő jövedelemtermelő ingatlanokra vonatkozó kitettségeket is; a jövedelemtermelő ingatlanokra vonatkozó azon kitettségek, amelyek esetében sor kerül az 575/2013/EU rendelet 125. cikkének (2) bekezdésében meghatározott eltérés alkalmazására.</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Ebben a sorban közzéteszik a lakóingatlanra bejegyzett zálogjoggal fedezett egyéb azon kitettségeket a jövedelemtermelő ingatlanok vonatkozásában, amelyek nem felelnek meg a 124. cikk (3) bekezdésében foglalt feltételeknek, vagy a nem földterületszerzéssel, fejlesztéssel és építéssel szembeni kitettség bármely részét, amely meghaladja az 575/2013/EU rendelet 124. cikke (1) bekezdésének b) pontjában említett, az ingatlanra vonatkozó zálogjog névértékét.</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Kereskedelmi ingatlanra bejegyzett zálogjoggal fedezett kitettségek – nem jövedelemtermelő ingatlanok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Az 575/2013/EU rendelet 126. cikkének (1) bekezdése szerint kezelt kitettségeket itt kell feltüntetni.</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Ebben a sorban a következőket is fel kell tüntetni: kereskedelmi ingatlanra bejegyzett zálogjoggal fedezett egyéb azon kitettségek a nem jövedelemtermelő ingatlanok vonatkozásában, amelyek nem felelnek meg a 124. cikk (3) bekezdésében foglalt feltételeknek, vagy a nem földterületszerzéssel, fejlesztéssel és építéssel szembeni kitettségeknek az 575/2013/EU rendelet 124. cikke (1) bekezdésének a) pontjában említett, az ingatlanra vonatkozó zálogjog névértékét meghaladó része.</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Kereskedelmi ingatlanra bejegyzett zálogjoggal fedezett kitettségek – jövedelemtermelő ingatlanok</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 xml:space="preserve">Itt az 575/2013/EU rendelet 4. cikke (1) bekezdésének 75b. pontjában és 124. cikke (2) bekezdése b) pontjának ii. alpontjában szereplő meghatározásnak </w:t>
            </w:r>
            <w:r>
              <w:rPr>
                <w:rFonts w:ascii="Times New Roman" w:hAnsi="Times New Roman"/>
                <w:sz w:val="24"/>
              </w:rPr>
              <w:lastRenderedPageBreak/>
              <w:t>megfelelő kitettségeket kell feltüntetni, beleértve a jövedelemtermelő ingatlanokra vonatkozó kitettségeket is, amennyiben az 575/2013/EU rendelet 126. cikkének (2) bekezdésében meghatározott eltérést alkalmazzák.</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Ebben a sorban közzéteszik a kereskedelmi ingatlanra bejegyzett zálogjoggal fedezett egyéb azon kitettségeket a jövedelemtermelő ingatlanok vonatkozásában, amelyek nem felelnek meg a 124. cikk (3) bekezdésében foglalt feltételeknek, vagy a nem földterületszerzéssel, fejlesztéssel és építéssel szembeni kitettség bármely azon részét, amely meghaladja az 575/2013/EU rendelet 124. cikke (1) bekezdésének b) pontjában említett, az ingatlanra vonatkozó zálogjog névértékét.</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n.a.</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Összesen: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A fenti 1, 2, 3, EU 3a, 4, 5, 6, 7, 8, 9, 10, EU 10a, EU 10b, EU 10c sorokban szereplő kitettségek összege.</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EU CR5 tábla – Sztenderd módszer</w:t>
      </w:r>
      <w:r>
        <w:rPr>
          <w:rFonts w:ascii="Times New Roman" w:hAnsi="Times New Roman"/>
          <w:sz w:val="24"/>
        </w:rPr>
        <w:t>. Kötött formátum</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rPr>
        <w:t>Az intézmények az EBH IT-megoldásainak XIX. mellékletében található EU CR5 tábla e mellékletben foglalt útmutató szerinti kitöltésével hozzák nyilvánosságra az 575/2013/EU rendelet 444. cikkének e) pontjában említett információkat.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Jogszabályi hivatkozások és útmutató</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Magyarázat</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Kockázati súly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 nyilvánosságra hozzák a kockázati súlyoknak az 575/2013/EU rendelet harmadik része II. címe 2. fejezete 2. szakasza szerinti adott kitettségi osztályon belüli eloszlására vonatkozó információkat.</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Összesen: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A prudenciális konszolidáció hatókörébe tartozó mérlegen belüli és mérlegen kívüli kitettségek teljes összege: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a mérlegen belüli kitettségek esetében az 575/2013/EU rendelet 111. cikkének megfelelően az 575/2013/EU rendelet 110. cikke szerinti egyedi hitelkockázati kiigazítások, az 575/2013/EU rendelet 34. és 105. cikke szerinti kiegészítő értékelési korrekciók, az 575/2013/EU rendelet 36. cikke (1) bekezdésének m) pontjával összhangban levont összegek, valamint (az alkalmazandó számviteli szabályozásban meghatározottak szerint) az egyéb szavatolótőke-csökkentések és leírások után;</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a mérlegen kívüli kitettségek esetében az 575/2013/EU rendelet 111. cikkének megfelelően az egyedi hitelkockázati kiigazításokkal és az 575/2013/EU rendelet 36. cikke (1) bekezdésének m) pontjával összhangban levont összegekkel való csökkentés után;</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mind a mérlegen belüli, mind a mérlegen kívüli kitettségek esetében i. az ugyanezen cikkben meghatározott hitel-egyenértékesítési tényezők </w:t>
            </w:r>
            <w:r>
              <w:rPr>
                <w:rFonts w:ascii="Times New Roman" w:hAnsi="Times New Roman"/>
                <w:sz w:val="24"/>
              </w:rPr>
              <w:lastRenderedPageBreak/>
              <w:t>alkalmazása, és ii. a CRR harmadik része II. címének 4. fejezetében meghatározott hitelkockázat-mérséklési technikák alkalmazása után</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Ebből nem minősített:</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Olyan kitettségek, amelyek tekintetében nem áll rendelkezésre kijelölt KHMI általi hitelminősítés, és amelyekre a kitettségi osztálytól függően – az 575/2013/EU rendelet 113–134. cikkében foglaltak szerint – meghatározott kockázati súlyokat alkalmaznak.</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Jogszabályi hivatkozások és útmutató</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 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Az 575/2013/EU rendelet 112. cikke szerinti kitettségi osztályok.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Nem tartoznak ide az 575/2013/EU rendelet 112. cikkének m) pontjában említett „értékpapírosítási pozíciókat megtestesítő tételek” kitettségi osztályba sorolt kitettségek.</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Nem központi kormányzati közszektorbeli intézmények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Az EU 2a. és az EU 2b. sorokon szereplő kitettségek összege.</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Regionális kormányzatok vagy helyi hatóságok</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rPr>
              <w:t>SA-kitettségek esetében az 575/2013/EU rendelet 112. cikkének b) pontjában és az 575/2013/EU rendelet 115. cikkének (–1), (1), (3), (4) és (5) bekezdésében meghatározott kitettségek.</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Közszektorbeli intézmények</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SA-kitettségek esetében az 575/2013/EU rendelet 4. cikke (1) bekezdésének 8. pontjában, 112. cikkének c) pontjában, valamint 116. cikkének (1), (2), (3), (4) és (5) bekezdésében meghatározott kitettségek.</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Vállalkozások</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Az (EU) 575/2013 rendelet 112. cikkének g) pontjában és 122. cikkében meghatározott kitettségek.</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Ebből: Speciális hitelezés</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Az 575/2013/EU rendelet 122a. cikkében meghatározott kitettségek.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Alárendelt hitelviszonyt megtestesítő, valamint részvényjellegű kitettségek</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Az alábbiakban meghatározott sorok összege (EU 7a és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Alárendelt hitelviszonyt megtestesítő kitettségek</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Az 575/2013/EU rendelet 112. cikkének k) pontjában és 128. cikkében meghatározott kitettségek.</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Részvényjellegű kitettségek</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Az 575/2013/EU rendelet 112. cikkének p) pontjában és 133. cikkének (1) bekezdésében meghatározott kitettségek.</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Ingatlanra bejegyzett zálogjoggal fedezett, valamint földterületszerzéssel, fejlesztéssel és építéssel szembeni kitettségek</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Itt az 575/2013/EU rendelet 4. cikke (1) bekezdésének 75–75f. pontjában meghatározott ingatlannal fedezett kitettségeket és az 575/2013/EU rendelet 4. cikke (1) bekezdésének 78a. pontjában meghatározott kitettségeket kell feltüntetni.</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Ez a sor a 9.1., a 9.2., a 9.3., a 9.4. és 9.5. sorok összege.</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Lakóingatlanra bejegyzett zálogjoggal fedezett kitettségek – nem jövedelemtermelő ingatlanok</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Az 575/2013/EU rendelet 125. cikkének (1) bekezdése szerint kezelt kitettségeket itt kell feltüntetni.</w:t>
            </w:r>
          </w:p>
          <w:p w14:paraId="739769BE" w14:textId="77777777" w:rsidR="00FB64CF" w:rsidRDefault="007750BC" w:rsidP="007750BC">
            <w:pPr>
              <w:spacing w:after="120"/>
              <w:jc w:val="both"/>
              <w:rPr>
                <w:rFonts w:ascii="Times New Roman" w:eastAsiaTheme="minorHAnsi" w:hAnsi="Times New Roman"/>
                <w:sz w:val="24"/>
              </w:rPr>
            </w:pPr>
            <w:r>
              <w:t xml:space="preserve"> </w:t>
            </w:r>
            <w:r>
              <w:br/>
            </w:r>
            <w:r>
              <w:rPr>
                <w:rFonts w:ascii="Times New Roman" w:hAnsi="Times New Roman"/>
                <w:sz w:val="24"/>
              </w:rPr>
              <w:t>Ebben a sorban a következőket is fel kell tüntetni: lakóingatlanra bejegyzett zálogjoggal fedezett egyéb kitettségek – nem jövedelemtermelő ingatlanok, amelyek nem felelnek meg a 124. cikk (3) bekezdésében foglalt feltételeknek; vagy a nem földterületszerzéssel, fejlesztéssel és építéssel szembeni kitettség bármely azon része, amely meghaladja az 575/2013/EU rendelet 124. cikke (1) bekezdésének a) pontjában említett, az ingatlanra vonatkozó zálogjog névértékét.</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Ez a sor a 9.1.1., a 9.1.2. és 9.1.3. sorok összege.</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hitelfelosztás alkalmazása nélkül</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Lakóingatlanra bejegyzett, zálogjoggal fedezett kitettségek – nem jövedelemtermelő ingatlanok, amelyekre az 575/2013/EU rendelet 125. cikkének (1) bekezdésében ismertetett hitelfelosztási módszer nem alkalmazandó.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hitelfelosztás alkalmazásával (fedezett)</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A kitettségek lakóingatlanra bejegyzett, zálogjoggal fedezett része, amelyre </w:t>
            </w:r>
            <w:r>
              <w:rPr>
                <w:rFonts w:ascii="Times New Roman" w:hAnsi="Times New Roman"/>
                <w:color w:val="000000" w:themeColor="text1"/>
                <w:sz w:val="24"/>
              </w:rPr>
              <w:t>az 575/2013/EU rendelet</w:t>
            </w:r>
            <w:r>
              <w:rPr>
                <w:rFonts w:ascii="Times New Roman" w:hAnsi="Times New Roman"/>
                <w:sz w:val="24"/>
              </w:rPr>
              <w:t xml:space="preserve"> 125. cikke (1) bekezdésének a) pontjában ismertetett hitelfelosztási módszer alkalmazandó.</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hitelfelosztás alkalmazásával (fedezetlen)</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A kitettségek lakóingatlanra bejegyzett, zálogjoggal fedezett fennmaradó része, amelyre </w:t>
            </w:r>
            <w:r>
              <w:rPr>
                <w:rFonts w:ascii="Times New Roman" w:hAnsi="Times New Roman"/>
                <w:color w:val="000000" w:themeColor="text1"/>
                <w:sz w:val="24"/>
              </w:rPr>
              <w:t>az 575/2013/EU rendelet</w:t>
            </w:r>
            <w:r>
              <w:rPr>
                <w:rFonts w:ascii="Times New Roman" w:hAnsi="Times New Roman"/>
                <w:sz w:val="24"/>
              </w:rPr>
              <w:t xml:space="preserve"> 125. cikke (1) bekezdésében ismertetett hitelfelosztási módszer alkalmazandó.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Lakóingatlanra bejegyzett zálogjoggal fedezett kitettségek – jövedelemtermelő ingatlanok</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Itt csak azokat a kitettségeket kell feltüntetni, amelyek teljesítik az 575/2013/EU rendelet 4. cikke (1) bekezdése 75b. pontjában foglalt fogalommeghatározást.</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Ebben a sorban a következőket is fel kell tüntetni: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lastRenderedPageBreak/>
              <w:t>– lakóingatlanra bejegyzett zálogjoggal fedezett egyéb azon kitettségek a jövedelemtermelő ingatlanok vonatkozásában, amelyek nem felelnek meg a 124. cikk (3) bekezdésében foglalt feltételeknek, vagy a nem földterületszerzéssel, fejlesztéssel és építéssel szembeni kitettségeknek az 575/2013/EU rendelet 124. cikke (1) bekezdésének b) pontjában említett, az ingatlanra vonatkozó zálogjog névértékét meghaladó része.</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xml:space="preserve">– a jövedelemtermelő ingatlanokra vonatkozó kitettségek, amelyek megfelelnek az 575/2013/EU rendelet 124. cikke (2) bekezdése a) pontja ii. alpontjának (1)–(4) pontjában meghatározott feltételek bármelyikének;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a jövedelemtermelő ingatlanokra vonatkozó azon kitettségek, amelyek esetében sor kerül az 575/2013/EU rendelet 125. cikkének (2) bekezdésében meghatározott eltérés alkalmazására.</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Kereskedelmi ingatlanra bejegyzett zálogjoggal fedezett kitettségek – nem jövedelemtermelő ingatlanok</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Az 575/2013/EU rendelet 126. cikkének (1) bekezdése szerint kezelt kitettségeket itt kell feltüntetni.</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Ebben a sorban a következőket is fel kell tüntetni: kereskedelmi ingatlanra bejegyzett zálogjoggal fedezett egyéb azon kitettségek a nem jövedelemtermelő ingatlanok vonatkozásában, amelyek nem felelnek meg a 124. cikk (3) bekezdésében foglalt feltételeknek, vagy a nem földterületszerzéssel, fejlesztéssel és építéssel szembeni kitettségek az 575/2013/EU rendelet 124. cikke (1) bekezdésének a) pontjában említett, az ingatlanra vonatkozó zálogjog névértékét meghaladó része.</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Ez a sor a 9.3.1., a 9.3.2. és a 9.3.3. sorok összege.</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hitelfelosztás alkalmazása nélkül</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Kereskedelmi ingatlanra bejegyzett, zálogjoggal fedezett kitettségek, amelyekre az 575/2013/EU rendelet 126. cikkének (1) bekezdésében ismertetett hitelfelosztási módszer nem alkalmazandó.</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hitelfelosztás alkalmazásával (fedezett)</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A kitettségek kereskedelmi ingatlanra bejegyzett, zálogjoggal fedezett része, amelyre </w:t>
            </w:r>
            <w:r>
              <w:rPr>
                <w:rFonts w:ascii="Times New Roman" w:hAnsi="Times New Roman"/>
                <w:color w:val="000000" w:themeColor="text1"/>
                <w:sz w:val="24"/>
              </w:rPr>
              <w:t>az 575/2013/EU rendelet</w:t>
            </w:r>
            <w:r>
              <w:rPr>
                <w:rFonts w:ascii="Times New Roman" w:hAnsi="Times New Roman"/>
                <w:sz w:val="24"/>
              </w:rPr>
              <w:t xml:space="preserve"> 126. cikke (1) bekezdésében ismertetett hitelfelosztási módszer alkalmazandó.</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hitelfelosztás alkalmazásával (fedezetlen)</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A kitettségek kereskedelmi ingatlanra bejegyzett, zálogjoggal fedezett fennmaradó része, amelyre </w:t>
            </w:r>
            <w:r>
              <w:rPr>
                <w:rFonts w:ascii="Times New Roman" w:hAnsi="Times New Roman"/>
                <w:color w:val="000000" w:themeColor="text1"/>
                <w:sz w:val="24"/>
              </w:rPr>
              <w:t>az 575/2013/EU rendelet</w:t>
            </w:r>
            <w:r>
              <w:rPr>
                <w:rFonts w:ascii="Times New Roman" w:hAnsi="Times New Roman"/>
                <w:sz w:val="24"/>
              </w:rPr>
              <w:t xml:space="preserve"> 126. cikke (1) bekezdésében ismertetett hitelfelosztási módszer alkalmazandó.</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Kereskedelmi ingatlanra bejegyzett zálogjoggal fedezett kitettségek – jövedelemtermelő ingatlanok</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Itt csak azokat a kitettségeket kell feltüntetni, amelyek teljesítik az 575/2013/EU rendelet 4. cikke (1) bekezdése 75b. pontjában és a 124. cikk (2) bekezdése b) pontjának ii. alpontjában foglalt fogalommeghatározást.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Ebben a sorban a következőket is fel kell tüntetni:</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lastRenderedPageBreak/>
              <w:t>– kereskedelmi ingatlanra bejegyzett zálogjoggal fedezett egyéb azon kitettségek a jövedelemtermelő ingatlanok vonatkozásában, amelyek nem felelnek meg a 124. cikk (3) bekezdésében foglalt feltételeknek, vagy a nem földterületszerzéssel, fejlesztéssel és építéssel szembeni kitettség bármely azon részét, amely meghaladja az 575/2013/EU rendelet 124. cikke (1) bekezdésének b) pontjában említett, az ingatlanra vonatkozó zálogjog névértékét.</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a jövedelemtermelő ingatlanokra vonatkozó azon kitettségek, amelyek esetében sor kerül az 575/2013/EU rendelet 126. cikkének (2) bekezdésében meghatározott eltérés alkalmazására.</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Földterületszerzéssel, fejlesztéssel és építéssel szembeni kitettségek</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Itt csak azokat a kitettségeket kell feltüntetni, amelyek teljesítik az 575/2013/EU rendelet 4. cikke (1) bekezdése 78a. pontjában foglalt fogalommeghatározást.</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Egyéb tételek</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A kitettségi osztály a következőkre vonatkozik:</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az 575/2013/EU rendelet harmadik része II. címe 4. fejezetének 134. cikkében meghatározott egyedi kockázati súlyhoz tartozó eszközök;</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az 575/2013/EU rendelet 39. cikke (adótúlfizetések, negatív adóalaphoz kapcsolódó visszakönyvelések és nem a jövőbeli nyereségtől függően érvényesíthető halasztott adókövetelések), 41. cikke (meghatározott szolgáltatást nyújtó nyugdíjalapban lévő eszközök), 46. és 469. cikke (pénzügyi ágazatbeli szervezet elsődleges alapvető tőkeelemeibe (CET1) való nem jelentős befektetések), 49. és 471. cikke (biztosítókban lévő tulajdoni részesedések, függetlenül attól, hogy a biztosítókat a konglomerátumokról szóló irányelv alapján felügyelik-e), 60. és 475. cikke (pénzügyi ágazatbeli szervezet kiegészítő alapvető tőkeelemeibe (AT1) való nem jelentős és jelentős, közvetlen, közvetett és szintetikus befektetések), 70. és 477. cikke (pénzügyi ágazatbeli szervezet közvetlen, közvetett és szintetikus módon az intézmény tulajdonában lévő jelentős és nem jelentős járulékos tőkeelemei (T2)) alapján le nem vont eszközökre, ha azokat nem rendelték hozzá másik kitettségi osztályokhoz, valamint a pénzügyi ágazaton kívüli befolyásoló részesedésekre, ha azokra nem alkalmaznak az 575/2013/EU rendelet második része I. címe 2. fejezete 36. cikke k) pontja alapján 1 250 %-os kockázati súlyt.</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n.a.</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Összesen</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A fenti 1., 2., 3., EU 3a., 4., 5., 6., 7., 8., 9., 10., EU 10a., EU 10b. és EU 10c. sorokban szereplő kitettségek összege.</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ab/>
        <w:t>Az Európai Parlament és a Tanács 575/2013/EU rendelete (2013. június 26.) a hitelintézetekre vonatkozó prudenciális követelményekről és a 648/2012/EU rendelet módosításáról, valamint az azt módosító (EU) 2024/1623 rendelet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 HU – EUR-Lex (europa.eu))</w:t>
        </w:r>
      </w:hyperlink>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ab/>
        <w:t>A BIZOTTSÁG 183/2014/EU FELHATALMAZÁSON ALAPULÓ RENDELETE (2013. december 20.) a hitelintézetekre és befektetési vállalkozásokra vonatkozó prudenciális követelményekről szóló 575/2013/EU európai parlamenti és tanácsi rendeletnek az egyedi és az általános hitelkockázati kiigazítások kiszámításának meghatározásáról szóló szabályozási technikai standardok tekintetében történő kiegészítéséről (HL L 57., 2014.2.27., 3.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1A5C"/>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DD119B0E-1647-4D9C-B1C2-5B0713E12727}"/>
</file>

<file path=customXml/itemProps3.xml><?xml version="1.0" encoding="utf-8"?>
<ds:datastoreItem xmlns:ds="http://schemas.openxmlformats.org/officeDocument/2006/customXml" ds:itemID="{282FFE0A-3E5D-4C5F-A9C7-8DD5D10C3C66}"/>
</file>

<file path=customXml/itemProps4.xml><?xml version="1.0" encoding="utf-8"?>
<ds:datastoreItem xmlns:ds="http://schemas.openxmlformats.org/officeDocument/2006/customXml" ds:itemID="{CAB003CE-BB5B-4522-9F61-50E5E17C101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2892</Words>
  <Characters>20771</Characters>
  <Application>Microsoft Office Word</Application>
  <DocSecurity>0</DocSecurity>
  <Lines>494</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