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A78A08" w14:textId="77777777" w:rsidR="007224D6" w:rsidRPr="007F4CC8" w:rsidRDefault="007224D6" w:rsidP="007224D6">
      <w:pPr>
        <w:pStyle w:val="Annexetitre"/>
        <w:spacing w:after="240"/>
      </w:pPr>
      <w:r>
        <w:t xml:space="preserve">BILAGA XXVIII – Instruktioner för offentliggörande av exponeringar för värdepapperiseringspositioner</w:t>
      </w:r>
    </w:p>
    <w:p w14:paraId="6F670D8D" w14:textId="77777777" w:rsidR="007224D6" w:rsidRPr="007F4CC8" w:rsidRDefault="007224D6" w:rsidP="007224D6">
      <w:pPr>
        <w:rPr>
          <w:b/>
          <w:sz w:val="24"/>
          <w:rFonts w:ascii="Times New Roman" w:hAnsi="Times New Roman" w:cs="Times New Roman"/>
        </w:rPr>
      </w:pPr>
      <w:r>
        <w:rPr>
          <w:sz w:val="24"/>
          <w:b/>
          <w:rFonts w:ascii="Times New Roman" w:hAnsi="Times New Roman"/>
        </w:rPr>
        <w:t xml:space="preserve">Tabell EU SECA – Kvalitativa upplysningskrav avseende värdepapperiseringsexponeringar</w:t>
      </w:r>
      <w:r>
        <w:rPr>
          <w:sz w:val="24"/>
          <w:b/>
          <w:rFonts w:ascii="Times New Roman" w:hAnsi="Times New Roman"/>
        </w:rPr>
        <w:t xml:space="preserve"> </w:t>
      </w:r>
      <w:r>
        <w:rPr>
          <w:sz w:val="24"/>
          <w:rFonts w:ascii="Times New Roman" w:hAnsi="Times New Roman"/>
        </w:rPr>
        <w:t xml:space="preserve">Fält för fri text för offentliggörande av kvalitativ information</w:t>
      </w:r>
    </w:p>
    <w:p w14:paraId="5F7FC059" w14:textId="26D0159A"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Instituten ska offentliggöra den information som avses i artikel 449 a–i i förordning (EU) nr 575/2013</w:t>
      </w:r>
      <w:r w:rsidRPr="007F4CC8">
        <w:rPr>
          <w:rStyle w:val="FootnoteReference"/>
          <w:bCs/>
        </w:rPr>
        <w:footnoteReference w:id="1"/>
      </w:r>
      <w:r>
        <w:rPr>
          <w:sz w:val="24"/>
          <w:rFonts w:ascii="Times New Roman" w:hAnsi="Times New Roman"/>
        </w:rPr>
        <w:t xml:space="preserve"> (</w:t>
      </w:r>
      <w:r>
        <w:rPr>
          <w:sz w:val="24"/>
          <w:i/>
          <w:iCs/>
          <w:rFonts w:ascii="Times New Roman" w:hAnsi="Times New Roman"/>
        </w:rPr>
        <w:t xml:space="preserve">kapitalkravsförordningen</w:t>
      </w:r>
      <w:r>
        <w:rPr>
          <w:sz w:val="24"/>
          <w:rFonts w:ascii="Times New Roman" w:hAnsi="Times New Roman"/>
        </w:rPr>
        <w:t xml:space="preserve">) genom att följa de instruktioner som ges nedan i denna bilaga för att fylla i tabell EU-SECA, vilken återfinns i bilaga XXVII till EBA:s it-lösningar.</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6617736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03065A"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Rättsliga hänvisningar och instruktioner</w:t>
            </w:r>
          </w:p>
        </w:tc>
      </w:tr>
      <w:tr w:rsidR="007224D6" w:rsidRPr="007F4CC8" w14:paraId="69D51BD7" w14:textId="77777777" w:rsidTr="004F3087">
        <w:trPr>
          <w:trHeight w:val="238"/>
        </w:trPr>
        <w:tc>
          <w:tcPr>
            <w:tcW w:w="1413" w:type="dxa"/>
            <w:shd w:val="clear" w:color="auto" w:fill="D9D9D9" w:themeFill="background1" w:themeFillShade="D9"/>
          </w:tcPr>
          <w:p w14:paraId="2CB20B0F"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Radreferens</w:t>
            </w:r>
          </w:p>
        </w:tc>
        <w:tc>
          <w:tcPr>
            <w:tcW w:w="7654" w:type="dxa"/>
            <w:shd w:val="clear" w:color="auto" w:fill="D9D9D9" w:themeFill="background1" w:themeFillShade="D9"/>
          </w:tcPr>
          <w:p w14:paraId="455F087A"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7224D6" w:rsidRPr="007F4CC8" w14:paraId="2D6B6641" w14:textId="77777777" w:rsidTr="004F3087">
        <w:trPr>
          <w:trHeight w:val="316"/>
        </w:trPr>
        <w:tc>
          <w:tcPr>
            <w:tcW w:w="1413" w:type="dxa"/>
          </w:tcPr>
          <w:p w14:paraId="2F99FA0C"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w:t>
            </w:r>
          </w:p>
        </w:tc>
        <w:tc>
          <w:tcPr>
            <w:tcW w:w="7654" w:type="dxa"/>
          </w:tcPr>
          <w:p w14:paraId="411A6A43"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Beskrivning av värdepapperiserings- och återvärdepapperiseringsverksamhet,</w:t>
            </w:r>
            <w:r>
              <w:rPr>
                <w:sz w:val="24"/>
                <w:rFonts w:ascii="Times New Roman" w:hAnsi="Times New Roman"/>
              </w:rPr>
              <w:t xml:space="preserve"> </w:t>
            </w:r>
            <w:r>
              <w:rPr>
                <w:sz w:val="24"/>
                <w:rFonts w:ascii="Times New Roman" w:hAnsi="Times New Roman"/>
              </w:rPr>
              <w:t xml:space="preserve">däribland riskhanterings- och investeringsmål i samband med denna verksamhet, deras roll i värdepapperiserings- och återvärdepapperiseringstransaktioner oavsett om institutet använder ramverket för enkel, transparent och standardiserad värdepapperisering eller inte och den omfattning i vilken det använder värdepapperiseringstransaktioner för att överföra kreditrisken hos de värdepapperiserade exponeringarna till tredjeparter och med, i tillämpliga fall, en separat beskrivning av institutets policy för risköverföring genom syntetiska värdepapperiseringar, i enlighet med artikel 449 a i kapitalkravsförordningen.</w:t>
            </w:r>
          </w:p>
        </w:tc>
      </w:tr>
      <w:tr w:rsidR="007224D6" w:rsidRPr="007F4CC8" w14:paraId="175022E5" w14:textId="77777777" w:rsidTr="004F3087">
        <w:trPr>
          <w:trHeight w:val="316"/>
        </w:trPr>
        <w:tc>
          <w:tcPr>
            <w:tcW w:w="1413" w:type="dxa"/>
          </w:tcPr>
          <w:p w14:paraId="0C3EA442"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b)</w:t>
            </w:r>
          </w:p>
        </w:tc>
        <w:tc>
          <w:tcPr>
            <w:tcW w:w="7654" w:type="dxa"/>
          </w:tcPr>
          <w:p w14:paraId="5A3026E1"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Den typ av risk som instituten är exponerade mot i sin värdepapperiserings- och återvärdepapperiseringsverksamhet, fördelad på de relevanta värdepapperiseringspositionernas förmånsrätt, varvid åtskillnad ska göras mellan STS-positioner och andra positioner och</w:t>
            </w:r>
          </w:p>
          <w:p w14:paraId="04507AB5"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 kvarvarande risk i transaktioner där instituten själva är originatorer,</w:t>
            </w:r>
          </w:p>
          <w:p w14:paraId="1E8013A0"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ii) risk som ådragits i samband med transaktioner där tredje parter är originatorer,</w:t>
            </w:r>
          </w:p>
          <w:p w14:paraId="327D9880"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 enlighet med artikel 449 b i kapitalkravsförordningen.</w:t>
            </w:r>
          </w:p>
        </w:tc>
      </w:tr>
      <w:tr w:rsidR="007224D6" w:rsidRPr="007F4CC8" w14:paraId="0890559E" w14:textId="77777777" w:rsidTr="004F3087">
        <w:trPr>
          <w:trHeight w:val="316"/>
        </w:trPr>
        <w:tc>
          <w:tcPr>
            <w:tcW w:w="1413" w:type="dxa"/>
          </w:tcPr>
          <w:p w14:paraId="78576E19"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c)</w:t>
            </w:r>
          </w:p>
        </w:tc>
        <w:tc>
          <w:tcPr>
            <w:tcW w:w="7654" w:type="dxa"/>
          </w:tcPr>
          <w:p w14:paraId="4D27BD27"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De metoder för beräkning av riskvägda exponeringsbelopp som instituten tillämpar i sin värdepapperiseringsverksamhet, däribland de slag av värdepapperiseringspositioner på vilka respektive metod tillämpas med åtskillnad mellan STS-positioner och andra positioner, i enlighet med artikel 449 c i kapitalkravsförordningen.</w:t>
            </w:r>
          </w:p>
        </w:tc>
      </w:tr>
      <w:tr w:rsidR="007224D6" w:rsidRPr="007F4CC8" w14:paraId="287B5F71" w14:textId="77777777" w:rsidTr="004F3087">
        <w:trPr>
          <w:trHeight w:val="316"/>
        </w:trPr>
        <w:tc>
          <w:tcPr>
            <w:tcW w:w="1413" w:type="dxa"/>
          </w:tcPr>
          <w:p w14:paraId="243136B6"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d)</w:t>
            </w:r>
          </w:p>
        </w:tc>
        <w:tc>
          <w:tcPr>
            <w:tcW w:w="7654" w:type="dxa"/>
          </w:tcPr>
          <w:p w14:paraId="0F0CB352"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En förteckning över specialföretag för värdepapperisering som tillhör någon av följande kategorier, med en beskrivning av typer av institutets exponeringar mot dessa specialföretag för värdepapperisering, inklusive derivatkontrakt:</w:t>
            </w:r>
          </w:p>
          <w:p w14:paraId="75480409"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 Specialföretag för värdepapperisering som förvärvar exponeringar i vilka instituten varit originatorer.</w:t>
            </w:r>
          </w:p>
          <w:p w14:paraId="66CFD6C3"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ii) Specialföretag för värdepapperisering i förhållande till vilka instituten är medverkande institut.</w:t>
            </w:r>
            <w:r>
              <w:rPr>
                <w:sz w:val="24"/>
                <w:rFonts w:ascii="Times New Roman" w:hAnsi="Times New Roman"/>
              </w:rPr>
              <w:t xml:space="preserve"> </w:t>
            </w:r>
          </w:p>
          <w:p w14:paraId="4E6EDCAB"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iii) Specialföretag och andra juridiska personer för vilka instituten tillhandahåller värdepapperiseringsrelaterade tjänster, t.ex. rådgivning och tillgångsförvaltning.</w:t>
            </w:r>
            <w:r>
              <w:rPr>
                <w:sz w:val="24"/>
                <w:rFonts w:ascii="Times New Roman" w:hAnsi="Times New Roman"/>
              </w:rPr>
              <w:t xml:space="preserve"> </w:t>
            </w:r>
          </w:p>
          <w:p w14:paraId="0E146032"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iv) Specialföretag för värdepapperisering som ingår i institutens konsolidering enligt tillsynskrav,</w:t>
            </w:r>
          </w:p>
          <w:p w14:paraId="3EBB09FF"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 </w:t>
            </w:r>
            <w:r>
              <w:rPr>
                <w:sz w:val="24"/>
                <w:rFonts w:ascii="Times New Roman" w:hAnsi="Times New Roman"/>
              </w:rPr>
              <w:t xml:space="preserve">i enlighet med artikel 449 d i kapitalkravsförordningen.</w:t>
            </w:r>
          </w:p>
        </w:tc>
      </w:tr>
      <w:tr w:rsidR="007224D6" w:rsidRPr="007F4CC8" w14:paraId="5D90E1F3" w14:textId="77777777" w:rsidTr="004F3087">
        <w:trPr>
          <w:trHeight w:val="316"/>
        </w:trPr>
        <w:tc>
          <w:tcPr>
            <w:tcW w:w="1413" w:type="dxa"/>
          </w:tcPr>
          <w:p w14:paraId="200949CB"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e)</w:t>
            </w:r>
          </w:p>
        </w:tc>
        <w:tc>
          <w:tcPr>
            <w:tcW w:w="7654" w:type="dxa"/>
          </w:tcPr>
          <w:p w14:paraId="1F60BF20"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En förteckning över juridiska personer till vilka instituten enligt den information som de har offentliggjort har gett stöd i enlighet med artikel 449 e i del tre avdelning II kapitel 5 i kapitalkravsförordningen.</w:t>
            </w:r>
          </w:p>
        </w:tc>
      </w:tr>
      <w:tr w:rsidR="007224D6" w:rsidRPr="007F4CC8" w14:paraId="677B55B3" w14:textId="77777777" w:rsidTr="004F3087">
        <w:trPr>
          <w:trHeight w:val="316"/>
        </w:trPr>
        <w:tc>
          <w:tcPr>
            <w:tcW w:w="1413" w:type="dxa"/>
          </w:tcPr>
          <w:p w14:paraId="1A391161"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f)</w:t>
            </w:r>
          </w:p>
        </w:tc>
        <w:tc>
          <w:tcPr>
            <w:tcW w:w="7654" w:type="dxa"/>
          </w:tcPr>
          <w:p w14:paraId="1A5C7182"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En förteckning över juridiska personer som är anknutna till instituten och som investerar i värdepapperiseringar i vilka instituten är originatorer eller i värdepapperiseringspositioner som emitteras av specialföretag för värdepapperisering i förhållande till vilka instituten är medverkande institut, i enlighet med artikel 449 f i kapitalkravsförordningen.</w:t>
            </w:r>
          </w:p>
        </w:tc>
      </w:tr>
      <w:tr w:rsidR="007224D6" w:rsidRPr="007F4CC8" w14:paraId="4006BC7A" w14:textId="77777777" w:rsidTr="004F3087">
        <w:trPr>
          <w:trHeight w:val="316"/>
        </w:trPr>
        <w:tc>
          <w:tcPr>
            <w:tcW w:w="1413" w:type="dxa"/>
          </w:tcPr>
          <w:p w14:paraId="0193AD31"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g)</w:t>
            </w:r>
          </w:p>
        </w:tc>
        <w:tc>
          <w:tcPr>
            <w:tcW w:w="7654" w:type="dxa"/>
          </w:tcPr>
          <w:p w14:paraId="1967D944"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En sammanfattning av institutets redovisningsprinciper för värdepapperiseringsverksamhet, i relevanta fall med åtskillnad mellan värdepapperiserings- och återvärdepapperiseringspositioner, i enlighet med artikel 449 g i kapitalkravsförordningen.</w:t>
            </w:r>
          </w:p>
        </w:tc>
      </w:tr>
      <w:tr w:rsidR="007224D6" w:rsidRPr="007F4CC8" w14:paraId="5039A0B3" w14:textId="77777777" w:rsidTr="004F3087">
        <w:trPr>
          <w:trHeight w:val="316"/>
        </w:trPr>
        <w:tc>
          <w:tcPr>
            <w:tcW w:w="1413" w:type="dxa"/>
          </w:tcPr>
          <w:p w14:paraId="5D797131"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h)</w:t>
            </w:r>
          </w:p>
        </w:tc>
        <w:tc>
          <w:tcPr>
            <w:tcW w:w="7654" w:type="dxa"/>
          </w:tcPr>
          <w:p w14:paraId="16F8574B"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Namnen på de externa ratinginstitut som används vid värdepapperiseringar och de olika slag av exponeringar som de olika instituten används till, i enlighet med artikel 449 h i kapitalkravsförordningen.</w:t>
            </w:r>
          </w:p>
        </w:tc>
      </w:tr>
      <w:tr w:rsidR="007224D6" w:rsidRPr="007F4CC8" w14:paraId="4D6836FD" w14:textId="77777777" w:rsidTr="004F3087">
        <w:trPr>
          <w:trHeight w:val="316"/>
        </w:trPr>
        <w:tc>
          <w:tcPr>
            <w:tcW w:w="1413" w:type="dxa"/>
          </w:tcPr>
          <w:p w14:paraId="4DD6E5AB"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i)</w:t>
            </w:r>
          </w:p>
        </w:tc>
        <w:tc>
          <w:tcPr>
            <w:tcW w:w="7654" w:type="dxa"/>
          </w:tcPr>
          <w:p w14:paraId="4835A783"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 tillämpliga fall en beskrivning av internbedömningsmetoden enligt del tre avdelning II kapitel 5 i kapitalkravsförordningen, inklusive den interna bedömningsprocessens struktur och förhållandet mellan interna bedömningar och det relevanta externa ratinginstitutets externa värderingar som har offentliggjorts i enlighet med led h, kontrollmekanismerna för den interna bedömningsprocessen, med en redogörelse för oberoende och ansvar för och översyn av den interna bedömningsprocessen, vilka typer av exponeringar som internbedömningsmetoden tillämpas på och vilka stressfaktorer som används för att fastställa nivåer för kreditförstärkning, i enlighet med artikel 449 i) i kapitalkravsförordningen.</w:t>
            </w:r>
          </w:p>
        </w:tc>
      </w:tr>
    </w:tbl>
    <w:p w14:paraId="32125F0E" w14:textId="77777777" w:rsidR="007224D6" w:rsidRPr="007F4CC8" w:rsidRDefault="007224D6" w:rsidP="007224D6">
      <w:pPr>
        <w:rPr>
          <w:rFonts w:ascii="Times New Roman" w:hAnsi="Times New Roman" w:cs="Times New Roman"/>
          <w:sz w:val="24"/>
        </w:rPr>
      </w:pPr>
    </w:p>
    <w:p w14:paraId="05D55915" w14:textId="77777777" w:rsidR="007224D6" w:rsidRPr="007F4CC8" w:rsidRDefault="007224D6" w:rsidP="007224D6">
      <w:pPr>
        <w:rPr>
          <w:b/>
          <w:sz w:val="24"/>
          <w:rFonts w:ascii="Times New Roman" w:hAnsi="Times New Roman" w:cs="Times New Roman"/>
        </w:rPr>
      </w:pPr>
      <w:r>
        <w:rPr>
          <w:sz w:val="24"/>
          <w:b/>
          <w:rFonts w:ascii="Times New Roman" w:hAnsi="Times New Roman"/>
        </w:rPr>
        <w:t xml:space="preserve">Mall EU-SEC1 – Värdepapperiseringsexponeringar utanför handelslagret.</w:t>
      </w:r>
      <w:r>
        <w:rPr>
          <w:sz w:val="24"/>
          <w:b/>
          <w:rFonts w:ascii="Times New Roman" w:hAnsi="Times New Roman"/>
        </w:rPr>
        <w:t xml:space="preserve"> </w:t>
      </w:r>
      <w:r>
        <w:rPr>
          <w:sz w:val="24"/>
          <w:rFonts w:ascii="Times New Roman" w:hAnsi="Times New Roman"/>
        </w:rPr>
        <w:t xml:space="preserve">Fast format.</w:t>
      </w:r>
    </w:p>
    <w:p w14:paraId="64C7288F"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Instituten ska offentliggöra den information som avses i artikel 449 j i kapitalkravsförordningen genom att följa de instruktioner som ges nedan i denna bilaga för att fylla i mall EU SEC1, vilken återfinns i bilaga XXVII till denna genomförandeförordning.</w:t>
      </w:r>
      <w:r>
        <w:rPr>
          <w:sz w:val="24"/>
          <w:rFonts w:ascii="Times New Roman" w:hAnsi="Times New Roman"/>
        </w:rPr>
        <w:t xml:space="preserve"> </w:t>
      </w:r>
      <w:r>
        <w:rPr>
          <w:sz w:val="24"/>
          <w:rFonts w:ascii="Times New Roman" w:hAnsi="Times New Roman"/>
        </w:rPr>
        <w:t xml:space="preserve">I den redogörelse som medföljer mallen ska instituten ange om de inom sina traditionella värdepapperiseringar har program för tillgångsbaserade certifikat (ABCP-program) och, om så är fallet, volymen av ABCP-transaktioner.</w:t>
      </w:r>
    </w:p>
    <w:p w14:paraId="476BDD0D"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3A480B2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0C132B"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Rättsliga hänvisningar och instruktioner</w:t>
            </w:r>
          </w:p>
        </w:tc>
      </w:tr>
      <w:tr w:rsidR="007224D6" w:rsidRPr="007F4CC8" w14:paraId="3CC3ED74" w14:textId="77777777" w:rsidTr="004F3087">
        <w:trPr>
          <w:trHeight w:val="238"/>
        </w:trPr>
        <w:tc>
          <w:tcPr>
            <w:tcW w:w="1413" w:type="dxa"/>
            <w:shd w:val="clear" w:color="auto" w:fill="D9D9D9" w:themeFill="background1" w:themeFillShade="D9"/>
          </w:tcPr>
          <w:p w14:paraId="78DF8E6F"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Kolumnreferens</w:t>
            </w:r>
          </w:p>
        </w:tc>
        <w:tc>
          <w:tcPr>
            <w:tcW w:w="7654" w:type="dxa"/>
            <w:shd w:val="clear" w:color="auto" w:fill="D9D9D9" w:themeFill="background1" w:themeFillShade="D9"/>
          </w:tcPr>
          <w:p w14:paraId="336820ED"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7224D6" w:rsidRPr="007F4CC8" w14:paraId="5E88CCC6" w14:textId="77777777" w:rsidTr="004F3087">
        <w:trPr>
          <w:trHeight w:val="316"/>
        </w:trPr>
        <w:tc>
          <w:tcPr>
            <w:tcW w:w="1413" w:type="dxa"/>
          </w:tcPr>
          <w:p w14:paraId="43794E50"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a–g</w:t>
            </w:r>
          </w:p>
        </w:tc>
        <w:tc>
          <w:tcPr>
            <w:tcW w:w="7654" w:type="dxa"/>
          </w:tcPr>
          <w:p w14:paraId="1FBE1E5E"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Institutet fungerar som originator</w:t>
            </w:r>
            <w:r>
              <w:rPr>
                <w:b/>
                <w:sz w:val="24"/>
                <w:rFonts w:ascii="Times New Roman" w:hAnsi="Times New Roman"/>
              </w:rPr>
              <w:t xml:space="preserve"> </w:t>
            </w:r>
          </w:p>
          <w:p w14:paraId="5B9FC4AD"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Om institutet fungerar som originator, i den mening som avses i artikel 4.1.13 i kapitalkravsförordningen, utgör värdepapperiseringsexponeringarna de bibehållna positionerna, även om de inte omfattas av värdepapperiseringsramverket på grund av att det inte förekommer en betydande risköverföring.</w:t>
            </w:r>
            <w:r>
              <w:rPr>
                <w:sz w:val="24"/>
                <w:rFonts w:ascii="Times New Roman" w:hAnsi="Times New Roman"/>
              </w:rPr>
              <w:t xml:space="preserve"> </w:t>
            </w:r>
            <w:r>
              <w:rPr>
                <w:sz w:val="24"/>
                <w:rFonts w:ascii="Times New Roman" w:hAnsi="Times New Roman"/>
              </w:rPr>
              <w:t xml:space="preserve">Värdepapperiseringsexponeringar i transaktioner som har uppnått en betydande risköverföring ska anges separat.</w:t>
            </w:r>
          </w:p>
          <w:p w14:paraId="1B491A75"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Ett institut som är originator ska offentliggöra det bokförda beloppet på dagen för offentliggörandet för alla aktuella värdepapperiseringsexponeringar som institutet innehar i de värdepapperiseringstransaktioner som de har originerat.</w:t>
            </w:r>
            <w:r>
              <w:rPr>
                <w:sz w:val="24"/>
                <w:rFonts w:ascii="Times New Roman" w:hAnsi="Times New Roman"/>
              </w:rPr>
              <w:t xml:space="preserve"> </w:t>
            </w:r>
            <w:r>
              <w:rPr>
                <w:sz w:val="24"/>
                <w:rFonts w:ascii="Times New Roman" w:hAnsi="Times New Roman"/>
              </w:rPr>
              <w:t xml:space="preserve">Detta innebär att instituten även ska offentliggöra värdepapperiseringsexponeringar i balansräkningen (t.ex. obligationer och efterställda lån) såväl som exponeringar utanför balansräkningen och derivat (t.ex. efterställda låneramar, likviditetsfaciliteter, ränteswappar, kreditswappar etc.) i dessa värdepapperiseringar.</w:t>
            </w:r>
          </w:p>
        </w:tc>
      </w:tr>
      <w:tr w:rsidR="007224D6" w:rsidRPr="007F4CC8" w14:paraId="35041A46" w14:textId="77777777" w:rsidTr="004F3087">
        <w:trPr>
          <w:trHeight w:val="316"/>
        </w:trPr>
        <w:tc>
          <w:tcPr>
            <w:tcW w:w="1413" w:type="dxa"/>
          </w:tcPr>
          <w:p w14:paraId="4124B2B4"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h–k</w:t>
            </w:r>
          </w:p>
        </w:tc>
        <w:tc>
          <w:tcPr>
            <w:tcW w:w="7654" w:type="dxa"/>
          </w:tcPr>
          <w:p w14:paraId="37E87703"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Institutet fungerar som medverkande institut</w:t>
            </w:r>
            <w:r>
              <w:rPr>
                <w:b/>
                <w:sz w:val="24"/>
                <w:rFonts w:ascii="Times New Roman" w:hAnsi="Times New Roman"/>
              </w:rPr>
              <w:t xml:space="preserve"> </w:t>
            </w:r>
          </w:p>
          <w:p w14:paraId="6C2A7CD6"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Om institutet fungerar som medverkande institut i den mening som avses i artikel 4.1.14 i kapitalkravsförordningen, ska värdepapperiseringsexponeringarna inbegripa exponeringar för certifikatconduiter för vilka institutet tillhandahåller programövergripande förbättringar, likviditet och andra hjälpmedel.</w:t>
            </w:r>
            <w:r>
              <w:rPr>
                <w:sz w:val="24"/>
                <w:rFonts w:ascii="Times New Roman" w:hAnsi="Times New Roman"/>
              </w:rPr>
              <w:t xml:space="preserve"> </w:t>
            </w:r>
            <w:r>
              <w:rPr>
                <w:sz w:val="24"/>
                <w:rFonts w:ascii="Times New Roman" w:hAnsi="Times New Roman"/>
              </w:rPr>
              <w:t xml:space="preserve">Om institutet fungerar både som originator och medverkande institut ska det undvika dubbelräkning.</w:t>
            </w:r>
            <w:r>
              <w:rPr>
                <w:sz w:val="24"/>
                <w:rFonts w:ascii="Times New Roman" w:hAnsi="Times New Roman"/>
              </w:rPr>
              <w:t xml:space="preserve"> </w:t>
            </w:r>
            <w:r>
              <w:rPr>
                <w:sz w:val="24"/>
                <w:rFonts w:ascii="Times New Roman" w:hAnsi="Times New Roman"/>
              </w:rPr>
              <w:t xml:space="preserve">I detta avseende kan institutet slå ihop de två kolumnerna ”institutet fungerar som originator” och ”institutet fungerar som medverkande institut” och använda kolumnerna ”institutet fungerar som originator/medverkande institut”.</w:t>
            </w:r>
          </w:p>
        </w:tc>
      </w:tr>
      <w:tr w:rsidR="007224D6" w:rsidRPr="007F4CC8" w14:paraId="0EFB5D6C" w14:textId="77777777" w:rsidTr="004F3087">
        <w:trPr>
          <w:trHeight w:val="316"/>
        </w:trPr>
        <w:tc>
          <w:tcPr>
            <w:tcW w:w="1413" w:type="dxa"/>
          </w:tcPr>
          <w:p w14:paraId="7970C512"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l–o</w:t>
            </w:r>
          </w:p>
        </w:tc>
        <w:tc>
          <w:tcPr>
            <w:tcW w:w="7654" w:type="dxa"/>
          </w:tcPr>
          <w:p w14:paraId="764534FA"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Institutet fungerar som investerare</w:t>
            </w:r>
            <w:r>
              <w:rPr>
                <w:b/>
                <w:sz w:val="24"/>
                <w:rFonts w:ascii="Times New Roman" w:hAnsi="Times New Roman"/>
              </w:rPr>
              <w:t xml:space="preserve"> </w:t>
            </w:r>
          </w:p>
          <w:p w14:paraId="580E5B52"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Värdepapperiseringsexponeringar när ”institutet fungerar som investerare” är de investeringspositioner som förvärvats i avtal med tredje part.</w:t>
            </w:r>
          </w:p>
          <w:p w14:paraId="39D24669"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Kapitalkravsförordningen innehåller ingen uttrycklig definition av investerare.</w:t>
            </w:r>
            <w:r>
              <w:rPr>
                <w:sz w:val="24"/>
                <w:rFonts w:ascii="Times New Roman" w:hAnsi="Times New Roman"/>
              </w:rPr>
              <w:t xml:space="preserve"> </w:t>
            </w:r>
            <w:r>
              <w:rPr>
                <w:sz w:val="24"/>
                <w:rFonts w:ascii="Times New Roman" w:hAnsi="Times New Roman"/>
              </w:rPr>
              <w:t xml:space="preserve">Med investerare avses i detta sammanhang ett institut som innehar en värdepapperiseringsposition i en värdepapperiseringstransaktion för vilken det varken är originator eller medverkande institut.</w:t>
            </w:r>
            <w:r>
              <w:rPr>
                <w:sz w:val="24"/>
                <w:rFonts w:ascii="Times New Roman" w:hAnsi="Times New Roman"/>
              </w:rPr>
              <w:t xml:space="preserve"> </w:t>
            </w:r>
          </w:p>
          <w:p w14:paraId="52E3FA04"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Om gruppen av värdepapperiserade exponeringar är en blandning av ovanstående typer av värdepapperiseringspositioner ska institutet ange den mest relevanta typen.</w:t>
            </w:r>
          </w:p>
        </w:tc>
      </w:tr>
      <w:tr w:rsidR="007224D6" w:rsidRPr="007F4CC8" w14:paraId="777E170D" w14:textId="77777777" w:rsidTr="004F3087">
        <w:trPr>
          <w:trHeight w:val="316"/>
        </w:trPr>
        <w:tc>
          <w:tcPr>
            <w:tcW w:w="1413" w:type="dxa"/>
          </w:tcPr>
          <w:p w14:paraId="5C3BB646"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a–d;</w:t>
            </w:r>
            <w:r>
              <w:rPr>
                <w:sz w:val="24"/>
                <w:rFonts w:ascii="Times New Roman" w:hAnsi="Times New Roman"/>
              </w:rPr>
              <w:t xml:space="preserve"> </w:t>
            </w:r>
            <w:r>
              <w:rPr>
                <w:sz w:val="24"/>
                <w:rFonts w:ascii="Times New Roman" w:hAnsi="Times New Roman"/>
              </w:rPr>
              <w:t xml:space="preserve">h, i, l, m</w:t>
            </w:r>
          </w:p>
        </w:tc>
        <w:tc>
          <w:tcPr>
            <w:tcW w:w="7654" w:type="dxa"/>
          </w:tcPr>
          <w:p w14:paraId="79CC848D"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Traditionella transaktioner</w:t>
            </w:r>
            <w:r>
              <w:rPr>
                <w:b/>
                <w:sz w:val="24"/>
                <w:rFonts w:ascii="Times New Roman" w:hAnsi="Times New Roman"/>
              </w:rPr>
              <w:t xml:space="preserve"> </w:t>
            </w:r>
          </w:p>
          <w:p w14:paraId="36060F5B"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 enlighet med artikel 242.13 i kapitalkravsförordningen, jämförd med artikel 2.9 i förordning (EU) 2017/2402</w:t>
            </w:r>
            <w:r w:rsidRPr="007F4CC8">
              <w:rPr>
                <w:rStyle w:val="FootnoteReference"/>
                <w:rFonts w:eastAsia="Times New Roman" w:cs="Times New Roman"/>
                <w:iCs/>
              </w:rPr>
              <w:footnoteReference w:id="2"/>
            </w:r>
            <w:r>
              <w:rPr>
                <w:sz w:val="24"/>
                <w:rFonts w:ascii="Times New Roman" w:hAnsi="Times New Roman"/>
              </w:rPr>
              <w:t xml:space="preserve">, innebär ”traditionell värdepapperisering” en värdepapperisering som medför en överföring av det ekonomiska intresset i de exponeringar som värdepapperiseras.</w:t>
            </w:r>
            <w:r>
              <w:rPr>
                <w:sz w:val="24"/>
                <w:rFonts w:ascii="Times New Roman" w:hAnsi="Times New Roman"/>
              </w:rPr>
              <w:t xml:space="preserve"> </w:t>
            </w:r>
            <w:r>
              <w:rPr>
                <w:sz w:val="24"/>
                <w:rFonts w:ascii="Times New Roman" w:hAnsi="Times New Roman"/>
              </w:rPr>
              <w:t xml:space="preserve">Detta ska ske genom att ägandet av de värdepapperiserade exponeringarna överförs från det institut som är originator till ett specialföretag för värdepapperisering eller genom sekundärt deltagande av ett specialföretag för värdepapperisering.</w:t>
            </w:r>
            <w:r>
              <w:rPr>
                <w:sz w:val="24"/>
                <w:rFonts w:ascii="Times New Roman" w:hAnsi="Times New Roman"/>
              </w:rPr>
              <w:t xml:space="preserve"> </w:t>
            </w:r>
            <w:r>
              <w:rPr>
                <w:sz w:val="24"/>
                <w:rFonts w:ascii="Times New Roman" w:hAnsi="Times New Roman"/>
              </w:rPr>
              <w:t xml:space="preserve">De utgivna värdepapperen medför inte någon betalningsförpliktelse för det institut som är originator.</w:t>
            </w:r>
          </w:p>
          <w:p w14:paraId="2187F2E6"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En originator ska inte beakta traditionella värdepapperiseringar i vilka originatorn inte innehar någon position vid offentliggörandet av denna mall.</w:t>
            </w:r>
            <w:r>
              <w:rPr>
                <w:sz w:val="24"/>
                <w:rFonts w:ascii="Times New Roman" w:hAnsi="Times New Roman"/>
              </w:rPr>
              <w:t xml:space="preserve"> </w:t>
            </w:r>
          </w:p>
        </w:tc>
      </w:tr>
      <w:tr w:rsidR="007224D6" w:rsidRPr="007F4CC8" w14:paraId="0E0CAC17" w14:textId="77777777" w:rsidTr="004F3087">
        <w:trPr>
          <w:trHeight w:val="316"/>
        </w:trPr>
        <w:tc>
          <w:tcPr>
            <w:tcW w:w="1413" w:type="dxa"/>
          </w:tcPr>
          <w:p w14:paraId="3B474216"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e, f, j, n</w:t>
            </w:r>
          </w:p>
        </w:tc>
        <w:tc>
          <w:tcPr>
            <w:tcW w:w="7654" w:type="dxa"/>
          </w:tcPr>
          <w:p w14:paraId="37BF2347"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Syntetiska transaktioner</w:t>
            </w:r>
            <w:r>
              <w:rPr>
                <w:b/>
                <w:sz w:val="24"/>
                <w:rFonts w:ascii="Times New Roman" w:hAnsi="Times New Roman"/>
              </w:rPr>
              <w:t xml:space="preserve"> </w:t>
            </w:r>
          </w:p>
          <w:p w14:paraId="3AB93A1A"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 enlighet med artikel 242.14 i kapitalkravsförordningen, jämförd med artikel 2.10 i förordning (EU) 2017/2402, innebär ”syntetisk värdepapperisering” en värdepapperisering där överföringen av risken åstadkoms genom användningen av kreditderivat eller garantier, och de exponeringar som värdepapperiseras förblir originatorinstitutets exponeringar.</w:t>
            </w:r>
          </w:p>
          <w:p w14:paraId="6EF6D314"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Om institutet har köpt skydd ska det offentliggöra det nettoexponeringsbelopp för vilket det är exponerat och som inte är föremål för det inköpta skyddet i kolumnerna för originator/medverkande institut (dvs. det belopp som inte är säkrat) i denna mall.</w:t>
            </w:r>
            <w:r>
              <w:rPr>
                <w:sz w:val="24"/>
                <w:rFonts w:ascii="Times New Roman" w:hAnsi="Times New Roman"/>
              </w:rPr>
              <w:t xml:space="preserve"> </w:t>
            </w:r>
            <w:r>
              <w:rPr>
                <w:sz w:val="24"/>
                <w:rFonts w:ascii="Times New Roman" w:hAnsi="Times New Roman"/>
              </w:rPr>
              <w:t xml:space="preserve">Om institutet har sålt skydd ska kreditskyddets exponeringsbelopp offentliggöras i kolumnen ”investerare” i denna mall.</w:t>
            </w:r>
            <w:r>
              <w:rPr>
                <w:sz w:val="24"/>
                <w:rFonts w:ascii="Times New Roman" w:hAnsi="Times New Roman"/>
              </w:rPr>
              <w:t xml:space="preserve"> </w:t>
            </w:r>
          </w:p>
        </w:tc>
      </w:tr>
      <w:tr w:rsidR="007224D6" w:rsidRPr="007F4CC8" w14:paraId="725A37BE" w14:textId="77777777" w:rsidTr="004F3087">
        <w:trPr>
          <w:trHeight w:val="316"/>
        </w:trPr>
        <w:tc>
          <w:tcPr>
            <w:tcW w:w="1413" w:type="dxa"/>
          </w:tcPr>
          <w:p w14:paraId="1732B1B8"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 b, h, l,</w:t>
            </w:r>
          </w:p>
        </w:tc>
        <w:tc>
          <w:tcPr>
            <w:tcW w:w="7654" w:type="dxa"/>
          </w:tcPr>
          <w:p w14:paraId="0ED89EA3"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STS-exponering</w:t>
            </w:r>
            <w:r>
              <w:rPr>
                <w:b/>
                <w:sz w:val="24"/>
                <w:rFonts w:ascii="Times New Roman" w:hAnsi="Times New Roman"/>
              </w:rPr>
              <w:t xml:space="preserve"> </w:t>
            </w:r>
          </w:p>
          <w:p w14:paraId="274A8EEF" w14:textId="77777777" w:rsidR="007224D6" w:rsidRPr="007F4CC8" w:rsidRDefault="007224D6" w:rsidP="004F3087">
            <w:pPr>
              <w:autoSpaceDE w:val="0"/>
              <w:autoSpaceDN w:val="0"/>
              <w:adjustRightInd w:val="0"/>
              <w:spacing w:before="120" w:after="120"/>
              <w:jc w:val="both"/>
              <w:rPr>
                <w:sz w:val="24"/>
                <w:rFonts w:ascii="Times New Roman" w:hAnsi="Times New Roman"/>
              </w:rPr>
            </w:pPr>
            <w:r>
              <w:rPr>
                <w:sz w:val="24"/>
                <w:rFonts w:ascii="Times New Roman" w:hAnsi="Times New Roman"/>
              </w:rPr>
              <w:t xml:space="preserve">Totalt belopp av STS-värdepapperiseringspositioner i enlighet med de kriterier som fastställs i artiklarna 18–26 i förordning (EU) 2017/2402</w:t>
            </w:r>
          </w:p>
        </w:tc>
      </w:tr>
      <w:tr w:rsidR="007224D6" w:rsidRPr="007F4CC8" w14:paraId="7FC9CC77" w14:textId="77777777" w:rsidTr="004F3087">
        <w:trPr>
          <w:trHeight w:val="316"/>
        </w:trPr>
        <w:tc>
          <w:tcPr>
            <w:tcW w:w="1413" w:type="dxa"/>
          </w:tcPr>
          <w:p w14:paraId="0A197AD3"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b, d, f</w:t>
            </w:r>
          </w:p>
        </w:tc>
        <w:tc>
          <w:tcPr>
            <w:tcW w:w="7654" w:type="dxa"/>
          </w:tcPr>
          <w:p w14:paraId="0E899B71"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SRT-exponering</w:t>
            </w:r>
            <w:r>
              <w:rPr>
                <w:b/>
                <w:sz w:val="24"/>
                <w:rFonts w:ascii="Times New Roman" w:hAnsi="Times New Roman"/>
              </w:rPr>
              <w:t xml:space="preserve"> </w:t>
            </w:r>
          </w:p>
          <w:p w14:paraId="501CE6A9"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Totalt belopp av värdepapperiseringspositioner rörande vilka originatorinstitutet har åstadkommit en betydande risköverföring i enlighet med artikel 244 (traditionell värdepapperisering) och artikel 245 (syntetisk värdepapperisering) i kapitalkravsförordningen</w:t>
            </w:r>
          </w:p>
        </w:tc>
      </w:tr>
    </w:tbl>
    <w:p w14:paraId="7BB5E0B8" w14:textId="77777777" w:rsidR="007224D6" w:rsidRPr="007F4CC8" w:rsidRDefault="007224D6" w:rsidP="007224D6">
      <w:pPr>
        <w:rPr>
          <w:rFonts w:ascii="Times New Roman" w:hAnsi="Times New Roman" w:cs="Times New Roman"/>
          <w:sz w:val="24"/>
        </w:rPr>
      </w:pPr>
    </w:p>
    <w:p w14:paraId="0B7AFDD7" w14:textId="77777777" w:rsidR="007224D6" w:rsidRPr="007F4CC8" w:rsidRDefault="007224D6" w:rsidP="007224D6">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24D6" w:rsidRPr="007F4CC8" w14:paraId="385FAD6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8D27D"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Rättsliga hänvisningar och instruktioner</w:t>
            </w:r>
          </w:p>
        </w:tc>
      </w:tr>
      <w:tr w:rsidR="007224D6" w:rsidRPr="007F4CC8" w14:paraId="46FA4103" w14:textId="77777777" w:rsidTr="004F3087">
        <w:trPr>
          <w:trHeight w:val="238"/>
        </w:trPr>
        <w:tc>
          <w:tcPr>
            <w:tcW w:w="1384" w:type="dxa"/>
            <w:shd w:val="clear" w:color="auto" w:fill="D9D9D9" w:themeFill="background1" w:themeFillShade="D9"/>
          </w:tcPr>
          <w:p w14:paraId="498CE1EC"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3CC404D5"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7224D6" w:rsidRPr="007F4CC8" w14:paraId="5AA33C1E" w14:textId="77777777" w:rsidTr="004F3087">
        <w:trPr>
          <w:trHeight w:val="2195"/>
        </w:trPr>
        <w:tc>
          <w:tcPr>
            <w:tcW w:w="1384" w:type="dxa"/>
          </w:tcPr>
          <w:p w14:paraId="099CDD92" w14:textId="77777777" w:rsidR="007224D6" w:rsidRPr="007F4CC8" w:rsidRDefault="007224D6" w:rsidP="004F3087">
            <w:pPr>
              <w:pStyle w:val="Applicationdirecte"/>
              <w:spacing w:before="120"/>
              <w:jc w:val="center"/>
              <w:rPr>
                <w:highlight w:val="yellow"/>
              </w:rPr>
            </w:pPr>
            <w:r>
              <w:t xml:space="preserve">06, 12</w:t>
            </w:r>
          </w:p>
        </w:tc>
        <w:tc>
          <w:tcPr>
            <w:tcW w:w="7655" w:type="dxa"/>
          </w:tcPr>
          <w:p w14:paraId="61ECD678" w14:textId="77777777" w:rsidR="007224D6" w:rsidRPr="007F4CC8" w:rsidRDefault="007224D6" w:rsidP="004F3087">
            <w:pPr>
              <w:jc w:val="both"/>
              <w:rPr>
                <w:b/>
                <w:sz w:val="24"/>
                <w:rFonts w:ascii="Times New Roman" w:hAnsi="Times New Roman" w:cs="Times New Roman"/>
              </w:rPr>
            </w:pPr>
            <w:r>
              <w:rPr>
                <w:b/>
                <w:sz w:val="24"/>
                <w:rFonts w:ascii="Times New Roman" w:hAnsi="Times New Roman"/>
              </w:rPr>
              <w:t xml:space="preserve">Återvärdepapperisering</w:t>
            </w:r>
          </w:p>
          <w:p w14:paraId="55ECAEC8"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Totalt belopp av utestående återvärdepapperiseringspositioner i enlighet med definitionerna i artikel 4.1.63 och 4.1.64 i kapitalkravsförordningen</w:t>
            </w:r>
          </w:p>
          <w:p w14:paraId="73FA0BCA" w14:textId="77777777" w:rsidR="007224D6" w:rsidRPr="007F4CC8" w:rsidRDefault="007224D6" w:rsidP="004F3087">
            <w:pPr>
              <w:jc w:val="both"/>
              <w:rPr>
                <w:sz w:val="24"/>
                <w:highlight w:val="yellow"/>
                <w:rFonts w:ascii="Times New Roman" w:hAnsi="Times New Roman" w:cs="Times New Roman"/>
              </w:rPr>
            </w:pPr>
            <w:r>
              <w:rPr>
                <w:sz w:val="24"/>
                <w:rFonts w:ascii="Times New Roman" w:hAnsi="Times New Roman"/>
              </w:rPr>
              <w:t xml:space="preserve">Alla värdepapperiseringsexponeringar som avser återvärdepapperiseringar ska anges i raderna ”återvärdepapperisering” och inte i föregående rader (per typ av underliggande tillgång), vilka endast innehåller andra värdepapperiseringsexponeringar än återvärdepapperiseringar.</w:t>
            </w:r>
          </w:p>
        </w:tc>
      </w:tr>
    </w:tbl>
    <w:p w14:paraId="43462EEE" w14:textId="77777777" w:rsidR="007224D6" w:rsidRPr="007F4CC8" w:rsidRDefault="007224D6" w:rsidP="007224D6">
      <w:pPr>
        <w:rPr>
          <w:rFonts w:ascii="Times New Roman" w:hAnsi="Times New Roman" w:cs="Times New Roman"/>
          <w:sz w:val="24"/>
        </w:rPr>
      </w:pPr>
    </w:p>
    <w:p w14:paraId="768326BE" w14:textId="77777777" w:rsidR="007224D6" w:rsidRPr="007F4CC8" w:rsidRDefault="007224D6" w:rsidP="007224D6">
      <w:pPr>
        <w:rPr>
          <w:rFonts w:ascii="Times New Roman" w:hAnsi="Times New Roman" w:cs="Times New Roman"/>
          <w:sz w:val="24"/>
        </w:rPr>
      </w:pPr>
    </w:p>
    <w:p w14:paraId="20722F67" w14:textId="77777777" w:rsidR="007224D6" w:rsidRPr="007F4CC8" w:rsidRDefault="007224D6" w:rsidP="007224D6">
      <w:pPr>
        <w:rPr>
          <w:sz w:val="24"/>
          <w:rFonts w:ascii="Times New Roman" w:hAnsi="Times New Roman" w:cs="Times New Roman"/>
        </w:rPr>
      </w:pPr>
      <w:r>
        <w:rPr>
          <w:sz w:val="24"/>
          <w:b/>
          <w:rFonts w:ascii="Times New Roman" w:hAnsi="Times New Roman"/>
        </w:rPr>
        <w:t xml:space="preserve">Mall EU SEC2 – Värdepapperiseringsexponeringar i handelslagret.</w:t>
      </w:r>
      <w:r>
        <w:rPr>
          <w:sz w:val="24"/>
          <w:b/>
          <w:rFonts w:ascii="Times New Roman" w:hAnsi="Times New Roman"/>
        </w:rPr>
        <w:t xml:space="preserve"> </w:t>
      </w:r>
      <w:r>
        <w:rPr>
          <w:sz w:val="24"/>
          <w:rFonts w:ascii="Times New Roman" w:hAnsi="Times New Roman"/>
        </w:rPr>
        <w:t xml:space="preserve">Fast format.</w:t>
      </w:r>
    </w:p>
    <w:p w14:paraId="579136F1"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Instituten ska offentliggöra den information som avses i artikel 449 j i kapitalkravsförordningen genom att följa de instruktioner som ges nedan i denna bilaga för att fylla i mall EU SEC2, vilken återfinns i bilaga XXVII till denna genomförandeförordning.</w:t>
      </w:r>
    </w:p>
    <w:p w14:paraId="78F5A20D"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Instituten hänvisas till instruktionerna till mall EU SEC1 – Värdepapperiseringsexponeringar utanför handelslagret.</w:t>
      </w:r>
    </w:p>
    <w:p w14:paraId="0256B926" w14:textId="77777777" w:rsidR="007224D6" w:rsidRPr="007F4CC8" w:rsidRDefault="007224D6" w:rsidP="007224D6">
      <w:pPr>
        <w:rPr>
          <w:rFonts w:ascii="Times New Roman" w:hAnsi="Times New Roman" w:cs="Times New Roman"/>
          <w:sz w:val="24"/>
        </w:rPr>
      </w:pPr>
    </w:p>
    <w:p w14:paraId="540993FC" w14:textId="77777777" w:rsidR="007224D6" w:rsidRPr="007F4CC8" w:rsidRDefault="007224D6" w:rsidP="007224D6">
      <w:pPr>
        <w:rPr>
          <w:sz w:val="24"/>
          <w:rFonts w:ascii="Times New Roman" w:hAnsi="Times New Roman" w:cs="Times New Roman"/>
        </w:rPr>
      </w:pPr>
      <w:r>
        <w:rPr>
          <w:sz w:val="24"/>
          <w:b/>
          <w:rFonts w:ascii="Times New Roman" w:hAnsi="Times New Roman"/>
        </w:rPr>
        <w:t xml:space="preserve">Mall EU SEC3 – Värdepapperiseringsexponeringar utanför handelslagret och därmed förknippade lagstadgade kapitalkrav – institutet fungerar som originator eller medverkande institut.</w:t>
      </w:r>
      <w:r>
        <w:rPr>
          <w:sz w:val="24"/>
          <w:b/>
          <w:rFonts w:ascii="Times New Roman" w:hAnsi="Times New Roman"/>
        </w:rPr>
        <w:t xml:space="preserve"> </w:t>
      </w:r>
      <w:r>
        <w:rPr>
          <w:sz w:val="24"/>
          <w:rFonts w:ascii="Times New Roman" w:hAnsi="Times New Roman"/>
        </w:rPr>
        <w:t xml:space="preserve">Fast format.</w:t>
      </w:r>
    </w:p>
    <w:p w14:paraId="0E7F18B2"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Instituten ska offentliggöra den information som avses artikel 449 k i) i kapitalkravsförordningen genom att följa de instruktioner som ges nedan i denna bilaga för att fylla i mall EU SEC3, vilken återfinns i bilaga XXVII till denna genomförandeförordning.</w:t>
      </w:r>
      <w:r>
        <w:rPr>
          <w:sz w:val="24"/>
          <w:rFonts w:ascii="Times New Roman" w:hAnsi="Times New Roman"/>
        </w:rPr>
        <w:t xml:space="preserve"> </w:t>
      </w:r>
    </w:p>
    <w:p w14:paraId="3CE32F98"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57E88CEA"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5A645"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Rättsliga hänvisningar och instruktioner</w:t>
            </w:r>
          </w:p>
        </w:tc>
      </w:tr>
      <w:tr w:rsidR="007224D6" w:rsidRPr="007F4CC8" w14:paraId="6F605FD4" w14:textId="77777777" w:rsidTr="004F3087">
        <w:trPr>
          <w:trHeight w:val="741"/>
        </w:trPr>
        <w:tc>
          <w:tcPr>
            <w:tcW w:w="1413" w:type="dxa"/>
            <w:shd w:val="clear" w:color="auto" w:fill="D9D9D9" w:themeFill="background1" w:themeFillShade="D9"/>
          </w:tcPr>
          <w:p w14:paraId="0F72E3EC"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Kolumnreferens</w:t>
            </w:r>
          </w:p>
        </w:tc>
        <w:tc>
          <w:tcPr>
            <w:tcW w:w="7654" w:type="dxa"/>
            <w:shd w:val="clear" w:color="auto" w:fill="D9D9D9" w:themeFill="background1" w:themeFillShade="D9"/>
          </w:tcPr>
          <w:p w14:paraId="459E9253"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7224D6" w:rsidRPr="007F4CC8" w14:paraId="35C8FF5E" w14:textId="77777777" w:rsidTr="004F3087">
        <w:trPr>
          <w:trHeight w:val="741"/>
        </w:trPr>
        <w:tc>
          <w:tcPr>
            <w:tcW w:w="1413" w:type="dxa"/>
            <w:shd w:val="clear" w:color="auto" w:fill="auto"/>
          </w:tcPr>
          <w:p w14:paraId="5F493483"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a–d</w:t>
            </w:r>
          </w:p>
        </w:tc>
        <w:tc>
          <w:tcPr>
            <w:tcW w:w="7654" w:type="dxa"/>
            <w:shd w:val="clear" w:color="auto" w:fill="auto"/>
          </w:tcPr>
          <w:p w14:paraId="16706008"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Exponeringsvärden (efter riskviktintervaller/avdrag)</w:t>
            </w:r>
          </w:p>
          <w:p w14:paraId="7020CF98"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De värden som ska offentliggöras i kolumnerna a–d i denna mall med avseende på lagstadgade riskvikter ska fastställas i enlighet med del tre avdelning II kapitel 5 i kapitalkravsförordningen.</w:t>
            </w:r>
          </w:p>
        </w:tc>
      </w:tr>
      <w:tr w:rsidR="007224D6" w:rsidRPr="007F4CC8" w14:paraId="426E0B6D" w14:textId="77777777" w:rsidTr="004F3087">
        <w:trPr>
          <w:trHeight w:val="741"/>
        </w:trPr>
        <w:tc>
          <w:tcPr>
            <w:tcW w:w="1413" w:type="dxa"/>
            <w:shd w:val="clear" w:color="auto" w:fill="auto"/>
          </w:tcPr>
          <w:p w14:paraId="7AF98A71"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f–h</w:t>
            </w:r>
          </w:p>
        </w:tc>
        <w:tc>
          <w:tcPr>
            <w:tcW w:w="7654" w:type="dxa"/>
            <w:shd w:val="clear" w:color="auto" w:fill="auto"/>
          </w:tcPr>
          <w:p w14:paraId="52411453"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Exponeringsvärden (efter regleringsmetod)</w:t>
            </w:r>
          </w:p>
          <w:p w14:paraId="25B596FC"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Kolumnerna f–h i denna mall som motsvarar den regleringsmetod som används i enlighet med den rangordning av metoder som anges i artikel 254 i kapitalkravsförordningen</w:t>
            </w:r>
          </w:p>
        </w:tc>
      </w:tr>
      <w:tr w:rsidR="007224D6" w:rsidRPr="007F4CC8" w14:paraId="0B4A4DEE" w14:textId="77777777" w:rsidTr="004F3087">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12B93230"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j, k, l</w:t>
            </w:r>
          </w:p>
        </w:tc>
        <w:tc>
          <w:tcPr>
            <w:tcW w:w="7654" w:type="dxa"/>
            <w:tcBorders>
              <w:top w:val="single" w:sz="4" w:space="0" w:color="auto"/>
              <w:left w:val="single" w:sz="4" w:space="0" w:color="auto"/>
              <w:bottom w:val="single" w:sz="4" w:space="0" w:color="auto"/>
              <w:right w:val="single" w:sz="4" w:space="0" w:color="auto"/>
            </w:tcBorders>
            <w:hideMark/>
          </w:tcPr>
          <w:p w14:paraId="65C709E4"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Riskvägt exponeringsbelopp (efter regleringsmetod)</w:t>
            </w:r>
          </w:p>
          <w:p w14:paraId="1FD36159"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Riskvägt exponeringsbelopp efter regleringsmetod i enlighet med del tre avdelning II kapitel 5 i kapitalkravsförordningen före tillämpning av taket</w:t>
            </w:r>
          </w:p>
        </w:tc>
      </w:tr>
      <w:tr w:rsidR="007224D6" w:rsidRPr="007F4CC8" w14:paraId="598552BF" w14:textId="77777777" w:rsidTr="004F3087">
        <w:trPr>
          <w:trHeight w:val="741"/>
        </w:trPr>
        <w:tc>
          <w:tcPr>
            <w:tcW w:w="1413" w:type="dxa"/>
            <w:shd w:val="clear" w:color="auto" w:fill="auto"/>
          </w:tcPr>
          <w:p w14:paraId="3C9C5896"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n till EU-p</w:t>
            </w:r>
          </w:p>
        </w:tc>
        <w:tc>
          <w:tcPr>
            <w:tcW w:w="7654" w:type="dxa"/>
            <w:shd w:val="clear" w:color="auto" w:fill="auto"/>
          </w:tcPr>
          <w:p w14:paraId="54FF4403"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Kapitakrav efter tillämpning av taket</w:t>
            </w:r>
          </w:p>
          <w:p w14:paraId="5FE118E7"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Dessa kolumner avser kapitalkrav efter tillämpning av taket i enlighet med artiklarna 267 och 268 kapitalkravsförordningen.</w:t>
            </w:r>
          </w:p>
        </w:tc>
      </w:tr>
      <w:tr w:rsidR="007224D6" w:rsidRPr="007F4CC8" w14:paraId="13491AE9" w14:textId="77777777" w:rsidTr="004F3087">
        <w:trPr>
          <w:trHeight w:val="741"/>
        </w:trPr>
        <w:tc>
          <w:tcPr>
            <w:tcW w:w="1413" w:type="dxa"/>
            <w:shd w:val="clear" w:color="auto" w:fill="auto"/>
          </w:tcPr>
          <w:p w14:paraId="6AC45AC0"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e, i, m, EU-q</w:t>
            </w:r>
          </w:p>
        </w:tc>
        <w:tc>
          <w:tcPr>
            <w:tcW w:w="7654" w:type="dxa"/>
            <w:shd w:val="clear" w:color="auto" w:fill="auto"/>
          </w:tcPr>
          <w:p w14:paraId="09DA7123"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1 250 % riskvikt/avdrag</w:t>
            </w:r>
          </w:p>
          <w:p w14:paraId="1C330915"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Kolumnerna avser poster</w:t>
            </w:r>
          </w:p>
          <w:p w14:paraId="6CF03B66" w14:textId="77777777" w:rsidR="007224D6" w:rsidRPr="007F4CC8" w:rsidRDefault="007224D6" w:rsidP="007224D6">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som är föremål för en riskvikt på 1 250 % eller dras av i enlighet med del tre avdelning II kapitel 5 i kapitalkravsförordningen,</w:t>
            </w:r>
          </w:p>
          <w:p w14:paraId="5723B0EA" w14:textId="77777777" w:rsidR="007224D6" w:rsidRPr="007F4CC8" w:rsidRDefault="007224D6" w:rsidP="007224D6">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som är föremål för en riskvikt på 1 250 % eller dras av i enlighet med artikel 244.1 b och artikel 245.1 b i kapitalkravsförordningen,</w:t>
            </w:r>
          </w:p>
          <w:p w14:paraId="0F46DA67" w14:textId="77777777" w:rsidR="007224D6" w:rsidRPr="007F4CC8" w:rsidRDefault="007224D6" w:rsidP="007224D6">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som är föremål för en riskvikt på 1 250 % i enlighet med artikel 254.7 i kapitalkravsförordningen,</w:t>
            </w:r>
          </w:p>
          <w:p w14:paraId="2C354948" w14:textId="77777777" w:rsidR="007224D6" w:rsidRPr="007F4CC8" w:rsidRDefault="007224D6" w:rsidP="007224D6">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eller dras av i enlighet med artikel 253 i kapitalkravsförordningen.</w:t>
            </w:r>
            <w:r>
              <w:rPr>
                <w:sz w:val="24"/>
                <w:rFonts w:ascii="Times New Roman" w:hAnsi="Times New Roman"/>
              </w:rPr>
              <w:t xml:space="preserve"> </w:t>
            </w:r>
          </w:p>
        </w:tc>
      </w:tr>
    </w:tbl>
    <w:p w14:paraId="769A289E" w14:textId="77777777" w:rsidR="007224D6" w:rsidRPr="007F4CC8" w:rsidRDefault="007224D6" w:rsidP="007224D6">
      <w:pPr>
        <w:rPr>
          <w:rFonts w:ascii="Times New Roman" w:hAnsi="Times New Roman" w:cs="Times New Roman"/>
          <w:sz w:val="24"/>
        </w:rPr>
      </w:pPr>
    </w:p>
    <w:p w14:paraId="13153CA6"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77D21661"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C45A89"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Rättsliga hänvisningar och instruktioner</w:t>
            </w:r>
          </w:p>
        </w:tc>
      </w:tr>
      <w:tr w:rsidR="007224D6" w:rsidRPr="007F4CC8" w14:paraId="4037F505" w14:textId="77777777" w:rsidTr="004F3087">
        <w:trPr>
          <w:trHeight w:val="741"/>
        </w:trPr>
        <w:tc>
          <w:tcPr>
            <w:tcW w:w="1413" w:type="dxa"/>
            <w:shd w:val="clear" w:color="auto" w:fill="D9D9D9" w:themeFill="background1" w:themeFillShade="D9"/>
          </w:tcPr>
          <w:p w14:paraId="51B1748F"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4" w:type="dxa"/>
            <w:shd w:val="clear" w:color="auto" w:fill="D9D9D9" w:themeFill="background1" w:themeFillShade="D9"/>
          </w:tcPr>
          <w:p w14:paraId="1FD16C64"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7224D6" w:rsidRPr="007F4CC8" w14:paraId="6DE32E56" w14:textId="77777777" w:rsidTr="004F3087">
        <w:trPr>
          <w:trHeight w:val="741"/>
        </w:trPr>
        <w:tc>
          <w:tcPr>
            <w:tcW w:w="1413" w:type="dxa"/>
            <w:shd w:val="clear" w:color="auto" w:fill="auto"/>
          </w:tcPr>
          <w:p w14:paraId="3DBF9F9A"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1</w:t>
            </w:r>
          </w:p>
        </w:tc>
        <w:tc>
          <w:tcPr>
            <w:tcW w:w="7654" w:type="dxa"/>
            <w:shd w:val="clear" w:color="auto" w:fill="auto"/>
          </w:tcPr>
          <w:p w14:paraId="7B5AA82A"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Summa exponeringar</w:t>
            </w:r>
            <w:r>
              <w:rPr>
                <w:b/>
                <w:sz w:val="24"/>
                <w:rFonts w:ascii="Times New Roman" w:hAnsi="Times New Roman"/>
              </w:rPr>
              <w:t xml:space="preserve"> </w:t>
            </w:r>
          </w:p>
          <w:p w14:paraId="5FF24F90"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Summa exponeringar ska avse det totala beloppet för positioner i värdepapperisering och återvärdepapperisering som innehas av ett institut som fungerar som originator eller medverkande institut.</w:t>
            </w:r>
            <w:r>
              <w:rPr>
                <w:sz w:val="24"/>
                <w:rFonts w:ascii="Times New Roman" w:hAnsi="Times New Roman"/>
              </w:rPr>
              <w:t xml:space="preserve"> </w:t>
            </w:r>
            <w:r>
              <w:rPr>
                <w:sz w:val="24"/>
                <w:rFonts w:ascii="Times New Roman" w:hAnsi="Times New Roman"/>
              </w:rPr>
              <w:t xml:space="preserve">Denna rad ska innehålla en sammanfattning av den information om traditionell och syntetisk värdepapperisering som offentliggörs av originatorerna och de medverkande instituten i därpå följande rader.</w:t>
            </w:r>
          </w:p>
        </w:tc>
      </w:tr>
      <w:tr w:rsidR="007224D6" w:rsidRPr="007F4CC8" w14:paraId="0499F544" w14:textId="77777777" w:rsidTr="004F3087">
        <w:trPr>
          <w:trHeight w:val="741"/>
        </w:trPr>
        <w:tc>
          <w:tcPr>
            <w:tcW w:w="1413" w:type="dxa"/>
            <w:shd w:val="clear" w:color="auto" w:fill="auto"/>
          </w:tcPr>
          <w:p w14:paraId="3F759014"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2</w:t>
            </w:r>
          </w:p>
        </w:tc>
        <w:tc>
          <w:tcPr>
            <w:tcW w:w="7654" w:type="dxa"/>
            <w:shd w:val="clear" w:color="auto" w:fill="auto"/>
          </w:tcPr>
          <w:p w14:paraId="1C252C67"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Traditionella transaktioner</w:t>
            </w:r>
            <w:r>
              <w:rPr>
                <w:b/>
                <w:sz w:val="24"/>
                <w:rFonts w:ascii="Times New Roman" w:hAnsi="Times New Roman"/>
              </w:rPr>
              <w:t xml:space="preserve"> </w:t>
            </w:r>
          </w:p>
          <w:p w14:paraId="59253CCA"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Se förklaringen för mall EU SEC1.</w:t>
            </w:r>
          </w:p>
        </w:tc>
      </w:tr>
      <w:tr w:rsidR="007224D6" w:rsidRPr="007F4CC8" w14:paraId="237202AE" w14:textId="77777777" w:rsidTr="004F3087">
        <w:trPr>
          <w:trHeight w:val="316"/>
        </w:trPr>
        <w:tc>
          <w:tcPr>
            <w:tcW w:w="1413" w:type="dxa"/>
          </w:tcPr>
          <w:p w14:paraId="2162EA0D"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3, 10</w:t>
            </w:r>
          </w:p>
        </w:tc>
        <w:tc>
          <w:tcPr>
            <w:tcW w:w="7654" w:type="dxa"/>
          </w:tcPr>
          <w:p w14:paraId="6AB9BEF9"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Värdepapperisering</w:t>
            </w:r>
            <w:r>
              <w:rPr>
                <w:b/>
                <w:sz w:val="24"/>
                <w:rFonts w:ascii="Times New Roman" w:hAnsi="Times New Roman"/>
              </w:rPr>
              <w:t xml:space="preserve"> </w:t>
            </w:r>
          </w:p>
          <w:p w14:paraId="72E056E2" w14:textId="77777777" w:rsidR="007224D6" w:rsidRPr="007F4CC8" w:rsidRDefault="007224D6" w:rsidP="004F3087">
            <w:pPr>
              <w:jc w:val="both"/>
              <w:rPr>
                <w:sz w:val="24"/>
                <w:rFonts w:ascii="Times New Roman" w:hAnsi="Times New Roman" w:cs="Times New Roman"/>
              </w:rPr>
            </w:pPr>
            <w:r>
              <w:rPr>
                <w:sz w:val="24"/>
                <w:rFonts w:ascii="Times New Roman" w:hAnsi="Times New Roman"/>
              </w:rPr>
              <w:t xml:space="preserve">Det totala beloppet av utestående värdepapperiseringspositioner, enligt definitionen i artikel 4.1.62 i kapitalkravsförordningen, som inte är positioner i återvärdepapperisering enligt definitionen i artikel 4.1.64 i kapitalkravsförordningen.</w:t>
            </w:r>
          </w:p>
        </w:tc>
      </w:tr>
      <w:tr w:rsidR="007224D6" w:rsidRPr="007F4CC8" w14:paraId="230D6463" w14:textId="77777777" w:rsidTr="004F3087">
        <w:trPr>
          <w:trHeight w:val="316"/>
        </w:trPr>
        <w:tc>
          <w:tcPr>
            <w:tcW w:w="1413" w:type="dxa"/>
          </w:tcPr>
          <w:p w14:paraId="67DD9A4F"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5, 7</w:t>
            </w:r>
          </w:p>
        </w:tc>
        <w:tc>
          <w:tcPr>
            <w:tcW w:w="7654" w:type="dxa"/>
          </w:tcPr>
          <w:p w14:paraId="3B75C561" w14:textId="77777777" w:rsidR="007224D6" w:rsidRPr="007F4CC8" w:rsidRDefault="007224D6" w:rsidP="004F3087">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STS</w:t>
            </w:r>
            <w:r>
              <w:rPr>
                <w:b/>
                <w:sz w:val="24"/>
                <w:rFonts w:ascii="Times New Roman" w:hAnsi="Times New Roman"/>
              </w:rPr>
              <w:t xml:space="preserve"> </w:t>
            </w:r>
          </w:p>
          <w:p w14:paraId="3021FDAB" w14:textId="77777777" w:rsidR="007224D6" w:rsidRPr="007F4CC8" w:rsidRDefault="007224D6" w:rsidP="004F3087">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Se förklaringen för mall EU SEC1.</w:t>
            </w:r>
          </w:p>
        </w:tc>
      </w:tr>
      <w:tr w:rsidR="007224D6" w:rsidRPr="007F4CC8" w14:paraId="08C30F8C" w14:textId="77777777" w:rsidTr="004F3087">
        <w:trPr>
          <w:trHeight w:val="316"/>
        </w:trPr>
        <w:tc>
          <w:tcPr>
            <w:tcW w:w="1413" w:type="dxa"/>
          </w:tcPr>
          <w:p w14:paraId="53D0E695"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8, 13</w:t>
            </w:r>
          </w:p>
        </w:tc>
        <w:tc>
          <w:tcPr>
            <w:tcW w:w="7654" w:type="dxa"/>
          </w:tcPr>
          <w:p w14:paraId="102AB9F3" w14:textId="77777777" w:rsidR="007224D6" w:rsidRPr="007F4CC8" w:rsidRDefault="007224D6" w:rsidP="004F3087">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Återvärdepapperisering</w:t>
            </w:r>
          </w:p>
          <w:p w14:paraId="522C4E42" w14:textId="77777777" w:rsidR="007224D6" w:rsidRPr="007F4CC8" w:rsidRDefault="007224D6" w:rsidP="004F3087">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Se förklaringen för mall EU SEC1.</w:t>
            </w:r>
          </w:p>
        </w:tc>
      </w:tr>
      <w:tr w:rsidR="007224D6" w:rsidRPr="007F4CC8" w14:paraId="45609F4B" w14:textId="77777777" w:rsidTr="004F3087">
        <w:trPr>
          <w:trHeight w:val="316"/>
        </w:trPr>
        <w:tc>
          <w:tcPr>
            <w:tcW w:w="1413" w:type="dxa"/>
          </w:tcPr>
          <w:p w14:paraId="3E3831F8"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9</w:t>
            </w:r>
          </w:p>
        </w:tc>
        <w:tc>
          <w:tcPr>
            <w:tcW w:w="7654" w:type="dxa"/>
          </w:tcPr>
          <w:p w14:paraId="0CE1D535" w14:textId="77777777" w:rsidR="007224D6" w:rsidRPr="007F4CC8" w:rsidRDefault="007224D6" w:rsidP="004F3087">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Syntetiska transaktioner</w:t>
            </w:r>
          </w:p>
          <w:p w14:paraId="4EBD0B20" w14:textId="77777777" w:rsidR="007224D6" w:rsidRPr="007F4CC8" w:rsidRDefault="007224D6" w:rsidP="004F3087">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Se förklaringen för mall EU SEC1.</w:t>
            </w:r>
          </w:p>
        </w:tc>
      </w:tr>
    </w:tbl>
    <w:p w14:paraId="26CBE3D4" w14:textId="77777777" w:rsidR="007224D6" w:rsidRPr="007F4CC8" w:rsidRDefault="007224D6" w:rsidP="007224D6">
      <w:pPr>
        <w:rPr>
          <w:rFonts w:ascii="Times New Roman" w:hAnsi="Times New Roman" w:cs="Times New Roman"/>
          <w:sz w:val="24"/>
        </w:rPr>
      </w:pPr>
    </w:p>
    <w:p w14:paraId="76EFFED9" w14:textId="77777777" w:rsidR="007224D6" w:rsidRPr="007F4CC8" w:rsidRDefault="007224D6" w:rsidP="007224D6">
      <w:pPr>
        <w:rPr>
          <w:rFonts w:ascii="Times New Roman" w:hAnsi="Times New Roman" w:cs="Times New Roman"/>
          <w:sz w:val="24"/>
        </w:rPr>
      </w:pPr>
    </w:p>
    <w:p w14:paraId="7010CBEE" w14:textId="77777777" w:rsidR="007224D6" w:rsidRPr="007F4CC8" w:rsidRDefault="007224D6" w:rsidP="007224D6">
      <w:pPr>
        <w:rPr>
          <w:sz w:val="24"/>
          <w:rFonts w:ascii="Times New Roman" w:hAnsi="Times New Roman" w:cs="Times New Roman"/>
        </w:rPr>
      </w:pPr>
      <w:r>
        <w:rPr>
          <w:sz w:val="24"/>
          <w:b/>
          <w:rFonts w:ascii="Times New Roman" w:hAnsi="Times New Roman"/>
        </w:rPr>
        <w:t xml:space="preserve">Mall EU SEC4 – Värdepapperiseringsexponeringar utanför handelslagret och därmed förknippade lagstadgade kapitalkrav – institutet fungerar som investerare.</w:t>
      </w:r>
      <w:r>
        <w:rPr>
          <w:sz w:val="24"/>
          <w:b/>
          <w:rFonts w:ascii="Times New Roman" w:hAnsi="Times New Roman"/>
        </w:rPr>
        <w:t xml:space="preserve"> </w:t>
      </w:r>
      <w:r>
        <w:rPr>
          <w:sz w:val="24"/>
          <w:rFonts w:ascii="Times New Roman" w:hAnsi="Times New Roman"/>
        </w:rPr>
        <w:t xml:space="preserve">Fast format.</w:t>
      </w:r>
    </w:p>
    <w:p w14:paraId="4F6C6877"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Instituten ska offentliggöra den information som avses i artikel 449 k ii i kapitalkravsförordningen genom att följa de instruktioner som ges nedan i denna bilaga för att fylla i mall EU SEC4, vilken återfinns i bilaga XXVII till denna genomförandeförordning.</w:t>
      </w:r>
    </w:p>
    <w:p w14:paraId="0CF07294"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Instituten hänvisas till instruktionerna till mall EU SEC3 – Värdepapperiseringsexponeringar utanför handelslagret och därmed förknippade lagstadgade kapitalkrav – institutet fungerar som originator eller som medverkande institut.</w:t>
      </w:r>
    </w:p>
    <w:p w14:paraId="7F6846F8" w14:textId="77777777" w:rsidR="007224D6" w:rsidRPr="007F4CC8" w:rsidRDefault="007224D6" w:rsidP="007224D6">
      <w:pPr>
        <w:rPr>
          <w:rFonts w:ascii="Times New Roman" w:hAnsi="Times New Roman" w:cs="Times New Roman"/>
          <w:sz w:val="24"/>
        </w:rPr>
      </w:pPr>
    </w:p>
    <w:p w14:paraId="5E778291" w14:textId="77777777" w:rsidR="007224D6" w:rsidRPr="007F4CC8" w:rsidRDefault="007224D6" w:rsidP="007224D6">
      <w:pPr>
        <w:rPr>
          <w:b/>
          <w:sz w:val="24"/>
          <w:rFonts w:ascii="Times New Roman" w:hAnsi="Times New Roman" w:cs="Times New Roman"/>
        </w:rPr>
      </w:pPr>
      <w:r>
        <w:rPr>
          <w:sz w:val="24"/>
          <w:b/>
          <w:rFonts w:ascii="Times New Roman" w:hAnsi="Times New Roman"/>
        </w:rPr>
        <w:t xml:space="preserve">Mall EU SEC5 – Exponeringar som värdepapperiserats av institutet – Fallerande exponeringar och specifika kreditriskjusteringar.</w:t>
      </w:r>
      <w:r>
        <w:rPr>
          <w:sz w:val="24"/>
          <w:b/>
          <w:rFonts w:ascii="Times New Roman" w:hAnsi="Times New Roman"/>
        </w:rPr>
        <w:t xml:space="preserve"> </w:t>
      </w:r>
      <w:r>
        <w:rPr>
          <w:sz w:val="24"/>
          <w:rFonts w:ascii="Times New Roman" w:hAnsi="Times New Roman"/>
        </w:rPr>
        <w:t xml:space="preserve">Fast format.</w:t>
      </w:r>
    </w:p>
    <w:p w14:paraId="29D8D2DD"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Instituten ska offentliggöra den information som avses i artikel 449.1 i kapitalkravsförordningen per typ av värdepapperiseringsexponering, genom att följa de instruktioner som ges nedan i denna bilaga för att fylla i mall EU SEC5, vilken återfinns i bilaga XXVII till denna genomförandeförordning.</w:t>
      </w:r>
    </w:p>
    <w:p w14:paraId="7E1E281F"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2ED69004"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F6242C"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Rättsliga hänvisningar och instruktioner</w:t>
            </w:r>
          </w:p>
        </w:tc>
      </w:tr>
      <w:tr w:rsidR="007224D6" w:rsidRPr="007F4CC8" w14:paraId="4A5E4C5F" w14:textId="77777777" w:rsidTr="004F3087">
        <w:trPr>
          <w:trHeight w:val="741"/>
        </w:trPr>
        <w:tc>
          <w:tcPr>
            <w:tcW w:w="1413" w:type="dxa"/>
            <w:shd w:val="clear" w:color="auto" w:fill="D9D9D9" w:themeFill="background1" w:themeFillShade="D9"/>
          </w:tcPr>
          <w:p w14:paraId="785FAFBC"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Kolumnreferens</w:t>
            </w:r>
          </w:p>
        </w:tc>
        <w:tc>
          <w:tcPr>
            <w:tcW w:w="7654" w:type="dxa"/>
            <w:shd w:val="clear" w:color="auto" w:fill="D9D9D9" w:themeFill="background1" w:themeFillShade="D9"/>
          </w:tcPr>
          <w:p w14:paraId="09E5A7AD"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7224D6" w:rsidRPr="007F4CC8" w14:paraId="0049F9A1" w14:textId="77777777" w:rsidTr="004F3087">
        <w:trPr>
          <w:trHeight w:val="741"/>
        </w:trPr>
        <w:tc>
          <w:tcPr>
            <w:tcW w:w="1413" w:type="dxa"/>
            <w:shd w:val="clear" w:color="auto" w:fill="auto"/>
          </w:tcPr>
          <w:p w14:paraId="1EA4BF04"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w:t>
            </w:r>
          </w:p>
        </w:tc>
        <w:tc>
          <w:tcPr>
            <w:tcW w:w="7654" w:type="dxa"/>
            <w:shd w:val="clear" w:color="auto" w:fill="auto"/>
          </w:tcPr>
          <w:p w14:paraId="3140C283"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Summa utestående nominellt belopp</w:t>
            </w:r>
          </w:p>
          <w:p w14:paraId="1C72EF10"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Totalt utestående nominellt belopp för exponeringar som värdepapperiserats av institutet (institutet fungerar som originator eller medverkande institut), uppdelat per typ av värdepapperiseringsexponering</w:t>
            </w:r>
          </w:p>
        </w:tc>
      </w:tr>
      <w:tr w:rsidR="007224D6" w:rsidRPr="007F4CC8" w14:paraId="56FDA3F6" w14:textId="77777777" w:rsidTr="004F3087">
        <w:trPr>
          <w:trHeight w:val="741"/>
        </w:trPr>
        <w:tc>
          <w:tcPr>
            <w:tcW w:w="1413" w:type="dxa"/>
            <w:shd w:val="clear" w:color="auto" w:fill="auto"/>
          </w:tcPr>
          <w:p w14:paraId="30FA4D89"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b</w:t>
            </w:r>
          </w:p>
        </w:tc>
        <w:tc>
          <w:tcPr>
            <w:tcW w:w="7654" w:type="dxa"/>
            <w:shd w:val="clear" w:color="auto" w:fill="auto"/>
          </w:tcPr>
          <w:p w14:paraId="0D7D5585"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Summa utestående nominellt belopp – varav fallerande exponeringar</w:t>
            </w:r>
          </w:p>
          <w:p w14:paraId="1C467B87"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Style w:val="InstructionsTabelleText"/>
                <w:rFonts w:ascii="Times New Roman" w:hAnsi="Times New Roman"/>
              </w:rPr>
              <w:t xml:space="preserve">Totalt utestående nominellt belopp</w:t>
            </w:r>
            <w:r>
              <w:rPr>
                <w:sz w:val="24"/>
                <w:rFonts w:ascii="Times New Roman" w:hAnsi="Times New Roman"/>
              </w:rPr>
              <w:t xml:space="preserve"> av exponeringar som har värdepapperiserats av institutet (institutet fungerar som originator eller medverkande institut) och</w:t>
            </w:r>
            <w:r>
              <w:rPr>
                <w:sz w:val="24"/>
                <w:rStyle w:val="InstructionsTabelleText"/>
                <w:rFonts w:ascii="Times New Roman" w:hAnsi="Times New Roman"/>
              </w:rPr>
              <w:t xml:space="preserve"> som har klassificerats som ”fallerande exponeringar” i enlighet med artikel 178 i kapitalkravsförordningen,</w:t>
            </w:r>
            <w:r>
              <w:rPr>
                <w:sz w:val="24"/>
                <w:rFonts w:ascii="Times New Roman" w:hAnsi="Times New Roman"/>
              </w:rPr>
              <w:t xml:space="preserve"> uppdelade per typ av värdepapperiseringsexponering</w:t>
            </w:r>
          </w:p>
        </w:tc>
      </w:tr>
      <w:tr w:rsidR="007224D6" w:rsidRPr="007F4CC8" w14:paraId="54EAC503" w14:textId="77777777" w:rsidTr="004F3087">
        <w:trPr>
          <w:trHeight w:val="741"/>
        </w:trPr>
        <w:tc>
          <w:tcPr>
            <w:tcW w:w="1413" w:type="dxa"/>
            <w:shd w:val="clear" w:color="auto" w:fill="auto"/>
          </w:tcPr>
          <w:p w14:paraId="5B87FDDD"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c</w:t>
            </w:r>
          </w:p>
        </w:tc>
        <w:tc>
          <w:tcPr>
            <w:tcW w:w="7654" w:type="dxa"/>
            <w:shd w:val="clear" w:color="auto" w:fill="auto"/>
          </w:tcPr>
          <w:p w14:paraId="0B22FDE6" w14:textId="77777777" w:rsidR="007224D6" w:rsidRPr="007F4CC8" w:rsidRDefault="007224D6" w:rsidP="004F3087">
            <w:pPr>
              <w:rPr>
                <w:b/>
                <w:sz w:val="24"/>
                <w:rFonts w:ascii="Times New Roman" w:eastAsia="Times New Roman" w:hAnsi="Times New Roman" w:cs="Times New Roman"/>
              </w:rPr>
            </w:pPr>
            <w:r>
              <w:rPr>
                <w:b/>
                <w:sz w:val="24"/>
                <w:rFonts w:ascii="Times New Roman" w:hAnsi="Times New Roman"/>
              </w:rPr>
              <w:t xml:space="preserve">Specifika kreditriskjusteringar som gjorts under perioden</w:t>
            </w:r>
          </w:p>
          <w:p w14:paraId="587328A2"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Belopp av de specifika kreditriskjusteringar som gjorts under perioden, i enlighet med artikel 110 i kapitalkravsförordningen, på de exponeringar som värdepapperiserats av institutet (institutet fungerar som originator eller medverkande institut), uppdelat per typ av värdepapperiseringsexponering</w:t>
            </w:r>
          </w:p>
        </w:tc>
      </w:tr>
    </w:tbl>
    <w:p w14:paraId="4D94EF16" w14:textId="77777777" w:rsidR="007224D6" w:rsidRPr="007F4CC8" w:rsidRDefault="007224D6" w:rsidP="007224D6">
      <w:pPr>
        <w:rPr>
          <w:rFonts w:ascii="Times New Roman" w:hAnsi="Times New Roman" w:cs="Times New Roman"/>
          <w:sz w:val="24"/>
        </w:rPr>
      </w:pPr>
    </w:p>
    <w:p w14:paraId="65A50784"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A88351" w14:textId="77777777" w:rsidR="00287AC3" w:rsidRDefault="00287AC3" w:rsidP="007224D6">
      <w:r>
        <w:separator/>
      </w:r>
    </w:p>
  </w:endnote>
  <w:endnote w:type="continuationSeparator" w:id="0">
    <w:p w14:paraId="00EBEAC3" w14:textId="77777777" w:rsidR="00287AC3" w:rsidRDefault="00287AC3" w:rsidP="0072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93456875"/>
      <w:docPartObj>
        <w:docPartGallery w:val="Page Numbers (Bottom of Page)"/>
        <w:docPartUnique/>
      </w:docPartObj>
    </w:sdtPr>
    <w:sdtEndPr>
      <w:rPr>
        <w:noProof/>
      </w:rPr>
    </w:sdtEndPr>
    <w:sdtContent>
      <w:p w14:paraId="2A47AE68" w14:textId="77777777" w:rsidR="007224D6" w:rsidRDefault="007224D6">
        <w:pPr>
          <w:pStyle w:val="Footer"/>
          <w:jc w:val="right"/>
        </w:pPr>
        <w:r>
          <w:fldChar w:fldCharType="begin"/>
        </w:r>
        <w:r>
          <w:instrText xml:space="preserve"> PAGE   \* MERGEFORMAT </w:instrText>
        </w:r>
        <w:r>
          <w:fldChar w:fldCharType="separate"/>
        </w:r>
        <w:r>
          <w:t>7</w:t>
        </w:r>
        <w:r>
          <w:fldChar w:fldCharType="end"/>
        </w:r>
      </w:p>
    </w:sdtContent>
  </w:sdt>
  <w:p w14:paraId="1AFA96F0" w14:textId="77777777" w:rsidR="007224D6" w:rsidRDefault="007224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E53FAF" w14:textId="77777777" w:rsidR="00287AC3" w:rsidRDefault="00287AC3" w:rsidP="007224D6">
      <w:r>
        <w:separator/>
      </w:r>
    </w:p>
  </w:footnote>
  <w:footnote w:type="continuationSeparator" w:id="0">
    <w:p w14:paraId="0C660BEB" w14:textId="77777777" w:rsidR="00287AC3" w:rsidRDefault="00287AC3" w:rsidP="007224D6">
      <w:r>
        <w:continuationSeparator/>
      </w:r>
    </w:p>
  </w:footnote>
  <w:footnote w:id="1">
    <w:p w14:paraId="57D39A2F" w14:textId="61807072" w:rsidR="007224D6" w:rsidRPr="00222AAB" w:rsidRDefault="007224D6" w:rsidP="007224D6">
      <w:pPr>
        <w:pStyle w:val="FootnoteText"/>
        <w:rPr>
          <w:rFonts w:cstheme="minorHAnsi"/>
        </w:rPr>
      </w:pPr>
      <w:r>
        <w:rPr>
          <w:rStyle w:val="FootnoteReference"/>
          <w:rFonts w:cstheme="minorHAnsi"/>
        </w:rPr>
        <w:footnoteRef/>
      </w:r>
      <w:r>
        <w:tab/>
      </w:r>
      <w:r>
        <w:t xml:space="preserve">Europaparlamentets och rådets förordning (EU) nr 575/2013 av den 26 juni 2013 om tillsynskrav för kreditinstitut och om ändring av förordning (EU) nr 648/2012, i dess lydelse enligt förordning (EU) 2024/1623 (</w:t>
      </w:r>
      <w:hyperlink r:id="rId1" w:history="1">
        <w:r>
          <w:rPr>
            <w:rStyle w:val="Hyperlink"/>
            <w:color w:val="800080"/>
          </w:rPr>
          <w:t xml:space="preserve">EUT L 176, 27.6.2013, s. 1</w:t>
        </w:r>
      </w:hyperlink>
      <w:r>
        <w:t xml:space="preserve">;</w:t>
      </w:r>
      <w:r>
        <w:rPr>
          <w:color w:val="800080"/>
          <w:u w:val="single"/>
        </w:rPr>
        <w:t xml:space="preserve"> </w:t>
      </w:r>
      <w:hyperlink r:id="rId2" w:history="1">
        <w:r>
          <w:rPr>
            <w:rStyle w:val="Hyperlink"/>
          </w:rPr>
          <w:t xml:space="preserve">förordning 2024/1623 – SV – EUR-Lex (europa.eu)</w:t>
        </w:r>
      </w:hyperlink>
      <w:r>
        <w:rPr>
          <w:color w:val="444444"/>
        </w:rPr>
        <w:t xml:space="preserve">[].</w:t>
      </w:r>
    </w:p>
  </w:footnote>
  <w:footnote w:id="2">
    <w:p w14:paraId="6BCED38A" w14:textId="77777777" w:rsidR="007224D6" w:rsidRPr="00222AAB" w:rsidRDefault="007224D6" w:rsidP="007224D6">
      <w:pPr>
        <w:pStyle w:val="FootnoteText"/>
        <w:rPr>
          <w:rFonts w:cstheme="minorHAnsi"/>
        </w:rPr>
      </w:pPr>
      <w:r>
        <w:rPr>
          <w:rStyle w:val="FootnoteReference"/>
          <w:rFonts w:cstheme="minorHAnsi"/>
        </w:rPr>
        <w:footnoteRef/>
      </w:r>
      <w:r>
        <w:tab/>
      </w:r>
      <w:r>
        <w:t xml:space="preserve">Europaparlamentets och rådets förordning (EU) 2017/2402 av den 12 december 2017 om ett allmänt ramverk för värdepapperisering och om inrättande av ett särskilt ramverk för enkel, transparent och standardiserad värdepapperisering samt om ändring av direktiven 2009/65/EG, 2009/138/EG och 2011/61/EU och förordningarna (EG) nr 1060/2009 och (EU) nr 648/2012 (EUT 347, 28.12.2017, s.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B7A26" w14:textId="3746393D" w:rsidR="007D0B06" w:rsidRDefault="007D0B06">
    <w:pPr>
      <w:pStyle w:val="Header"/>
    </w:pPr>
    <w:r>
      <mc:AlternateContent>
        <mc:Choice Requires="wps">
          <w:drawing>
            <wp:anchor distT="0" distB="0" distL="0" distR="0" simplePos="0" relativeHeight="251659264" behindDoc="0" locked="0" layoutInCell="1" allowOverlap="1" wp14:anchorId="1C0EA763" wp14:editId="6FB0EBE2">
              <wp:simplePos x="635" y="635"/>
              <wp:positionH relativeFrom="page">
                <wp:align>left</wp:align>
              </wp:positionH>
              <wp:positionV relativeFrom="page">
                <wp:align>top</wp:align>
              </wp:positionV>
              <wp:extent cx="1273175" cy="376555"/>
              <wp:effectExtent l="0" t="0" r="3175" b="4445"/>
              <wp:wrapNone/>
              <wp:docPr id="1109160324"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81A2B52" w14:textId="4EFCCB52"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C0EA763"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81A2B52" w14:textId="4EFCCB52"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FD7E7" w14:textId="124A243B" w:rsidR="007D0B06" w:rsidRDefault="007D0B06">
    <w:pPr>
      <w:pStyle w:val="Header"/>
    </w:pPr>
    <w:r>
      <mc:AlternateContent>
        <mc:Choice Requires="wps">
          <w:drawing>
            <wp:anchor distT="0" distB="0" distL="0" distR="0" simplePos="0" relativeHeight="251660288" behindDoc="0" locked="0" layoutInCell="1" allowOverlap="1" wp14:anchorId="415C9C83" wp14:editId="61CAC61C">
              <wp:simplePos x="914400" y="447675"/>
              <wp:positionH relativeFrom="page">
                <wp:align>left</wp:align>
              </wp:positionH>
              <wp:positionV relativeFrom="page">
                <wp:align>top</wp:align>
              </wp:positionV>
              <wp:extent cx="1273175" cy="376555"/>
              <wp:effectExtent l="0" t="0" r="3175" b="4445"/>
              <wp:wrapNone/>
              <wp:docPr id="178457385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A357A9" w14:textId="1666DE1E"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5C9C83"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75A357A9" w14:textId="1666DE1E"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B0BBF" w14:textId="6FBDC6EC" w:rsidR="007D0B06" w:rsidRDefault="007D0B06">
    <w:pPr>
      <w:pStyle w:val="Header"/>
    </w:pPr>
    <w:r>
      <mc:AlternateContent>
        <mc:Choice Requires="wps">
          <w:drawing>
            <wp:anchor distT="0" distB="0" distL="0" distR="0" simplePos="0" relativeHeight="251658240" behindDoc="0" locked="0" layoutInCell="1" allowOverlap="1" wp14:anchorId="5E85505B" wp14:editId="261233F5">
              <wp:simplePos x="635" y="635"/>
              <wp:positionH relativeFrom="page">
                <wp:align>left</wp:align>
              </wp:positionH>
              <wp:positionV relativeFrom="page">
                <wp:align>top</wp:align>
              </wp:positionV>
              <wp:extent cx="1273175" cy="376555"/>
              <wp:effectExtent l="0" t="0" r="3175" b="4445"/>
              <wp:wrapNone/>
              <wp:docPr id="152312322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0E8708" w14:textId="705F20CF"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E85505B"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80E8708" w14:textId="705F20CF"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95320547">
    <w:abstractNumId w:val="0"/>
  </w:num>
  <w:num w:numId="2" w16cid:durableId="3346485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8C2"/>
    <w:rsid w:val="00287AC3"/>
    <w:rsid w:val="005F48C2"/>
    <w:rsid w:val="007224D6"/>
    <w:rsid w:val="007D0B06"/>
    <w:rsid w:val="00993FC2"/>
    <w:rsid w:val="00C631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504FF"/>
  <w15:chartTrackingRefBased/>
  <w15:docId w15:val="{3A7F2E1F-46AC-45BD-B3FD-838190E9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4D6"/>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7224D6"/>
    <w:pPr>
      <w:spacing w:before="80" w:line="200" w:lineRule="exact"/>
      <w:ind w:left="567" w:hanging="567"/>
      <w:jc w:val="both"/>
    </w:pPr>
    <w:rPr>
      <w:sz w:val="18"/>
      <w:szCs w:val="18"/>
      <w:lang w:val="sv-SE"/>
    </w:rPr>
  </w:style>
  <w:style w:type="character" w:customStyle="1" w:styleId="FootnoteTextChar">
    <w:name w:val="Footnote Text Char"/>
    <w:basedOn w:val="DefaultParagraphFont"/>
    <w:link w:val="FootnoteText"/>
    <w:rsid w:val="007224D6"/>
    <w:rPr>
      <w:rFonts w:eastAsiaTheme="minorEastAsia"/>
      <w:sz w:val="18"/>
      <w:szCs w:val="18"/>
      <w:lang w:val="sv-S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224D6"/>
    <w:rPr>
      <w:rFonts w:asciiTheme="minorHAnsi" w:hAnsiTheme="minorHAnsi"/>
      <w:sz w:val="22"/>
      <w:szCs w:val="18"/>
      <w:vertAlign w:val="superscript"/>
    </w:rPr>
  </w:style>
  <w:style w:type="character" w:styleId="Hyperlink">
    <w:name w:val="Hyperlink"/>
    <w:basedOn w:val="DefaultParagraphFont"/>
    <w:uiPriority w:val="99"/>
    <w:rsid w:val="007224D6"/>
    <w:rPr>
      <w:color w:val="0563C1" w:themeColor="hyperlink"/>
      <w:u w:val="single"/>
    </w:rPr>
  </w:style>
  <w:style w:type="paragraph" w:customStyle="1" w:styleId="Annexetitre">
    <w:name w:val="Annexe titre"/>
    <w:basedOn w:val="Normal"/>
    <w:next w:val="Normal"/>
    <w:rsid w:val="007224D6"/>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224D6"/>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224D6"/>
    <w:pPr>
      <w:ind w:left="720"/>
    </w:pPr>
    <w:rPr>
      <w:rFonts w:ascii="Calibri" w:eastAsia="Calibri" w:hAnsi="Calibri" w:cs="Times New Roman"/>
      <w:szCs w:val="22"/>
    </w:rPr>
  </w:style>
  <w:style w:type="character" w:customStyle="1" w:styleId="InstructionsTabelleText">
    <w:name w:val="Instructions Tabelle Text"/>
    <w:rsid w:val="007224D6"/>
    <w:rPr>
      <w:rFonts w:ascii="Verdana" w:hAnsi="Verdana" w:cs="Times New Roman"/>
      <w:sz w:val="20"/>
    </w:rPr>
  </w:style>
  <w:style w:type="paragraph" w:styleId="Header">
    <w:name w:val="header"/>
    <w:basedOn w:val="Normal"/>
    <w:link w:val="HeaderChar"/>
    <w:uiPriority w:val="99"/>
    <w:unhideWhenUsed/>
    <w:rsid w:val="007224D6"/>
    <w:pPr>
      <w:tabs>
        <w:tab w:val="center" w:pos="4513"/>
        <w:tab w:val="right" w:pos="9026"/>
      </w:tabs>
    </w:pPr>
  </w:style>
  <w:style w:type="character" w:customStyle="1" w:styleId="HeaderChar">
    <w:name w:val="Header Char"/>
    <w:basedOn w:val="DefaultParagraphFont"/>
    <w:link w:val="Header"/>
    <w:uiPriority w:val="99"/>
    <w:rsid w:val="007224D6"/>
    <w:rPr>
      <w:rFonts w:eastAsiaTheme="minorEastAsia"/>
      <w:szCs w:val="24"/>
    </w:rPr>
  </w:style>
  <w:style w:type="paragraph" w:styleId="Footer">
    <w:name w:val="footer"/>
    <w:basedOn w:val="Normal"/>
    <w:link w:val="FooterChar"/>
    <w:uiPriority w:val="99"/>
    <w:unhideWhenUsed/>
    <w:rsid w:val="007224D6"/>
    <w:pPr>
      <w:tabs>
        <w:tab w:val="center" w:pos="4513"/>
        <w:tab w:val="right" w:pos="9026"/>
      </w:tabs>
    </w:pPr>
  </w:style>
  <w:style w:type="character" w:customStyle="1" w:styleId="FooterChar">
    <w:name w:val="Footer Char"/>
    <w:basedOn w:val="DefaultParagraphFont"/>
    <w:link w:val="Footer"/>
    <w:uiPriority w:val="99"/>
    <w:rsid w:val="007224D6"/>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SV/TXT/?uri=OJ:L_202401623" TargetMode="External"/><Relationship Id="rId1" Type="http://schemas.openxmlformats.org/officeDocument/2006/relationships/hyperlink" Target="https://eur-lex.europa.eu/legal-content/SV/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CB8F96-35AA-4B95-B30C-EA15463DB130}"/>
</file>

<file path=customXml/itemProps2.xml><?xml version="1.0" encoding="utf-8"?>
<ds:datastoreItem xmlns:ds="http://schemas.openxmlformats.org/officeDocument/2006/customXml" ds:itemID="{E6BBBDC4-05E0-471F-BE9A-1B71DAF4B130}"/>
</file>

<file path=customXml/itemProps3.xml><?xml version="1.0" encoding="utf-8"?>
<ds:datastoreItem xmlns:ds="http://schemas.openxmlformats.org/officeDocument/2006/customXml" ds:itemID="{ACA650DB-84DE-4BC2-991B-6225D40DD3B6}"/>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7</Pages>
  <Words>2067</Words>
  <Characters>11785</Characters>
  <Application>Microsoft Office Word</Application>
  <DocSecurity>0</DocSecurity>
  <Lines>98</Lines>
  <Paragraphs>27</Paragraphs>
  <ScaleCrop>false</ScaleCrop>
  <Company>European Banking Authority</Company>
  <LinksUpToDate>false</LinksUpToDate>
  <CharactersWithSpaces>13825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Lidja Schiavo</cp:lastModifiedBy>
  <cp:revision>3</cp:revision>
  <dcterms:created xsi:type="dcterms:W3CDTF">2021-03-11T13:29:00Z</dcterms:created>
  <dcterms:modified xsi:type="dcterms:W3CDTF">2024-06-19T10:29:00Z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5ac90414,421c7184,6a5e6fa0</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ies>
</file>