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49E8A94F" w:rsidR="00455D0D" w:rsidRPr="00492F81" w:rsidRDefault="00455D0D" w:rsidP="00455D0D">
      <w:pPr>
        <w:pStyle w:val="Annexetitre"/>
        <w:rPr>
          <w:b w:val="0"/>
        </w:rPr>
      </w:pPr>
      <w:r w:rsidRPr="00492F81">
        <w:t>ALLEGATO X – Istruzioni per l</w:t>
      </w:r>
      <w:r w:rsidR="00A801FB" w:rsidRPr="00492F81">
        <w:t>'</w:t>
      </w:r>
      <w:r w:rsidRPr="00492F81">
        <w:t>informativa sulle riserve di capitale anticicliche</w:t>
      </w:r>
    </w:p>
    <w:p w14:paraId="01BBFD15" w14:textId="77777777" w:rsidR="00455D0D" w:rsidRPr="00492F81" w:rsidRDefault="00455D0D" w:rsidP="00455D0D">
      <w:pPr>
        <w:autoSpaceDE w:val="0"/>
        <w:autoSpaceDN w:val="0"/>
        <w:adjustRightInd w:val="0"/>
        <w:jc w:val="both"/>
        <w:rPr>
          <w:rFonts w:ascii="Times New Roman" w:hAnsi="Times New Roman" w:cs="Times New Roman"/>
          <w:b/>
          <w:sz w:val="24"/>
        </w:rPr>
      </w:pPr>
    </w:p>
    <w:p w14:paraId="23E8C0FC" w14:textId="3E310615" w:rsidR="00455D0D" w:rsidRPr="00492F81" w:rsidRDefault="00455D0D" w:rsidP="00455D0D">
      <w:pPr>
        <w:autoSpaceDE w:val="0"/>
        <w:autoSpaceDN w:val="0"/>
        <w:adjustRightInd w:val="0"/>
        <w:jc w:val="both"/>
        <w:rPr>
          <w:rFonts w:ascii="Times New Roman" w:hAnsi="Times New Roman" w:cs="Times New Roman"/>
          <w:sz w:val="24"/>
        </w:rPr>
      </w:pPr>
      <w:r w:rsidRPr="00492F81">
        <w:rPr>
          <w:rFonts w:ascii="Times New Roman" w:hAnsi="Times New Roman"/>
          <w:b/>
          <w:sz w:val="24"/>
        </w:rPr>
        <w:t xml:space="preserve">Modello EU CCyB1: distribuzione geografica delle esposizioni creditizie rilevanti ai fini del calcolo della riserva di capitale anticiclica </w:t>
      </w:r>
      <w:r w:rsidRPr="00492F81">
        <w:rPr>
          <w:rFonts w:ascii="Times New Roman" w:hAnsi="Times New Roman"/>
          <w:sz w:val="24"/>
        </w:rPr>
        <w:t>- Formato fisso per le colonne, formato flessibile per le righe</w:t>
      </w:r>
    </w:p>
    <w:p w14:paraId="3340396C" w14:textId="77777777" w:rsidR="00455D0D" w:rsidRPr="00492F81" w:rsidRDefault="00455D0D" w:rsidP="00455D0D">
      <w:pPr>
        <w:autoSpaceDE w:val="0"/>
        <w:autoSpaceDN w:val="0"/>
        <w:adjustRightInd w:val="0"/>
        <w:jc w:val="both"/>
        <w:rPr>
          <w:rFonts w:ascii="Times New Roman" w:hAnsi="Times New Roman" w:cs="Times New Roman"/>
          <w:b/>
          <w:sz w:val="24"/>
        </w:rPr>
      </w:pPr>
    </w:p>
    <w:p w14:paraId="41E7C5B7" w14:textId="3ACA404B" w:rsidR="00455D0D" w:rsidRPr="00492F81" w:rsidRDefault="00455D0D" w:rsidP="00455D0D">
      <w:pPr>
        <w:pStyle w:val="ListParagraph"/>
        <w:numPr>
          <w:ilvl w:val="0"/>
          <w:numId w:val="2"/>
        </w:numPr>
        <w:spacing w:before="120" w:after="120"/>
        <w:ind w:left="425" w:hanging="357"/>
        <w:jc w:val="both"/>
        <w:rPr>
          <w:rFonts w:ascii="Times New Roman" w:hAnsi="Times New Roman"/>
          <w:sz w:val="24"/>
        </w:rPr>
      </w:pPr>
      <w:r w:rsidRPr="00492F81">
        <w:rPr>
          <w:rFonts w:ascii="Times New Roman" w:hAnsi="Times New Roman"/>
          <w:sz w:val="24"/>
        </w:rPr>
        <w:t>Gli enti pubblicano le informazioni di cui all</w:t>
      </w:r>
      <w:r w:rsidR="00A801FB" w:rsidRPr="00492F81">
        <w:rPr>
          <w:rFonts w:ascii="Times New Roman" w:hAnsi="Times New Roman"/>
          <w:sz w:val="24"/>
        </w:rPr>
        <w:t>'</w:t>
      </w:r>
      <w:r w:rsidRPr="00492F81">
        <w:rPr>
          <w:rFonts w:ascii="Times New Roman" w:hAnsi="Times New Roman"/>
          <w:sz w:val="24"/>
        </w:rPr>
        <w:t xml:space="preserve">articolo 440, lettera a), del regolamento (UE) </w:t>
      </w:r>
      <w:r w:rsidR="00A801FB" w:rsidRPr="00492F81">
        <w:rPr>
          <w:rFonts w:ascii="Times New Roman" w:hAnsi="Times New Roman"/>
          <w:sz w:val="24"/>
        </w:rPr>
        <w:t>n. </w:t>
      </w:r>
      <w:r w:rsidRPr="00492F81">
        <w:rPr>
          <w:rFonts w:ascii="Times New Roman" w:hAnsi="Times New Roman"/>
          <w:sz w:val="24"/>
        </w:rPr>
        <w:t>575/2013 (</w:t>
      </w:r>
      <w:r w:rsidR="00A801FB" w:rsidRPr="00492F81">
        <w:rPr>
          <w:rFonts w:ascii="Times New Roman" w:hAnsi="Times New Roman"/>
          <w:sz w:val="24"/>
        </w:rPr>
        <w:t>"</w:t>
      </w:r>
      <w:r w:rsidRPr="00492F81">
        <w:rPr>
          <w:rFonts w:ascii="Times New Roman" w:hAnsi="Times New Roman"/>
          <w:sz w:val="24"/>
        </w:rPr>
        <w:t>CRR</w:t>
      </w:r>
      <w:r w:rsidR="00A801FB" w:rsidRPr="00492F81">
        <w:rPr>
          <w:rFonts w:ascii="Times New Roman" w:hAnsi="Times New Roman"/>
          <w:sz w:val="24"/>
        </w:rPr>
        <w:t>"</w:t>
      </w:r>
      <w:r w:rsidRPr="00492F81">
        <w:rPr>
          <w:rFonts w:ascii="Times New Roman" w:hAnsi="Times New Roman"/>
          <w:sz w:val="24"/>
        </w:rPr>
        <w:t>)</w:t>
      </w:r>
      <w:r w:rsidRPr="00492F81">
        <w:rPr>
          <w:rStyle w:val="FootnoteReference"/>
        </w:rPr>
        <w:footnoteReference w:id="1"/>
      </w:r>
      <w:r w:rsidRPr="00492F81">
        <w:rPr>
          <w:rFonts w:ascii="Times New Roman" w:hAnsi="Times New Roman"/>
          <w:sz w:val="24"/>
        </w:rPr>
        <w:t xml:space="preserve"> seguendo le istruzioni fornite di seguito nel presente allegato per compilare il modello EU CCyB1 di cui all</w:t>
      </w:r>
      <w:r w:rsidR="00A801FB" w:rsidRPr="00492F81">
        <w:rPr>
          <w:rFonts w:ascii="Times New Roman" w:hAnsi="Times New Roman"/>
          <w:sz w:val="24"/>
        </w:rPr>
        <w:t>'</w:t>
      </w:r>
      <w:r w:rsidRPr="00492F81">
        <w:rPr>
          <w:rFonts w:ascii="Times New Roman" w:hAnsi="Times New Roman"/>
          <w:sz w:val="24"/>
        </w:rPr>
        <w:t>allegato IX delle soluzioni IT dell</w:t>
      </w:r>
      <w:r w:rsidR="00A801FB" w:rsidRPr="00492F81">
        <w:rPr>
          <w:rFonts w:ascii="Times New Roman" w:hAnsi="Times New Roman"/>
          <w:sz w:val="24"/>
        </w:rPr>
        <w:t>'</w:t>
      </w:r>
      <w:r w:rsidRPr="00492F81">
        <w:rPr>
          <w:rFonts w:ascii="Times New Roman" w:hAnsi="Times New Roman"/>
          <w:sz w:val="24"/>
        </w:rPr>
        <w:t xml:space="preserve">ABE. </w:t>
      </w:r>
    </w:p>
    <w:p w14:paraId="7398E361" w14:textId="00C8FC8B" w:rsidR="00455D0D" w:rsidRPr="00492F81"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sidRPr="00492F81">
        <w:rPr>
          <w:rFonts w:ascii="Times New Roman" w:hAnsi="Times New Roman"/>
          <w:sz w:val="24"/>
        </w:rPr>
        <w:t>L</w:t>
      </w:r>
      <w:r w:rsidR="00A801FB" w:rsidRPr="00492F81">
        <w:rPr>
          <w:rFonts w:ascii="Times New Roman" w:hAnsi="Times New Roman"/>
          <w:sz w:val="24"/>
        </w:rPr>
        <w:t>'</w:t>
      </w:r>
      <w:r w:rsidRPr="00492F81">
        <w:rPr>
          <w:rFonts w:ascii="Times New Roman" w:hAnsi="Times New Roman"/>
          <w:sz w:val="24"/>
        </w:rPr>
        <w:t>ambito del modello EU CCyB1 è limitato alle esposizioni creditizie rilevanti ai fini del calcolo della riserva di capitale anticiclica, conformemente all</w:t>
      </w:r>
      <w:r w:rsidR="00A801FB" w:rsidRPr="00492F81">
        <w:rPr>
          <w:rFonts w:ascii="Times New Roman" w:hAnsi="Times New Roman"/>
          <w:sz w:val="24"/>
        </w:rPr>
        <w:t>'</w:t>
      </w:r>
      <w:r w:rsidRPr="00492F81">
        <w:rPr>
          <w:rFonts w:ascii="Times New Roman" w:hAnsi="Times New Roman"/>
          <w:sz w:val="24"/>
        </w:rPr>
        <w:t>articolo</w:t>
      </w:r>
      <w:r w:rsidR="00A801FB" w:rsidRPr="00492F81">
        <w:rPr>
          <w:rFonts w:ascii="Times New Roman" w:hAnsi="Times New Roman"/>
          <w:sz w:val="24"/>
        </w:rPr>
        <w:t> </w:t>
      </w:r>
      <w:r w:rsidRPr="00492F81">
        <w:rPr>
          <w:rFonts w:ascii="Times New Roman" w:hAnsi="Times New Roman"/>
          <w:sz w:val="24"/>
        </w:rPr>
        <w:t>140, paragrafo</w:t>
      </w:r>
      <w:r w:rsidR="00A801FB" w:rsidRPr="00492F81">
        <w:rPr>
          <w:rFonts w:ascii="Times New Roman" w:hAnsi="Times New Roman"/>
          <w:sz w:val="24"/>
        </w:rPr>
        <w:t> </w:t>
      </w:r>
      <w:r w:rsidRPr="00492F81">
        <w:rPr>
          <w:rFonts w:ascii="Times New Roman" w:hAnsi="Times New Roman"/>
          <w:sz w:val="24"/>
        </w:rPr>
        <w:t>4, della direttiva 2013/36/UE (</w:t>
      </w:r>
      <w:r w:rsidR="00A801FB" w:rsidRPr="00492F81">
        <w:rPr>
          <w:rFonts w:ascii="Times New Roman" w:hAnsi="Times New Roman"/>
          <w:sz w:val="24"/>
        </w:rPr>
        <w:t>"</w:t>
      </w:r>
      <w:r w:rsidRPr="00492F81">
        <w:rPr>
          <w:rFonts w:ascii="Times New Roman" w:hAnsi="Times New Roman"/>
          <w:sz w:val="24"/>
        </w:rPr>
        <w:t>CRD</w:t>
      </w:r>
      <w:r w:rsidR="00A801FB" w:rsidRPr="00492F81">
        <w:rPr>
          <w:rFonts w:ascii="Times New Roman" w:hAnsi="Times New Roman"/>
          <w:sz w:val="24"/>
        </w:rPr>
        <w:t>"</w:t>
      </w:r>
      <w:r w:rsidRPr="00492F81">
        <w:rPr>
          <w:rFonts w:ascii="Times New Roman" w:hAnsi="Times New Roman"/>
          <w:sz w:val="24"/>
        </w:rPr>
        <w:t>)</w:t>
      </w:r>
      <w:r w:rsidRPr="00492F81">
        <w:rPr>
          <w:rStyle w:val="FootnoteReference"/>
          <w:rFonts w:eastAsia="Times New Roman"/>
        </w:rPr>
        <w:footnoteReference w:id="2"/>
      </w:r>
      <w:r w:rsidRPr="00492F81">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492F81"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492F81" w:rsidRDefault="00455D0D" w:rsidP="00D819DE">
            <w:pPr>
              <w:rPr>
                <w:rFonts w:ascii="Times New Roman" w:hAnsi="Times New Roman" w:cs="Times New Roman"/>
                <w:b/>
                <w:sz w:val="24"/>
              </w:rPr>
            </w:pPr>
            <w:r w:rsidRPr="00492F81">
              <w:rPr>
                <w:rFonts w:ascii="Times New Roman" w:hAnsi="Times New Roman"/>
                <w:b/>
                <w:sz w:val="24"/>
              </w:rPr>
              <w:t>Riferimenti giuridici e istruzioni</w:t>
            </w:r>
          </w:p>
        </w:tc>
      </w:tr>
      <w:tr w:rsidR="00455D0D" w:rsidRPr="00492F81" w14:paraId="5753E80F" w14:textId="77777777" w:rsidTr="00D819DE">
        <w:trPr>
          <w:trHeight w:val="238"/>
        </w:trPr>
        <w:tc>
          <w:tcPr>
            <w:tcW w:w="1384" w:type="dxa"/>
            <w:shd w:val="clear" w:color="auto" w:fill="D9D9D9" w:themeFill="background1" w:themeFillShade="D9"/>
          </w:tcPr>
          <w:p w14:paraId="63F8D0B7" w14:textId="0CC65397" w:rsidR="00455D0D" w:rsidRPr="00492F81" w:rsidRDefault="00455D0D" w:rsidP="00D819DE">
            <w:pPr>
              <w:autoSpaceDE w:val="0"/>
              <w:autoSpaceDN w:val="0"/>
              <w:adjustRightInd w:val="0"/>
              <w:rPr>
                <w:rFonts w:ascii="Times New Roman" w:hAnsi="Times New Roman" w:cs="Times New Roman"/>
                <w:b/>
                <w:sz w:val="24"/>
              </w:rPr>
            </w:pPr>
            <w:r w:rsidRPr="00492F81">
              <w:rPr>
                <w:rFonts w:ascii="Times New Roman" w:hAnsi="Times New Roman"/>
                <w:b/>
                <w:sz w:val="24"/>
              </w:rPr>
              <w:t xml:space="preserve">Numero </w:t>
            </w:r>
            <w:r w:rsidR="00466500" w:rsidRPr="00492F81">
              <w:rPr>
                <w:rFonts w:ascii="Times New Roman" w:hAnsi="Times New Roman"/>
                <w:b/>
                <w:sz w:val="24"/>
              </w:rPr>
              <w:br/>
            </w:r>
            <w:r w:rsidRPr="00492F81">
              <w:rPr>
                <w:rFonts w:ascii="Times New Roman" w:hAnsi="Times New Roman"/>
                <w:b/>
                <w:sz w:val="24"/>
              </w:rPr>
              <w:t>di riga</w:t>
            </w:r>
          </w:p>
        </w:tc>
        <w:tc>
          <w:tcPr>
            <w:tcW w:w="7655" w:type="dxa"/>
            <w:shd w:val="clear" w:color="auto" w:fill="D9D9D9" w:themeFill="background1" w:themeFillShade="D9"/>
          </w:tcPr>
          <w:p w14:paraId="5B6BF2F1" w14:textId="77777777" w:rsidR="00455D0D" w:rsidRPr="00492F81" w:rsidRDefault="00455D0D" w:rsidP="00D819DE">
            <w:pPr>
              <w:autoSpaceDE w:val="0"/>
              <w:autoSpaceDN w:val="0"/>
              <w:adjustRightInd w:val="0"/>
              <w:rPr>
                <w:rFonts w:ascii="Times New Roman" w:hAnsi="Times New Roman" w:cs="Times New Roman"/>
                <w:color w:val="000000"/>
                <w:sz w:val="24"/>
              </w:rPr>
            </w:pPr>
            <w:r w:rsidRPr="00492F81">
              <w:rPr>
                <w:rFonts w:ascii="Times New Roman" w:hAnsi="Times New Roman"/>
                <w:b/>
                <w:sz w:val="24"/>
              </w:rPr>
              <w:t>Spiegazione</w:t>
            </w:r>
          </w:p>
        </w:tc>
      </w:tr>
      <w:tr w:rsidR="00455D0D" w:rsidRPr="00492F81" w14:paraId="6D5018C1" w14:textId="77777777" w:rsidTr="00D819DE">
        <w:trPr>
          <w:trHeight w:val="4381"/>
        </w:trPr>
        <w:tc>
          <w:tcPr>
            <w:tcW w:w="1384" w:type="dxa"/>
          </w:tcPr>
          <w:p w14:paraId="48FA5F7D" w14:textId="77777777" w:rsidR="00455D0D" w:rsidRPr="00492F81" w:rsidRDefault="00455D0D" w:rsidP="00466500">
            <w:pPr>
              <w:pStyle w:val="Applicationdirecte"/>
              <w:spacing w:before="120"/>
              <w:jc w:val="left"/>
            </w:pPr>
            <w:r w:rsidRPr="00492F81">
              <w:t>Da 010 a 01X</w:t>
            </w:r>
          </w:p>
        </w:tc>
        <w:tc>
          <w:tcPr>
            <w:tcW w:w="7655" w:type="dxa"/>
          </w:tcPr>
          <w:p w14:paraId="482E28A9" w14:textId="77777777" w:rsidR="00455D0D" w:rsidRPr="00492F81" w:rsidRDefault="00455D0D" w:rsidP="00D819DE">
            <w:pPr>
              <w:pStyle w:val="Applicationdirecte"/>
              <w:spacing w:before="120"/>
              <w:rPr>
                <w:b/>
              </w:rPr>
            </w:pPr>
            <w:r w:rsidRPr="00492F81">
              <w:rPr>
                <w:b/>
              </w:rPr>
              <w:t>Ripartizione per paese</w:t>
            </w:r>
          </w:p>
          <w:p w14:paraId="2DDAA49A" w14:textId="40C812D8" w:rsidR="00455D0D" w:rsidRPr="00492F81" w:rsidRDefault="00455D0D" w:rsidP="00D819DE">
            <w:pPr>
              <w:pStyle w:val="Applicationdirecte"/>
              <w:spacing w:before="120"/>
            </w:pPr>
            <w:r w:rsidRPr="00492F81">
              <w:t>Elenco dei paesi nei quali l</w:t>
            </w:r>
            <w:r w:rsidR="00A801FB" w:rsidRPr="00492F81">
              <w:t>'</w:t>
            </w:r>
            <w:r w:rsidRPr="00492F81">
              <w:t xml:space="preserve">ente ha esposizioni creditizie rilevanti ai fini del calcolo della sua specifica riserva di capitale anticiclica, conformemente al regolamento delegato (UE) </w:t>
            </w:r>
            <w:r w:rsidR="00A801FB" w:rsidRPr="00492F81">
              <w:t>n. </w:t>
            </w:r>
            <w:r w:rsidRPr="00492F81">
              <w:t>1152/2014 della Commissione</w:t>
            </w:r>
            <w:r w:rsidRPr="00492F81">
              <w:rPr>
                <w:rStyle w:val="FootnoteReference"/>
              </w:rPr>
              <w:footnoteReference w:id="3"/>
            </w:r>
            <w:r w:rsidRPr="00492F81">
              <w:t>.</w:t>
            </w:r>
          </w:p>
          <w:p w14:paraId="37E96D2E" w14:textId="584706E6" w:rsidR="00455D0D" w:rsidRPr="00492F81" w:rsidRDefault="00455D0D" w:rsidP="00D819DE">
            <w:pPr>
              <w:pStyle w:val="Fait"/>
              <w:spacing w:after="120"/>
            </w:pPr>
            <w:r w:rsidRPr="00492F81">
              <w:t>Il numero di righe può variare in funzione del numero di paesi in cui l</w:t>
            </w:r>
            <w:r w:rsidR="00A801FB" w:rsidRPr="00492F81">
              <w:t>'</w:t>
            </w:r>
            <w:r w:rsidRPr="00492F81">
              <w:t>ente ha esposizioni creditizie rilevanti ai fini del calcolo della riserva di capitale anticiclica. Gli enti numerano le righe per ciascun paese consecutivamente, iniziando con 010.</w:t>
            </w:r>
          </w:p>
          <w:p w14:paraId="110E5142" w14:textId="766070D0" w:rsidR="00455D0D" w:rsidRPr="00492F81" w:rsidRDefault="00455D0D" w:rsidP="00D819DE">
            <w:pPr>
              <w:spacing w:after="120"/>
              <w:jc w:val="both"/>
              <w:rPr>
                <w:rFonts w:ascii="Times New Roman" w:hAnsi="Times New Roman" w:cs="Times New Roman"/>
                <w:sz w:val="24"/>
              </w:rPr>
            </w:pPr>
            <w:r w:rsidRPr="00492F81">
              <w:rPr>
                <w:rFonts w:ascii="Times New Roman" w:hAnsi="Times New Roman"/>
                <w:sz w:val="24"/>
              </w:rPr>
              <w:t xml:space="preserve">A norma del regolamento delegato (UE) </w:t>
            </w:r>
            <w:r w:rsidR="00A801FB" w:rsidRPr="00492F81">
              <w:rPr>
                <w:rFonts w:ascii="Times New Roman" w:hAnsi="Times New Roman"/>
                <w:sz w:val="24"/>
              </w:rPr>
              <w:t>n. </w:t>
            </w:r>
            <w:r w:rsidRPr="00492F81">
              <w:rPr>
                <w:rFonts w:ascii="Times New Roman" w:hAnsi="Times New Roman"/>
                <w:sz w:val="24"/>
              </w:rPr>
              <w:t>1152/2014 della Commissione, se le esposizioni nel portafoglio di negoziazione o le esposizioni estere di un ente rappresentano meno del 2 % delle esposizioni ponderate per il rischio aggregate, l</w:t>
            </w:r>
            <w:r w:rsidR="00A801FB" w:rsidRPr="00492F81">
              <w:rPr>
                <w:rFonts w:ascii="Times New Roman" w:hAnsi="Times New Roman"/>
                <w:sz w:val="24"/>
              </w:rPr>
              <w:t>'</w:t>
            </w:r>
            <w:r w:rsidRPr="00492F81">
              <w:rPr>
                <w:rFonts w:ascii="Times New Roman" w:hAnsi="Times New Roman"/>
                <w:sz w:val="24"/>
              </w:rPr>
              <w:t>ente può scegliere di assegnare tali esposizioni alla sede dell</w:t>
            </w:r>
            <w:r w:rsidR="00A801FB" w:rsidRPr="00492F81">
              <w:rPr>
                <w:rFonts w:ascii="Times New Roman" w:hAnsi="Times New Roman"/>
                <w:sz w:val="24"/>
              </w:rPr>
              <w:t>'</w:t>
            </w:r>
            <w:r w:rsidRPr="00492F81">
              <w:rPr>
                <w:rFonts w:ascii="Times New Roman" w:hAnsi="Times New Roman"/>
                <w:sz w:val="24"/>
              </w:rPr>
              <w:t>ente (ad es. allo Stato membro di origine dell</w:t>
            </w:r>
            <w:r w:rsidR="00A801FB" w:rsidRPr="00492F81">
              <w:rPr>
                <w:rFonts w:ascii="Times New Roman" w:hAnsi="Times New Roman"/>
                <w:sz w:val="24"/>
              </w:rPr>
              <w:t>'</w:t>
            </w:r>
            <w:r w:rsidRPr="00492F81">
              <w:rPr>
                <w:rFonts w:ascii="Times New Roman" w:hAnsi="Times New Roman"/>
                <w:sz w:val="24"/>
              </w:rPr>
              <w:t>ente). Se le esposizioni assegnate alla sede dell</w:t>
            </w:r>
            <w:r w:rsidR="00A801FB" w:rsidRPr="00492F81">
              <w:rPr>
                <w:rFonts w:ascii="Times New Roman" w:hAnsi="Times New Roman"/>
                <w:sz w:val="24"/>
              </w:rPr>
              <w:t>'</w:t>
            </w:r>
            <w:r w:rsidRPr="00492F81">
              <w:rPr>
                <w:rFonts w:ascii="Times New Roman" w:hAnsi="Times New Roman"/>
                <w:sz w:val="24"/>
              </w:rPr>
              <w:t>ente comprendono esposizioni in altri paesi, questi sono chiaramente identificati in una nota a piè di pagina del modello dell</w:t>
            </w:r>
            <w:r w:rsidR="00A801FB" w:rsidRPr="00492F81">
              <w:rPr>
                <w:rFonts w:ascii="Times New Roman" w:hAnsi="Times New Roman"/>
                <w:sz w:val="24"/>
              </w:rPr>
              <w:t>'</w:t>
            </w:r>
            <w:r w:rsidRPr="00492F81">
              <w:rPr>
                <w:rFonts w:ascii="Times New Roman" w:hAnsi="Times New Roman"/>
                <w:sz w:val="24"/>
              </w:rPr>
              <w:t>informativa.</w:t>
            </w:r>
          </w:p>
        </w:tc>
      </w:tr>
      <w:tr w:rsidR="00455D0D" w:rsidRPr="00492F81" w14:paraId="2B7D044A" w14:textId="77777777" w:rsidTr="00D819DE">
        <w:trPr>
          <w:trHeight w:val="316"/>
        </w:trPr>
        <w:tc>
          <w:tcPr>
            <w:tcW w:w="1384" w:type="dxa"/>
          </w:tcPr>
          <w:p w14:paraId="34D2A4C4" w14:textId="77777777" w:rsidR="00455D0D" w:rsidRPr="00492F81" w:rsidRDefault="00455D0D" w:rsidP="00D819DE">
            <w:pPr>
              <w:autoSpaceDE w:val="0"/>
              <w:autoSpaceDN w:val="0"/>
              <w:adjustRightInd w:val="0"/>
              <w:rPr>
                <w:rFonts w:ascii="Times New Roman" w:hAnsi="Times New Roman" w:cs="Times New Roman"/>
                <w:color w:val="000000"/>
                <w:sz w:val="24"/>
              </w:rPr>
            </w:pPr>
            <w:r w:rsidRPr="00492F81">
              <w:rPr>
                <w:rFonts w:ascii="Times New Roman" w:hAnsi="Times New Roman"/>
                <w:sz w:val="24"/>
              </w:rPr>
              <w:t>020</w:t>
            </w:r>
          </w:p>
        </w:tc>
        <w:tc>
          <w:tcPr>
            <w:tcW w:w="7655" w:type="dxa"/>
          </w:tcPr>
          <w:p w14:paraId="1007C866" w14:textId="77777777" w:rsidR="00455D0D" w:rsidRPr="00492F81" w:rsidRDefault="00455D0D" w:rsidP="00D819DE">
            <w:pPr>
              <w:autoSpaceDE w:val="0"/>
              <w:autoSpaceDN w:val="0"/>
              <w:adjustRightInd w:val="0"/>
              <w:rPr>
                <w:rFonts w:ascii="Times New Roman" w:hAnsi="Times New Roman" w:cs="Times New Roman"/>
                <w:b/>
                <w:sz w:val="24"/>
              </w:rPr>
            </w:pPr>
            <w:r w:rsidRPr="00492F81">
              <w:rPr>
                <w:rFonts w:ascii="Times New Roman" w:hAnsi="Times New Roman"/>
                <w:b/>
                <w:sz w:val="24"/>
              </w:rPr>
              <w:t xml:space="preserve">Totale </w:t>
            </w:r>
          </w:p>
          <w:p w14:paraId="159FB8B0" w14:textId="77777777" w:rsidR="00455D0D" w:rsidRPr="00492F81" w:rsidRDefault="00455D0D" w:rsidP="00D819DE">
            <w:pPr>
              <w:autoSpaceDE w:val="0"/>
              <w:autoSpaceDN w:val="0"/>
              <w:adjustRightInd w:val="0"/>
              <w:spacing w:before="120" w:after="120"/>
              <w:rPr>
                <w:rFonts w:ascii="Times New Roman" w:eastAsia="Times New Roman" w:hAnsi="Times New Roman" w:cs="Times New Roman"/>
                <w:sz w:val="24"/>
              </w:rPr>
            </w:pPr>
            <w:r w:rsidRPr="00492F81">
              <w:rPr>
                <w:rFonts w:ascii="Times New Roman" w:hAnsi="Times New Roman"/>
                <w:sz w:val="24"/>
              </w:rPr>
              <w:t>Valore descritto conformemente alla spiegazione per le colonne da a a m di questo modello.</w:t>
            </w:r>
          </w:p>
        </w:tc>
      </w:tr>
    </w:tbl>
    <w:p w14:paraId="761A683E" w14:textId="77777777" w:rsidR="00455D0D" w:rsidRPr="00492F81"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492F81" w14:paraId="0EDEA811" w14:textId="77777777" w:rsidTr="00D819DE">
        <w:trPr>
          <w:trHeight w:val="238"/>
        </w:trPr>
        <w:tc>
          <w:tcPr>
            <w:tcW w:w="9039" w:type="dxa"/>
            <w:gridSpan w:val="2"/>
            <w:shd w:val="clear" w:color="auto" w:fill="D9D9D9" w:themeFill="background1" w:themeFillShade="D9"/>
          </w:tcPr>
          <w:p w14:paraId="6E1DF8CC" w14:textId="77777777" w:rsidR="00455D0D" w:rsidRPr="00492F81" w:rsidRDefault="00455D0D" w:rsidP="00A801FB">
            <w:pPr>
              <w:keepNext/>
              <w:autoSpaceDE w:val="0"/>
              <w:autoSpaceDN w:val="0"/>
              <w:adjustRightInd w:val="0"/>
              <w:rPr>
                <w:rFonts w:ascii="Times New Roman" w:hAnsi="Times New Roman" w:cs="Times New Roman"/>
                <w:b/>
                <w:sz w:val="24"/>
              </w:rPr>
            </w:pPr>
            <w:r w:rsidRPr="00492F81">
              <w:rPr>
                <w:rFonts w:ascii="Times New Roman" w:hAnsi="Times New Roman"/>
                <w:b/>
                <w:sz w:val="24"/>
              </w:rPr>
              <w:lastRenderedPageBreak/>
              <w:t>Riferimenti giuridici e istruzioni</w:t>
            </w:r>
          </w:p>
        </w:tc>
      </w:tr>
      <w:tr w:rsidR="00455D0D" w:rsidRPr="00492F81" w14:paraId="40DA12F8" w14:textId="77777777" w:rsidTr="00D819DE">
        <w:trPr>
          <w:trHeight w:val="238"/>
        </w:trPr>
        <w:tc>
          <w:tcPr>
            <w:tcW w:w="1384" w:type="dxa"/>
            <w:shd w:val="clear" w:color="auto" w:fill="D9D9D9" w:themeFill="background1" w:themeFillShade="D9"/>
          </w:tcPr>
          <w:p w14:paraId="0EE254B1" w14:textId="2F818872" w:rsidR="00455D0D" w:rsidRPr="00492F81" w:rsidRDefault="00455D0D" w:rsidP="00D819DE">
            <w:pPr>
              <w:autoSpaceDE w:val="0"/>
              <w:autoSpaceDN w:val="0"/>
              <w:adjustRightInd w:val="0"/>
              <w:rPr>
                <w:rFonts w:ascii="Times New Roman" w:hAnsi="Times New Roman" w:cs="Times New Roman"/>
                <w:b/>
                <w:sz w:val="24"/>
              </w:rPr>
            </w:pPr>
            <w:r w:rsidRPr="00492F81">
              <w:rPr>
                <w:rFonts w:ascii="Times New Roman" w:hAnsi="Times New Roman"/>
                <w:b/>
                <w:sz w:val="24"/>
              </w:rPr>
              <w:t xml:space="preserve">Numero </w:t>
            </w:r>
            <w:r w:rsidR="00466500" w:rsidRPr="00492F81">
              <w:rPr>
                <w:rFonts w:ascii="Times New Roman" w:hAnsi="Times New Roman"/>
                <w:b/>
                <w:sz w:val="24"/>
              </w:rPr>
              <w:br/>
            </w:r>
            <w:r w:rsidRPr="00492F81">
              <w:rPr>
                <w:rFonts w:ascii="Times New Roman" w:hAnsi="Times New Roman"/>
                <w:b/>
                <w:sz w:val="24"/>
              </w:rPr>
              <w:t>di colonna</w:t>
            </w:r>
          </w:p>
        </w:tc>
        <w:tc>
          <w:tcPr>
            <w:tcW w:w="7655" w:type="dxa"/>
            <w:shd w:val="clear" w:color="auto" w:fill="D9D9D9" w:themeFill="background1" w:themeFillShade="D9"/>
          </w:tcPr>
          <w:p w14:paraId="1BD7CCD7" w14:textId="77777777" w:rsidR="00455D0D" w:rsidRPr="00492F81" w:rsidRDefault="00455D0D" w:rsidP="00D819DE">
            <w:pPr>
              <w:autoSpaceDE w:val="0"/>
              <w:autoSpaceDN w:val="0"/>
              <w:adjustRightInd w:val="0"/>
              <w:rPr>
                <w:rFonts w:ascii="Times New Roman" w:hAnsi="Times New Roman" w:cs="Times New Roman"/>
                <w:b/>
                <w:sz w:val="24"/>
              </w:rPr>
            </w:pPr>
            <w:r w:rsidRPr="00492F81">
              <w:rPr>
                <w:rFonts w:ascii="Times New Roman" w:hAnsi="Times New Roman"/>
                <w:b/>
                <w:sz w:val="24"/>
              </w:rPr>
              <w:t>Spiegazione</w:t>
            </w:r>
          </w:p>
        </w:tc>
      </w:tr>
      <w:tr w:rsidR="00455D0D" w:rsidRPr="00492F81" w14:paraId="2CFE33C2" w14:textId="77777777" w:rsidTr="00D819DE">
        <w:trPr>
          <w:trHeight w:val="841"/>
        </w:trPr>
        <w:tc>
          <w:tcPr>
            <w:tcW w:w="1384" w:type="dxa"/>
          </w:tcPr>
          <w:p w14:paraId="09169D26" w14:textId="77777777" w:rsidR="00455D0D" w:rsidRPr="00492F81" w:rsidRDefault="00455D0D" w:rsidP="00D819DE">
            <w:pPr>
              <w:pStyle w:val="Applicationdirecte"/>
              <w:spacing w:before="120"/>
            </w:pPr>
            <w:r w:rsidRPr="00492F81">
              <w:t>a</w:t>
            </w:r>
          </w:p>
        </w:tc>
        <w:tc>
          <w:tcPr>
            <w:tcW w:w="7655" w:type="dxa"/>
          </w:tcPr>
          <w:p w14:paraId="4397613E" w14:textId="77777777" w:rsidR="00455D0D" w:rsidRPr="00492F81" w:rsidRDefault="00455D0D" w:rsidP="00D819DE">
            <w:pPr>
              <w:autoSpaceDE w:val="0"/>
              <w:autoSpaceDN w:val="0"/>
              <w:adjustRightInd w:val="0"/>
              <w:spacing w:before="120" w:after="120"/>
              <w:rPr>
                <w:rFonts w:ascii="Times New Roman" w:hAnsi="Times New Roman" w:cs="Times New Roman"/>
                <w:sz w:val="24"/>
              </w:rPr>
            </w:pPr>
            <w:r w:rsidRPr="00492F81">
              <w:rPr>
                <w:rFonts w:ascii="Times New Roman" w:hAnsi="Times New Roman"/>
                <w:b/>
                <w:sz w:val="24"/>
              </w:rPr>
              <w:t>Valore delle esposizioni creditizie generiche secondo il metodo standardizzato</w:t>
            </w:r>
          </w:p>
          <w:p w14:paraId="217A6855" w14:textId="08A096D7" w:rsidR="00455D0D" w:rsidRPr="00492F81" w:rsidRDefault="00455D0D" w:rsidP="00D819DE">
            <w:pPr>
              <w:pStyle w:val="Fait"/>
              <w:spacing w:after="120"/>
            </w:pPr>
            <w:r w:rsidRPr="00492F81">
              <w:t>Valore delle esposizioni creditizie rilevanti determinato conformemente all</w:t>
            </w:r>
            <w:r w:rsidR="00A801FB" w:rsidRPr="00492F81">
              <w:t>'</w:t>
            </w:r>
            <w:r w:rsidRPr="00492F81">
              <w:t>articolo 140, paragrafo 4, lettera a), della CRD e all</w:t>
            </w:r>
            <w:r w:rsidR="00A801FB" w:rsidRPr="00492F81">
              <w:t>'</w:t>
            </w:r>
            <w:r w:rsidRPr="00492F81">
              <w:t>articolo 111 del CRR.</w:t>
            </w:r>
          </w:p>
          <w:p w14:paraId="7001526D" w14:textId="3315171B" w:rsidR="00455D0D" w:rsidRPr="00492F81" w:rsidRDefault="00455D0D" w:rsidP="00D819DE">
            <w:pPr>
              <w:pStyle w:val="Fait"/>
              <w:spacing w:after="120"/>
            </w:pPr>
            <w:r w:rsidRPr="00492F81">
              <w:t>Il valore delle esposizioni creditizie rilevanti è determinato conformemente all</w:t>
            </w:r>
            <w:r w:rsidR="00A801FB" w:rsidRPr="00492F81">
              <w:t>'</w:t>
            </w:r>
            <w:r w:rsidRPr="00492F81">
              <w:t>articolo 140, paragrafo 4, lettera c), della CRD e all</w:t>
            </w:r>
            <w:r w:rsidR="00A801FB" w:rsidRPr="00492F81">
              <w:t>'</w:t>
            </w:r>
            <w:r w:rsidRPr="00492F81">
              <w:t>articolo 248, lettere a) e c), del CRR, non è incluso qui ma nella colonna e di questo modello.</w:t>
            </w:r>
          </w:p>
          <w:p w14:paraId="7DC41FB9" w14:textId="3D86D9F2" w:rsidR="00455D0D" w:rsidRPr="00492F81" w:rsidRDefault="00455D0D" w:rsidP="00D819DE">
            <w:pPr>
              <w:pStyle w:val="Fait"/>
              <w:spacing w:after="120"/>
            </w:pPr>
            <w:r w:rsidRPr="00492F81">
              <w:t xml:space="preserve">La ripartizione geografica è effettuata conformemente al regolamento delegato (UE) </w:t>
            </w:r>
            <w:r w:rsidR="00A801FB" w:rsidRPr="00492F81">
              <w:t>n. </w:t>
            </w:r>
            <w:r w:rsidRPr="00492F81">
              <w:t xml:space="preserve">1152/2014 della Commissione. </w:t>
            </w:r>
          </w:p>
          <w:p w14:paraId="6801ED6C" w14:textId="09B5F2C7" w:rsidR="00455D0D" w:rsidRPr="00492F81" w:rsidRDefault="00455D0D" w:rsidP="00D819DE">
            <w:pPr>
              <w:pStyle w:val="Fait"/>
              <w:spacing w:after="120"/>
            </w:pPr>
            <w:r w:rsidRPr="00492F81">
              <w:t>Riga 020 (totale): la somma delle esposizioni creditizie rilevanti è determinata conformemente all</w:t>
            </w:r>
            <w:r w:rsidR="00A801FB" w:rsidRPr="00492F81">
              <w:t>'</w:t>
            </w:r>
            <w:r w:rsidRPr="00492F81">
              <w:t>articolo 140, paragrafo 4, lettera</w:t>
            </w:r>
            <w:r w:rsidR="00A801FB" w:rsidRPr="00492F81">
              <w:t> </w:t>
            </w:r>
            <w:r w:rsidRPr="00492F81">
              <w:t>a), della CRD e all</w:t>
            </w:r>
            <w:r w:rsidR="00A801FB" w:rsidRPr="00492F81">
              <w:t>'</w:t>
            </w:r>
            <w:r w:rsidRPr="00492F81">
              <w:t>articolo 111 del CRR.</w:t>
            </w:r>
          </w:p>
        </w:tc>
      </w:tr>
      <w:tr w:rsidR="00455D0D" w:rsidRPr="00492F81" w14:paraId="3E403FD1" w14:textId="77777777" w:rsidTr="00D819DE">
        <w:trPr>
          <w:trHeight w:val="841"/>
        </w:trPr>
        <w:tc>
          <w:tcPr>
            <w:tcW w:w="1384" w:type="dxa"/>
          </w:tcPr>
          <w:p w14:paraId="2F14660E" w14:textId="77777777" w:rsidR="00455D0D" w:rsidRPr="00492F81" w:rsidRDefault="00455D0D" w:rsidP="00D819DE">
            <w:pPr>
              <w:pStyle w:val="Applicationdirecte"/>
              <w:spacing w:before="120"/>
            </w:pPr>
            <w:r w:rsidRPr="00492F81">
              <w:t>b</w:t>
            </w:r>
          </w:p>
        </w:tc>
        <w:tc>
          <w:tcPr>
            <w:tcW w:w="7655" w:type="dxa"/>
          </w:tcPr>
          <w:p w14:paraId="3C9BF2FD" w14:textId="77777777"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b/>
                <w:sz w:val="24"/>
              </w:rPr>
              <w:t>Valore delle esposizioni creditizie generiche secondo il metodo IRB</w:t>
            </w:r>
          </w:p>
          <w:p w14:paraId="45C5ADD3" w14:textId="3EB2B14C" w:rsidR="00455D0D" w:rsidRPr="00492F8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492F81">
              <w:rPr>
                <w:rFonts w:ascii="Times New Roman" w:hAnsi="Times New Roman"/>
                <w:sz w:val="24"/>
              </w:rPr>
              <w:t>Valore delle esposizioni creditizie rilevanti determinato conformemente all</w:t>
            </w:r>
            <w:r w:rsidR="00A801FB" w:rsidRPr="00492F81">
              <w:rPr>
                <w:rFonts w:ascii="Times New Roman" w:hAnsi="Times New Roman"/>
                <w:sz w:val="24"/>
              </w:rPr>
              <w:t>'</w:t>
            </w:r>
            <w:r w:rsidRPr="00492F81">
              <w:rPr>
                <w:rFonts w:ascii="Times New Roman" w:hAnsi="Times New Roman"/>
                <w:sz w:val="24"/>
              </w:rPr>
              <w:t>articolo 140, paragrafo 4, lettera a), della CRD e agli articoli 166, 167 e 168 del CRR.</w:t>
            </w:r>
          </w:p>
          <w:p w14:paraId="4BAA504B" w14:textId="606A4565" w:rsidR="00455D0D" w:rsidRPr="00492F81" w:rsidRDefault="00455D0D" w:rsidP="00D819DE">
            <w:pPr>
              <w:pStyle w:val="Fait"/>
              <w:spacing w:after="120"/>
            </w:pPr>
            <w:r w:rsidRPr="00492F81">
              <w:t>Il valore delle esposizioni creditizie rilevanti determinato conformemente all</w:t>
            </w:r>
            <w:r w:rsidR="00A801FB" w:rsidRPr="00492F81">
              <w:t>'</w:t>
            </w:r>
            <w:r w:rsidRPr="00492F81">
              <w:t>articolo 140, paragrafo 4, lettera c), della CRD e all</w:t>
            </w:r>
            <w:r w:rsidR="00A801FB" w:rsidRPr="00492F81">
              <w:t>'</w:t>
            </w:r>
            <w:r w:rsidRPr="00492F81">
              <w:t>articolo 248, lettere a) e c), del CRR non è incluso qui ma nella colonna e di questo modello.</w:t>
            </w:r>
          </w:p>
          <w:p w14:paraId="5FD72283" w14:textId="0C25139D"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 xml:space="preserve">La ripartizione geografica è effettuata conformemente al regolamento delegato (UE) </w:t>
            </w:r>
            <w:r w:rsidR="00A801FB" w:rsidRPr="00492F81">
              <w:rPr>
                <w:rFonts w:ascii="Times New Roman" w:hAnsi="Times New Roman"/>
                <w:sz w:val="24"/>
              </w:rPr>
              <w:t>n. </w:t>
            </w:r>
            <w:r w:rsidRPr="00492F81">
              <w:rPr>
                <w:rFonts w:ascii="Times New Roman" w:hAnsi="Times New Roman"/>
                <w:sz w:val="24"/>
              </w:rPr>
              <w:t>1152/2014 della Commissione.</w:t>
            </w:r>
          </w:p>
          <w:p w14:paraId="5B53F08D" w14:textId="4D49AE6F" w:rsidR="00455D0D" w:rsidRPr="00492F81" w:rsidRDefault="00455D0D" w:rsidP="00D819DE">
            <w:pPr>
              <w:autoSpaceDE w:val="0"/>
              <w:autoSpaceDN w:val="0"/>
              <w:adjustRightInd w:val="0"/>
              <w:spacing w:before="120" w:after="120"/>
              <w:jc w:val="both"/>
              <w:rPr>
                <w:rFonts w:ascii="Times New Roman" w:hAnsi="Times New Roman" w:cs="Times New Roman"/>
                <w:b/>
                <w:sz w:val="24"/>
              </w:rPr>
            </w:pPr>
            <w:r w:rsidRPr="00492F81">
              <w:rPr>
                <w:rFonts w:ascii="Times New Roman" w:hAnsi="Times New Roman"/>
                <w:sz w:val="24"/>
              </w:rPr>
              <w:t>Riga 020 (totale): la somma delle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 140, paragrafo 4, lettera</w:t>
            </w:r>
            <w:r w:rsidR="00A801FB" w:rsidRPr="00492F81">
              <w:rPr>
                <w:rFonts w:ascii="Times New Roman" w:hAnsi="Times New Roman"/>
                <w:sz w:val="24"/>
              </w:rPr>
              <w:t> </w:t>
            </w:r>
            <w:r w:rsidRPr="00492F81">
              <w:rPr>
                <w:rFonts w:ascii="Times New Roman" w:hAnsi="Times New Roman"/>
                <w:sz w:val="24"/>
              </w:rPr>
              <w:t>a), della CRD e agli articoli 166, 167 e 168 del CRR.</w:t>
            </w:r>
          </w:p>
        </w:tc>
      </w:tr>
      <w:tr w:rsidR="00455D0D" w:rsidRPr="00492F81" w14:paraId="2FD82798" w14:textId="77777777" w:rsidTr="00D819DE">
        <w:trPr>
          <w:trHeight w:val="316"/>
        </w:trPr>
        <w:tc>
          <w:tcPr>
            <w:tcW w:w="1384" w:type="dxa"/>
          </w:tcPr>
          <w:p w14:paraId="41DD12A9" w14:textId="77777777" w:rsidR="00455D0D" w:rsidRPr="00492F81" w:rsidRDefault="00455D0D" w:rsidP="00D819DE">
            <w:pPr>
              <w:autoSpaceDE w:val="0"/>
              <w:autoSpaceDN w:val="0"/>
              <w:adjustRightInd w:val="0"/>
              <w:jc w:val="both"/>
              <w:rPr>
                <w:rFonts w:ascii="Times New Roman" w:hAnsi="Times New Roman" w:cs="Times New Roman"/>
                <w:color w:val="000000"/>
                <w:sz w:val="24"/>
              </w:rPr>
            </w:pPr>
            <w:r w:rsidRPr="00492F81">
              <w:rPr>
                <w:rFonts w:ascii="Times New Roman" w:hAnsi="Times New Roman"/>
                <w:sz w:val="24"/>
              </w:rPr>
              <w:t xml:space="preserve">c </w:t>
            </w:r>
          </w:p>
        </w:tc>
        <w:tc>
          <w:tcPr>
            <w:tcW w:w="7655" w:type="dxa"/>
          </w:tcPr>
          <w:p w14:paraId="5921C026" w14:textId="77777777" w:rsidR="00455D0D" w:rsidRPr="00492F81" w:rsidRDefault="00455D0D" w:rsidP="00D819DE">
            <w:pPr>
              <w:autoSpaceDE w:val="0"/>
              <w:autoSpaceDN w:val="0"/>
              <w:adjustRightInd w:val="0"/>
              <w:spacing w:before="120" w:after="120"/>
              <w:jc w:val="both"/>
              <w:rPr>
                <w:rFonts w:ascii="Times New Roman" w:hAnsi="Times New Roman" w:cs="Times New Roman"/>
                <w:b/>
                <w:sz w:val="24"/>
              </w:rPr>
            </w:pPr>
            <w:r w:rsidRPr="00492F81">
              <w:rPr>
                <w:rFonts w:ascii="Times New Roman" w:hAnsi="Times New Roman"/>
                <w:b/>
                <w:sz w:val="24"/>
              </w:rPr>
              <w:t>Somma delle posizioni lunghe e corte delle esposizioni contenute nel portafoglio di negoziazione secondo il metodo standardizzato</w:t>
            </w:r>
          </w:p>
          <w:p w14:paraId="7ED55B13" w14:textId="6EFC5E08"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Somma delle posizioni lunghe e corte delle esposizioni creditizie rilevanti determinate conformemente all</w:t>
            </w:r>
            <w:r w:rsidR="00A801FB" w:rsidRPr="00492F81">
              <w:rPr>
                <w:rFonts w:ascii="Times New Roman" w:hAnsi="Times New Roman"/>
                <w:sz w:val="24"/>
              </w:rPr>
              <w:t>'</w:t>
            </w:r>
            <w:r w:rsidRPr="00492F81">
              <w:rPr>
                <w:rFonts w:ascii="Times New Roman" w:hAnsi="Times New Roman"/>
                <w:sz w:val="24"/>
              </w:rPr>
              <w:t>articolo</w:t>
            </w:r>
            <w:r w:rsidR="00A801FB" w:rsidRPr="00492F81">
              <w:rPr>
                <w:rFonts w:ascii="Times New Roman" w:hAnsi="Times New Roman"/>
                <w:sz w:val="24"/>
              </w:rPr>
              <w:t> </w:t>
            </w:r>
            <w:r w:rsidRPr="00492F81">
              <w:rPr>
                <w:rFonts w:ascii="Times New Roman" w:hAnsi="Times New Roman"/>
                <w:sz w:val="24"/>
              </w:rPr>
              <w:t>140, paragrafo</w:t>
            </w:r>
            <w:r w:rsidR="00A801FB" w:rsidRPr="00492F81">
              <w:rPr>
                <w:rFonts w:ascii="Times New Roman" w:hAnsi="Times New Roman"/>
                <w:sz w:val="24"/>
              </w:rPr>
              <w:t> </w:t>
            </w:r>
            <w:r w:rsidRPr="00492F81">
              <w:rPr>
                <w:rFonts w:ascii="Times New Roman" w:hAnsi="Times New Roman"/>
                <w:sz w:val="24"/>
              </w:rPr>
              <w:t>4, lettera</w:t>
            </w:r>
            <w:r w:rsidR="00A801FB" w:rsidRPr="00492F81">
              <w:rPr>
                <w:rFonts w:ascii="Times New Roman" w:hAnsi="Times New Roman"/>
                <w:sz w:val="24"/>
              </w:rPr>
              <w:t> </w:t>
            </w:r>
            <w:r w:rsidRPr="00492F81">
              <w:rPr>
                <w:rFonts w:ascii="Times New Roman" w:hAnsi="Times New Roman"/>
                <w:sz w:val="24"/>
              </w:rPr>
              <w:t>b), della CRD, equivalente alla somma delle posizioni lunghe e corte determinata a norma dell</w:t>
            </w:r>
            <w:r w:rsidR="00A801FB" w:rsidRPr="00492F81">
              <w:rPr>
                <w:rFonts w:ascii="Times New Roman" w:hAnsi="Times New Roman"/>
                <w:sz w:val="24"/>
              </w:rPr>
              <w:t>'</w:t>
            </w:r>
            <w:r w:rsidRPr="00492F81">
              <w:rPr>
                <w:rFonts w:ascii="Times New Roman" w:hAnsi="Times New Roman"/>
                <w:sz w:val="24"/>
              </w:rPr>
              <w:t>articolo 327 del CRR.</w:t>
            </w:r>
          </w:p>
          <w:p w14:paraId="5A13EFF9" w14:textId="6E6160BD"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 xml:space="preserve">La ripartizione geografica è effettuata conformemente al regolamento delegato (UE) </w:t>
            </w:r>
            <w:r w:rsidR="00A801FB" w:rsidRPr="00492F81">
              <w:rPr>
                <w:rFonts w:ascii="Times New Roman" w:hAnsi="Times New Roman"/>
                <w:sz w:val="24"/>
              </w:rPr>
              <w:t>n. </w:t>
            </w:r>
            <w:r w:rsidRPr="00492F81">
              <w:rPr>
                <w:rFonts w:ascii="Times New Roman" w:hAnsi="Times New Roman"/>
                <w:sz w:val="24"/>
              </w:rPr>
              <w:t>1152/2014 della Commissione.</w:t>
            </w:r>
          </w:p>
          <w:p w14:paraId="49E9F7E7" w14:textId="78A6F8B2"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Riga 020 (totale): la somma di tutte le posizioni lunghe e corte delle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 140, paragrafo 4, lettera b), della CRD, equivalente alla somma delle posizioni lunghe e corte determinata a norma dell</w:t>
            </w:r>
            <w:r w:rsidR="00A801FB" w:rsidRPr="00492F81">
              <w:rPr>
                <w:rFonts w:ascii="Times New Roman" w:hAnsi="Times New Roman"/>
                <w:sz w:val="24"/>
              </w:rPr>
              <w:t>'</w:t>
            </w:r>
            <w:r w:rsidRPr="00492F81">
              <w:rPr>
                <w:rFonts w:ascii="Times New Roman" w:hAnsi="Times New Roman"/>
                <w:sz w:val="24"/>
              </w:rPr>
              <w:t>articolo 327 del CRR.</w:t>
            </w:r>
          </w:p>
        </w:tc>
      </w:tr>
      <w:tr w:rsidR="00455D0D" w:rsidRPr="00492F81" w14:paraId="6BD777EC" w14:textId="77777777" w:rsidTr="00D819DE">
        <w:trPr>
          <w:trHeight w:val="316"/>
        </w:trPr>
        <w:tc>
          <w:tcPr>
            <w:tcW w:w="1384" w:type="dxa"/>
          </w:tcPr>
          <w:p w14:paraId="1273C16C" w14:textId="77777777" w:rsidR="00455D0D" w:rsidRPr="00492F81" w:rsidRDefault="00455D0D" w:rsidP="00A801FB">
            <w:pPr>
              <w:keepNext/>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lastRenderedPageBreak/>
              <w:t>d</w:t>
            </w:r>
          </w:p>
        </w:tc>
        <w:tc>
          <w:tcPr>
            <w:tcW w:w="7655" w:type="dxa"/>
          </w:tcPr>
          <w:p w14:paraId="7DCFFF7B" w14:textId="77777777" w:rsidR="00455D0D" w:rsidRPr="00492F81" w:rsidRDefault="00455D0D" w:rsidP="00A801FB">
            <w:pPr>
              <w:keepNext/>
              <w:autoSpaceDE w:val="0"/>
              <w:autoSpaceDN w:val="0"/>
              <w:adjustRightInd w:val="0"/>
              <w:spacing w:before="120" w:after="120"/>
              <w:jc w:val="both"/>
              <w:rPr>
                <w:rFonts w:ascii="Times New Roman" w:hAnsi="Times New Roman" w:cs="Times New Roman"/>
                <w:b/>
                <w:sz w:val="24"/>
              </w:rPr>
            </w:pPr>
            <w:r w:rsidRPr="00492F81">
              <w:rPr>
                <w:rFonts w:ascii="Times New Roman" w:hAnsi="Times New Roman"/>
                <w:b/>
                <w:sz w:val="24"/>
              </w:rPr>
              <w:t>Valore delle esposizioni nel portafoglio di negoziazione secondo i modelli interni</w:t>
            </w:r>
          </w:p>
          <w:p w14:paraId="2F891B2E" w14:textId="77777777" w:rsidR="00455D0D" w:rsidRPr="00492F81" w:rsidRDefault="00455D0D" w:rsidP="00A801FB">
            <w:pPr>
              <w:keepNext/>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Somma delle voci seguenti:</w:t>
            </w:r>
          </w:p>
          <w:p w14:paraId="39E4732D" w14:textId="1F749A3C" w:rsidR="00455D0D" w:rsidRPr="00492F81" w:rsidRDefault="00455D0D" w:rsidP="00A801FB">
            <w:pPr>
              <w:pStyle w:val="ListParagraph"/>
              <w:keepNext/>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492F81">
              <w:rPr>
                <w:rFonts w:ascii="Times New Roman" w:hAnsi="Times New Roman"/>
                <w:sz w:val="24"/>
              </w:rPr>
              <w:t>il valore equo delle posizioni per cassa che rappresentano esposizioni creditizie rilevanti conformemente all</w:t>
            </w:r>
            <w:r w:rsidR="00A801FB" w:rsidRPr="00492F81">
              <w:rPr>
                <w:rFonts w:ascii="Times New Roman" w:hAnsi="Times New Roman"/>
                <w:sz w:val="24"/>
              </w:rPr>
              <w:t>'</w:t>
            </w:r>
            <w:r w:rsidRPr="00492F81">
              <w:rPr>
                <w:rFonts w:ascii="Times New Roman" w:hAnsi="Times New Roman"/>
                <w:sz w:val="24"/>
              </w:rPr>
              <w:t>articolo</w:t>
            </w:r>
            <w:r w:rsidR="00A801FB" w:rsidRPr="00492F81">
              <w:rPr>
                <w:rFonts w:ascii="Times New Roman" w:hAnsi="Times New Roman"/>
                <w:sz w:val="24"/>
              </w:rPr>
              <w:t> </w:t>
            </w:r>
            <w:r w:rsidRPr="00492F81">
              <w:rPr>
                <w:rFonts w:ascii="Times New Roman" w:hAnsi="Times New Roman"/>
                <w:sz w:val="24"/>
              </w:rPr>
              <w:t>140, paragrafo 4, lettera b), della CRD e all</w:t>
            </w:r>
            <w:r w:rsidR="00A801FB" w:rsidRPr="00492F81">
              <w:rPr>
                <w:rFonts w:ascii="Times New Roman" w:hAnsi="Times New Roman"/>
                <w:sz w:val="24"/>
              </w:rPr>
              <w:t>'</w:t>
            </w:r>
            <w:r w:rsidRPr="00492F81">
              <w:rPr>
                <w:rFonts w:ascii="Times New Roman" w:hAnsi="Times New Roman"/>
                <w:sz w:val="24"/>
              </w:rPr>
              <w:t>articolo 104 del CRR;</w:t>
            </w:r>
          </w:p>
          <w:p w14:paraId="0C23596C" w14:textId="47AF87B6" w:rsidR="00455D0D" w:rsidRPr="00492F81" w:rsidRDefault="00455D0D" w:rsidP="00A801FB">
            <w:pPr>
              <w:pStyle w:val="ListParagraph"/>
              <w:keepNext/>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492F81">
              <w:rPr>
                <w:rFonts w:ascii="Times New Roman" w:hAnsi="Times New Roman"/>
                <w:sz w:val="24"/>
              </w:rPr>
              <w:t>il valore nozionale dei derivati che rappresentano esposizioni creditizie rilevanti conformemente all</w:t>
            </w:r>
            <w:r w:rsidR="00A801FB" w:rsidRPr="00492F81">
              <w:rPr>
                <w:rFonts w:ascii="Times New Roman" w:hAnsi="Times New Roman"/>
                <w:sz w:val="24"/>
              </w:rPr>
              <w:t>'</w:t>
            </w:r>
            <w:r w:rsidRPr="00492F81">
              <w:rPr>
                <w:rFonts w:ascii="Times New Roman" w:hAnsi="Times New Roman"/>
                <w:sz w:val="24"/>
              </w:rPr>
              <w:t>articolo</w:t>
            </w:r>
            <w:r w:rsidR="00A801FB" w:rsidRPr="00492F81">
              <w:rPr>
                <w:rFonts w:ascii="Times New Roman" w:hAnsi="Times New Roman"/>
                <w:sz w:val="24"/>
              </w:rPr>
              <w:t> </w:t>
            </w:r>
            <w:r w:rsidRPr="00492F81">
              <w:rPr>
                <w:rFonts w:ascii="Times New Roman" w:hAnsi="Times New Roman"/>
                <w:sz w:val="24"/>
              </w:rPr>
              <w:t>140, paragrafo</w:t>
            </w:r>
            <w:r w:rsidR="00A801FB" w:rsidRPr="00492F81">
              <w:rPr>
                <w:rFonts w:ascii="Times New Roman" w:hAnsi="Times New Roman"/>
                <w:sz w:val="24"/>
              </w:rPr>
              <w:t> </w:t>
            </w:r>
            <w:r w:rsidRPr="00492F81">
              <w:rPr>
                <w:rFonts w:ascii="Times New Roman" w:hAnsi="Times New Roman"/>
                <w:sz w:val="24"/>
              </w:rPr>
              <w:t>4, lettera b), della CRD.</w:t>
            </w:r>
          </w:p>
          <w:p w14:paraId="432A3011" w14:textId="4A40D391" w:rsidR="00455D0D" w:rsidRPr="00492F81" w:rsidRDefault="00455D0D" w:rsidP="00A801FB">
            <w:pPr>
              <w:keepNext/>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 xml:space="preserve">La ripartizione geografica è effettuata conformemente al regolamento delegato (UE) </w:t>
            </w:r>
            <w:r w:rsidR="00A801FB" w:rsidRPr="00492F81">
              <w:rPr>
                <w:rFonts w:ascii="Times New Roman" w:hAnsi="Times New Roman"/>
                <w:sz w:val="24"/>
              </w:rPr>
              <w:t>n. </w:t>
            </w:r>
            <w:r w:rsidRPr="00492F81">
              <w:rPr>
                <w:rFonts w:ascii="Times New Roman" w:hAnsi="Times New Roman"/>
                <w:sz w:val="24"/>
              </w:rPr>
              <w:t>1152/2014 della Commissione.</w:t>
            </w:r>
          </w:p>
          <w:p w14:paraId="4482DFFB" w14:textId="035407C7" w:rsidR="00455D0D" w:rsidRPr="00492F81" w:rsidRDefault="00455D0D" w:rsidP="00A801FB">
            <w:pPr>
              <w:keepNext/>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Riga 020 (totale): la somma del valore equo di tutte le posizioni per cassa che rappresentano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 140, paragrafo 4, lettera b), della CRD e all</w:t>
            </w:r>
            <w:r w:rsidR="00A801FB" w:rsidRPr="00492F81">
              <w:rPr>
                <w:rFonts w:ascii="Times New Roman" w:hAnsi="Times New Roman"/>
                <w:sz w:val="24"/>
              </w:rPr>
              <w:t>'</w:t>
            </w:r>
            <w:r w:rsidRPr="00492F81">
              <w:rPr>
                <w:rFonts w:ascii="Times New Roman" w:hAnsi="Times New Roman"/>
                <w:sz w:val="24"/>
              </w:rPr>
              <w:t>articolo 104 del CRR, e la somma del valore nozionale di tutti i derivati che rappresentano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w:t>
            </w:r>
            <w:r w:rsidR="00A801FB" w:rsidRPr="00492F81">
              <w:rPr>
                <w:rFonts w:ascii="Times New Roman" w:hAnsi="Times New Roman"/>
                <w:sz w:val="24"/>
              </w:rPr>
              <w:t> </w:t>
            </w:r>
            <w:r w:rsidRPr="00492F81">
              <w:rPr>
                <w:rFonts w:ascii="Times New Roman" w:hAnsi="Times New Roman"/>
                <w:sz w:val="24"/>
              </w:rPr>
              <w:t>140, paragrafo 4, lettera b), della CRD.</w:t>
            </w:r>
          </w:p>
        </w:tc>
      </w:tr>
      <w:tr w:rsidR="00455D0D" w:rsidRPr="00492F81" w14:paraId="0B1D7D40" w14:textId="77777777" w:rsidTr="00D819DE">
        <w:trPr>
          <w:trHeight w:val="316"/>
        </w:trPr>
        <w:tc>
          <w:tcPr>
            <w:tcW w:w="1384" w:type="dxa"/>
          </w:tcPr>
          <w:p w14:paraId="44208D79"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t>e</w:t>
            </w:r>
          </w:p>
        </w:tc>
        <w:tc>
          <w:tcPr>
            <w:tcW w:w="7655" w:type="dxa"/>
          </w:tcPr>
          <w:p w14:paraId="2FE034CC" w14:textId="5135CCFF" w:rsidR="00455D0D" w:rsidRPr="00492F81" w:rsidRDefault="00455D0D" w:rsidP="00D819DE">
            <w:pPr>
              <w:autoSpaceDE w:val="0"/>
              <w:autoSpaceDN w:val="0"/>
              <w:adjustRightInd w:val="0"/>
              <w:spacing w:before="120" w:after="120"/>
              <w:jc w:val="both"/>
              <w:rPr>
                <w:rFonts w:ascii="Times New Roman" w:hAnsi="Times New Roman" w:cs="Times New Roman"/>
                <w:b/>
                <w:sz w:val="24"/>
              </w:rPr>
            </w:pPr>
            <w:r w:rsidRPr="00492F81">
              <w:rPr>
                <w:rFonts w:ascii="Times New Roman" w:hAnsi="Times New Roman"/>
                <w:b/>
                <w:sz w:val="24"/>
              </w:rPr>
              <w:t>Valore dell</w:t>
            </w:r>
            <w:r w:rsidR="00A801FB" w:rsidRPr="00492F81">
              <w:rPr>
                <w:rFonts w:ascii="Times New Roman" w:hAnsi="Times New Roman"/>
                <w:b/>
                <w:sz w:val="24"/>
              </w:rPr>
              <w:t>'</w:t>
            </w:r>
            <w:r w:rsidRPr="00492F81">
              <w:rPr>
                <w:rFonts w:ascii="Times New Roman" w:hAnsi="Times New Roman"/>
                <w:b/>
                <w:sz w:val="24"/>
              </w:rPr>
              <w:t>esposizione delle esposizioni verso la cartolarizzazione esterne al portafoglio di negoziazione</w:t>
            </w:r>
          </w:p>
          <w:p w14:paraId="475647C8" w14:textId="6D212DE7"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Valore delle esposizioni creditizie rilevanti determinato conformemente all</w:t>
            </w:r>
            <w:r w:rsidR="00A801FB" w:rsidRPr="00492F81">
              <w:rPr>
                <w:rFonts w:ascii="Times New Roman" w:hAnsi="Times New Roman"/>
                <w:sz w:val="24"/>
              </w:rPr>
              <w:t>'</w:t>
            </w:r>
            <w:r w:rsidRPr="00492F81">
              <w:rPr>
                <w:rFonts w:ascii="Times New Roman" w:hAnsi="Times New Roman"/>
                <w:sz w:val="24"/>
              </w:rPr>
              <w:t>articolo 140, paragrafo 4, lettera c), della CRD e all</w:t>
            </w:r>
            <w:r w:rsidR="00A801FB" w:rsidRPr="00492F81">
              <w:rPr>
                <w:rFonts w:ascii="Times New Roman" w:hAnsi="Times New Roman"/>
                <w:sz w:val="24"/>
              </w:rPr>
              <w:t>'</w:t>
            </w:r>
            <w:r w:rsidRPr="00492F81">
              <w:rPr>
                <w:rFonts w:ascii="Times New Roman" w:hAnsi="Times New Roman"/>
                <w:sz w:val="24"/>
              </w:rPr>
              <w:t>articolo 248</w:t>
            </w:r>
            <w:r w:rsidR="00DD03C2" w:rsidRPr="00492F81">
              <w:rPr>
                <w:rFonts w:ascii="Times New Roman" w:hAnsi="Times New Roman"/>
                <w:sz w:val="24"/>
              </w:rPr>
              <w:t>,</w:t>
            </w:r>
            <w:r w:rsidRPr="00492F81">
              <w:rPr>
                <w:rFonts w:ascii="Times New Roman" w:hAnsi="Times New Roman"/>
                <w:sz w:val="24"/>
              </w:rPr>
              <w:t xml:space="preserve"> </w:t>
            </w:r>
            <w:r w:rsidR="00DD03C2" w:rsidRPr="00492F81">
              <w:rPr>
                <w:rFonts w:ascii="Times New Roman" w:hAnsi="Times New Roman"/>
                <w:sz w:val="24"/>
              </w:rPr>
              <w:t xml:space="preserve">lettere a) e c), </w:t>
            </w:r>
            <w:r w:rsidRPr="00492F81">
              <w:rPr>
                <w:rFonts w:ascii="Times New Roman" w:hAnsi="Times New Roman"/>
                <w:sz w:val="24"/>
              </w:rPr>
              <w:t>del CRR.</w:t>
            </w:r>
          </w:p>
          <w:p w14:paraId="540C9D0B" w14:textId="2D2CF5F2"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 xml:space="preserve">La ripartizione geografica è effettuata conformemente al regolamento delegato (UE) </w:t>
            </w:r>
            <w:r w:rsidR="00A801FB" w:rsidRPr="00492F81">
              <w:rPr>
                <w:rFonts w:ascii="Times New Roman" w:hAnsi="Times New Roman"/>
                <w:sz w:val="24"/>
              </w:rPr>
              <w:t>n. </w:t>
            </w:r>
            <w:r w:rsidRPr="00492F81">
              <w:rPr>
                <w:rFonts w:ascii="Times New Roman" w:hAnsi="Times New Roman"/>
                <w:sz w:val="24"/>
              </w:rPr>
              <w:t>1152/2014 della Commissione.</w:t>
            </w:r>
          </w:p>
          <w:p w14:paraId="02F1A397" w14:textId="24970B60"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Riga 020 (totale): la somma di tutte le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 140, paragrafo 4, lettera c), della CRD e all</w:t>
            </w:r>
            <w:r w:rsidR="00A801FB" w:rsidRPr="00492F81">
              <w:rPr>
                <w:rFonts w:ascii="Times New Roman" w:hAnsi="Times New Roman"/>
                <w:sz w:val="24"/>
              </w:rPr>
              <w:t>'</w:t>
            </w:r>
            <w:r w:rsidRPr="00492F81">
              <w:rPr>
                <w:rFonts w:ascii="Times New Roman" w:hAnsi="Times New Roman"/>
                <w:sz w:val="24"/>
              </w:rPr>
              <w:t>articolo 248, lettere a) e c), del CRR.</w:t>
            </w:r>
          </w:p>
        </w:tc>
      </w:tr>
      <w:tr w:rsidR="00455D0D" w:rsidRPr="00492F81" w14:paraId="1BCFEC03" w14:textId="77777777" w:rsidTr="00D819DE">
        <w:trPr>
          <w:trHeight w:val="695"/>
        </w:trPr>
        <w:tc>
          <w:tcPr>
            <w:tcW w:w="1384" w:type="dxa"/>
          </w:tcPr>
          <w:p w14:paraId="055AA5DF"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t>f</w:t>
            </w:r>
          </w:p>
        </w:tc>
        <w:tc>
          <w:tcPr>
            <w:tcW w:w="7655" w:type="dxa"/>
          </w:tcPr>
          <w:p w14:paraId="019A072A" w14:textId="71277319" w:rsidR="00455D0D" w:rsidRPr="00492F81" w:rsidRDefault="00455D0D" w:rsidP="00D819DE">
            <w:pPr>
              <w:autoSpaceDE w:val="0"/>
              <w:autoSpaceDN w:val="0"/>
              <w:adjustRightInd w:val="0"/>
              <w:spacing w:before="120" w:after="120"/>
              <w:jc w:val="both"/>
              <w:rPr>
                <w:rFonts w:ascii="Times New Roman" w:hAnsi="Times New Roman" w:cs="Times New Roman"/>
                <w:b/>
                <w:sz w:val="24"/>
              </w:rPr>
            </w:pPr>
            <w:r w:rsidRPr="00492F81">
              <w:rPr>
                <w:rFonts w:ascii="Times New Roman" w:hAnsi="Times New Roman"/>
                <w:b/>
                <w:sz w:val="24"/>
              </w:rPr>
              <w:t>Valore dell</w:t>
            </w:r>
            <w:r w:rsidR="00A801FB" w:rsidRPr="00492F81">
              <w:rPr>
                <w:rFonts w:ascii="Times New Roman" w:hAnsi="Times New Roman"/>
                <w:b/>
                <w:sz w:val="24"/>
              </w:rPr>
              <w:t>'</w:t>
            </w:r>
            <w:r w:rsidRPr="00492F81">
              <w:rPr>
                <w:rFonts w:ascii="Times New Roman" w:hAnsi="Times New Roman"/>
                <w:b/>
                <w:sz w:val="24"/>
              </w:rPr>
              <w:t>esposizione complessiva</w:t>
            </w:r>
          </w:p>
          <w:p w14:paraId="0D119275" w14:textId="77777777" w:rsidR="00455D0D" w:rsidRPr="00492F81" w:rsidRDefault="00455D0D" w:rsidP="00D819DE">
            <w:pPr>
              <w:autoSpaceDE w:val="0"/>
              <w:autoSpaceDN w:val="0"/>
              <w:adjustRightInd w:val="0"/>
              <w:spacing w:before="120" w:after="120"/>
              <w:jc w:val="both"/>
              <w:rPr>
                <w:rFonts w:ascii="Times New Roman" w:hAnsi="Times New Roman"/>
                <w:sz w:val="24"/>
              </w:rPr>
            </w:pPr>
            <w:r w:rsidRPr="00492F81">
              <w:rPr>
                <w:rFonts w:ascii="Times New Roman" w:hAnsi="Times New Roman"/>
                <w:sz w:val="24"/>
              </w:rPr>
              <w:t>Somma degli importi nelle colonne a, b, c, d ed e di questo modello.</w:t>
            </w:r>
          </w:p>
          <w:p w14:paraId="762C47EB" w14:textId="30FFF4EC"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Riga 020 (totale): la somma di tutte le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 140, paragrafo 4, della CRD.</w:t>
            </w:r>
          </w:p>
        </w:tc>
      </w:tr>
      <w:tr w:rsidR="00455D0D" w:rsidRPr="00492F81" w14:paraId="133835DF" w14:textId="77777777" w:rsidTr="00D819DE">
        <w:trPr>
          <w:trHeight w:val="695"/>
        </w:trPr>
        <w:tc>
          <w:tcPr>
            <w:tcW w:w="1384" w:type="dxa"/>
          </w:tcPr>
          <w:p w14:paraId="129DFE24"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t>g</w:t>
            </w:r>
          </w:p>
        </w:tc>
        <w:tc>
          <w:tcPr>
            <w:tcW w:w="7655" w:type="dxa"/>
          </w:tcPr>
          <w:p w14:paraId="522B76C1" w14:textId="77777777"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b/>
                <w:sz w:val="24"/>
              </w:rPr>
              <w:t>Requisiti di fondi propri - Esposizioni creditizie rilevanti - Rischio di credito</w:t>
            </w:r>
          </w:p>
          <w:p w14:paraId="6877B57C" w14:textId="767E5152"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Requisiti di fondi propri per le esposizioni creditizie rilevanti nel paese in questione, determinati conformemente all</w:t>
            </w:r>
            <w:r w:rsidR="00A801FB" w:rsidRPr="00492F81">
              <w:rPr>
                <w:rFonts w:ascii="Times New Roman" w:hAnsi="Times New Roman"/>
                <w:sz w:val="24"/>
              </w:rPr>
              <w:t>'</w:t>
            </w:r>
            <w:r w:rsidRPr="00492F81">
              <w:rPr>
                <w:rFonts w:ascii="Times New Roman" w:hAnsi="Times New Roman"/>
                <w:sz w:val="24"/>
              </w:rPr>
              <w:t>articolo 140, paragrafo 4, lettera a), della CRD e alla parte tre, titolo II, del CRR, tenendo conto dei requisiti di fondi propri connessi a eventuali rettifiche specifiche per paese dei fattori di ponderazione del rischio stabiliti conformemente all</w:t>
            </w:r>
            <w:r w:rsidR="00A801FB" w:rsidRPr="00492F81">
              <w:rPr>
                <w:rFonts w:ascii="Times New Roman" w:hAnsi="Times New Roman"/>
                <w:sz w:val="24"/>
              </w:rPr>
              <w:t>'</w:t>
            </w:r>
            <w:r w:rsidRPr="00492F81">
              <w:rPr>
                <w:rFonts w:ascii="Times New Roman" w:hAnsi="Times New Roman"/>
                <w:sz w:val="24"/>
              </w:rPr>
              <w:t>articolo 458 del CRR.</w:t>
            </w:r>
          </w:p>
          <w:p w14:paraId="537A3B0D" w14:textId="6D8F2777"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Riga 020 (totale): la somma di tutti i requisiti di fondi propri per le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 140, paragrafo 4, lettera a), della CRD e alla parte tre, titolo II, del CRR.</w:t>
            </w:r>
          </w:p>
        </w:tc>
      </w:tr>
      <w:tr w:rsidR="00455D0D" w:rsidRPr="00492F81" w14:paraId="6FF64630" w14:textId="77777777" w:rsidTr="00D819DE">
        <w:trPr>
          <w:trHeight w:val="695"/>
        </w:trPr>
        <w:tc>
          <w:tcPr>
            <w:tcW w:w="1384" w:type="dxa"/>
          </w:tcPr>
          <w:p w14:paraId="6E775ED0"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lastRenderedPageBreak/>
              <w:t>h</w:t>
            </w:r>
          </w:p>
        </w:tc>
        <w:tc>
          <w:tcPr>
            <w:tcW w:w="7655" w:type="dxa"/>
          </w:tcPr>
          <w:p w14:paraId="747D313E" w14:textId="77777777" w:rsidR="00455D0D" w:rsidRPr="00492F81" w:rsidRDefault="00455D0D" w:rsidP="00215EF8">
            <w:pPr>
              <w:autoSpaceDE w:val="0"/>
              <w:autoSpaceDN w:val="0"/>
              <w:adjustRightInd w:val="0"/>
              <w:spacing w:before="60" w:after="120"/>
              <w:jc w:val="both"/>
              <w:rPr>
                <w:rFonts w:ascii="Times New Roman" w:hAnsi="Times New Roman" w:cs="Times New Roman"/>
                <w:sz w:val="24"/>
              </w:rPr>
            </w:pPr>
            <w:r w:rsidRPr="00492F81">
              <w:rPr>
                <w:rFonts w:ascii="Times New Roman" w:hAnsi="Times New Roman"/>
                <w:b/>
                <w:sz w:val="24"/>
              </w:rPr>
              <w:t xml:space="preserve">Requisiti di fondi propri - Esposizioni creditizie rilevanti - Rischio di mercato </w:t>
            </w:r>
          </w:p>
          <w:p w14:paraId="01D71615" w14:textId="541A36EF" w:rsidR="00455D0D" w:rsidRPr="00492F81" w:rsidRDefault="00455D0D" w:rsidP="00215EF8">
            <w:pPr>
              <w:pStyle w:val="Fait"/>
              <w:spacing w:before="80" w:after="80"/>
            </w:pPr>
            <w:r w:rsidRPr="00492F81">
              <w:t>Requisiti di fondi propri per le esposizioni creditizie rilevanti nel paese in questione, determinati conformemente all</w:t>
            </w:r>
            <w:r w:rsidR="00A801FB" w:rsidRPr="00492F81">
              <w:t>'</w:t>
            </w:r>
            <w:r w:rsidRPr="00492F81">
              <w:t>articolo 140, paragrafo 4, lettera b), della CRD e alla parte tre, titolo IV, capo 2, del CRR, per i rischi specifici oppure alla parte tre, titolo IV, capo 5 del CRR, per i rischi incrementali di default e di migrazione.</w:t>
            </w:r>
          </w:p>
          <w:p w14:paraId="3376CF2A" w14:textId="62EF8301" w:rsidR="00455D0D" w:rsidRPr="00492F81" w:rsidRDefault="00455D0D" w:rsidP="00215EF8">
            <w:pPr>
              <w:pStyle w:val="Fait"/>
              <w:spacing w:before="80" w:after="80"/>
            </w:pPr>
            <w:r w:rsidRPr="00492F81">
              <w:t>Riga 020 (totale): la somma di tutti i requisiti di fondi propri per le esposizioni creditizie rilevanti è determinata conformemente all</w:t>
            </w:r>
            <w:r w:rsidR="00A801FB" w:rsidRPr="00492F81">
              <w:t>'</w:t>
            </w:r>
            <w:r w:rsidRPr="00492F81">
              <w:t>articolo 140, paragrafo 4, lettera b), della CRD e alla parte tre, titolo IV, capo 2, del CRR, per i rischi specifici oppure alla parte tre, titolo IV, capo 5 del CRR, per i rischi incrementali di default e di migrazione.</w:t>
            </w:r>
          </w:p>
        </w:tc>
      </w:tr>
      <w:tr w:rsidR="00455D0D" w:rsidRPr="00492F81" w14:paraId="091E5047" w14:textId="77777777" w:rsidTr="00D819DE">
        <w:trPr>
          <w:trHeight w:val="695"/>
        </w:trPr>
        <w:tc>
          <w:tcPr>
            <w:tcW w:w="1384" w:type="dxa"/>
          </w:tcPr>
          <w:p w14:paraId="55EF9EAA"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t>i</w:t>
            </w:r>
          </w:p>
        </w:tc>
        <w:tc>
          <w:tcPr>
            <w:tcW w:w="7655" w:type="dxa"/>
          </w:tcPr>
          <w:p w14:paraId="64A6CA14" w14:textId="77777777" w:rsidR="00455D0D" w:rsidRPr="00492F81" w:rsidRDefault="00455D0D" w:rsidP="00215EF8">
            <w:pPr>
              <w:autoSpaceDE w:val="0"/>
              <w:autoSpaceDN w:val="0"/>
              <w:adjustRightInd w:val="0"/>
              <w:spacing w:before="60" w:after="120"/>
              <w:jc w:val="both"/>
              <w:rPr>
                <w:rFonts w:ascii="Times New Roman" w:hAnsi="Times New Roman" w:cs="Times New Roman"/>
                <w:sz w:val="24"/>
              </w:rPr>
            </w:pPr>
            <w:r w:rsidRPr="00492F81">
              <w:rPr>
                <w:rFonts w:ascii="Times New Roman" w:hAnsi="Times New Roman"/>
                <w:b/>
                <w:sz w:val="24"/>
              </w:rPr>
              <w:t xml:space="preserve">Requisiti di fondi propri - Esposizioni creditizie rilevanti - Posizioni verso la cartolarizzazione esterne al portafoglio di negoziazione </w:t>
            </w:r>
          </w:p>
          <w:p w14:paraId="6DA357CD" w14:textId="1D8F40AD" w:rsidR="00455D0D" w:rsidRPr="00492F81" w:rsidRDefault="00455D0D" w:rsidP="00215EF8">
            <w:pPr>
              <w:autoSpaceDE w:val="0"/>
              <w:autoSpaceDN w:val="0"/>
              <w:adjustRightInd w:val="0"/>
              <w:spacing w:before="80" w:after="80"/>
              <w:jc w:val="both"/>
              <w:rPr>
                <w:rFonts w:ascii="Times New Roman" w:hAnsi="Times New Roman" w:cs="Times New Roman"/>
                <w:sz w:val="24"/>
              </w:rPr>
            </w:pPr>
            <w:r w:rsidRPr="00492F81">
              <w:rPr>
                <w:rFonts w:ascii="Times New Roman" w:hAnsi="Times New Roman"/>
                <w:sz w:val="24"/>
              </w:rPr>
              <w:t>Requisiti di fondi propri per le esposizioni creditizie rilevanti nel paese in questione, determinati conformemente all</w:t>
            </w:r>
            <w:r w:rsidR="00A801FB" w:rsidRPr="00492F81">
              <w:rPr>
                <w:rFonts w:ascii="Times New Roman" w:hAnsi="Times New Roman"/>
                <w:sz w:val="24"/>
              </w:rPr>
              <w:t>'</w:t>
            </w:r>
            <w:r w:rsidRPr="00492F81">
              <w:rPr>
                <w:rFonts w:ascii="Times New Roman" w:hAnsi="Times New Roman"/>
                <w:sz w:val="24"/>
              </w:rPr>
              <w:t>articolo 140, paragrafo 4, lettera c), della CRD e alla parte tre, titolo II, capo 5, del CRR.</w:t>
            </w:r>
          </w:p>
          <w:p w14:paraId="2E6C3AF3" w14:textId="6B754381" w:rsidR="00455D0D" w:rsidRPr="00492F81" w:rsidRDefault="00455D0D" w:rsidP="00215EF8">
            <w:pPr>
              <w:autoSpaceDE w:val="0"/>
              <w:autoSpaceDN w:val="0"/>
              <w:adjustRightInd w:val="0"/>
              <w:spacing w:before="80" w:after="80"/>
              <w:jc w:val="both"/>
              <w:rPr>
                <w:rFonts w:ascii="Times New Roman" w:hAnsi="Times New Roman" w:cs="Times New Roman"/>
                <w:sz w:val="24"/>
              </w:rPr>
            </w:pPr>
            <w:r w:rsidRPr="00492F81">
              <w:rPr>
                <w:rFonts w:ascii="Times New Roman" w:hAnsi="Times New Roman"/>
                <w:sz w:val="24"/>
              </w:rPr>
              <w:t>Riga 020 (totale): la somma di tutti i requisiti di fondi propri per le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 140, paragrafo 4, lettera c), della CRD e alla parte tre, titolo II, capo 5, del CRR.</w:t>
            </w:r>
          </w:p>
        </w:tc>
      </w:tr>
      <w:tr w:rsidR="00455D0D" w:rsidRPr="00492F81" w14:paraId="1B31BDF8" w14:textId="77777777" w:rsidTr="00D819DE">
        <w:trPr>
          <w:trHeight w:val="695"/>
        </w:trPr>
        <w:tc>
          <w:tcPr>
            <w:tcW w:w="1384" w:type="dxa"/>
          </w:tcPr>
          <w:p w14:paraId="6AFA58A8"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t>j</w:t>
            </w:r>
          </w:p>
        </w:tc>
        <w:tc>
          <w:tcPr>
            <w:tcW w:w="7655" w:type="dxa"/>
          </w:tcPr>
          <w:p w14:paraId="21280CF6" w14:textId="77777777" w:rsidR="00455D0D" w:rsidRPr="00492F81" w:rsidRDefault="00455D0D" w:rsidP="00215EF8">
            <w:pPr>
              <w:autoSpaceDE w:val="0"/>
              <w:autoSpaceDN w:val="0"/>
              <w:adjustRightInd w:val="0"/>
              <w:spacing w:before="60" w:after="120"/>
              <w:jc w:val="both"/>
              <w:rPr>
                <w:rFonts w:ascii="Times New Roman" w:hAnsi="Times New Roman" w:cs="Times New Roman"/>
                <w:b/>
                <w:sz w:val="24"/>
              </w:rPr>
            </w:pPr>
            <w:r w:rsidRPr="00492F81">
              <w:rPr>
                <w:rFonts w:ascii="Times New Roman" w:hAnsi="Times New Roman"/>
                <w:b/>
                <w:sz w:val="24"/>
              </w:rPr>
              <w:t>Requisiti di fondi propri - Totale</w:t>
            </w:r>
          </w:p>
          <w:p w14:paraId="1885EA73" w14:textId="77777777" w:rsidR="00455D0D" w:rsidRPr="00492F81" w:rsidRDefault="00455D0D" w:rsidP="00215EF8">
            <w:pPr>
              <w:autoSpaceDE w:val="0"/>
              <w:autoSpaceDN w:val="0"/>
              <w:adjustRightInd w:val="0"/>
              <w:spacing w:before="80" w:after="80"/>
              <w:jc w:val="both"/>
              <w:rPr>
                <w:rFonts w:ascii="Times New Roman" w:hAnsi="Times New Roman" w:cs="Times New Roman"/>
                <w:sz w:val="24"/>
              </w:rPr>
            </w:pPr>
            <w:r w:rsidRPr="00492F81">
              <w:rPr>
                <w:rFonts w:ascii="Times New Roman" w:hAnsi="Times New Roman"/>
                <w:sz w:val="24"/>
              </w:rPr>
              <w:t>Somma degli importi nelle colonne g, h e i di questo modello.</w:t>
            </w:r>
          </w:p>
          <w:p w14:paraId="647FF047" w14:textId="2D6B6296" w:rsidR="00455D0D" w:rsidRPr="00492F81" w:rsidRDefault="00455D0D" w:rsidP="00215EF8">
            <w:pPr>
              <w:autoSpaceDE w:val="0"/>
              <w:autoSpaceDN w:val="0"/>
              <w:adjustRightInd w:val="0"/>
              <w:spacing w:before="80" w:after="80"/>
              <w:jc w:val="both"/>
              <w:rPr>
                <w:rFonts w:ascii="Times New Roman" w:hAnsi="Times New Roman" w:cs="Times New Roman"/>
                <w:b/>
                <w:sz w:val="24"/>
              </w:rPr>
            </w:pPr>
            <w:r w:rsidRPr="00492F81">
              <w:rPr>
                <w:rFonts w:ascii="Times New Roman" w:hAnsi="Times New Roman"/>
                <w:sz w:val="24"/>
              </w:rPr>
              <w:t>Riga 020 (totale): la somma di tutti i requisiti di fondi propri per le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 140, paragrafo 4, della CRD.</w:t>
            </w:r>
          </w:p>
        </w:tc>
      </w:tr>
      <w:tr w:rsidR="00455D0D" w:rsidRPr="00492F81" w14:paraId="53136553" w14:textId="77777777" w:rsidTr="00D819DE">
        <w:trPr>
          <w:trHeight w:val="695"/>
        </w:trPr>
        <w:tc>
          <w:tcPr>
            <w:tcW w:w="1384" w:type="dxa"/>
          </w:tcPr>
          <w:p w14:paraId="5E519554"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t>k</w:t>
            </w:r>
          </w:p>
        </w:tc>
        <w:tc>
          <w:tcPr>
            <w:tcW w:w="7655" w:type="dxa"/>
          </w:tcPr>
          <w:p w14:paraId="7ADAA73B" w14:textId="77777777" w:rsidR="00455D0D" w:rsidRPr="00492F81" w:rsidRDefault="00455D0D" w:rsidP="00215EF8">
            <w:pPr>
              <w:autoSpaceDE w:val="0"/>
              <w:autoSpaceDN w:val="0"/>
              <w:adjustRightInd w:val="0"/>
              <w:spacing w:before="60" w:after="120"/>
              <w:jc w:val="both"/>
              <w:rPr>
                <w:rFonts w:ascii="Times New Roman" w:hAnsi="Times New Roman" w:cs="Times New Roman"/>
                <w:b/>
                <w:sz w:val="24"/>
              </w:rPr>
            </w:pPr>
            <w:r w:rsidRPr="00492F81">
              <w:rPr>
                <w:rFonts w:ascii="Times New Roman" w:hAnsi="Times New Roman"/>
                <w:b/>
                <w:sz w:val="24"/>
              </w:rPr>
              <w:t>Importi delle esposizioni ponderati per il rischio</w:t>
            </w:r>
          </w:p>
          <w:p w14:paraId="314E7BF8" w14:textId="59606936"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Importi delle esposizioni ponderati per il rischio delle esposizioni creditizie rilevanti, determinati conformemente all</w:t>
            </w:r>
            <w:r w:rsidR="00A801FB" w:rsidRPr="00492F81">
              <w:rPr>
                <w:rFonts w:ascii="Times New Roman" w:hAnsi="Times New Roman"/>
                <w:sz w:val="24"/>
              </w:rPr>
              <w:t>'</w:t>
            </w:r>
            <w:r w:rsidRPr="00492F81">
              <w:rPr>
                <w:rFonts w:ascii="Times New Roman" w:hAnsi="Times New Roman"/>
                <w:sz w:val="24"/>
              </w:rPr>
              <w:t>articolo 140, paragrafo 4, della CRD, ripartiti per paese e tenendo conto di eventuali rettifiche specifiche per paese dei fattori di ponderazione del rischio stabiliti conformemente all</w:t>
            </w:r>
            <w:r w:rsidR="00A801FB" w:rsidRPr="00492F81">
              <w:rPr>
                <w:rFonts w:ascii="Times New Roman" w:hAnsi="Times New Roman"/>
                <w:sz w:val="24"/>
              </w:rPr>
              <w:t>'</w:t>
            </w:r>
            <w:r w:rsidRPr="00492F81">
              <w:rPr>
                <w:rFonts w:ascii="Times New Roman" w:hAnsi="Times New Roman"/>
                <w:sz w:val="24"/>
              </w:rPr>
              <w:t>articolo 458 del CRR.</w:t>
            </w:r>
          </w:p>
          <w:p w14:paraId="2AF6A48C" w14:textId="4354C306" w:rsidR="00455D0D" w:rsidRPr="00492F81" w:rsidRDefault="00455D0D" w:rsidP="00D819DE">
            <w:pPr>
              <w:autoSpaceDE w:val="0"/>
              <w:autoSpaceDN w:val="0"/>
              <w:adjustRightInd w:val="0"/>
              <w:spacing w:before="120" w:after="120"/>
              <w:jc w:val="both"/>
              <w:rPr>
                <w:rFonts w:ascii="Times New Roman" w:hAnsi="Times New Roman" w:cs="Times New Roman"/>
                <w:sz w:val="24"/>
              </w:rPr>
            </w:pPr>
            <w:r w:rsidRPr="00492F81">
              <w:rPr>
                <w:rFonts w:ascii="Times New Roman" w:hAnsi="Times New Roman"/>
                <w:sz w:val="24"/>
              </w:rPr>
              <w:t>Riga 020 (totale): la somma di tutti gli importi delle esposizioni ponderati per il rischio delle esposizioni creditizie rilevanti è determinata conformemente all</w:t>
            </w:r>
            <w:r w:rsidR="00A801FB" w:rsidRPr="00492F81">
              <w:rPr>
                <w:rFonts w:ascii="Times New Roman" w:hAnsi="Times New Roman"/>
                <w:sz w:val="24"/>
              </w:rPr>
              <w:t>'</w:t>
            </w:r>
            <w:r w:rsidRPr="00492F81">
              <w:rPr>
                <w:rFonts w:ascii="Times New Roman" w:hAnsi="Times New Roman"/>
                <w:sz w:val="24"/>
              </w:rPr>
              <w:t>articolo 140, paragrafo 4, della CRD.</w:t>
            </w:r>
          </w:p>
        </w:tc>
      </w:tr>
      <w:tr w:rsidR="00455D0D" w:rsidRPr="00492F81" w14:paraId="69E793ED" w14:textId="77777777" w:rsidTr="00215EF8">
        <w:trPr>
          <w:trHeight w:val="470"/>
        </w:trPr>
        <w:tc>
          <w:tcPr>
            <w:tcW w:w="1384" w:type="dxa"/>
          </w:tcPr>
          <w:p w14:paraId="2A231285"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t>l</w:t>
            </w:r>
          </w:p>
        </w:tc>
        <w:tc>
          <w:tcPr>
            <w:tcW w:w="7655" w:type="dxa"/>
          </w:tcPr>
          <w:p w14:paraId="1E8A4B57" w14:textId="77777777" w:rsidR="00455D0D" w:rsidRPr="00492F81" w:rsidRDefault="00455D0D" w:rsidP="00215EF8">
            <w:pPr>
              <w:autoSpaceDE w:val="0"/>
              <w:autoSpaceDN w:val="0"/>
              <w:adjustRightInd w:val="0"/>
              <w:spacing w:before="60" w:after="120"/>
              <w:jc w:val="both"/>
              <w:rPr>
                <w:rFonts w:ascii="Times New Roman" w:hAnsi="Times New Roman" w:cs="Times New Roman"/>
                <w:b/>
                <w:sz w:val="24"/>
              </w:rPr>
            </w:pPr>
            <w:r w:rsidRPr="00492F81">
              <w:rPr>
                <w:rFonts w:ascii="Times New Roman" w:hAnsi="Times New Roman"/>
                <w:b/>
                <w:sz w:val="24"/>
              </w:rPr>
              <w:t>Fattori di ponderazione dei requisiti di fondi propri (%)</w:t>
            </w:r>
          </w:p>
          <w:p w14:paraId="3A7905F9" w14:textId="6721D738" w:rsidR="00455D0D" w:rsidRPr="00492F81" w:rsidRDefault="00455D0D" w:rsidP="00215EF8">
            <w:pPr>
              <w:autoSpaceDE w:val="0"/>
              <w:autoSpaceDN w:val="0"/>
              <w:adjustRightInd w:val="0"/>
              <w:spacing w:before="80" w:after="80"/>
              <w:jc w:val="both"/>
              <w:rPr>
                <w:rFonts w:ascii="Times New Roman" w:eastAsia="Times New Roman" w:hAnsi="Times New Roman" w:cs="Times New Roman"/>
                <w:sz w:val="24"/>
              </w:rPr>
            </w:pPr>
            <w:r w:rsidRPr="00492F81">
              <w:rPr>
                <w:rFonts w:ascii="Times New Roman" w:hAnsi="Times New Roman"/>
                <w:sz w:val="24"/>
              </w:rPr>
              <w:t>Fattore di ponderazione applicato al coefficiente di riserva di capitale anticiclica in ciascun paese, equivalente al totale dei requisiti di fondi propri relativi alle esposizioni creditizie rilevanti nel paese in questione (riga 01X, colonna j di questo modello) diviso per il totale dei requisiti di fondi propri relativi a tutte le esposizioni creditizie rilevanti ai fini del calcolo della riserva di capitale anticiclica conformemente all</w:t>
            </w:r>
            <w:r w:rsidR="00A801FB" w:rsidRPr="00492F81">
              <w:rPr>
                <w:rFonts w:ascii="Times New Roman" w:hAnsi="Times New Roman"/>
                <w:sz w:val="24"/>
              </w:rPr>
              <w:t>'</w:t>
            </w:r>
            <w:r w:rsidRPr="00492F81">
              <w:rPr>
                <w:rFonts w:ascii="Times New Roman" w:hAnsi="Times New Roman"/>
                <w:sz w:val="24"/>
              </w:rPr>
              <w:t>articolo 140, paragrafo 4, della CRD,</w:t>
            </w:r>
            <w:r w:rsidRPr="00492F81">
              <w:rPr>
                <w:rFonts w:ascii="Times New Roman" w:hAnsi="Times New Roman"/>
                <w:b/>
                <w:sz w:val="24"/>
              </w:rPr>
              <w:t xml:space="preserve"> </w:t>
            </w:r>
            <w:r w:rsidRPr="00492F81">
              <w:rPr>
                <w:rFonts w:ascii="Times New Roman" w:hAnsi="Times New Roman"/>
                <w:sz w:val="24"/>
              </w:rPr>
              <w:t>(riga 020, colonna j di questo modello).</w:t>
            </w:r>
          </w:p>
          <w:p w14:paraId="4FE6F23B" w14:textId="77777777" w:rsidR="00455D0D" w:rsidRPr="00492F81" w:rsidRDefault="00455D0D" w:rsidP="00215EF8">
            <w:pPr>
              <w:autoSpaceDE w:val="0"/>
              <w:autoSpaceDN w:val="0"/>
              <w:adjustRightInd w:val="0"/>
              <w:spacing w:before="80" w:after="80"/>
              <w:jc w:val="both"/>
              <w:rPr>
                <w:rFonts w:ascii="Times New Roman" w:hAnsi="Times New Roman" w:cs="Times New Roman"/>
                <w:b/>
                <w:sz w:val="24"/>
              </w:rPr>
            </w:pPr>
            <w:r w:rsidRPr="00492F81">
              <w:rPr>
                <w:rFonts w:ascii="Times New Roman" w:hAnsi="Times New Roman"/>
                <w:sz w:val="24"/>
              </w:rPr>
              <w:t>Tale valore è indicato come percentuale con 2 decimali.</w:t>
            </w:r>
          </w:p>
        </w:tc>
      </w:tr>
      <w:tr w:rsidR="00455D0D" w:rsidRPr="00492F81" w14:paraId="78993D09" w14:textId="77777777" w:rsidTr="00D819DE">
        <w:trPr>
          <w:trHeight w:val="695"/>
        </w:trPr>
        <w:tc>
          <w:tcPr>
            <w:tcW w:w="1384" w:type="dxa"/>
          </w:tcPr>
          <w:p w14:paraId="7422EAC6"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lastRenderedPageBreak/>
              <w:t>m</w:t>
            </w:r>
          </w:p>
        </w:tc>
        <w:tc>
          <w:tcPr>
            <w:tcW w:w="7655" w:type="dxa"/>
          </w:tcPr>
          <w:p w14:paraId="7A959B8C" w14:textId="77777777" w:rsidR="00455D0D" w:rsidRPr="00492F81" w:rsidRDefault="00455D0D" w:rsidP="00D819DE">
            <w:pPr>
              <w:autoSpaceDE w:val="0"/>
              <w:autoSpaceDN w:val="0"/>
              <w:adjustRightInd w:val="0"/>
              <w:jc w:val="both"/>
              <w:rPr>
                <w:rFonts w:ascii="Times New Roman" w:hAnsi="Times New Roman" w:cs="Times New Roman"/>
                <w:b/>
                <w:sz w:val="24"/>
              </w:rPr>
            </w:pPr>
            <w:r w:rsidRPr="00492F81">
              <w:rPr>
                <w:rFonts w:ascii="Times New Roman" w:hAnsi="Times New Roman"/>
                <w:b/>
                <w:sz w:val="24"/>
              </w:rPr>
              <w:t>Coefficiente anticiclico (%)</w:t>
            </w:r>
          </w:p>
          <w:p w14:paraId="587D402C" w14:textId="77777777" w:rsidR="00455D0D" w:rsidRPr="00492F8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492F81">
              <w:rPr>
                <w:rFonts w:ascii="Times New Roman" w:hAnsi="Times New Roman"/>
                <w:sz w:val="24"/>
              </w:rPr>
              <w:t>Coefficiente anticiclico applicabile nel paese in questione e fissato conformemente agli articoli 136, 137, 138 e 139 della CRD.</w:t>
            </w:r>
          </w:p>
          <w:p w14:paraId="5813AAA1" w14:textId="120FBF67" w:rsidR="00455D0D" w:rsidRPr="00492F8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492F81">
              <w:rPr>
                <w:rFonts w:ascii="Times New Roman" w:hAnsi="Times New Roman"/>
                <w:sz w:val="24"/>
              </w:rPr>
              <w:t>Questa colonna non include i coefficienti anticiclici che sono stati fissati ma non sono ancora applicabili al momento del calcolo della riserva di capitale anticiclica specifica dell</w:t>
            </w:r>
            <w:r w:rsidR="00A801FB" w:rsidRPr="00492F81">
              <w:rPr>
                <w:rFonts w:ascii="Times New Roman" w:hAnsi="Times New Roman"/>
                <w:sz w:val="24"/>
              </w:rPr>
              <w:t>'</w:t>
            </w:r>
            <w:r w:rsidRPr="00492F81">
              <w:rPr>
                <w:rFonts w:ascii="Times New Roman" w:hAnsi="Times New Roman"/>
                <w:sz w:val="24"/>
              </w:rPr>
              <w:t>ente alla quale l</w:t>
            </w:r>
            <w:r w:rsidR="00A801FB" w:rsidRPr="00492F81">
              <w:rPr>
                <w:rFonts w:ascii="Times New Roman" w:hAnsi="Times New Roman"/>
                <w:sz w:val="24"/>
              </w:rPr>
              <w:t>'</w:t>
            </w:r>
            <w:r w:rsidRPr="00492F81">
              <w:rPr>
                <w:rFonts w:ascii="Times New Roman" w:hAnsi="Times New Roman"/>
                <w:sz w:val="24"/>
              </w:rPr>
              <w:t>informativa si riferisce.</w:t>
            </w:r>
          </w:p>
          <w:p w14:paraId="0585C9BE" w14:textId="77777777" w:rsidR="00455D0D" w:rsidRPr="00492F81" w:rsidRDefault="00455D0D" w:rsidP="00D819DE">
            <w:pPr>
              <w:autoSpaceDE w:val="0"/>
              <w:autoSpaceDN w:val="0"/>
              <w:adjustRightInd w:val="0"/>
              <w:spacing w:before="120" w:after="120"/>
              <w:jc w:val="both"/>
              <w:rPr>
                <w:rFonts w:ascii="Times New Roman" w:hAnsi="Times New Roman" w:cs="Times New Roman"/>
                <w:b/>
                <w:sz w:val="24"/>
              </w:rPr>
            </w:pPr>
            <w:r w:rsidRPr="00492F81">
              <w:rPr>
                <w:rFonts w:ascii="Times New Roman" w:hAnsi="Times New Roman"/>
                <w:sz w:val="24"/>
              </w:rPr>
              <w:t>Tale valore è indicato come percentuale con lo stesso numero di decimali di cui agli articoli 136, 137, 138 e 139 della CRD.</w:t>
            </w:r>
          </w:p>
        </w:tc>
      </w:tr>
    </w:tbl>
    <w:p w14:paraId="29C77942" w14:textId="77777777" w:rsidR="00455D0D" w:rsidRPr="00492F81" w:rsidRDefault="00455D0D" w:rsidP="00455D0D">
      <w:pPr>
        <w:jc w:val="both"/>
        <w:rPr>
          <w:rFonts w:ascii="Times New Roman" w:hAnsi="Times New Roman" w:cs="Times New Roman"/>
          <w:sz w:val="24"/>
        </w:rPr>
      </w:pPr>
    </w:p>
    <w:p w14:paraId="64839D89" w14:textId="71940B32" w:rsidR="00455D0D" w:rsidRPr="00492F81" w:rsidRDefault="00455D0D" w:rsidP="00455D0D">
      <w:pPr>
        <w:autoSpaceDE w:val="0"/>
        <w:autoSpaceDN w:val="0"/>
        <w:adjustRightInd w:val="0"/>
        <w:jc w:val="both"/>
        <w:rPr>
          <w:rFonts w:ascii="Times New Roman" w:hAnsi="Times New Roman" w:cs="Times New Roman"/>
          <w:b/>
          <w:sz w:val="24"/>
        </w:rPr>
      </w:pPr>
      <w:r w:rsidRPr="00492F81">
        <w:rPr>
          <w:rFonts w:ascii="Times New Roman" w:hAnsi="Times New Roman"/>
          <w:b/>
          <w:sz w:val="24"/>
        </w:rPr>
        <w:t>Modello EU CCyB2: importo della riserva di capitale anticiclica specifica dell</w:t>
      </w:r>
      <w:r w:rsidR="00A801FB" w:rsidRPr="00492F81">
        <w:rPr>
          <w:rFonts w:ascii="Times New Roman" w:hAnsi="Times New Roman"/>
          <w:b/>
          <w:sz w:val="24"/>
        </w:rPr>
        <w:t>'</w:t>
      </w:r>
      <w:r w:rsidRPr="00492F81">
        <w:rPr>
          <w:rFonts w:ascii="Times New Roman" w:hAnsi="Times New Roman"/>
          <w:b/>
          <w:sz w:val="24"/>
        </w:rPr>
        <w:t>ente</w:t>
      </w:r>
    </w:p>
    <w:p w14:paraId="283F7254" w14:textId="0F874BE8" w:rsidR="00455D0D" w:rsidRPr="00492F81" w:rsidRDefault="00455D0D" w:rsidP="00455D0D">
      <w:pPr>
        <w:pStyle w:val="ListParagraph"/>
        <w:numPr>
          <w:ilvl w:val="0"/>
          <w:numId w:val="2"/>
        </w:numPr>
        <w:spacing w:before="120" w:after="120"/>
        <w:ind w:left="425" w:hanging="357"/>
        <w:jc w:val="both"/>
        <w:rPr>
          <w:rFonts w:ascii="Times New Roman" w:hAnsi="Times New Roman"/>
          <w:sz w:val="24"/>
        </w:rPr>
      </w:pPr>
      <w:r w:rsidRPr="00492F81">
        <w:rPr>
          <w:rFonts w:ascii="Times New Roman" w:hAnsi="Times New Roman"/>
          <w:sz w:val="24"/>
        </w:rPr>
        <w:t>Gli enti pubblicano le informazioni di cui all</w:t>
      </w:r>
      <w:r w:rsidR="00A801FB" w:rsidRPr="00492F81">
        <w:rPr>
          <w:rFonts w:ascii="Times New Roman" w:hAnsi="Times New Roman"/>
          <w:sz w:val="24"/>
        </w:rPr>
        <w:t>'</w:t>
      </w:r>
      <w:r w:rsidRPr="00492F81">
        <w:rPr>
          <w:rFonts w:ascii="Times New Roman" w:hAnsi="Times New Roman"/>
          <w:sz w:val="24"/>
        </w:rPr>
        <w:t>articolo 440, lettera b), del CRR seguendo le istruzioni fornite di seguito nel presente allegato per compilare il modello EU CCyB2 di cui all</w:t>
      </w:r>
      <w:r w:rsidR="00A801FB" w:rsidRPr="00492F81">
        <w:rPr>
          <w:rFonts w:ascii="Times New Roman" w:hAnsi="Times New Roman"/>
          <w:sz w:val="24"/>
        </w:rPr>
        <w:t>'</w:t>
      </w:r>
      <w:r w:rsidRPr="00492F81">
        <w:rPr>
          <w:rFonts w:ascii="Times New Roman" w:hAnsi="Times New Roman"/>
          <w:sz w:val="24"/>
        </w:rPr>
        <w:t>allegato IX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492F81"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492F81" w:rsidRDefault="00455D0D" w:rsidP="00D819DE">
            <w:pPr>
              <w:jc w:val="both"/>
              <w:rPr>
                <w:rFonts w:ascii="Times New Roman" w:hAnsi="Times New Roman" w:cs="Times New Roman"/>
                <w:b/>
                <w:sz w:val="24"/>
              </w:rPr>
            </w:pPr>
            <w:r w:rsidRPr="00492F81">
              <w:rPr>
                <w:rFonts w:ascii="Times New Roman" w:hAnsi="Times New Roman"/>
                <w:b/>
                <w:sz w:val="24"/>
              </w:rPr>
              <w:t>Riferimenti giuridici e istruzioni</w:t>
            </w:r>
          </w:p>
        </w:tc>
      </w:tr>
      <w:tr w:rsidR="00455D0D" w:rsidRPr="00492F81" w14:paraId="658922CA" w14:textId="77777777" w:rsidTr="00D819DE">
        <w:trPr>
          <w:trHeight w:val="238"/>
        </w:trPr>
        <w:tc>
          <w:tcPr>
            <w:tcW w:w="1384" w:type="dxa"/>
            <w:shd w:val="clear" w:color="auto" w:fill="D9D9D9" w:themeFill="background1" w:themeFillShade="D9"/>
          </w:tcPr>
          <w:p w14:paraId="2CFC7589" w14:textId="5A49EB34" w:rsidR="00455D0D" w:rsidRPr="00492F81" w:rsidRDefault="00455D0D" w:rsidP="00D819DE">
            <w:pPr>
              <w:autoSpaceDE w:val="0"/>
              <w:autoSpaceDN w:val="0"/>
              <w:adjustRightInd w:val="0"/>
              <w:jc w:val="both"/>
              <w:rPr>
                <w:rFonts w:ascii="Times New Roman" w:hAnsi="Times New Roman" w:cs="Times New Roman"/>
                <w:b/>
                <w:sz w:val="24"/>
              </w:rPr>
            </w:pPr>
            <w:r w:rsidRPr="00492F81">
              <w:rPr>
                <w:rFonts w:ascii="Times New Roman" w:hAnsi="Times New Roman"/>
                <w:b/>
                <w:sz w:val="24"/>
              </w:rPr>
              <w:t xml:space="preserve">Numero </w:t>
            </w:r>
            <w:r w:rsidR="00215EF8" w:rsidRPr="00492F81">
              <w:rPr>
                <w:rFonts w:ascii="Times New Roman" w:hAnsi="Times New Roman"/>
                <w:b/>
                <w:sz w:val="24"/>
              </w:rPr>
              <w:br/>
            </w:r>
            <w:r w:rsidRPr="00492F81">
              <w:rPr>
                <w:rFonts w:ascii="Times New Roman" w:hAnsi="Times New Roman"/>
                <w:b/>
                <w:sz w:val="24"/>
              </w:rPr>
              <w:t>di riga</w:t>
            </w:r>
          </w:p>
        </w:tc>
        <w:tc>
          <w:tcPr>
            <w:tcW w:w="7655" w:type="dxa"/>
            <w:shd w:val="clear" w:color="auto" w:fill="D9D9D9" w:themeFill="background1" w:themeFillShade="D9"/>
          </w:tcPr>
          <w:p w14:paraId="6C35C310" w14:textId="77777777" w:rsidR="00455D0D" w:rsidRPr="00492F81" w:rsidRDefault="00455D0D" w:rsidP="00D819DE">
            <w:pPr>
              <w:autoSpaceDE w:val="0"/>
              <w:autoSpaceDN w:val="0"/>
              <w:adjustRightInd w:val="0"/>
              <w:jc w:val="both"/>
              <w:rPr>
                <w:rFonts w:ascii="Times New Roman" w:hAnsi="Times New Roman" w:cs="Times New Roman"/>
                <w:color w:val="000000"/>
                <w:sz w:val="24"/>
              </w:rPr>
            </w:pPr>
            <w:r w:rsidRPr="00492F81">
              <w:rPr>
                <w:rFonts w:ascii="Times New Roman" w:hAnsi="Times New Roman"/>
                <w:b/>
                <w:sz w:val="24"/>
              </w:rPr>
              <w:t>Spiegazione</w:t>
            </w:r>
          </w:p>
        </w:tc>
      </w:tr>
      <w:tr w:rsidR="00455D0D" w:rsidRPr="00492F81" w14:paraId="32D19805" w14:textId="77777777" w:rsidTr="00D819DE">
        <w:trPr>
          <w:trHeight w:val="1055"/>
        </w:trPr>
        <w:tc>
          <w:tcPr>
            <w:tcW w:w="1384" w:type="dxa"/>
          </w:tcPr>
          <w:p w14:paraId="59088176" w14:textId="77777777" w:rsidR="00455D0D" w:rsidRPr="00492F81" w:rsidRDefault="00455D0D" w:rsidP="00D819DE">
            <w:pPr>
              <w:pStyle w:val="Applicationdirecte"/>
              <w:spacing w:before="120"/>
            </w:pPr>
            <w:r w:rsidRPr="00492F81">
              <w:t>1</w:t>
            </w:r>
          </w:p>
        </w:tc>
        <w:tc>
          <w:tcPr>
            <w:tcW w:w="7655" w:type="dxa"/>
          </w:tcPr>
          <w:p w14:paraId="365B8327" w14:textId="0F6EA4DE" w:rsidR="00455D0D" w:rsidRPr="00492F81" w:rsidRDefault="00455D0D" w:rsidP="00215EF8">
            <w:pPr>
              <w:pStyle w:val="Applicationdirecte"/>
              <w:spacing w:before="80"/>
              <w:rPr>
                <w:b/>
              </w:rPr>
            </w:pPr>
            <w:r w:rsidRPr="00492F81">
              <w:rPr>
                <w:b/>
              </w:rPr>
              <w:t>Importo complessivo dell</w:t>
            </w:r>
            <w:r w:rsidR="00A801FB" w:rsidRPr="00492F81">
              <w:rPr>
                <w:b/>
              </w:rPr>
              <w:t>'</w:t>
            </w:r>
            <w:r w:rsidRPr="00492F81">
              <w:rPr>
                <w:b/>
              </w:rPr>
              <w:t>esposizione al rischio</w:t>
            </w:r>
          </w:p>
          <w:p w14:paraId="6FC34F99" w14:textId="03DF21BA" w:rsidR="00455D0D" w:rsidRPr="00492F81" w:rsidRDefault="00455D0D" w:rsidP="00D819DE">
            <w:pPr>
              <w:autoSpaceDE w:val="0"/>
              <w:autoSpaceDN w:val="0"/>
              <w:adjustRightInd w:val="0"/>
              <w:spacing w:before="120" w:after="120"/>
              <w:jc w:val="both"/>
              <w:rPr>
                <w:rFonts w:ascii="Times New Roman" w:hAnsi="Times New Roman" w:cs="Times New Roman"/>
                <w:color w:val="000000"/>
                <w:sz w:val="24"/>
              </w:rPr>
            </w:pPr>
            <w:r w:rsidRPr="00492F81">
              <w:rPr>
                <w:rFonts w:ascii="Times New Roman" w:hAnsi="Times New Roman"/>
                <w:sz w:val="24"/>
              </w:rPr>
              <w:t>Importo complessivo dell</w:t>
            </w:r>
            <w:r w:rsidR="00A801FB" w:rsidRPr="00492F81">
              <w:rPr>
                <w:rFonts w:ascii="Times New Roman" w:hAnsi="Times New Roman"/>
                <w:sz w:val="24"/>
              </w:rPr>
              <w:t>'</w:t>
            </w:r>
            <w:r w:rsidRPr="00492F81">
              <w:rPr>
                <w:rFonts w:ascii="Times New Roman" w:hAnsi="Times New Roman"/>
                <w:sz w:val="24"/>
              </w:rPr>
              <w:t>esposizione al rischio calcolato conformemente all</w:t>
            </w:r>
            <w:r w:rsidR="00A801FB" w:rsidRPr="00492F81">
              <w:rPr>
                <w:rFonts w:ascii="Times New Roman" w:hAnsi="Times New Roman"/>
                <w:sz w:val="24"/>
              </w:rPr>
              <w:t>'</w:t>
            </w:r>
            <w:r w:rsidRPr="00492F81">
              <w:rPr>
                <w:rFonts w:ascii="Times New Roman" w:hAnsi="Times New Roman"/>
                <w:sz w:val="24"/>
              </w:rPr>
              <w:t>articolo 92, paragrafo 3, del CRR.</w:t>
            </w:r>
          </w:p>
        </w:tc>
      </w:tr>
      <w:tr w:rsidR="00455D0D" w:rsidRPr="00492F81" w14:paraId="768C2D66" w14:textId="77777777" w:rsidTr="00D819DE">
        <w:trPr>
          <w:trHeight w:val="316"/>
        </w:trPr>
        <w:tc>
          <w:tcPr>
            <w:tcW w:w="1384" w:type="dxa"/>
          </w:tcPr>
          <w:p w14:paraId="2DC1BFF9"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t>2</w:t>
            </w:r>
          </w:p>
        </w:tc>
        <w:tc>
          <w:tcPr>
            <w:tcW w:w="7655" w:type="dxa"/>
          </w:tcPr>
          <w:p w14:paraId="7CEE8A38" w14:textId="606BADB7" w:rsidR="00455D0D" w:rsidRPr="00492F81" w:rsidRDefault="00455D0D" w:rsidP="00215EF8">
            <w:pPr>
              <w:pStyle w:val="Applicationdirecte"/>
              <w:spacing w:before="80"/>
              <w:rPr>
                <w:b/>
              </w:rPr>
            </w:pPr>
            <w:r w:rsidRPr="00492F81">
              <w:rPr>
                <w:b/>
              </w:rPr>
              <w:t>Coefficiente anticiclico specifico dell</w:t>
            </w:r>
            <w:r w:rsidR="00A801FB" w:rsidRPr="00492F81">
              <w:rPr>
                <w:b/>
              </w:rPr>
              <w:t>'</w:t>
            </w:r>
            <w:r w:rsidRPr="00492F81">
              <w:rPr>
                <w:b/>
              </w:rPr>
              <w:t xml:space="preserve">ente </w:t>
            </w:r>
          </w:p>
          <w:p w14:paraId="66399395" w14:textId="52CD1809" w:rsidR="00455D0D" w:rsidRPr="00492F8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492F81">
              <w:rPr>
                <w:rFonts w:ascii="Times New Roman" w:hAnsi="Times New Roman"/>
                <w:sz w:val="24"/>
              </w:rPr>
              <w:t>Coefficiente anticiclico specifico dell</w:t>
            </w:r>
            <w:r w:rsidR="00A801FB" w:rsidRPr="00492F81">
              <w:rPr>
                <w:rFonts w:ascii="Times New Roman" w:hAnsi="Times New Roman"/>
                <w:sz w:val="24"/>
              </w:rPr>
              <w:t>'</w:t>
            </w:r>
            <w:r w:rsidRPr="00492F81">
              <w:rPr>
                <w:rFonts w:ascii="Times New Roman" w:hAnsi="Times New Roman"/>
                <w:sz w:val="24"/>
              </w:rPr>
              <w:t>ente, determinato conformemente all</w:t>
            </w:r>
            <w:r w:rsidR="00A801FB" w:rsidRPr="00492F81">
              <w:rPr>
                <w:rFonts w:ascii="Times New Roman" w:hAnsi="Times New Roman"/>
                <w:sz w:val="24"/>
              </w:rPr>
              <w:t>'</w:t>
            </w:r>
            <w:r w:rsidRPr="00492F81">
              <w:rPr>
                <w:rFonts w:ascii="Times New Roman" w:hAnsi="Times New Roman"/>
                <w:sz w:val="24"/>
              </w:rPr>
              <w:t xml:space="preserve">articolo 140, paragrafo 1, della CRD. </w:t>
            </w:r>
          </w:p>
          <w:p w14:paraId="49DFA41A" w14:textId="783E1A0E" w:rsidR="00455D0D" w:rsidRPr="00492F8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492F81">
              <w:rPr>
                <w:rFonts w:ascii="Times New Roman" w:hAnsi="Times New Roman"/>
                <w:sz w:val="24"/>
              </w:rPr>
              <w:t>Il coefficiente anticiclico specifico dell</w:t>
            </w:r>
            <w:r w:rsidR="00A801FB" w:rsidRPr="00492F81">
              <w:rPr>
                <w:rFonts w:ascii="Times New Roman" w:hAnsi="Times New Roman"/>
                <w:sz w:val="24"/>
              </w:rPr>
              <w:t>'</w:t>
            </w:r>
            <w:r w:rsidRPr="00492F81">
              <w:rPr>
                <w:rFonts w:ascii="Times New Roman" w:hAnsi="Times New Roman"/>
                <w:sz w:val="24"/>
              </w:rPr>
              <w:t>ente è equivalente alla media ponderata dei coefficienti anticiclici che si applicano nei paesi in cui sono situate le esposizioni creditizie rilevanti dell</w:t>
            </w:r>
            <w:r w:rsidR="00A801FB" w:rsidRPr="00492F81">
              <w:rPr>
                <w:rFonts w:ascii="Times New Roman" w:hAnsi="Times New Roman"/>
                <w:sz w:val="24"/>
              </w:rPr>
              <w:t>'</w:t>
            </w:r>
            <w:r w:rsidRPr="00492F81">
              <w:rPr>
                <w:rFonts w:ascii="Times New Roman" w:hAnsi="Times New Roman"/>
                <w:sz w:val="24"/>
              </w:rPr>
              <w:t>ente e indicati nelle righe da 010.1 a 010.X del modello EU CCyB1.</w:t>
            </w:r>
          </w:p>
          <w:p w14:paraId="23A765A5" w14:textId="77777777" w:rsidR="00455D0D" w:rsidRPr="00492F8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492F81">
              <w:rPr>
                <w:rFonts w:ascii="Times New Roman" w:hAnsi="Times New Roman"/>
                <w:sz w:val="24"/>
              </w:rPr>
              <w:t xml:space="preserve">Il fattore di ponderazione applicato al coefficiente di riserva di capitale anticiclica in ogni paese è la quota di requisiti di fondi propri sul totale dei requisiti di fondi propri ed è segnalato nel modello EU CCyB1, colonna l. </w:t>
            </w:r>
          </w:p>
          <w:p w14:paraId="67F32981" w14:textId="77777777" w:rsidR="00455D0D" w:rsidRPr="00492F81"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492F81">
              <w:rPr>
                <w:rFonts w:ascii="Times New Roman" w:hAnsi="Times New Roman"/>
                <w:sz w:val="24"/>
              </w:rPr>
              <w:t>Tale valore è indicato come percentuale con 2 decimali.</w:t>
            </w:r>
          </w:p>
        </w:tc>
      </w:tr>
      <w:tr w:rsidR="00455D0D" w:rsidRPr="00492F81" w14:paraId="44E7A9FA" w14:textId="77777777" w:rsidTr="00D819DE">
        <w:trPr>
          <w:trHeight w:val="316"/>
        </w:trPr>
        <w:tc>
          <w:tcPr>
            <w:tcW w:w="1384" w:type="dxa"/>
          </w:tcPr>
          <w:p w14:paraId="7AB6A5B3" w14:textId="77777777" w:rsidR="00455D0D" w:rsidRPr="00492F81" w:rsidRDefault="00455D0D" w:rsidP="00D819DE">
            <w:pPr>
              <w:autoSpaceDE w:val="0"/>
              <w:autoSpaceDN w:val="0"/>
              <w:adjustRightInd w:val="0"/>
              <w:jc w:val="both"/>
              <w:rPr>
                <w:rFonts w:ascii="Times New Roman" w:eastAsia="Times New Roman" w:hAnsi="Times New Roman" w:cs="Times New Roman"/>
                <w:sz w:val="24"/>
              </w:rPr>
            </w:pPr>
            <w:r w:rsidRPr="00492F81">
              <w:rPr>
                <w:rFonts w:ascii="Times New Roman" w:hAnsi="Times New Roman"/>
                <w:sz w:val="24"/>
              </w:rPr>
              <w:t>3</w:t>
            </w:r>
          </w:p>
        </w:tc>
        <w:tc>
          <w:tcPr>
            <w:tcW w:w="7655" w:type="dxa"/>
          </w:tcPr>
          <w:p w14:paraId="4BFFC9C6" w14:textId="56BCB65A" w:rsidR="00455D0D" w:rsidRPr="00492F81" w:rsidRDefault="00455D0D" w:rsidP="00215EF8">
            <w:pPr>
              <w:pStyle w:val="Applicationdirecte"/>
              <w:spacing w:before="80"/>
              <w:rPr>
                <w:b/>
              </w:rPr>
            </w:pPr>
            <w:r w:rsidRPr="00492F81">
              <w:rPr>
                <w:b/>
              </w:rPr>
              <w:t>Requisito di riserva di capitale anticiclica specifica dell</w:t>
            </w:r>
            <w:r w:rsidR="00A801FB" w:rsidRPr="00492F81">
              <w:rPr>
                <w:b/>
              </w:rPr>
              <w:t>'</w:t>
            </w:r>
            <w:r w:rsidRPr="00492F81">
              <w:rPr>
                <w:b/>
              </w:rPr>
              <w:t>ente</w:t>
            </w:r>
          </w:p>
          <w:p w14:paraId="2EEC939D" w14:textId="47EE5AAC" w:rsidR="00455D0D" w:rsidRPr="00492F81" w:rsidRDefault="00455D0D" w:rsidP="00D819DE">
            <w:pPr>
              <w:autoSpaceDE w:val="0"/>
              <w:autoSpaceDN w:val="0"/>
              <w:adjustRightInd w:val="0"/>
              <w:spacing w:before="120" w:after="120"/>
              <w:jc w:val="both"/>
              <w:rPr>
                <w:rFonts w:ascii="Times New Roman" w:hAnsi="Times New Roman" w:cs="Times New Roman"/>
                <w:b/>
                <w:sz w:val="24"/>
              </w:rPr>
            </w:pPr>
            <w:r w:rsidRPr="00492F81">
              <w:rPr>
                <w:rFonts w:ascii="Times New Roman" w:hAnsi="Times New Roman"/>
                <w:sz w:val="24"/>
              </w:rPr>
              <w:t>Requisito di riserva di capitale anticiclica specifica dell</w:t>
            </w:r>
            <w:r w:rsidR="00A801FB" w:rsidRPr="00492F81">
              <w:rPr>
                <w:rFonts w:ascii="Times New Roman" w:hAnsi="Times New Roman"/>
                <w:sz w:val="24"/>
              </w:rPr>
              <w:t>'</w:t>
            </w:r>
            <w:r w:rsidRPr="00492F81">
              <w:rPr>
                <w:rFonts w:ascii="Times New Roman" w:hAnsi="Times New Roman"/>
                <w:sz w:val="24"/>
              </w:rPr>
              <w:t>ente, pari al coefficiente anticiclico specifico dell</w:t>
            </w:r>
            <w:r w:rsidR="00A801FB" w:rsidRPr="00492F81">
              <w:rPr>
                <w:rFonts w:ascii="Times New Roman" w:hAnsi="Times New Roman"/>
                <w:sz w:val="24"/>
              </w:rPr>
              <w:t>'</w:t>
            </w:r>
            <w:r w:rsidRPr="00492F81">
              <w:rPr>
                <w:rFonts w:ascii="Times New Roman" w:hAnsi="Times New Roman"/>
                <w:sz w:val="24"/>
              </w:rPr>
              <w:t>ente, indicato nella riga 2 di questo modello, applicato all</w:t>
            </w:r>
            <w:r w:rsidR="00A801FB" w:rsidRPr="00492F81">
              <w:rPr>
                <w:rFonts w:ascii="Times New Roman" w:hAnsi="Times New Roman"/>
                <w:sz w:val="24"/>
              </w:rPr>
              <w:t>'</w:t>
            </w:r>
            <w:r w:rsidRPr="00492F81">
              <w:rPr>
                <w:rFonts w:ascii="Times New Roman" w:hAnsi="Times New Roman"/>
                <w:sz w:val="24"/>
              </w:rPr>
              <w:t>importo complessivo dell</w:t>
            </w:r>
            <w:r w:rsidR="00A801FB" w:rsidRPr="00492F81">
              <w:rPr>
                <w:rFonts w:ascii="Times New Roman" w:hAnsi="Times New Roman"/>
                <w:sz w:val="24"/>
              </w:rPr>
              <w:t>'</w:t>
            </w:r>
            <w:r w:rsidRPr="00492F81">
              <w:rPr>
                <w:rFonts w:ascii="Times New Roman" w:hAnsi="Times New Roman"/>
                <w:sz w:val="24"/>
              </w:rPr>
              <w:t>esposizione al rischio indicato nella riga 1 di questo modello.</w:t>
            </w:r>
          </w:p>
        </w:tc>
      </w:tr>
    </w:tbl>
    <w:p w14:paraId="0670C1A7" w14:textId="77777777" w:rsidR="00455D0D" w:rsidRPr="00492F81"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492F81"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492F81" w:rsidRDefault="00455D0D" w:rsidP="00D819DE">
            <w:pPr>
              <w:jc w:val="both"/>
              <w:rPr>
                <w:rFonts w:ascii="Times New Roman" w:hAnsi="Times New Roman" w:cs="Times New Roman"/>
                <w:b/>
                <w:sz w:val="24"/>
              </w:rPr>
            </w:pPr>
            <w:r w:rsidRPr="00492F81">
              <w:rPr>
                <w:rFonts w:ascii="Times New Roman" w:hAnsi="Times New Roman"/>
                <w:b/>
                <w:sz w:val="24"/>
              </w:rPr>
              <w:t>Riferimenti giuridici e istruzioni</w:t>
            </w:r>
          </w:p>
        </w:tc>
      </w:tr>
      <w:tr w:rsidR="00455D0D" w:rsidRPr="00492F81" w14:paraId="3AE40F7E" w14:textId="77777777" w:rsidTr="00D819DE">
        <w:trPr>
          <w:trHeight w:val="238"/>
        </w:trPr>
        <w:tc>
          <w:tcPr>
            <w:tcW w:w="1384" w:type="dxa"/>
            <w:shd w:val="clear" w:color="auto" w:fill="D9D9D9" w:themeFill="background1" w:themeFillShade="D9"/>
          </w:tcPr>
          <w:p w14:paraId="3A49F058" w14:textId="60D10C1F" w:rsidR="00455D0D" w:rsidRPr="00492F81" w:rsidRDefault="00455D0D" w:rsidP="00D819DE">
            <w:pPr>
              <w:autoSpaceDE w:val="0"/>
              <w:autoSpaceDN w:val="0"/>
              <w:adjustRightInd w:val="0"/>
              <w:jc w:val="both"/>
              <w:rPr>
                <w:rFonts w:ascii="Times New Roman" w:hAnsi="Times New Roman" w:cs="Times New Roman"/>
                <w:b/>
                <w:sz w:val="24"/>
              </w:rPr>
            </w:pPr>
            <w:r w:rsidRPr="00492F81">
              <w:rPr>
                <w:rFonts w:ascii="Times New Roman" w:hAnsi="Times New Roman"/>
                <w:b/>
                <w:sz w:val="24"/>
              </w:rPr>
              <w:t xml:space="preserve">Numero </w:t>
            </w:r>
            <w:r w:rsidR="00215EF8" w:rsidRPr="00492F81">
              <w:rPr>
                <w:rFonts w:ascii="Times New Roman" w:hAnsi="Times New Roman"/>
                <w:b/>
                <w:sz w:val="24"/>
              </w:rPr>
              <w:br/>
            </w:r>
            <w:r w:rsidRPr="00492F81">
              <w:rPr>
                <w:rFonts w:ascii="Times New Roman" w:hAnsi="Times New Roman"/>
                <w:b/>
                <w:sz w:val="24"/>
              </w:rPr>
              <w:t>di colonna</w:t>
            </w:r>
          </w:p>
        </w:tc>
        <w:tc>
          <w:tcPr>
            <w:tcW w:w="7655" w:type="dxa"/>
            <w:shd w:val="clear" w:color="auto" w:fill="D9D9D9" w:themeFill="background1" w:themeFillShade="D9"/>
          </w:tcPr>
          <w:p w14:paraId="419637B6" w14:textId="77777777" w:rsidR="00455D0D" w:rsidRPr="00492F81" w:rsidRDefault="00455D0D" w:rsidP="00D819DE">
            <w:pPr>
              <w:autoSpaceDE w:val="0"/>
              <w:autoSpaceDN w:val="0"/>
              <w:adjustRightInd w:val="0"/>
              <w:jc w:val="both"/>
              <w:rPr>
                <w:rFonts w:ascii="Times New Roman" w:hAnsi="Times New Roman" w:cs="Times New Roman"/>
                <w:color w:val="000000"/>
                <w:sz w:val="24"/>
              </w:rPr>
            </w:pPr>
            <w:r w:rsidRPr="00492F81">
              <w:rPr>
                <w:rFonts w:ascii="Times New Roman" w:hAnsi="Times New Roman"/>
                <w:b/>
                <w:sz w:val="24"/>
              </w:rPr>
              <w:t>Spiegazione</w:t>
            </w:r>
          </w:p>
        </w:tc>
      </w:tr>
      <w:tr w:rsidR="00455D0D" w:rsidRPr="00492F81" w14:paraId="6D043B5C" w14:textId="77777777" w:rsidTr="00D819DE">
        <w:trPr>
          <w:trHeight w:val="703"/>
        </w:trPr>
        <w:tc>
          <w:tcPr>
            <w:tcW w:w="1384" w:type="dxa"/>
          </w:tcPr>
          <w:p w14:paraId="5A332E76" w14:textId="77777777" w:rsidR="00455D0D" w:rsidRPr="00492F81" w:rsidRDefault="00455D0D" w:rsidP="00D819DE">
            <w:pPr>
              <w:pStyle w:val="Applicationdirecte"/>
              <w:spacing w:before="120"/>
            </w:pPr>
            <w:r w:rsidRPr="00492F81">
              <w:t>a</w:t>
            </w:r>
          </w:p>
        </w:tc>
        <w:tc>
          <w:tcPr>
            <w:tcW w:w="7655" w:type="dxa"/>
          </w:tcPr>
          <w:p w14:paraId="788A4EF6" w14:textId="77777777" w:rsidR="00455D0D" w:rsidRPr="00492F81" w:rsidRDefault="00455D0D" w:rsidP="00D819DE">
            <w:pPr>
              <w:autoSpaceDE w:val="0"/>
              <w:autoSpaceDN w:val="0"/>
              <w:adjustRightInd w:val="0"/>
              <w:spacing w:before="120" w:after="120"/>
              <w:jc w:val="both"/>
              <w:rPr>
                <w:rFonts w:ascii="Times New Roman" w:hAnsi="Times New Roman" w:cs="Times New Roman"/>
                <w:color w:val="000000"/>
                <w:sz w:val="24"/>
              </w:rPr>
            </w:pPr>
            <w:r w:rsidRPr="00492F81">
              <w:rPr>
                <w:rFonts w:ascii="Times New Roman" w:hAnsi="Times New Roman"/>
                <w:sz w:val="24"/>
              </w:rPr>
              <w:t>Valore descritto conformemente alla spiegazione delle righe 1, 2 e 3 di questo modello.</w:t>
            </w:r>
          </w:p>
        </w:tc>
      </w:tr>
    </w:tbl>
    <w:p w14:paraId="56662C56" w14:textId="77777777" w:rsidR="004E3F4D" w:rsidRPr="00492F81" w:rsidRDefault="004E3F4D">
      <w:pPr>
        <w:rPr>
          <w:sz w:val="16"/>
          <w:szCs w:val="16"/>
        </w:rPr>
      </w:pPr>
    </w:p>
    <w:sectPr w:rsidR="004E3F4D" w:rsidRPr="00492F81">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7997CF5C" w:rsidR="00455D0D" w:rsidRPr="00492F81" w:rsidRDefault="00455D0D" w:rsidP="00455D0D">
      <w:pPr>
        <w:pStyle w:val="FootnoteText"/>
        <w:rPr>
          <w:rFonts w:cstheme="minorHAnsi"/>
        </w:rPr>
      </w:pPr>
      <w:r w:rsidRPr="00492F81">
        <w:rPr>
          <w:rStyle w:val="FootnoteReference"/>
          <w:rFonts w:cstheme="minorHAnsi"/>
        </w:rPr>
        <w:footnoteRef/>
      </w:r>
      <w:r w:rsidRPr="00492F81">
        <w:t xml:space="preserve"> </w:t>
      </w:r>
      <w:r w:rsidRPr="00492F81">
        <w:tab/>
        <w:t xml:space="preserve">Regolamento (UE) </w:t>
      </w:r>
      <w:r w:rsidR="00A801FB" w:rsidRPr="00492F81">
        <w:t>n. </w:t>
      </w:r>
      <w:r w:rsidRPr="00492F81">
        <w:t xml:space="preserve">575/2013, del Parlamento europeo e del Consiglio, del 26 giugno 2013, relativo ai requisiti prudenziali per gli enti creditizi e le imprese di investimento e che modifica il regolamento (UE) </w:t>
      </w:r>
      <w:r w:rsidR="00A801FB" w:rsidRPr="00492F81">
        <w:t>n. </w:t>
      </w:r>
      <w:r w:rsidRPr="00492F81">
        <w:t xml:space="preserve">648/2012, come modificato dal regolamento (UE) 2024/1623 </w:t>
      </w:r>
      <w:r w:rsidRPr="00492F81">
        <w:rPr>
          <w:color w:val="444444"/>
        </w:rPr>
        <w:t>(</w:t>
      </w:r>
      <w:hyperlink r:id="rId1" w:history="1">
        <w:r w:rsidRPr="00492F81">
          <w:rPr>
            <w:rStyle w:val="Hyperlink"/>
            <w:color w:val="800080"/>
          </w:rPr>
          <w:t>GU L 176 del 27.6.2013, pag. 1</w:t>
        </w:r>
      </w:hyperlink>
      <w:r w:rsidRPr="00492F81">
        <w:rPr>
          <w:color w:val="444444"/>
        </w:rPr>
        <w:t>)</w:t>
      </w:r>
      <w:r w:rsidRPr="00492F81">
        <w:t>;</w:t>
      </w:r>
      <w:r w:rsidRPr="00492F81">
        <w:rPr>
          <w:color w:val="800080"/>
          <w:u w:val="single"/>
        </w:rPr>
        <w:t xml:space="preserve"> </w:t>
      </w:r>
      <w:hyperlink r:id="rId2" w:history="1">
        <w:r w:rsidRPr="00492F81">
          <w:rPr>
            <w:rStyle w:val="Hyperlink"/>
          </w:rPr>
          <w:t>Regolamento - EU - 2024/1623 - IT - EUR-Lex (europa.eu)</w:t>
        </w:r>
      </w:hyperlink>
      <w:r w:rsidRPr="00492F81">
        <w:rPr>
          <w:color w:val="444444"/>
        </w:rPr>
        <w:t>)</w:t>
      </w:r>
      <w:r w:rsidRPr="00492F81">
        <w:t>.</w:t>
      </w:r>
    </w:p>
  </w:footnote>
  <w:footnote w:id="2">
    <w:p w14:paraId="02DF96C7" w14:textId="630FD94A" w:rsidR="00455D0D" w:rsidRPr="00492F81" w:rsidRDefault="00455D0D" w:rsidP="00455D0D">
      <w:pPr>
        <w:pStyle w:val="FootnoteText"/>
        <w:rPr>
          <w:rFonts w:cstheme="minorHAnsi"/>
        </w:rPr>
      </w:pPr>
      <w:r w:rsidRPr="00492F81">
        <w:rPr>
          <w:rStyle w:val="FootnoteReference"/>
          <w:rFonts w:cstheme="minorHAnsi"/>
        </w:rPr>
        <w:footnoteRef/>
      </w:r>
      <w:r w:rsidRPr="00492F81">
        <w:tab/>
        <w:t>Direttiva 2013/36/UE del Parlamento europeo e del Consiglio, del 26 giugno 2013, sull</w:t>
      </w:r>
      <w:r w:rsidR="00A801FB" w:rsidRPr="00492F81">
        <w:t>'</w:t>
      </w:r>
      <w:r w:rsidRPr="00492F81">
        <w:t>accesso all</w:t>
      </w:r>
      <w:r w:rsidR="00A801FB" w:rsidRPr="00492F81">
        <w:t>'</w:t>
      </w:r>
      <w:r w:rsidRPr="00492F81">
        <w:t>attività degli enti creditizi e sulla vigilanza prudenziale sugli enti creditizi, che modifica la direttiva 2002/87/CE e abroga le direttive 2006/48/CE e 2006/49/CE (GU L 176 del 27.6.2013, pag. 338).</w:t>
      </w:r>
    </w:p>
  </w:footnote>
  <w:footnote w:id="3">
    <w:p w14:paraId="56A80E1C" w14:textId="6C63C4BB" w:rsidR="00455D0D" w:rsidRPr="00222AAB" w:rsidRDefault="00455D0D" w:rsidP="00455D0D">
      <w:pPr>
        <w:pStyle w:val="FootnoteText"/>
        <w:rPr>
          <w:rFonts w:cstheme="minorHAnsi"/>
        </w:rPr>
      </w:pPr>
      <w:r w:rsidRPr="00492F81">
        <w:rPr>
          <w:rStyle w:val="FootnoteReference"/>
          <w:rFonts w:cstheme="minorHAnsi"/>
        </w:rPr>
        <w:footnoteRef/>
      </w:r>
      <w:r w:rsidRPr="00492F81">
        <w:t xml:space="preserve"> </w:t>
      </w:r>
      <w:r w:rsidRPr="00492F81">
        <w:tab/>
        <w:t xml:space="preserve">Regolamento delegato (UE) </w:t>
      </w:r>
      <w:r w:rsidR="00A801FB" w:rsidRPr="00492F81">
        <w:t>n. </w:t>
      </w:r>
      <w:r w:rsidRPr="00492F81">
        <w:t>1152/2014 della Commissione, del 4 giugno 2014, che integra la direttiva 2013/36/UE del Parlamento europeo e del Consiglio per quanto riguarda le norme tecniche di regolamentazione sull</w:t>
      </w:r>
      <w:r w:rsidR="00A801FB" w:rsidRPr="00492F81">
        <w:t>'</w:t>
      </w:r>
      <w:r w:rsidRPr="00492F81">
        <w:t>identificazione della localizzazione geografica delle esposizioni creditizie rilevanti ai fini del calcolo dei coefficienti anticiclici specifici dell</w:t>
      </w:r>
      <w:r w:rsidR="00A801FB" w:rsidRPr="00492F81">
        <w:t>'</w:t>
      </w:r>
      <w:r w:rsidRPr="00492F81">
        <w:t>ente (GU L 309 del 30.10.2014, pag.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4BA9324F" w:rsidR="00B80E57" w:rsidRPr="00B80E57" w:rsidRDefault="00B80E57" w:rsidP="00B80E57">
                          <w:pPr>
                            <w:rPr>
                              <w:rFonts w:ascii="Calibri" w:eastAsia="Calibri" w:hAnsi="Calibri" w:cs="Calibri"/>
                              <w:noProof/>
                              <w:color w:val="000000"/>
                              <w:sz w:val="24"/>
                            </w:rPr>
                          </w:pPr>
                          <w:r>
                            <w:rPr>
                              <w:rFonts w:ascii="Calibri" w:hAnsi="Calibri"/>
                              <w:color w:val="000000"/>
                              <w:sz w:val="24"/>
                            </w:rPr>
                            <w:t>Per l</w:t>
                          </w:r>
                          <w:r w:rsidR="00A801FB">
                            <w:rPr>
                              <w:rFonts w:ascii="Calibri" w:hAnsi="Calibri"/>
                              <w:color w:val="000000"/>
                              <w:sz w:val="24"/>
                            </w:rPr>
                            <w:t>'</w:t>
                          </w:r>
                          <w:r>
                            <w:rPr>
                              <w:rFonts w:ascii="Calibri" w:hAnsi="Calibri"/>
                              <w:color w:val="000000"/>
                              <w:sz w:val="24"/>
                            </w:rPr>
                            <w:t>uso ordinario dell</w:t>
                          </w:r>
                          <w:r w:rsidR="00A801FB">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Per l'uso ordinario del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305DDAC7" w14:textId="4BA9324F" w:rsidR="00B80E57" w:rsidRPr="00B80E57" w:rsidRDefault="00B80E57" w:rsidP="00B80E57">
                    <w:pPr>
                      <w:rPr>
                        <w:rFonts w:ascii="Calibri" w:eastAsia="Calibri" w:hAnsi="Calibri" w:cs="Calibri"/>
                        <w:noProof/>
                        <w:color w:val="000000"/>
                        <w:sz w:val="24"/>
                      </w:rPr>
                    </w:pPr>
                    <w:r>
                      <w:rPr>
                        <w:rFonts w:ascii="Calibri" w:hAnsi="Calibri"/>
                        <w:color w:val="000000"/>
                        <w:sz w:val="24"/>
                      </w:rPr>
                      <w:t>Per l</w:t>
                    </w:r>
                    <w:r w:rsidR="00A801FB">
                      <w:rPr>
                        <w:rFonts w:ascii="Calibri" w:hAnsi="Calibri"/>
                        <w:color w:val="000000"/>
                        <w:sz w:val="24"/>
                      </w:rPr>
                      <w:t>'</w:t>
                    </w:r>
                    <w:r>
                      <w:rPr>
                        <w:rFonts w:ascii="Calibri" w:hAnsi="Calibri"/>
                        <w:color w:val="000000"/>
                        <w:sz w:val="24"/>
                      </w:rPr>
                      <w:t>uso ordinario dell</w:t>
                    </w:r>
                    <w:r w:rsidR="00A801FB">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4A84E08E" w:rsidR="00B80E57" w:rsidRPr="00B80E57" w:rsidRDefault="00B80E57" w:rsidP="00B80E57">
                          <w:pPr>
                            <w:rPr>
                              <w:rFonts w:ascii="Calibri" w:eastAsia="Calibri" w:hAnsi="Calibri" w:cs="Calibri"/>
                              <w:noProof/>
                              <w:color w:val="000000"/>
                              <w:sz w:val="24"/>
                            </w:rPr>
                          </w:pPr>
                          <w:r>
                            <w:rPr>
                              <w:rFonts w:ascii="Calibri" w:hAnsi="Calibri"/>
                              <w:color w:val="000000"/>
                              <w:sz w:val="24"/>
                            </w:rPr>
                            <w:t>Per l</w:t>
                          </w:r>
                          <w:r w:rsidR="00A801FB">
                            <w:rPr>
                              <w:rFonts w:ascii="Calibri" w:hAnsi="Calibri"/>
                              <w:color w:val="000000"/>
                              <w:sz w:val="24"/>
                            </w:rPr>
                            <w:t>'</w:t>
                          </w:r>
                          <w:r>
                            <w:rPr>
                              <w:rFonts w:ascii="Calibri" w:hAnsi="Calibri"/>
                              <w:color w:val="000000"/>
                              <w:sz w:val="24"/>
                            </w:rPr>
                            <w:t>uso ordinario dell</w:t>
                          </w:r>
                          <w:r w:rsidR="00A801FB">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Per l'uso ordinario del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D2830DF" w14:textId="4A84E08E" w:rsidR="00B80E57" w:rsidRPr="00B80E57" w:rsidRDefault="00B80E57" w:rsidP="00B80E57">
                    <w:pPr>
                      <w:rPr>
                        <w:rFonts w:ascii="Calibri" w:eastAsia="Calibri" w:hAnsi="Calibri" w:cs="Calibri"/>
                        <w:noProof/>
                        <w:color w:val="000000"/>
                        <w:sz w:val="24"/>
                      </w:rPr>
                    </w:pPr>
                    <w:r>
                      <w:rPr>
                        <w:rFonts w:ascii="Calibri" w:hAnsi="Calibri"/>
                        <w:color w:val="000000"/>
                        <w:sz w:val="24"/>
                      </w:rPr>
                      <w:t>Per l</w:t>
                    </w:r>
                    <w:r w:rsidR="00A801FB">
                      <w:rPr>
                        <w:rFonts w:ascii="Calibri" w:hAnsi="Calibri"/>
                        <w:color w:val="000000"/>
                        <w:sz w:val="24"/>
                      </w:rPr>
                      <w:t>'</w:t>
                    </w:r>
                    <w:r>
                      <w:rPr>
                        <w:rFonts w:ascii="Calibri" w:hAnsi="Calibri"/>
                        <w:color w:val="000000"/>
                        <w:sz w:val="24"/>
                      </w:rPr>
                      <w:t>uso ordinario dell</w:t>
                    </w:r>
                    <w:r w:rsidR="00A801FB">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129C746E" w:rsidR="00B80E57" w:rsidRPr="00B80E57" w:rsidRDefault="00B80E57" w:rsidP="00B80E57">
                          <w:pPr>
                            <w:rPr>
                              <w:rFonts w:ascii="Calibri" w:eastAsia="Calibri" w:hAnsi="Calibri" w:cs="Calibri"/>
                              <w:noProof/>
                              <w:color w:val="000000"/>
                              <w:sz w:val="24"/>
                            </w:rPr>
                          </w:pPr>
                          <w:r>
                            <w:rPr>
                              <w:rFonts w:ascii="Calibri" w:hAnsi="Calibri"/>
                              <w:color w:val="000000"/>
                              <w:sz w:val="24"/>
                            </w:rPr>
                            <w:t>Per l</w:t>
                          </w:r>
                          <w:r w:rsidR="00A801FB">
                            <w:rPr>
                              <w:rFonts w:ascii="Calibri" w:hAnsi="Calibri"/>
                              <w:color w:val="000000"/>
                              <w:sz w:val="24"/>
                            </w:rPr>
                            <w:t>'</w:t>
                          </w:r>
                          <w:r>
                            <w:rPr>
                              <w:rFonts w:ascii="Calibri" w:hAnsi="Calibri"/>
                              <w:color w:val="000000"/>
                              <w:sz w:val="24"/>
                            </w:rPr>
                            <w:t>uso ordinario dell</w:t>
                          </w:r>
                          <w:r w:rsidR="00A801FB">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Per l'uso ordinario del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46B1BF" w14:textId="129C746E" w:rsidR="00B80E57" w:rsidRPr="00B80E57" w:rsidRDefault="00B80E57" w:rsidP="00B80E57">
                    <w:pPr>
                      <w:rPr>
                        <w:rFonts w:ascii="Calibri" w:eastAsia="Calibri" w:hAnsi="Calibri" w:cs="Calibri"/>
                        <w:noProof/>
                        <w:color w:val="000000"/>
                        <w:sz w:val="24"/>
                      </w:rPr>
                    </w:pPr>
                    <w:r>
                      <w:rPr>
                        <w:rFonts w:ascii="Calibri" w:hAnsi="Calibri"/>
                        <w:color w:val="000000"/>
                        <w:sz w:val="24"/>
                      </w:rPr>
                      <w:t>Per l</w:t>
                    </w:r>
                    <w:r w:rsidR="00A801FB">
                      <w:rPr>
                        <w:rFonts w:ascii="Calibri" w:hAnsi="Calibri"/>
                        <w:color w:val="000000"/>
                        <w:sz w:val="24"/>
                      </w:rPr>
                      <w:t>'</w:t>
                    </w:r>
                    <w:r>
                      <w:rPr>
                        <w:rFonts w:ascii="Calibri" w:hAnsi="Calibri"/>
                        <w:color w:val="000000"/>
                        <w:sz w:val="24"/>
                      </w:rPr>
                      <w:t>uso ordinario dell</w:t>
                    </w:r>
                    <w:r w:rsidR="00A801FB">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215EF8"/>
    <w:rsid w:val="00383B86"/>
    <w:rsid w:val="00455D0D"/>
    <w:rsid w:val="00466500"/>
    <w:rsid w:val="00492F81"/>
    <w:rsid w:val="004E3F4D"/>
    <w:rsid w:val="005D4F98"/>
    <w:rsid w:val="0079468D"/>
    <w:rsid w:val="008451C9"/>
    <w:rsid w:val="008B1793"/>
    <w:rsid w:val="00A801FB"/>
    <w:rsid w:val="00B80E57"/>
    <w:rsid w:val="00C44CD1"/>
    <w:rsid w:val="00DD03C2"/>
    <w:rsid w:val="00DE3BED"/>
    <w:rsid w:val="00FA2B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50326D-9593-4312-8896-9E5CE1C23B29}"/>
</file>

<file path=customXml/itemProps2.xml><?xml version="1.0" encoding="utf-8"?>
<ds:datastoreItem xmlns:ds="http://schemas.openxmlformats.org/officeDocument/2006/customXml" ds:itemID="{FEAAED8B-D4FC-4F73-AE53-0025BB9DE4CC}"/>
</file>

<file path=customXml/itemProps3.xml><?xml version="1.0" encoding="utf-8"?>
<ds:datastoreItem xmlns:ds="http://schemas.openxmlformats.org/officeDocument/2006/customXml" ds:itemID="{28D4E670-969C-402D-B091-208BC0E03FF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94</TotalTime>
  <Pages>5</Pages>
  <Words>1907</Words>
  <Characters>10170</Characters>
  <Application>Microsoft Office Word</Application>
  <DocSecurity>0</DocSecurity>
  <Lines>236</Lines>
  <Paragraphs>135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11942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ROMITI Anna Rita (DGT)</cp:lastModifiedBy>
  <cp:revision>11</cp:revision>
  <dcterms:created xsi:type="dcterms:W3CDTF">2021-03-11T11:56:00Z</dcterms:created>
  <dcterms:modified xsi:type="dcterms:W3CDTF">2024-10-16T10:13:00Z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