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ПРИЛОЖЕНИЕ XX — Указания за оповестяването на използването на стандартизирания подход към кредитния риск (с изключение на кредитния риск от контрагента и секюритизиращите позиции)</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Инструментите, за които се прилагат разпоредбите на трета част, дял II, глава 6 от Регламент (ЕС) № 575/2013</w:t>
      </w:r>
      <w:r w:rsidR="00166E0C" w:rsidRPr="00BC439A">
        <w:rPr>
          <w:rStyle w:val="FootnoteReference"/>
          <w:rFonts w:ascii="Times New Roman" w:hAnsi="Times New Roman"/>
        </w:rPr>
        <w:footnoteReference w:id="2"/>
      </w:r>
      <w:r>
        <w:rPr>
          <w:rFonts w:ascii="Times New Roman" w:hAnsi="Times New Roman"/>
          <w:sz w:val="24"/>
        </w:rPr>
        <w:t xml:space="preserve"> („РКИ“) (експозиции към кредитен риск от контрагента — КРК), както и инструментите, за които се прилагат изискванията в трета част, дял II, глава 5 от Регламент (ЕС) № 575/2013 (секюритизиращи експозиции), не са обхванати от образците, за които са дадени указания в настоящото приложение.</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Таблица EU CRD — Изисквания за оповестяване на качествена информация за стандартизирания подход. </w:t>
      </w:r>
      <w:r>
        <w:rPr>
          <w:rFonts w:ascii="Times New Roman" w:hAnsi="Times New Roman"/>
          <w:sz w:val="24"/>
        </w:rPr>
        <w:t>Свободен формат</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444, букви а) — г) от Регламент (ЕС) № 575/2013, като попълват таблица EU CRD от приложение XIX към ИТ решенията на ЕБО, следвайки изложените по-долу в настоящото приложение указания.</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Обяснение</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а)</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Член 444, буква а) от РКИ</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 xml:space="preserve">Институциите оповестяват избраните агенции за външна кредитна оценка (АВКО) и агенции за експортно кредитиране (АЕК) и причините за евентуалните промени в този избор през периода на оповестяване.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б)</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Член 444, буква б) от РКИ</w:t>
            </w:r>
          </w:p>
        </w:tc>
        <w:tc>
          <w:tcPr>
            <w:tcW w:w="4546" w:type="dxa"/>
          </w:tcPr>
          <w:p w14:paraId="137E3955" w14:textId="116E6D70"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Институциите посочват класовете експозиции, изброени в член 112 от Регламент (ЕС) № 575/2013, за които те изчисляват рисково претеглената стойност в съответствие с трета част, дял II, глава 2 от РКИ, като използват кредитната оценка на избраната АВКО или АЕК.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в)</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Член 444, буква в) от РКИ</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rPr>
            </w:pPr>
            <w:r>
              <w:rPr>
                <w:rFonts w:ascii="Times New Roman" w:hAnsi="Times New Roman"/>
                <w:sz w:val="24"/>
              </w:rPr>
              <w:t>Когато за определяне на рисковото тегло на експозиция, която не е включена в търговския портфейл, се използва кредитна оценка на емитент или емисия в съответствие с трета част, дял II, глава 2, член 139 от Регламент (ЕС) № 575/2013, институциите описват използвания процес.</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lastRenderedPageBreak/>
              <w:t>г)</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Член 444, буква г) от РКИ</w:t>
            </w:r>
          </w:p>
        </w:tc>
        <w:tc>
          <w:tcPr>
            <w:tcW w:w="4546" w:type="dxa"/>
          </w:tcPr>
          <w:p w14:paraId="137E395D" w14:textId="60016B0C"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За всеки от класовете експозиции, изброени в член 112 от Регламент (ЕС) № 575/2013, институциите посочват буквено-цифровата скала на всяка избрана АВКО/АЕК (както е посочена в ред „а“ на настоящия образец) с рисковите тегла, които съответстват на степените на кредитно качество, посочени в трета част, дял II, глава 2 от Регламент (ЕС) № 575/2013, освен когато следват стандартните присъдени степени на кредитно качество, публикувани от ЕБО.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Образец EU CR4 — Експозиция към кредитен риск и ефект на редуциране на кредитния риск.</w:t>
      </w:r>
      <w:r>
        <w:rPr>
          <w:rFonts w:ascii="Times New Roman" w:hAnsi="Times New Roman"/>
          <w:sz w:val="24"/>
        </w:rPr>
        <w:t xml:space="preserve"> Зададен формат</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Институциите, които изчисляват рисково претеглената стойност на експозициите към кредитен риск в съответствие с трета част, дял II, глава 2 от Регламент (ЕС) № 575/2013, оповестяват информацията по член 453, букви ж), з) и и) от Регламент (ЕС) № 575/2013 и член 444, буква д) от Регламент (ЕС) № 575/2013, като попълват образец EU CR4 от приложение XIX към ИТ решенията на ЕБО, следвайки изложените по-долу в настоящото приложение указания.</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Обяснение</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Експозиции преди кредитни конверсионни коефициенти (ККК) и редуциране на кредитния риск — балансови експозиции: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Институциите оповестяват стойността на балансовата експозиция, попадаща в обхвата на консолидацията за пруденциални цели в съответствие с член 111 от Регламент (ЕС) № 575/2013, след корекциите за специфичен кредитен риск в съответствие с член 110 от Регламент (ЕС) № 575/2013, допълнителните корекции на стойността в съответствие с членове 34 и 105 от Регламент (ЕС) № 575/2013, приспаднатите стойности в съответствие с член 36, параграф 1, буква м) от Регламент (ЕС) № 575/2013 и другите намаления на собствените средства и отписвания (съгласно определението в приложимата счетоводна рамка), но преди прилагане на i) кредитните конверсионни коефициенти, посочени в същия член, и ii) техниките за редуциране на кредитния риск, посочени в трета част, дял II, глава 4 от Регламент (ЕС) № 575/2013. За лизингите стойностите на експозициите се подчиняват на член 134, параграф 7 от Регламент (ЕС) № 575/2013.</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б</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Експозиции преди ККК и редуциране на кредитния риск — задбалансови експозиции:</w:t>
            </w:r>
          </w:p>
          <w:p w14:paraId="137E396F" w14:textId="70A24AB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Институциите оповестяват стойността на задбалансовата експозиция, попадаща в обхвата на консолидацията за пруденциални цели, коригирана за специфичен кредитен риск и след приспаданията в </w:t>
            </w:r>
            <w:r>
              <w:rPr>
                <w:rFonts w:ascii="Times New Roman" w:hAnsi="Times New Roman"/>
                <w:sz w:val="24"/>
              </w:rPr>
              <w:lastRenderedPageBreak/>
              <w:t>съответствие с член 36, параграф 1, буква м) от Регламент (ЕС) № 575/2013, но преди прилагането на кредитни конверсионни коефициенти в съответствие с член 111 от Регламент (ЕС) № 575/2013 и преди ефекта на техниките за редуциране на кредитния риск (в изпълнение на трета част, дял II, глава 4 от Регламент (ЕС) № 575/2013).</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в</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Експозиции след ККК и редуциране на кредитния риск — балансови експозиции: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Институциите оповестяват стойността на балансовата експозиция, попадаща в обхвата на консолидацията за пруденциални цели (в съответствие с член 111 от Регламент (ЕС) № 575/2013), след корекциите за специфичен кредитен риск в съответствие с член 110 от Регламент (ЕС) № 575/2013, допълнителните корекции на стойността в съответствие с членове 34 и 105 от Регламент (ЕС) № 575/2013, приспаднатите стойности в съответствие с член 36, параграф 1, буква м) от Регламент (ЕС) № 575/2013 и другите намаления на собствените средства и отписвания — съгласно определението в приложимата счетоводна рамка, както и след прилагането на всички средства за редуциране на кредитния риск и кредитни конверсионни коефициенти. Това е стойността, към която се прилагат рисковите тегла (в съответствие с член 113 от Регламент (ЕС) № 575/2013 и трета част, дял II, глава 2, раздел 2 от Регламент (ЕС) № 575/2013). Това е нетен кредитен еквивалент, след прилагането на техники за редуциране на кредитния риск и ККК.</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г</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Експозиции след ККК и редуциране на кредитния риск — задбалансови експозиции: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Институциите оповестяват стойността на задбалансовата експозиция след корекциите за специфичен кредитен риск, определени в Делегиран регламент (ЕС) № 183/2014 на Комисията</w:t>
            </w:r>
            <w:r w:rsidRPr="00166E0C">
              <w:rPr>
                <w:rStyle w:val="FootnoteReference"/>
                <w:rFonts w:ascii="Times New Roman" w:eastAsia="Times New Roman" w:hAnsi="Times New Roman" w:cs="Times New Roman"/>
              </w:rPr>
              <w:footnoteReference w:id="3"/>
            </w:r>
            <w:r>
              <w:rPr>
                <w:rFonts w:ascii="Times New Roman" w:hAnsi="Times New Roman"/>
                <w:sz w:val="24"/>
              </w:rPr>
              <w:t>, допълнителните корекции на стойността и другите намаления на собствените средства, както и след прилагането на всички средства за редуциране на кредитния риск и кредитни конверсионни коефициенти. Това е стойността, към която се прилагат рисковите тегла (в съответствие с член 113 от Регламент (ЕС) № 575/2013 и трета част, дял II, глава 2, раздел 2 от Регламент (ЕС) № 575/2013). Това е нетен кредитен еквивалент, след прилагането на техники за редуциране на кредитния риск и ККК.</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д</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РПРЕ</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Рисково претеглените размери на експозициите (РПРЕ), изчислени съгласно трета част, дял II, глава 2, раздел 2 от Регламент (ЕС) № 575/2013.</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Плътност на РПРЕ</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(колона „д“/колони („в“ + „г“) на настоящия образец)</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Отношението се изчислява, като РПРЕ на съответния клас експозиции (колона „д“ на настоящия образец) се раздели на стойността на съответните експозиции, след като се вземат предвид всички средства за редуциране на кредитния риск и кредитни конверсионни коефициенти (сбора на стойностите в колони „в“ и „г“ на настоящия образец).</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1, EU 2a, EU2б, 3, EU 3a, 4, 5, 6, EU 7a, EU 7б, 8, 9, 10, EU 10a, EU 10б, EU 10в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 xml:space="preserve">Класове експозиции съгласно определението в член 112 от Регламент (ЕС) № 575/2013.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Тук не се включват експозициите, отнесени към посочения в член 112, буква м) от Регламент (ЕС) № 575/2013 клас експозиции „елементи, представляващи секюритизиращи позиции“.</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Субекти от публичния сектор, които не са от подсектор „Централно управление“</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Сборът на експозициите в редове EU 2a и EU 2б.</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Регионални правителства или местни органи на властта</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rPr>
              <w:t xml:space="preserve">Експозициите съгласно определението в член 112, буква б) от Регламент (ЕС) № 575/2013 и член 115, параграфи -1, 1, 3, 4 и 5 от Регламент (ЕС) № 575/2013 за експозиции по стандартизирания подход.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2б</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Pr>
                <w:rFonts w:ascii="Times New Roman" w:hAnsi="Times New Roman"/>
                <w:b/>
                <w:sz w:val="24"/>
              </w:rPr>
              <w:t>Субекти от публичния сектор</w:t>
            </w:r>
            <w:r>
              <w:rPr>
                <w:rFonts w:ascii="Times New Roman" w:hAnsi="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Експозициите съгласно определението в член 4, параграф 1, точка 8, член 112, буква в) и член 116, параграфи 1, 2, 3, 4 и 5 от Регламент (ЕС) № 575/2013 за експозиции по стандартизирания подход.</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Pr>
                <w:rFonts w:ascii="Times New Roman" w:hAnsi="Times New Roman"/>
                <w:b/>
                <w:sz w:val="24"/>
              </w:rPr>
              <w:t>Предприятия</w:t>
            </w:r>
            <w:r>
              <w:rPr>
                <w:rFonts w:ascii="Times New Roman" w:hAnsi="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Експозициите съгласно определението в член 112, буква ж) и член 122 от Регламент (ЕС) № 575/2013.</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в т.ч.: специализирано кредитиране</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Експозициите съгласно определението в член 122а от Регламент (ЕС) № 575/2013.</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Експозиции към подчинен дълг и капиталови инструменти</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Сборът на експозициите в редове EU 7a и EU 7б.</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7а</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Експозиции към подчинен дълг</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Експозициите съгласно определението в член 112, буква к) и член 128 от Регламент (ЕС) № 575/2013.</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7б</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Капиталови инструменти</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Експозициите съгласно определението в член 112, буква п) и член 133, параграф 1 от Регламент (ЕС) № 575/2013.</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Обезпечени с ипотеки върху недвижими имоти и експозиции по придобиване, разработване и строителство (ПРС) на терени</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 xml:space="preserve">Тук се докладват експозициите, обезпечени с недвижими имоти, определени в член 4, параграф 1, точки 75 — 75е от Регламент (ЕС) № 575/2013, и експозициите, определени в член 4, параграф 1, точка 78а от Регламент (ЕС) № 575/2013.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Този ред е сборът от редове 9.1; 9.2; 9.3; 9.4 9.5.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Обезпечени с ипотеки върху жилищни недвижими имоти – които не са ОДНИ</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Тук се докладват експозициите, третирани в съответствие с член 125, параграф 1 от Регламент (ЕС) № 575/2013.</w:t>
            </w:r>
          </w:p>
          <w:p w14:paraId="39BC2BE6" w14:textId="40A39FE4" w:rsidR="00FD6952" w:rsidRPr="00FB64CF" w:rsidRDefault="00FD6952" w:rsidP="00FB64CF">
            <w:pPr>
              <w:spacing w:after="120"/>
              <w:jc w:val="both"/>
              <w:rPr>
                <w:rFonts w:eastAsiaTheme="minorHAnsi"/>
              </w:rPr>
            </w:pPr>
            <w:r>
              <w:rPr>
                <w:rFonts w:ascii="Times New Roman" w:hAnsi="Times New Roman"/>
                <w:sz w:val="24"/>
              </w:rPr>
              <w:t>В този ред се оповестяват също: други експозиции, обезпечени с ипотеки върху жилищни недвижими имоти (които не са ОДНИ),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а) от Регламент (ЕС) № 575/2013.</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Обезпечени с ипотеки върху жилищни недвижими имоти – ОДНИ</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Тук се докладват само експозициите, които отговарят на определението в член 4, параграф 1, точка 75б от Регламент (ЕС) № 575/2013, включително обезпечените с доходоносни недвижими имоти експозиции, които отговарят на някое от условията по член 124, параграф 2, буква а), подточка ii), точки 1 — 4 от Регламент (ЕС) № 575/2013; Обезпечените с доходоносни недвижими имоти експозиции, когато се прилага предвидената в член 125, параграф 2 от Регламент (ЕС) № 575/2013 дерогация.</w:t>
            </w:r>
          </w:p>
          <w:p w14:paraId="752E3912" w14:textId="33220D5C"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В този ред се оповестяват също други експозиции, обезпечени с ипотеки върху жилищни недвижими имоти (ОДНИ),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б) от Регламент (ЕС) №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Обезпечени с ипотеки върху търговски недвижими имоти – които не са ОДНИ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Тук се докладват експозициите, третирани в съответствие с член 126, параграф 1 от Регламент (ЕС) № 575/2013.</w:t>
            </w:r>
          </w:p>
          <w:p w14:paraId="56DF61DF" w14:textId="3ED6FADA"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В този ред се оповестяват също: други експозиции, обезпечени с ипотеки върху търговски недвижими имоти (които не са ОДНИ),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а) от Регламент (ЕС) № 575/2013.</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Обезпечени с ипотеки върху търговски недвижими имоти – ОДНИ</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lastRenderedPageBreak/>
              <w:t>Тук се докладват експозициите, които отговарят на определението в член 4, параграф 1, точка 75б и член 124, параграф 2, буква б), подточка ii) от Регламент (ЕС) № 575/2013, включително обезпечените с доходоносни недвижими имоти експозиции, когато се прилага дерогацията, предвидена в член 126, параграф 2 от Регламент (ЕС) № 575/2013.</w:t>
            </w:r>
          </w:p>
          <w:p w14:paraId="17723425" w14:textId="4CA6C755"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t>В този ред се оповестяват също други експозиции, обезпечени с ипотеки върху търговски недвижими имоти (ОДНИ),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б) от Регламент (ЕС) №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Не е приложимо</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 xml:space="preserve">„Общо“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Сборът на експозициите в редове 1, 2, 3, EU 3a, 4, 5, 6, 7, 8, 9, 10, EU 10a, EU 10б, EU 10в по-горе.</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Образец EU CR5 – Стандартизиран подход</w:t>
      </w:r>
      <w:r>
        <w:rPr>
          <w:rFonts w:ascii="Times New Roman" w:hAnsi="Times New Roman"/>
          <w:sz w:val="24"/>
        </w:rPr>
        <w:t xml:space="preserve"> Зададен формат</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rPr>
        <w:t>Институциите оповестяват информацията, посочена в член 444, буква д) от Регламент (ЕС) № 575/2013, като попълват образец EU CR5 от приложение XIX към ИТ решенията на ЕБО, следвайки изложените по-долу в настоящото приложение указания.</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Обяснение</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а — ш</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Рисково тегло: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Институциите оповестяват информация за разпределението на рисковите тегла в рамките на съответния клас експозиции съгласно трета част, дял II, глава 2, раздел 2 от Регламент (ЕС) № 575/2013.</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щ</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Общо: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Общата стойност на балансовите и задбалансовите експозиции при обхвата на консолидация за пруденциални цели: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след корекциите за специфичен кредитен риск в съответствие с член 110 от Регламент (ЕС) № 575/2013, допълнителните корекции на стойността в съответствие с членове 34 и 105 от Регламент (ЕС) № 575/2013, приспаднатите стойности в съответствие с член 36, параграф 1, буква м) от Регламент (ЕС) № 575/2013 и другите намаления на собствените средства и отписвания (съгласно определението в приложимата счетоводна рамка) — за балансовите експозиции, в съответствие с член 111 от Регламент (ЕС) № 575/2013;</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след корекциите за специфичен кредитен риск и приспаднатите стойности в съответствие с член 36, параграф 1, буква м) от Регламент (ЕС) № 575/2013 — за задбалансовите експозиции, в съответствие с член 111 от Регламент (ЕС) № 575/2013;</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 след прилагането на i) конверсионните коефициенти, посочени в същия член, и ii) техниките за редуциране на кредитния риск, посочени в трета част, дял II, глава 4 от РКИ — за балансовите и за задбалансовите експозиции.</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в т.ч. без рейтинг:</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Експозициите, за които няма кредитна оценка от избрана АВКО и за които се прилагат специфични рискови тегла в зависимост от техния клас експозиции — както е посочено в членове 113—134 от Регламент (ЕС) № 575/2013.</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EU2a, EU 2б, 3, EU 3a, 4, 5, 6, EU 7a, EU 7б, 8, 9, 10, EU 10а, EU 10б, EU 10в</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t xml:space="preserve">Класовете експозиции съгласно член 112 от Регламент (ЕС) № 575/2013. </w:t>
            </w:r>
          </w:p>
          <w:p w14:paraId="418D4291" w14:textId="757AEF54"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Тук не се включват експозициите, отнесени към посочения в член 112, буква м) от Регламент (ЕС) № 575/2013 клас експозиции „елементи, представляващи секюритизиращи позиции“.</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 xml:space="preserve">Субекти от публичния сектор, които не са от подсектор „Централно управление“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Сборът на експозициите в редове EU 2a и EU 2б.</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Регионални правителства или местни органи на властта</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rPr>
              <w:t>Експозициите съгласно определението в член 112, буква б) от Регламент (ЕС) № 575/2013 и член 115, параграфи -1, 1, 3, 4 и 5 от Регламент (ЕС) № 575/2013 за експозиции по стандартизирания подход.</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2б</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Субекти от публичния сектор</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Експозициите съгласно определението в член 4, параграф 1, точка 8, член 112, буква в) и член 116, параграфи 1, 2, 3, 4 и 5 от Регламент (ЕС) № 575/2013 за експозиции по стандартизирания подход.</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Предприятия</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Експозициите съгласно определението в член 112, буква ж) и член 122 от Регламент (ЕС) № 575/2013.</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в т.ч.: специализирано кредитиране</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Експозициите съгласно определението в член 122а от Регламент (ЕС) № 575/2013.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Експозиции към подчинен дълг и капиталови инструменти</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Това е сборът от определените по-долу редове (EU 7a и EU 7б).</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7а</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Експозиции към подчинен дълг</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Експозициите съгласно определението в член 112, буква к) и член 128 от Регламент (ЕС) № 575/2013.</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EU 7б</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Капиталови инструменти</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Експозициите съгласно определението в член 112, буква п) и член 133, параграф 1 от Регламент (ЕС) № 575/2013.</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Обезпечени с ипотеки върху недвижими имоти и експозиции по придобиване, разработване и строителство (ПРС) на терени</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Тук се докладват експозициите, обезпечени с недвижими имоти, определени в член 4, параграф 1, точки 75 — 75е от Регламент (ЕС) № 575/2013, и експозициите, определени в член 4, параграф 1, точка 78а от Регламент (ЕС) № 575/2013.</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Този ред е сборът от редове 9.1; 9.2; 9.3; 9.4; 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Обезпечени с ипотеки върху жилищни недвижими имоти – които не са ОДНИ</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Тук се оповестяват експозициите, третирани в съответствие с член 125, параграф 1 от Регламент (ЕС) № 575/2013.</w:t>
            </w:r>
          </w:p>
          <w:p w14:paraId="739769BE" w14:textId="77777777" w:rsidR="00FB64CF" w:rsidRDefault="007750BC" w:rsidP="007750BC">
            <w:pPr>
              <w:spacing w:after="120"/>
              <w:jc w:val="both"/>
              <w:rPr>
                <w:rFonts w:ascii="Times New Roman" w:eastAsiaTheme="minorHAnsi" w:hAnsi="Times New Roman"/>
                <w:sz w:val="24"/>
              </w:rPr>
            </w:pPr>
            <w:r>
              <w:rPr>
                <w:rFonts w:ascii="Times New Roman" w:hAnsi="Times New Roman"/>
                <w:sz w:val="24"/>
              </w:rPr>
              <w:br/>
              <w:t>В този ред се оповестяват също: други експозиции, обезпечени с ипотеки върху жилищни недвижими имоти (които не са ОДНИ), които не отговарят на условията по член 124, параграф 3; или всяка част от експозиция, различна от ПРС, която надвишава номиналната стойност на ипотеката върху имота, посочена в член 124, параграф 1, буква а) от Регламент (ЕС) № 575/2013.</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Този ред е сборът от редове  9.1.1, 9.1.2 и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Без прилагане на разделение на заемите</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Експозициите, обезпечени с ипотеки върху жилищни недвижими имоти (които не са ОДНИ), за които не се прилага подходът на разделяне на заемите, описан в член 125, параграф 1 от Регламент (ЕС) № 575/2013.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С прилагане на разделение на заемите (обезпечени)</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Обезпечената част от експозициите, обезпечени с ипотеки върху жилищни недвижими имоти, за които се прилага подходът на разделяне на заемите, описан в член 125, параграф 1, буква а) от Регламент (ЕС) № 575/2013.</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С прилагане на разделение на заемите (необезпечени)</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Останалата част от експозициите, обезпечени с ипотеки върху жилищни недвижими имоти, за които се прилага подходът на разделяне на заемите, описан в член 125, параграф 1 от Регламент (ЕС) № 575/2013.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Обезпечени с ипотеки върху жилищни недвижими имоти – ОДНИ</w:t>
            </w:r>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Тук се докладват експозициите, които отговарят на определението по член 4, параграф 1, точка 75б от Регламент (ЕС) № 575/2013.</w:t>
            </w:r>
          </w:p>
          <w:p w14:paraId="46AB10B2" w14:textId="77777777"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 xml:space="preserve">В този ред се оповестяват също: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xml:space="preserve">- други експозиции, обезпечени с ипотеки върху жилищни недвижими имоти (ОДНИ), които не отговарят на условията по член 124, параграф 3, както и всяка част от експозиция, различна от ПРС, която надвишава </w:t>
            </w:r>
            <w:r>
              <w:rPr>
                <w:rFonts w:ascii="Times New Roman" w:hAnsi="Times New Roman"/>
                <w:sz w:val="24"/>
              </w:rPr>
              <w:lastRenderedPageBreak/>
              <w:t>номиналната стойност на ипотеката върху имота, посочена в член 124, параграф 1, буква б) от Регламент (ЕС) № 575/2013;</w:t>
            </w:r>
          </w:p>
          <w:p w14:paraId="54B1CD31" w14:textId="77777777" w:rsidR="00DE1541" w:rsidRDefault="008D77B1" w:rsidP="5A0D947F">
            <w:pPr>
              <w:spacing w:after="120"/>
              <w:jc w:val="both"/>
              <w:rPr>
                <w:rFonts w:ascii="Times New Roman" w:hAnsi="Times New Roman" w:cs="Times New Roman"/>
                <w:bCs/>
                <w:sz w:val="24"/>
              </w:rPr>
            </w:pPr>
            <w:r>
              <w:rPr>
                <w:rFonts w:ascii="Times New Roman" w:hAnsi="Times New Roman"/>
                <w:sz w:val="24"/>
              </w:rPr>
              <w:t xml:space="preserve">- обезпечените с доходоносни недвижими имоти експозиции, които отговарят на условията по член 124, параграф 2, буква а), подточка ii), точки 1 — 4 от Регламент (ЕС) № 575/2013;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 обезпечените с доходоносни недвижими имоти експозиции, когато се прилага предвидената в член 125, параграф 2 от Регламент (ЕС) № 575/2013 дерогация.</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Обезпечени с ипотеки върху търговски недвижими имоти – които не са ОДНИ</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Тук се оповестяват експозициите, третирани в съответствие с член 126, параграф 1 от Регламент (ЕС) № 575/2013.</w:t>
            </w:r>
          </w:p>
          <w:p w14:paraId="7E6B1435" w14:textId="2E512A61"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В този ред се оповестяват също: други експозиции, обезпечени с ипотеки върху търговски недвижими имоти (които не са ОДНИ),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а) от Регламент (ЕС) № 575/2013.</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Този ред е сборът от редове  9.3.1, 9.3.2 и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Без прилагане на разделение на заемите</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Експозициите, обезпечени с ипотеки върху търговски недвижими имоти, за които не се прилага подходът на разделяне на заемите, описан в член 126, параграф 1 от Регламент (ЕС) № 575/2013.</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9.3.2</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С прилагане на разделение на заемите (обезпечени)</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Обезпечената част от експозициите, обезпечени с ипотеки върху търговски недвижими имоти, за които се прилага подходът на разделяне на заемите, описан в член 126, параграф 1 от Регламент (ЕС) № 575/2013.</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С прилагане на разделение на заемите (необезпечени)</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Останалата част от експозициите, обезпечени с ипотеки върху търговски недвижими имоти, за които се прилага подходът на разделяне на заемите, описан в член 126, параграф 1 от Регламент (ЕС) № 575/2013.</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Обезпечени с ипотеки върху търговски недвижими имоти – ОДНИ</w:t>
            </w:r>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Тук се докладват само експозициите, които отговарят на определението по член 4, параграф 1, точка 75б и член 124, параграф 2, буква б), подточка ii) от Регламент (ЕС) № 575/2013. </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t>В този ред се оповестяват също:</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други експозиции, обезпечени с ипотеки върху търговски недвижими имоти (ОДНИ),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б) от Регламент (ЕС) № 575/2013;</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lastRenderedPageBreak/>
              <w:t>- обезпечените с доходоносни недвижими имоти експозиции, когато се прилага предвидената в член 126, параграф 2 от Регламент (ЕС) № 575/2014 дерогация.</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Придобиване, разработване и строителство (ПРС) на терени</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Тук се докладват само експозициите, които отговарят на определението по член 4, параграф 1, точка 78а от Регламент (ЕС) № 575/2013.</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t>EU 10в</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Други позиции</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Този клас експозиции се отнася до:</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активите, за които се прилага специфично рисково тегло, предвидено в трета част, дял II, глава 4, член 134 от Регламент (ЕС) № 575/2013;</w:t>
            </w:r>
          </w:p>
          <w:p w14:paraId="573636F2" w14:textId="044BB2FD"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активите, които не са приспаднати при прилагането на член 39 от Регламент (ЕС) № 575/2013 (надвнесени данъци, пренасяне на данъчни загуби от предходни години и отсрочени данъчни активи, които не се основават на бъдеща печалба), член 41 от Регламент (ЕС) № 575/2013 (активи на пенсионни фондове с предварително определен размер на пенсията), членове 46 и 469 от Регламент (ЕС) № 575/2013 (незначителни инвестиции в БСК1 на предприятия от финансовия сектор), членове 49 и 471 от Регламент (ЕС) № 575/2013 (дялове в застрахователни дружества, независимо дали тези са обект на надзор съгласно Директивата за конгломератите), членове 60 и 475 от Регламент (ЕС) № 575/2013 (незначителни и значителни преки, непреки и синтетични инвестиции в допълнителен капитал от първи ред (ДК1) на финансови предприятия), членове 70 и 477 от Регламент (ЕС) № 575/2013 (незначителни и значителни преки, непреки и синтетични инвестиции в К2 на финансови предприятия) — ако не са отнесени към други класове експозиции, както и квалифицираните дялови участия извън финансовия сектор, на които не е присъдено рисково тегло от 1250 % (в изпълнение на втора част, дял I, глава 1, член 36, буква к) от Регламент (ЕС) № 575/2013).</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Не е приложимо</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11в</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Pr>
                <w:rFonts w:ascii="Times New Roman" w:hAnsi="Times New Roman"/>
                <w:b/>
                <w:sz w:val="24"/>
              </w:rPr>
              <w:t>Общо</w:t>
            </w:r>
          </w:p>
          <w:p w14:paraId="463C4A08" w14:textId="7392B85F" w:rsidR="00B731E6" w:rsidRPr="00FB64CF" w:rsidRDefault="00AF5657" w:rsidP="00B731E6">
            <w:pPr>
              <w:spacing w:after="120"/>
              <w:jc w:val="both"/>
              <w:rPr>
                <w:rFonts w:ascii="Times New Roman" w:hAnsi="Times New Roman" w:cs="Times New Roman"/>
                <w:sz w:val="24"/>
              </w:rPr>
            </w:pPr>
            <w:r>
              <w:rPr>
                <w:rFonts w:ascii="Times New Roman" w:hAnsi="Times New Roman"/>
                <w:sz w:val="24"/>
              </w:rPr>
              <w:t>Сборът на редове 1, 2, 3, EU 3a, 4, 5, 6, 7, 8, 9, 10, EU 10a, EU 10б, EU 10в по-горе.</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 xml:space="preserve"> </w:t>
      </w:r>
      <w:r>
        <w:tab/>
      </w:r>
      <w:r>
        <w:t>Делегиран регламент (ЕС) № 183/2014 на Комисията от 20 декември 2013 г. за допълване на Регламент (ЕС) № 575/2013 на Европейския парламент и на Съвета относно пруденциалните изисквания за кредитните институции и инвестиционните посредници по отношение на регулаторните технически стандарти, определящи изчисляването на корекциите за специфичен и общ кредитен риск (ОВ L 57, 27.2.2014 г., стр.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E2AB9"/>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AD3A6B23-0772-48B8-BDC8-59C51EF588F2}"/>
</file>

<file path=customXml/itemProps3.xml><?xml version="1.0" encoding="utf-8"?>
<ds:datastoreItem xmlns:ds="http://schemas.openxmlformats.org/officeDocument/2006/customXml" ds:itemID="{3C877507-307E-457B-8ADF-C9B7C1CECE67}"/>
</file>

<file path=customXml/itemProps4.xml><?xml version="1.0" encoding="utf-8"?>
<ds:datastoreItem xmlns:ds="http://schemas.openxmlformats.org/officeDocument/2006/customXml" ds:itemID="{34BC8611-717F-464C-A100-821FBB2021B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3430</Words>
  <Characters>18322</Characters>
  <Application>Microsoft Office Word</Application>
  <DocSecurity>0</DocSecurity>
  <Lines>495</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