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BILAGA VI – Instruktioner för offentliggörande av information om tillämpningsområdet för regelverket</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Mall EU LI1 – Skillnader mellan konsolideringen enligt redovisningsregler och konsolideringen enligt tillsynskrav samt avstämning mellan kategorier i finansiella rapporter och riskkategorier enligt tillsynskrav.</w:t>
      </w:r>
      <w:r>
        <w:rPr>
          <w:sz w:val="24"/>
          <w:rFonts w:ascii="Times New Roman" w:hAnsi="Times New Roman"/>
        </w:rPr>
        <w:t xml:space="preserve"> </w:t>
      </w:r>
      <w:r>
        <w:rPr>
          <w:sz w:val="24"/>
          <w:rFonts w:ascii="Times New Roman" w:hAnsi="Times New Roman"/>
        </w:rPr>
        <w:t xml:space="preserve">Flexibelt format.</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Instituten ska offentliggöra den information som avses i artikel 436 c i förordning (EU) nr 575/2013</w:t>
      </w:r>
      <w:r w:rsidRPr="007F4CC8">
        <w:rPr>
          <w:rStyle w:val="FootnoteReference"/>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mall EU LI1, vilken återfinns i bilaga 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Rättsliga hänvisningar och instruktioner</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Totala tillgångar</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Radstrukturen ska vara densamma som radstrukturen för den balansräkning som används i institutets senast tillgängliga finansiella rapportering.</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Med finansiell rapportering avses de årliga enskilda redovisningar eller koncernredovisningar som definieras i artiklarna 4 och 24 i direktiv 2013/34/EU</w:t>
            </w:r>
            <w:r w:rsidRPr="007F4CC8">
              <w:rPr>
                <w:rStyle w:val="FootnoteReference"/>
                <w:rFonts w:eastAsia="Times New Roman" w:cs="Times New Roman"/>
              </w:rPr>
              <w:footnoteReference w:id="2"/>
            </w:r>
            <w:r>
              <w:rPr>
                <w:sz w:val="24"/>
                <w:rFonts w:ascii="Times New Roman" w:hAnsi="Times New Roman"/>
              </w:rPr>
              <w:t xml:space="preserve">, såväl som (i tillämpliga fall) redovisningar i den mening som avses enligt internationella redovisningsstandarder som har godkänts inom EU för tillämpningen av förordning (EG) nr 1606/2002</w:t>
            </w:r>
            <w:r w:rsidRPr="007F4CC8">
              <w:rPr>
                <w:rStyle w:val="FootnoteReference"/>
                <w:rFonts w:eastAsia="Times New Roman" w:cs="Times New Roman"/>
              </w:rPr>
              <w:footnoteReference w:id="3"/>
            </w:r>
            <w:r>
              <w:rPr>
                <w:sz w:val="24"/>
                <w:rFonts w:ascii="Times New Roman" w:hAnsi="Times New Roman"/>
              </w:rPr>
              <w:t xml:space="preserve">.</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Totala skulder</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Radstrukturen ska vara densamma som radstrukturen för den balansräkning som används i institutets senast tillgängliga finansiella rapportering.</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Med finansiell rapportering avses de årliga enskilda redovisningar eller koncernredovisningar som definieras i artiklarna 4 och 24 i direktiv 2013/34/EU, såväl som (i tillämpliga fall) redovisningar i den mening som avses enligt internationella redovisningsstandarder som har godkänts inom EU för tillämpningen av förordning (EG) nr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Rättsliga hänvisningar och instruktioner</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såsom de rapporteras i offentliggjorda finansiella rapporter</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Belopp som rapporterats på tillgångssidan och skuldsidan av den balansräkning som upprättats enligt konsolideringskrav enligt de tillämpliga redovisningsreglerna, inbegripet regler som baseras på direktiv 2013/34/EU och direktiv 86/635/EEG</w:t>
            </w:r>
            <w:r w:rsidRPr="007F4CC8">
              <w:rPr>
                <w:rStyle w:val="FootnoteReference"/>
                <w:rFonts w:eastAsia="Times New Roman" w:cs="Times New Roman"/>
              </w:rPr>
              <w:footnoteReference w:id="4"/>
            </w:r>
            <w:r>
              <w:rPr>
                <w:sz w:val="24"/>
                <w:rFonts w:ascii="Times New Roman" w:hAnsi="Times New Roman"/>
              </w:rPr>
              <w:t xml:space="preserve">, eller de internationella redovisningsstandarder som har godkänts i EU</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enligt konsolideringen enligt tillsynskrav</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Belopp som rapporterats på tillgångssidan och skuldsidan av den balansräkning som upprättats enligt de lagstadgade sammanställningskraven i del ett avdelning II avsnitten 2 och 3 i kapitalkravsförordningen</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Om konsolideringarna enligt redovisningsregler och enligt tillsynskrav är exakt desamma ska kolumnerna a och b i denna mall slås samman</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av poster som omfattas av regelverket för kreditrisk</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II kapitel 2 och 3 i kapitalkravsförordningen</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Bokförda värden av poster som omfattas av regelverket för motpartskreditrisk</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II kapitel 6 i kapitalkravsförordningen</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omfattas av regelverket för värdepapperisering</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Bokförda belopp enligt konsolideringen enligt tillsynskrav för poster (förutom poster utanför balansräkningen) utanför handelslagret som omfattas av del tre avdelning II kapitel 5 i kapitalkravsförordningen</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omfattas av regelverket för marknadsrisk</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IV i kapitalkravsförordningen.</w:t>
            </w:r>
            <w:r>
              <w:rPr>
                <w:sz w:val="24"/>
                <w:rFonts w:ascii="Times New Roman" w:hAnsi="Times New Roman"/>
              </w:rPr>
              <w:t xml:space="preserve"> </w:t>
            </w:r>
            <w:r>
              <w:rPr>
                <w:sz w:val="24"/>
                <w:rFonts w:ascii="Times New Roman" w:hAnsi="Times New Roman"/>
              </w:rPr>
              <w:t xml:space="preserve">Poster som motsvarar värdepapperiseringspositioner i handelslagret för vilka kraven i del tre avdelning IV i kapitalkravsförordningen är tillämpliga ska inbegripas i denna kolumn.</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inte är föremål för kapitalbaskrav eller som är föremål för avdrag från kapitalbasen</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inte är föremål för kapitalbaskrav i enlighet med kapitalkravsförordningen,</w:t>
            </w:r>
            <w:r>
              <w:rPr>
                <w:sz w:val="24"/>
                <w:rFonts w:ascii="Times New Roman" w:hAnsi="Times New Roman"/>
              </w:rPr>
              <w:t xml:space="preserve"> </w:t>
            </w:r>
            <w:r>
              <w:rPr>
                <w:sz w:val="24"/>
                <w:rFonts w:ascii="Times New Roman" w:hAnsi="Times New Roman"/>
              </w:rPr>
              <w:t xml:space="preserve">bokförda belopp enligt konsolideringen enligt tillsynskrav för poster (förutom poster utanför balansräkningen) som är föremål för avdrag från kapitalbasen i enlighet med del två i kapitalkravsförordningen</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Avdragna poster kan, till exempel, inbegripa de poster som förtecknas i artiklarna 37, 38, 39 och 41 i kapitalkravsförordningen.</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Beloppen för tillgångar ska vara de belopp som faktiskt dragits av från kapitalbasen, med beaktande av eventuell nettning mot skulder som är tillåten genom (och eventuella trösklar för) avdrag som är tillämpliga enligt de relevanta artiklarna i del två i kapitalkravsförordningen.</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Om de poster som förtecknas i artikel 36.1 k och i artikel 48 i kapitalkravsförordningen har riskviktats till 1 250 % i stället för att ha dragits av ska de inte offentliggöras i kolumn g i denna mall, utan i de andra tillämpliga kolumnerna i mallen EU LI1.</w:t>
            </w:r>
            <w:r>
              <w:rPr>
                <w:sz w:val="24"/>
                <w:rFonts w:ascii="Times New Roman" w:hAnsi="Times New Roman"/>
              </w:rPr>
              <w:t xml:space="preserve"> </w:t>
            </w:r>
            <w:r>
              <w:rPr>
                <w:sz w:val="24"/>
                <w:rFonts w:ascii="Times New Roman" w:hAnsi="Times New Roman"/>
              </w:rPr>
              <w:t xml:space="preserve">Detta gäller även för alla andra poster som är riskviktade till 1 250 % i enlighet med kraven i kapitalkravsförordningen.</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Beloppen för skulder ska vara det belopp för skulder som måste beaktas för fastställandet av det belopp för tillgångar som ska dras av från kapitalbasen i enlighet med de relevanta artiklarna i del två i kapitalkravsförordningen.</w:t>
            </w:r>
            <w:r>
              <w:rPr>
                <w:sz w:val="24"/>
                <w:rFonts w:ascii="Times New Roman" w:hAnsi="Times New Roman"/>
              </w:rPr>
              <w:t xml:space="preserve"> </w:t>
            </w:r>
            <w:r>
              <w:rPr>
                <w:sz w:val="24"/>
                <w:rFonts w:ascii="Times New Roman" w:hAnsi="Times New Roman"/>
              </w:rPr>
              <w:t xml:space="preserve">Dessutom ska alla andra skulder än de som i) är relevanta för tillämpningen av kraven i del tre avdelning II kapitel 4 i kapitalkravsförordningen eller ii) är relevanta för tillämpningen av kraven i del tre avdelning II kapitel 6 i kapitalkravsförordningen och i del tre avdelning IV i kapitalkravsförordningen offentliggöras i denna kolumn.</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alla</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Om en enskild post ådrar sig kapitalkrav i enlighet med fler än en riskram ska värden offentliggöras i alla kolumner som motsvarar de kapitalkrav som de hänför sig till.</w:t>
            </w:r>
            <w:r>
              <w:rPr>
                <w:sz w:val="24"/>
                <w:rFonts w:ascii="Times New Roman" w:hAnsi="Times New Roman"/>
              </w:rPr>
              <w:t xml:space="preserve"> </w:t>
            </w:r>
            <w:r>
              <w:rPr>
                <w:sz w:val="24"/>
                <w:rFonts w:ascii="Times New Roman" w:hAnsi="Times New Roman"/>
              </w:rPr>
              <w:t xml:space="preserve">Följaktligen kan summan av beloppen i kolumnerna c–g i denna mall vara högre än beloppet i kolumn b i denna mall.</w:t>
            </w:r>
            <w:r>
              <w:rPr>
                <w:sz w:val="24"/>
                <w:rFonts w:ascii="Times New Roman" w:hAnsi="Times New Roman"/>
              </w:rPr>
              <w:t xml:space="preserve"> </w:t>
            </w:r>
            <w:r>
              <w:rPr>
                <w:sz w:val="24"/>
                <w:rFonts w:ascii="Times New Roman" w:hAnsi="Times New Roman"/>
              </w:rPr>
              <w:t xml:space="preserve">Instituten ska lämna kvalitativa förklaringar av tillgångar och skulder som är föremål för kapitalkrav för fler än en riskram som förtecknas i del tre i kapitalkravsförordningen.</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Mall EU LI2 – Huvudsakliga källor till skillnader mellan lagstadgade exponeringsbelopp och bokförda värden i finansiella rapporter.</w:t>
      </w:r>
      <w:r>
        <w:rPr>
          <w:sz w:val="24"/>
          <w:b/>
          <w:rFonts w:ascii="Times New Roman" w:hAnsi="Times New Roman"/>
        </w:rPr>
        <w:t xml:space="preserve"> </w:t>
      </w:r>
      <w:r>
        <w:rPr>
          <w:sz w:val="24"/>
          <w:rFonts w:ascii="Times New Roman" w:hAnsi="Times New Roman"/>
        </w:rPr>
        <w:t xml:space="preserve">Fast format.</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Instituten ska offentliggöra den information som avses i artikel 436 d i kapitalkravsförordningen genom att följa de instruktioner som anges nedan i denna bilaga för att fylla i mall EU LI2,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Belopp för tillgångars bokförda värde enligt konsolideringen enligt tillsynskrav</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Beloppen i kolumnerna b–e i denna mall ska vara desamma som beloppen i kolumnerna c–f i mallen EU LI1.</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Belopp för skulders bokförda värde enligt konsolideringen enligt tillsynskrav</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Beloppen i kolumnerna b–e i denna mall ska vara desamma som beloppen i kolumnerna c–f i mallen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Totalt nettobelopp enligt konsolideringen enligt tillsynskrav</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Belopp efter nettning i balansräkningen mellan tillgångar och skulder enligt konsolideringen enligt tillsynskrav, oavsett berättigandet för dessa tillgångar och skulder avseende de specifika nettningsreglerna vid tillämpningen av del tre avdelning II kapitel 4 och 5 i kapitalkravsförordningen och del tre avdelning IV i kapitalkravsförordningen</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Beloppet i denna rad ska vara detsamma som värdet i rad 1 med avdrag av värdet i rad 2 i denna mall.</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Belopp utanför balansräkningen</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Detta belopp omfattar ursprungliga exponeringar utanför balansräkningen, före användningen av en konverteringsfaktor, i relevanta fall, från den fastställda redovisningen utanför balansräkningen enligt konsolideringen enligt tillsynskrav i kolumn a–d i denna mall.</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i värderingar</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Inverkan av det bokförda beloppet för värdejustering i enlighet med artikel 34 i del två avdelning I kapitel 2 i kapitalkravsförordningen och artikel 105 i del tre avdelning I kapitel 3 i kapitalkravsförordningen på exponeringar i och utanför handelslagret som värderas till verkligt värde i enlighet med de tillämpliga redovisningsreglerna</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Detta belopp ska stämma överens med såväl beloppet i rad 7 i mall EU CC1 som beloppet i rad 12 i kolumn f i mall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på grund av olika nettningsregler, utöver de som redan är inbegripna på rad 2 i denna mall</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Denna post avser nettobeloppen för exponering i och utanför balansräkningen efter tillämpningen av de specifika nettningsreglerna i del tre avdelning II kapitel 4 och 5 i kapitalkravsförordningen och i del tre avdelning IV i kapitalkravsförordningen.</w:t>
            </w:r>
            <w:r>
              <w:rPr>
                <w:sz w:val="24"/>
                <w:rFonts w:ascii="Times New Roman" w:hAnsi="Times New Roman"/>
              </w:rPr>
              <w:t xml:space="preserve"> </w:t>
            </w:r>
            <w:r>
              <w:rPr>
                <w:sz w:val="24"/>
                <w:rFonts w:ascii="Times New Roman" w:hAnsi="Times New Roman"/>
              </w:rPr>
              <w:t xml:space="preserve">Inverkan av tillämpningen av nettningsreglerna kan vara negativ (om mer exponering behöver nettas än användningen av nettning i balansräkningen på rad 2 i denna mall) eller positiv (om tillämpningen av nettningsreglerna i kapitalkravsförordningen leder till att ett lägre belopp nettas ut än nettningen i balansräkningen på rad 2 i denna mall).</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på grund av beaktande av avsättningar</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Återintegreringen i exponeringsvärdet för specifika och allmänna kreditriskjusteringar (enligt definitionen i kommissionens delegerade förordning (EU) 183/2014</w:t>
            </w:r>
            <w:r w:rsidRPr="007F4CC8">
              <w:rPr>
                <w:rStyle w:val="FootnoteReference"/>
                <w:rFonts w:eastAsia="Times New Roman" w:cs="Times New Roman"/>
              </w:rPr>
              <w:footnoteReference w:id="5"/>
            </w:r>
            <w:r>
              <w:rPr>
                <w:sz w:val="24"/>
                <w:rFonts w:ascii="Times New Roman" w:hAnsi="Times New Roman"/>
              </w:rPr>
              <w:t xml:space="preserve">) som har dragits av i enlighet med de tillämpliga redovisningsreglerna från det bokförda beloppet av exponeringar enligt del tre avdelning II kapitel 3 i kapitalkravsförordningen i riskviktningssyfte.</w:t>
            </w:r>
            <w:r>
              <w:rPr>
                <w:sz w:val="24"/>
                <w:rFonts w:ascii="Times New Roman" w:hAnsi="Times New Roman"/>
              </w:rPr>
              <w:t xml:space="preserve"> </w:t>
            </w:r>
            <w:r>
              <w:rPr>
                <w:sz w:val="24"/>
                <w:rFonts w:ascii="Times New Roman" w:hAnsi="Times New Roman"/>
              </w:rPr>
              <w:t xml:space="preserve">När det gäller exponeringar som riskviktats i enlighet med del tre avdelning II kapitel 2 i kapitalkravsförordningen, om det bokförda beloppet i de finansiella rapporterna enligt konsolideringen enligt tillsynskrav har reducerats med delar som kvalificeras som allmänna kreditriskjusteringar enligt den ovannämnda delegerade förordningen, ska dessa delar återintegreras i exponeringsvärdet.</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Skillnader på grund av användning av metoder för kreditriskreducering</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enligt konsolideringen enligt tillsynskrav vid tillämpning av de metoder för kreditriskreducering som definieras i kapitalkravsförordningen.</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Skillnader på grund av kreditkonverteringsfaktorer</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för exponeringar utanför balansräkningen enligt konsolideringen enligt tillsynskrav vid tillämpning av de relevanta konverteringsfaktorerna i enlighet med kapitalkravsförordningen</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Konverteringsfaktorn för poster utanför balansräkningen som ska riskviktas vid tillämpningen av del tre avdelning II i kapitalkravsförordningen ska fastställas i enlighet med artiklarna 111, 166, 167 och 182 (enligt vad som är tillämpligt för kreditrisk) och i artikel i 246 kapitalkravsförordningen (enligt vad som är tillämpligt för värdepapperiseringsrisk).</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Skillnader på grund av värdepapperisering med risköverföring</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för värdepapperiserade exponeringar av användningen av värdepapperiserade transaktioner för att överföra kreditrisk till tredjepart i enlighet med kapitalkravsförordningen</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Övriga skillnader</w:t>
            </w:r>
            <w:r>
              <w:rPr>
                <w:i/>
                <w:sz w:val="24"/>
                <w:rFonts w:ascii="Times New Roman" w:hAnsi="Times New Roman"/>
              </w:rPr>
              <w:t xml:space="preserve"> (i relevanta fall)</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Andra betydelsefulla drivkrafter bakom skillnader mellan bokförda värden i finansiella rapporter enligt omfattningen enligt tillsynskrav och de exponeringsbelopp som beaktas för tillsynsändamål</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Instituten ska komplettera de kvantitativa upplysningar som ingår i denna rad med kvalitativa förklaringar av de viktigaste drivkrafterna bakom dessa skillnader i tabell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Exponeringsbelopp som beaktas för tillsynsändamål</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Det aggregerade belopp som ses som startpunkt för beräkningen av riskvägda exponeringsbelopp efter tillämpningen av andra metoder för kreditriskreducering än nettning enligt del tre avdelning II kapitel 4 i kapitalkravsförordningen och efter tillämpning av nettningskraven i del tre avdelning II kapitel 4 och 5 samt del tre avdelning IV i kapitalkravsförordningen för var och en av riskkategorierna</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Om schablonmetoden tillämpas är detta värdet efter specifika kreditjusteringar, ytterligare värdejusteringar i enlighet med artiklarna 34 och 110 i kapitalkravsförordningen och andra reduceringar av kapitalbasen kopplade till tillgångsposten.</w:t>
            </w:r>
            <w:r>
              <w:rPr>
                <w:sz w:val="24"/>
                <w:rFonts w:ascii="Times New Roman" w:hAnsi="Times New Roman"/>
              </w:rPr>
              <w:t xml:space="preserve"> </w:t>
            </w:r>
            <w:r>
              <w:rPr>
                <w:sz w:val="24"/>
                <w:rFonts w:ascii="Times New Roman" w:hAnsi="Times New Roman"/>
              </w:rPr>
              <w:t xml:space="preserve">För poster utanför balansräkningen som förtecknas i bilaga I till denna genomförandeförordning ska exponeringsvärdet vara det nominella värdet efter reducering av specifika kreditriskjusteringar, multiplicerat med den tillämpliga procentsats som anges i artikel 111.1 a och d i kapitalkravsförordningen.</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Vid användning av internmetoden ska det offentliggjorda värdet vara exponeringsvärdet i den mening som avses i artiklarna 166, 167 och 168 i kapitalkravsförordningen.</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Detta innebär att de bokförda värden som rapporterats i de finansiella rapporterna enligt konsolideringen enligt tillsynskrav ska offentliggöras i de motsvarande raderna 1–3 i denna mall, medan de ursprungliga exponeringarna utanför balansräkningen ska offentliggöras i rad 4 i denna mall.</w:t>
            </w:r>
            <w:r>
              <w:rPr>
                <w:sz w:val="24"/>
                <w:rFonts w:ascii="Times New Roman" w:hAnsi="Times New Roman"/>
              </w:rPr>
              <w:t xml:space="preserve"> </w:t>
            </w:r>
            <w:r>
              <w:rPr>
                <w:sz w:val="24"/>
                <w:rFonts w:ascii="Times New Roman" w:hAnsi="Times New Roman"/>
              </w:rPr>
              <w:t xml:space="preserve">Alla specifika regulatoriska tillägg eller minskningar som avser dessa belopp ska föras in i raderna 5–11 i denna mall för att förklara hur dessa belopp ska stämmas av mot exponeringsbeloppet för tillsynsändamål som startpunkt för beräkningen av riskvägda exponeringsbelopp i enlighet med var och en av de ramar som anges i kolumnerna b–e i denna mall.</w:t>
            </w:r>
            <w:r>
              <w:rPr>
                <w:sz w:val="24"/>
                <w:rFonts w:ascii="Times New Roman" w:hAnsi="Times New Roman"/>
              </w:rPr>
              <w:t xml:space="preserve"> </w:t>
            </w:r>
            <w:r>
              <w:rPr>
                <w:sz w:val="24"/>
                <w:rFonts w:ascii="Times New Roman" w:hAnsi="Times New Roman"/>
              </w:rPr>
              <w:t xml:space="preserve">Detta innebär, i synnerhet för kreditrisken, att de exponeringsbelopp som beaktas för tillsynsändamål och som ska offentliggöras i rad 12 i denna mall kommer att skilja sig från de bokförda värden som rapporterats i de finansiella rapporterna enligt konsolideringen enligt tillsynskrav på grund av den särskilda tillsynsbehandlingen av bokföringsmässiga avsättningar för beräkning av de riskvägda exponeringsbeloppen.</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Kolumnreferens</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Totalt</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Totalt i kolumn a i mall EU LI2 = belopp i kolumn b i mall EU LI1 – belopp i kolumn g i mall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Uppdelningen av kolumner i de lagstadgade riskkategorierna b–e motsvarar den uppdelning som är förtecknad i del tre i kapitalkravsförordningen:</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Kreditriskramen</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Exponeringar i del tre avdelning II i kapitalkravsförordningen</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Exponeringar inom kreditriskramen ska antingen motsvara det exponeringsbelopp som tillämpas i schablonmetoden för kreditrisk (se artikel 111 i del tre avdelning II kapitel 2 i kapitalkravsförordningen) eller de fallerade exponeringarna i kreditrisken – internmetoden (se del tre avdelning II kapitel 3 artiklarna 166, 167 och 168 i kapitalkravsförordningen).</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Värdepapperiseringsramen</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Exponeringar utanför handelslagret som anges i del tre avdelning II kapitel 5 i kapitalkravsförordningen</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Värdepapperiseringsexponeringar ska fastställas i enlighet med artikel 246 i del tre avdelning II kapitel 5 i kapitalkravsförordningen.</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Motpartskreditriskramen</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Exponeringar som anges i del tre avdelning II kapitel 6 i kapitalkravsförordningen</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Marknadsriskramen</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Marknadsriskexponeringar som motsvarar positioner som är föremål för marknadsriskramen enligt del tre avdelning IV i kapitalkravsförordningen</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Endast raderna 1–3 och 12 i denna mall ska offentliggöras avseende denna kolumn.</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alla</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Om en enskild post är föremål för kapitalkrav i enlighet med fler än en riskram ska den offentliggöras i alla relevanta kolumner som motsvarar kapitalkraven.</w:t>
            </w:r>
            <w:r>
              <w:rPr>
                <w:sz w:val="24"/>
                <w:rFonts w:ascii="Times New Roman" w:hAnsi="Times New Roman"/>
              </w:rPr>
              <w:t xml:space="preserve"> </w:t>
            </w:r>
            <w:r>
              <w:rPr>
                <w:sz w:val="24"/>
                <w:rFonts w:ascii="Times New Roman" w:hAnsi="Times New Roman"/>
              </w:rPr>
              <w:t xml:space="preserve">Följaktligen kan summan av beloppen i kolumnerna b–e i denna mall vara högre än beloppet i kolumn a i denna mall.</w:t>
            </w:r>
            <w:r>
              <w:rPr>
                <w:sz w:val="24"/>
                <w:rFonts w:ascii="Times New Roman" w:hAnsi="Times New Roman"/>
              </w:rPr>
              <w:t xml:space="preserve"> </w:t>
            </w:r>
            <w:r>
              <w:rPr>
                <w:sz w:val="24"/>
                <w:rFonts w:ascii="Times New Roman" w:hAnsi="Times New Roman"/>
              </w:rPr>
              <w:t xml:space="preserve">Instituten ska lämna kvalitativa förklaringar av tillgångar och skulder som är föremål för kapitalkrav för fler än en riskram som förtecknas i del tre i kapitalkravsförordningen.</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Mall EU LI3 – Översikt över skillnader mellan olika konsolideringar (enhet per enhet)</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rFonts w:ascii="Times New Roman" w:hAnsi="Times New Roman"/>
        </w:rPr>
        <w:t xml:space="preserve">Instituten ska offentliggöra den information som avses i artikel 436 b i kapitalkravsförordningen genom att följa de instruktioner som anges nedan i denna bilaga för att fylla i mall EU LI3,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Raderna är flexibla.</w:t>
            </w:r>
            <w:r>
              <w:rPr>
                <w:sz w:val="24"/>
                <w:rFonts w:ascii="Times New Roman" w:hAnsi="Times New Roman"/>
              </w:rPr>
              <w:t xml:space="preserve"> </w:t>
            </w:r>
            <w:r>
              <w:rPr>
                <w:sz w:val="24"/>
                <w:rFonts w:ascii="Times New Roman" w:hAnsi="Times New Roman"/>
              </w:rPr>
              <w:t xml:space="preserve">Upplysningar ska lämnas för enheter som omfattas av konsolideringarna enligt redovisningsregler och enligt tillsynskrav enligt definitionen i enlighet med de tillämpliga redovisningsreglerna och del ett avdelning II avsnitten 2 och 3 i kapitalkravsförordningen, för vilka metoden för konsolideringen enligt redovisningsregler skiljer sig från metoden för konsolideringen enligt tillsynskrav.</w:t>
            </w:r>
            <w:r>
              <w:rPr>
                <w:sz w:val="24"/>
                <w:rFonts w:ascii="Times New Roman" w:hAnsi="Times New Roman"/>
              </w:rPr>
              <w:t xml:space="preserve"> </w:t>
            </w:r>
            <w:r>
              <w:rPr>
                <w:sz w:val="24"/>
                <w:rFonts w:ascii="Times New Roman" w:hAnsi="Times New Roman"/>
              </w:rPr>
              <w:t xml:space="preserve">En rad per enhet.</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Kolumnreferens</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Enhetens namn</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Firmanamn på alla enheter som ingår i eller dras av från ett instituts konsolidering enligt tillsynskrav och enligt redovisningsregler</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 för konsolidering enligt redovisningsregler</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Konsolideringsmetod som används i enlighet med de tillämpliga redovisningsreglerna</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 för konsolidering enligt tillsynskrav</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Konsolideringsmetod som används för tillämpning av del ett avdelning II kapitel 2 i kapitalkravsförordningen</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Som ett minimum ska de metoder som förtecknas i artikel 436 b i kapitalkravsförordningen offentliggöras.</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Instituten ska kryssa i de tillämpliga kolumnerna för att ange konsolideringsmetoden för varje enhet enligt redovisningsreglerna och ange huruvida varje enhet, enligt konsolidering enligt tillsynskrav, är i) fullständigt konsoliderad,</w:t>
            </w:r>
            <w:r>
              <w:rPr>
                <w:sz w:val="24"/>
                <w:rFonts w:ascii="Times New Roman" w:hAnsi="Times New Roman"/>
              </w:rPr>
              <w:t xml:space="preserve"> </w:t>
            </w:r>
            <w:r>
              <w:rPr>
                <w:sz w:val="24"/>
                <w:rFonts w:ascii="Times New Roman" w:hAnsi="Times New Roman"/>
              </w:rPr>
              <w:t xml:space="preserve">ii) proportionellt konsoliderad,</w:t>
            </w:r>
            <w:r>
              <w:rPr>
                <w:sz w:val="24"/>
                <w:rFonts w:ascii="Times New Roman" w:hAnsi="Times New Roman"/>
              </w:rPr>
              <w:t xml:space="preserve"> </w:t>
            </w:r>
            <w:r>
              <w:rPr>
                <w:sz w:val="24"/>
                <w:rFonts w:ascii="Times New Roman" w:hAnsi="Times New Roman"/>
              </w:rPr>
              <w:t xml:space="preserve">iii) redovisad enligt kapitalandelsmetoden,</w:t>
            </w:r>
            <w:r>
              <w:rPr>
                <w:sz w:val="24"/>
                <w:rFonts w:ascii="Times New Roman" w:hAnsi="Times New Roman"/>
              </w:rPr>
              <w:t xml:space="preserve"> </w:t>
            </w:r>
            <w:r>
              <w:rPr>
                <w:sz w:val="24"/>
                <w:rFonts w:ascii="Times New Roman" w:hAnsi="Times New Roman"/>
              </w:rPr>
              <w:t xml:space="preserve">iv) varken konsoliderad eller avdragen, eller</w:t>
            </w:r>
            <w:r>
              <w:rPr>
                <w:sz w:val="24"/>
                <w:rFonts w:ascii="Times New Roman" w:hAnsi="Times New Roman"/>
              </w:rPr>
              <w:t xml:space="preserve"> </w:t>
            </w:r>
            <w:r>
              <w:rPr>
                <w:sz w:val="24"/>
                <w:rFonts w:ascii="Times New Roman" w:hAnsi="Times New Roman"/>
              </w:rPr>
              <w:t xml:space="preserve">v) avdragen.</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Beskrivning av enheten</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Kortfattad beskrivning av enheten, med (som ett minimum) upplysningar om dess verksamhetssektor</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Tabell EU LIA - Förklaringar till skillnader mellan exponeringsbelopp i redovisningen och lagstadgade exponeringsbelopp.</w:t>
      </w:r>
      <w:r>
        <w:rPr>
          <w:sz w:val="24"/>
          <w:b/>
          <w:rFonts w:ascii="Times New Roman" w:hAnsi="Times New Roman"/>
        </w:rPr>
        <w:t xml:space="preserve"> </w:t>
      </w:r>
      <w:r>
        <w:rPr>
          <w:sz w:val="24"/>
          <w:rFonts w:ascii="Times New Roman" w:hAnsi="Times New Roman"/>
        </w:rPr>
        <w:t xml:space="preserve">Fält för fri text för offentliggörande av kvalitativ information</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Instituten ska offentliggöra den information som avses i artikel 436 b och d i kapitalkravsförordningen genom att följa de instruktioner som anges nedan i denna bilaga för att fylla i tabell EU LIA,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Instituten ska förklara och kvantifiera ursprungen till alla väsentliga skillnader mellan beloppen i kolumnerna a och b i mall EU LI1, oavsett om skillnaden härrör från olika konsolideringsregler eller från användningen av olika redovisningsstandarder för konsolideringen enlig redovisningsregler och konsolideringen enligt tillsynskrav.</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Instituten ska förklara ursprungen till skillnaderna mellan de bokförda värdena enligt konsolideringen enligt tillsynskrav och belopp som beaktas för tillsynsändamål som visas i mall EU LI2.</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Tabell EU LIB – Annan kvalitativ information om tillämpningsområdet.</w:t>
      </w:r>
      <w:r>
        <w:rPr>
          <w:sz w:val="24"/>
          <w:rFonts w:ascii="Times New Roman" w:hAnsi="Times New Roman"/>
        </w:rPr>
        <w:t xml:space="preserve"> </w:t>
      </w:r>
      <w:r>
        <w:rPr>
          <w:sz w:val="24"/>
          <w:rFonts w:ascii="Times New Roman" w:hAnsi="Times New Roman"/>
        </w:rPr>
        <w:t xml:space="preserve">Fält för fri text för offentliggörande av kvalitativ information</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Instituten ska offentliggöra den information som avses i artikel 436 f, g och h i kapitalkravsförordningen genom att följa de instruktioner som anges nedan i denna bilaga för att fylla i tabell EU LIB,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Instituten ska offentliggöra eventuella nuvarande eller förväntade väsentliga praktiska eller rättsliga hinder för snabba överföringar av medel ur kapitalbasen eller återbetalningar av skulder mellan moderbolag och dotterföretag.</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uppge namnet eller namnen på de dotterföretag som inte omfattas av konsolideringen.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offentliggöra under vilka omständigheter det undantag som anges i artikel 7 i kapitalkravsförordningen eller den metod för individuell konsolidering som fastställs i artikel 9 i kapitalkravsförordningen har använts.</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i form av aggregerade belopp offentliggöra hur mycket den faktiska kapitalbasen underskjuter kapitalbaskraven i alla dotterföretag som inte omfattas av konsolideringen och namnet eller namnen på dessa dotterföretag.</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Mall EU PV1 – Justeringar för försiktig värdering (PVA):</w:t>
      </w:r>
      <w:r>
        <w:rPr>
          <w:sz w:val="24"/>
          <w:b/>
          <w:rFonts w:ascii="Times New Roman" w:hAnsi="Times New Roman"/>
        </w:rPr>
        <w:t xml:space="preserve"> </w:t>
      </w:r>
      <w:r>
        <w:rPr>
          <w:sz w:val="24"/>
          <w:rFonts w:ascii="Times New Roman" w:hAnsi="Times New Roman"/>
        </w:rPr>
        <w:t xml:space="preserve">Fast format</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Institut som tillämpar huvudmetoden för att fastställa den ytterligare värdejusteringen för försiktig värdering i enlighet med kapitel III i kommissionens delegerade förordning (EU) 2016/101</w:t>
      </w:r>
      <w:r w:rsidRPr="007F4CC8">
        <w:rPr>
          <w:rStyle w:val="FootnoteReference"/>
          <w:rFonts w:ascii="Times New Roman" w:hAnsi="Times New Roman"/>
          <w:bCs/>
          <w:sz w:val="24"/>
          <w:szCs w:val="24"/>
        </w:rPr>
        <w:footnoteReference w:id="6"/>
      </w:r>
      <w:r>
        <w:rPr>
          <w:sz w:val="24"/>
          <w:rFonts w:ascii="Times New Roman" w:hAnsi="Times New Roman"/>
        </w:rPr>
        <w:t xml:space="preserve"> ska offentliggöra den information som avses i artikel 436 e i kapitalkravsförordningen genom att följa de instruktioner som anges nedan i denna bilaga för att fylla i mall EU PV1,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Rättsliga hänvisningar och instruktioner</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Raderna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Ytterligare värdejustering på kategorinivå</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Ytterligare värdejusteringar på kategorinivå för marknadsprisosäkerhet, slutavräkningskostnader, modellrisk, koncentrerade positioner, framtida administrativa kostnader, förtida avveckling och operativ risk ska beräknas i enlighet med artiklarna 9–11 respektive 14–17 i kommissionens delegerade förordning (EU) 2016/101.</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För kategorierna marknadsprisosäkerhet, slutavräkningskostnader och modellrisk, vilka omfattas av diversifieringsvinst i enlighet med artiklarna 9.6, 10.7 respektive 11.7 i delegerad förordning (EU) 2016/101, ska ytterligare värdejusteringar på kategorinivå offentliggöras i kolumnerna a till EU-e2 i denna mall som den enkla summan av enskilda ytterligare värdejusteringar före diversifieringsvinst.</w:t>
            </w:r>
            <w:r>
              <w:rPr>
                <w:sz w:val="24"/>
                <w:rFonts w:ascii="Times New Roman" w:hAnsi="Times New Roman"/>
              </w:rPr>
              <w:t xml:space="preserve"> </w:t>
            </w:r>
            <w:r>
              <w:rPr>
                <w:sz w:val="24"/>
                <w:rFonts w:ascii="Times New Roman" w:hAnsi="Times New Roman"/>
              </w:rPr>
              <w:t xml:space="preserve">Diversifieringsvinster i enlighet med artiklarna 9.6, 10.7 och 11.7 i kommissionens delegerade förordning (EU) 2016/101 ska ingå i kolumn f i denna mall.</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Marknadsprisosäkerhet</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Ytterligare värdejusteringar för marknadsprisosäkerhet ska beräknas i enlighet med artikel 9 i kommissionens delegerade förordning (EU) 2016/101.</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Ej tillämpligt</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Slutavräkningskostnader</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Ytterligare värdejusteringar för slutavräkningskostnader ska beräknas i enlighet med artikel 10 i kommissionens delegerade förordning (EU) 2016/101.</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Koncentrerade positioner</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105.11 i kapitalkravsförordningen</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Ytterligare värdejusteringar för koncentrerade positioner ska beräknas i enlighet med artikel 14 i kommissionens delegerade förordning (EU) 2016/101.</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Förtida avveckling</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Ytterligare värdejusteringar för förtida avveckling ska beräknas i enlighet med artikel 16 i kommissionens delegerade förordning (EU) 2016/101.</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Modellrisk</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Ytterligare värdejusteringar för modellrisk ska beräknas i enlighet med artikel 11 i kommissionens delegerade förordning (EU) 2016/101.</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Ytterligare värdejusteringar för operativ risk ska beräknas i enlighet med artikel 17 i kommissionens delegerade förordning (EU) 2016/101.</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Ej tillämpligt</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Ej tillämpligt</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Framtida administrativa kostnader</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Ytterligare värdejusteringar för framtida administrativa kostnader ska beräknas i enlighet med artikel 15 i kommissionens delegerade förordning (EU) 2016/101.</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Ej tillämpligt</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Totala ytterligare värdejusteringar</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rFonts w:ascii="Times New Roman" w:hAnsi="Times New Roman"/>
              </w:rPr>
              <w:t xml:space="preserve">De totala ytterligare värdejusteringar som ska dras av från kapitalbasen enligt artiklarna 34 och 105 i kapitalkravsförordningen ska offentliggöras i rad 12 i kolumn f i denna mall.</w:t>
            </w:r>
            <w:r>
              <w:rPr>
                <w:color w:val="auto"/>
                <w:rFonts w:ascii="Times New Roman" w:hAnsi="Times New Roman"/>
              </w:rPr>
              <w:t xml:space="preserve"> </w:t>
            </w:r>
            <w:r>
              <w:rPr>
                <w:color w:val="auto"/>
                <w:rFonts w:ascii="Times New Roman" w:hAnsi="Times New Roman"/>
              </w:rPr>
              <w:t xml:space="preserve">Detta belopp ska stämma överens med såväl beloppet i rad 7 i mall EU CC1 som beloppet i rad 5 i kolumn a i mall EU LI2.</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För portföljer som omfattas av den huvudmetod som fastställs i kapitel III i kommissionens delegerade förordning (EU) 2016/101 om försiktig värdering ska den totala ytterligare värdejusteringen vara summan av beloppen i raderna 1–10 i denna mall och de belopp som beräknats i enlighet med artikel 7.2 b (i)–(iii) i delegerad förordning (EU) 2016/101 för portföljer som omfattas av nödfallsmetoden, i förekommande fall.</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För portföljer som omfattas av den förenklade metod som fastställs i kapitel II i delegerad förordning (EU) 2016/101 om försiktig värdering ska den totala ytterligare värdejustering som förts in i kolumn f i denna mall vara det belopp som har beräknats i enlighet med artikel 5 i detta kapitel.</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Förklaring</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Fördelning per RISKKATEGORI</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Instituten ska fördela sina tillgångar och skulder värderade till verkligt värde som är medtagna för beräkningen av tröskelvärdet i enlighet med artikel 4.1 i kommissionens delegerade förordning (EU) 2016/101 (både i och utanför handelslagret) i enlighet med följande riskkategorier:</w:t>
            </w:r>
            <w:r>
              <w:rPr>
                <w:sz w:val="24"/>
                <w:rFonts w:ascii="Times New Roman" w:hAnsi="Times New Roman"/>
              </w:rPr>
              <w:t xml:space="preserve"> </w:t>
            </w:r>
            <w:r>
              <w:rPr>
                <w:sz w:val="24"/>
                <w:rFonts w:ascii="Times New Roman" w:hAnsi="Times New Roman"/>
              </w:rPr>
              <w:t xml:space="preserve">räntesatser, valutakurs, kredit, aktier, råvaror.</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Fördelningen i dessa kolumner omfattar inte de ytterligare värdejusteringar som beräknas i enlighet med artiklarna 12 och 13 i kommissionens delegerade förordning (EU) 2016/101 och som offentliggörs i kolumnerna EU-e1 och EU-e2 i denna mall.</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Ytterligare värdejustering på kategorinivå – Värderingsosäkerhet:</w:t>
            </w:r>
            <w:r>
              <w:rPr>
                <w:b/>
                <w:sz w:val="24"/>
                <w:u w:val="single"/>
                <w:rFonts w:ascii="Times New Roman" w:hAnsi="Times New Roman"/>
              </w:rPr>
              <w:t xml:space="preserve"> </w:t>
            </w:r>
            <w:r>
              <w:rPr>
                <w:b/>
                <w:sz w:val="24"/>
                <w:u w:val="single"/>
                <w:rFonts w:ascii="Times New Roman" w:hAnsi="Times New Roman"/>
              </w:rPr>
              <w:t xml:space="preserve">Ytterligare värdejusteringar för ej intjänade kreditmarginaler</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Artikel 105.10 i kapitalkravsförordningen och artikel 12 i kommissionens delegerade förordning (EU) 2016/101</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Den totala ytterligare värdejusteringen för ej intjänade kreditmarginaler och dess fördelning mellan ytterligare värdejusteringar för marknadsprisosäkerhet, slutavräkningskostnader eller modellrisk ska beräknas i enlighet med artikel 12 i kommissionens delegerade förordning (EU) 2016/101.</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Ytterligare värdejustering på kategorinivå – Ytterligare värdejustering för investerings- och finansieringskostnader</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Artikel 105.10 i kapitalkravsförordningen och artikel 13 i kommissionens delegerade förordning (EU) 2016/101</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Den totala ytterligare värdejusteringen för investerings- och finansieringskostnader och dess fördelning mellan ytterligare värdejusteringar för marknadsprisosäkerhet, slutavräkningskostnader och modellrisk ska beräknas i enlighet med artikel 13 i kommissionens delegerade förordning (EU) 2016/101.</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Summa efter diversifiering på kategorinivå</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För portföljer som omfattas av den huvudmetod som fastställs i kapitel III i kommissionens delegerade förordning (EU) 2016/101 ska summan efter diversifiering på kategorinivå omfatta de totala ytterligare värdejusteringar som beräknats i enlighet med huvudmetoden för tillgångar och skulder värderade till verkligt värde som är medtagna i beräkningen av tröskelvärdet i enlighet med artikel 4.1 i kommissionens delegerade förordning (EU) 2016/101.</w:t>
            </w:r>
            <w:r>
              <w:rPr>
                <w:sz w:val="24"/>
                <w:rFonts w:ascii="Times New Roman" w:hAnsi="Times New Roman"/>
              </w:rPr>
              <w:t xml:space="preserve"> </w:t>
            </w:r>
            <w:r>
              <w:rPr>
                <w:sz w:val="24"/>
                <w:rFonts w:ascii="Times New Roman" w:hAnsi="Times New Roman"/>
              </w:rPr>
              <w:t xml:space="preserve">Detta omfattar de diversifieringsvinster som definieras i enlighet med artiklarna 9.6, 10.7 och 11.7 i kommissionens delegerade förordning (EU) 2016/101.</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totala ytterligare värdejusteringen i rad 12 i kolumn f i denna mall ska omfatta de belopp som beräknats i enlighet med artikel 7.2 b (i)–(iii) i delegerad förordning (EU) 2016/101 för portföljer som omfattas av nödfallsmetoden, i förekommande fall.</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För portföljer som omfattas av den förenklade metod som fastställs i kapitel II i delegerad förordning (EU) 2016/101 om försiktig värdering ska den totala ytterligare värdejustering som förts in i rad 12 i denna mall vara det belopp som har beräknats i enlighet med artikel 5 i detta kapitel.</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totalt för huvudmetoden i handelslagret</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För varje relevant kategori av ytterligare värdejusteringar, för portföljer som omfattas av den huvudmetod som fastställs i kapitel III i kommissionens delegerade förordning (EU) 2016/101, andelen av ytterligare värdejusteringar som härrör från positionen som innehas i handelslagret:</w:t>
            </w:r>
            <w:r>
              <w:rPr>
                <w:sz w:val="24"/>
                <w:rFonts w:ascii="Times New Roman" w:hAnsi="Times New Roman"/>
              </w:rPr>
              <w:t xml:space="preserve"> </w:t>
            </w:r>
            <w:r>
              <w:rPr>
                <w:sz w:val="24"/>
                <w:rFonts w:ascii="Times New Roman" w:hAnsi="Times New Roman"/>
              </w:rPr>
              <w:t xml:space="preserve">alla positioner i finansiella instrument och råvaror som innehas av ett institut i avsikt att bedriva handel eller för att säkra positioner som innehas i avsikt att bedriva handel i enlighet med artikel 104 i kapitalkravsförordningen.</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Det offentliggjorda värdet ska omfatta de diversifieringsvinster som definieras i enlighet med artiklarna 9.6, 10.7 och 11.7 i kommissionens delegerade förordning (EU) 2016/101.</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totalt för huvudmetoden utanför handelslagret</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För varje relevant kategori av ytterligare värdejusteringar, för portföljer som omfattas av den huvudmetod som fastställs i kapitel III i kommissionens delegerade förordning (EU) 2016/101, andelen av ytterligare värdejusteringar som härrör från positioner till verkligt värde i finansiella instrument och råvaror som inte innehas i handelslagret</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Det offentliggjorda värdet ska omfatta de diversifieringsvinster som fastställs i enlighet med artiklarna 9.6, 10.7 och 11.7 i kommissionens delegerade förordning (EU) 2016/101.</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r>
      <w:r>
        <w:t xml:space="preserve">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 xml:space="preserve">Europaparlamentets och rådets förordning (EG) nr 1606/2002 av den 19 juli 2002 om tillämpning av internationella redovisningsstandarder (EGT L 243, 11.9.2002, s.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Rådets direktiv 86/635/EEG av den 8 december 1986 om årsbokslut och sammanställd redovisning för banker och andra finansiella institut (EGT L 372, 31.12.1986, s.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r>
      <w:r>
        <w:t xml:space="preserve">Kommissionens delegerade förordning (EU) nr 183/2014 av den 20 december 2013 om komplettering av Europaparlamentets och rådets förordning (EU) nr 575/2013 om tillsynskrav för kreditinstitut och värdepappersföretag med avseende på tekniska tillsynsstandarder för att specificera beräkningen av specifika och allmänna kreditriskjusteringar (EUT L 57, 27.2.2014, s.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C04D6C"/>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2FE482-F8B2-477C-9A51-4C76B0FC480B}"/>
</file>

<file path=customXml/itemProps2.xml><?xml version="1.0" encoding="utf-8"?>
<ds:datastoreItem xmlns:ds="http://schemas.openxmlformats.org/officeDocument/2006/customXml" ds:itemID="{1B141BF0-D01E-4D53-9343-811BAE084564}"/>
</file>

<file path=customXml/itemProps3.xml><?xml version="1.0" encoding="utf-8"?>
<ds:datastoreItem xmlns:ds="http://schemas.openxmlformats.org/officeDocument/2006/customXml" ds:itemID="{9D21DDBE-2F9E-4EC6-ABC0-6D3C8B4D234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