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19D5C67E"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ALLEGATO XXVI – Tabelle e modelli per l</w:t>
      </w:r>
      <w:r w:rsidR="008B6CDC">
        <w:rPr>
          <w:rFonts w:ascii="Times New Roman" w:hAnsi="Times New Roman"/>
          <w:b/>
          <w:color w:val="auto"/>
          <w:sz w:val="24"/>
          <w:u w:val="single"/>
        </w:rPr>
        <w:t>'</w:t>
      </w:r>
      <w:r>
        <w:rPr>
          <w:rFonts w:ascii="Times New Roman" w:hAnsi="Times New Roman"/>
          <w:b/>
          <w:color w:val="auto"/>
          <w:sz w:val="24"/>
          <w:u w:val="single"/>
        </w:rPr>
        <w:t>informativa sul rischio di controparte Istruzioni</w:t>
      </w:r>
    </w:p>
    <w:p w14:paraId="4C2BDA19" w14:textId="73111355"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Gli enti pubblicano le informazioni di cui all</w:t>
      </w:r>
      <w:r w:rsidR="008B6CDC">
        <w:rPr>
          <w:rFonts w:ascii="Times New Roman" w:hAnsi="Times New Roman"/>
          <w:color w:val="auto"/>
          <w:sz w:val="24"/>
        </w:rPr>
        <w:t>'</w:t>
      </w:r>
      <w:r>
        <w:rPr>
          <w:rFonts w:ascii="Times New Roman" w:hAnsi="Times New Roman"/>
          <w:color w:val="auto"/>
          <w:sz w:val="24"/>
        </w:rPr>
        <w:t>articolo</w:t>
      </w:r>
      <w:r w:rsidR="008B6CDC">
        <w:rPr>
          <w:rFonts w:ascii="Times New Roman" w:hAnsi="Times New Roman"/>
          <w:color w:val="auto"/>
          <w:sz w:val="24"/>
        </w:rPr>
        <w:t> </w:t>
      </w:r>
      <w:r>
        <w:rPr>
          <w:rFonts w:ascii="Times New Roman" w:hAnsi="Times New Roman"/>
          <w:color w:val="auto"/>
          <w:sz w:val="24"/>
        </w:rPr>
        <w:t>439 del regolamento (UE) n. 575/2013 per quanto riguarda la loro esposizione al rischio di controparte di cui alla</w:t>
      </w:r>
      <w:r w:rsidR="008B6CDC">
        <w:rPr>
          <w:rFonts w:ascii="Times New Roman" w:hAnsi="Times New Roman"/>
          <w:color w:val="auto"/>
          <w:sz w:val="24"/>
        </w:rPr>
        <w:t> </w:t>
      </w:r>
      <w:r>
        <w:rPr>
          <w:rFonts w:ascii="Times New Roman" w:hAnsi="Times New Roman"/>
          <w:color w:val="auto"/>
          <w:sz w:val="24"/>
        </w:rPr>
        <w:t>parte tre, titolo II, capo 6, del regolamento (UE) n. 575/2013 (CRR)</w:t>
      </w:r>
      <w:r>
        <w:rPr>
          <w:rStyle w:val="FootnoteReference"/>
          <w:color w:val="auto"/>
          <w:lang w:val="en-GB"/>
        </w:rPr>
        <w:footnoteReference w:id="1"/>
      </w:r>
      <w:r>
        <w:rPr>
          <w:rFonts w:ascii="Times New Roman" w:hAnsi="Times New Roman"/>
          <w:color w:val="auto"/>
          <w:sz w:val="24"/>
        </w:rPr>
        <w:t xml:space="preserve"> seguendo le istruzioni fornite nel presente allegato per compilare le tabelle e i modelli di cui all</w:t>
      </w:r>
      <w:r w:rsidR="008B6CDC">
        <w:rPr>
          <w:rFonts w:ascii="Times New Roman" w:hAnsi="Times New Roman"/>
          <w:color w:val="auto"/>
          <w:sz w:val="24"/>
        </w:rPr>
        <w:t>'</w:t>
      </w:r>
      <w:r>
        <w:rPr>
          <w:rFonts w:ascii="Times New Roman" w:hAnsi="Times New Roman"/>
          <w:color w:val="auto"/>
          <w:sz w:val="24"/>
        </w:rPr>
        <w:t>allegato XXV delle soluzioni informatiche dell</w:t>
      </w:r>
      <w:r w:rsidR="008B6CDC">
        <w:rPr>
          <w:rFonts w:ascii="Times New Roman" w:hAnsi="Times New Roman"/>
          <w:color w:val="auto"/>
          <w:sz w:val="24"/>
        </w:rPr>
        <w:t>'</w:t>
      </w:r>
      <w:r>
        <w:rPr>
          <w:rFonts w:ascii="Times New Roman" w:hAnsi="Times New Roman"/>
          <w:color w:val="auto"/>
          <w:sz w:val="24"/>
        </w:rPr>
        <w:t>ABE.</w:t>
      </w:r>
    </w:p>
    <w:p w14:paraId="495AC274" w14:textId="0375C3C4"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Tabella EU CCRA: informativa qualitativa sul rischio di controparte (CCR)</w:t>
      </w:r>
      <w:r>
        <w:rPr>
          <w:rFonts w:ascii="Times New Roman" w:hAnsi="Times New Roman"/>
          <w:sz w:val="24"/>
        </w:rPr>
        <w:t xml:space="preserve"> </w:t>
      </w:r>
      <w:r w:rsidR="00443BE8">
        <w:rPr>
          <w:rFonts w:ascii="Times New Roman" w:hAnsi="Times New Roman"/>
          <w:sz w:val="24"/>
        </w:rPr>
        <w:br/>
      </w:r>
      <w:r>
        <w:rPr>
          <w:rFonts w:ascii="Times New Roman" w:hAnsi="Times New Roman"/>
          <w:color w:val="000000"/>
          <w:sz w:val="24"/>
        </w:rPr>
        <w:t>(caselle di testo libero)</w:t>
      </w:r>
    </w:p>
    <w:p w14:paraId="39E2C005" w14:textId="17C88A7E"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auto"/>
          <w:sz w:val="24"/>
        </w:rPr>
        <w:t>Gli enti pubblicano le informazioni di cui</w:t>
      </w:r>
      <w:r>
        <w:rPr>
          <w:rFonts w:ascii="Times New Roman" w:hAnsi="Times New Roman"/>
          <w:color w:val="000000"/>
          <w:sz w:val="24"/>
        </w:rPr>
        <w:t xml:space="preserve"> all</w:t>
      </w:r>
      <w:r w:rsidR="008B6CDC">
        <w:rPr>
          <w:rFonts w:ascii="Times New Roman" w:hAnsi="Times New Roman"/>
          <w:color w:val="000000"/>
          <w:sz w:val="24"/>
        </w:rPr>
        <w:t>'</w:t>
      </w:r>
      <w:r>
        <w:rPr>
          <w:rFonts w:ascii="Times New Roman" w:hAnsi="Times New Roman"/>
          <w:color w:val="000000"/>
          <w:sz w:val="24"/>
        </w:rPr>
        <w:t>articolo</w:t>
      </w:r>
      <w:r w:rsidR="00443BE8">
        <w:rPr>
          <w:rFonts w:ascii="Times New Roman" w:hAnsi="Times New Roman"/>
          <w:color w:val="000000"/>
          <w:sz w:val="24"/>
        </w:rPr>
        <w:t> </w:t>
      </w:r>
      <w:r>
        <w:rPr>
          <w:rFonts w:ascii="Times New Roman" w:hAnsi="Times New Roman"/>
          <w:color w:val="000000"/>
          <w:sz w:val="24"/>
        </w:rPr>
        <w:t>439, lettere da a) a d), del regolamento (UE) n. 575/2013</w:t>
      </w:r>
      <w:r>
        <w:rPr>
          <w:rFonts w:ascii="Times New Roman" w:hAnsi="Times New Roman"/>
          <w:color w:val="auto"/>
          <w:sz w:val="24"/>
        </w:rPr>
        <w:t xml:space="preserve"> seguendo le istruzioni fornite di seguito nel presente allegato per compilare </w:t>
      </w:r>
      <w:r>
        <w:rPr>
          <w:rFonts w:ascii="Times New Roman" w:hAnsi="Times New Roman"/>
          <w:color w:val="000000"/>
          <w:sz w:val="24"/>
        </w:rPr>
        <w:t>la tabella EU CCRA di cui all</w:t>
      </w:r>
      <w:r w:rsidR="008B6CDC">
        <w:rPr>
          <w:rFonts w:ascii="Times New Roman" w:hAnsi="Times New Roman"/>
          <w:color w:val="000000"/>
          <w:sz w:val="24"/>
        </w:rPr>
        <w:t>'</w:t>
      </w:r>
      <w:r>
        <w:rPr>
          <w:rFonts w:ascii="Times New Roman" w:hAnsi="Times New Roman"/>
          <w:color w:val="000000"/>
          <w:sz w:val="24"/>
        </w:rPr>
        <w:t>allegato XXV delle soluzioni informatiche dell</w:t>
      </w:r>
      <w:r w:rsidR="008B6CDC">
        <w:rPr>
          <w:rFonts w:ascii="Times New Roman" w:hAnsi="Times New Roman"/>
          <w:color w:val="000000"/>
          <w:sz w:val="24"/>
        </w:rPr>
        <w:t>'</w:t>
      </w:r>
      <w:r>
        <w:rPr>
          <w:rFonts w:ascii="Times New Roman" w:hAnsi="Times New Roman"/>
          <w:color w:val="000000"/>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Riferimenti giuridici e istruzioni</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61C8BC5"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Numero di</w:t>
            </w:r>
            <w:r w:rsidR="008B6CDC">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Spiegazione</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5E3AC1D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Nel pubblicare le informazioni prescritte all</w:t>
            </w:r>
            <w:r w:rsidR="008B6CDC">
              <w:rPr>
                <w:rFonts w:ascii="Times New Roman" w:hAnsi="Times New Roman"/>
                <w:sz w:val="24"/>
              </w:rPr>
              <w:t>'</w:t>
            </w:r>
            <w:r>
              <w:rPr>
                <w:rFonts w:ascii="Times New Roman" w:hAnsi="Times New Roman"/>
                <w:sz w:val="24"/>
              </w:rPr>
              <w:t>articolo 439, lettera</w:t>
            </w:r>
            <w:r w:rsidR="00443BE8">
              <w:rPr>
                <w:rFonts w:ascii="Times New Roman" w:hAnsi="Times New Roman"/>
                <w:sz w:val="24"/>
              </w:rPr>
              <w:t> </w:t>
            </w:r>
            <w:r>
              <w:rPr>
                <w:rFonts w:ascii="Times New Roman" w:hAnsi="Times New Roman"/>
                <w:sz w:val="24"/>
              </w:rPr>
              <w:t>a), del regolamento (UE) n. 575/2013, gli enti forniscono una descrizione della metodologia utilizzata per assegnare i limiti definiti in termini di capitale interno e di credito relativi alle esposizioni creditizie verso la controparte, compresi i metodi per assegnare tali limiti alle esposizioni verso le controparti centrali.</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478AEBE9"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Nel pubblicare le informazioni prescritte all</w:t>
            </w:r>
            <w:r w:rsidR="008B6CDC">
              <w:rPr>
                <w:rFonts w:ascii="Times New Roman" w:hAnsi="Times New Roman"/>
                <w:sz w:val="24"/>
              </w:rPr>
              <w:t>'</w:t>
            </w:r>
            <w:r>
              <w:rPr>
                <w:rFonts w:ascii="Times New Roman" w:hAnsi="Times New Roman"/>
                <w:sz w:val="24"/>
              </w:rPr>
              <w:t>articolo</w:t>
            </w:r>
            <w:r w:rsidR="00443BE8">
              <w:rPr>
                <w:rFonts w:ascii="Times New Roman" w:hAnsi="Times New Roman"/>
                <w:sz w:val="24"/>
              </w:rPr>
              <w:t> </w:t>
            </w:r>
            <w:r>
              <w:rPr>
                <w:rFonts w:ascii="Times New Roman" w:hAnsi="Times New Roman"/>
                <w:sz w:val="24"/>
              </w:rPr>
              <w:t>439, lettera</w:t>
            </w:r>
            <w:r w:rsidR="00443BE8">
              <w:rPr>
                <w:rFonts w:ascii="Times New Roman" w:hAnsi="Times New Roman"/>
                <w:sz w:val="24"/>
              </w:rPr>
              <w:t> </w:t>
            </w:r>
            <w:r>
              <w:rPr>
                <w:rFonts w:ascii="Times New Roman" w:hAnsi="Times New Roman"/>
                <w:sz w:val="24"/>
              </w:rPr>
              <w:t xml:space="preserve">b), del regolamento (UE) n. 575/2013, gli enti forniscono una </w:t>
            </w:r>
            <w:r>
              <w:rPr>
                <w:rFonts w:ascii="Times New Roman" w:hAnsi="Times New Roman"/>
                <w:color w:val="000000"/>
                <w:sz w:val="24"/>
              </w:rPr>
              <w:t>descrizione delle politiche in materia di garanzie e altri strumenti di attenuazione del rischio di</w:t>
            </w:r>
            <w:r w:rsidR="00443BE8">
              <w:rPr>
                <w:rFonts w:ascii="Times New Roman" w:hAnsi="Times New Roman"/>
                <w:color w:val="000000"/>
                <w:sz w:val="24"/>
              </w:rPr>
              <w:t> </w:t>
            </w:r>
            <w:r>
              <w:rPr>
                <w:rFonts w:ascii="Times New Roman" w:hAnsi="Times New Roman"/>
                <w:color w:val="000000"/>
                <w:sz w:val="24"/>
              </w:rPr>
              <w:t>credito, quali le politiche in materia di garanzie reali e riserve di credito</w:t>
            </w:r>
            <w:r>
              <w:rPr>
                <w:rFonts w:ascii="Times New Roman" w:hAnsi="Times New Roman"/>
                <w:sz w:val="24"/>
              </w:rPr>
              <w:t>.</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BCDD52C"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Nel pubblicare le informazioni prescritte all</w:t>
            </w:r>
            <w:r w:rsidR="008B6CDC">
              <w:rPr>
                <w:rFonts w:ascii="Times New Roman" w:hAnsi="Times New Roman"/>
                <w:sz w:val="24"/>
              </w:rPr>
              <w:t>'</w:t>
            </w:r>
            <w:r>
              <w:rPr>
                <w:rFonts w:ascii="Times New Roman" w:hAnsi="Times New Roman"/>
                <w:sz w:val="24"/>
              </w:rPr>
              <w:t>articolo</w:t>
            </w:r>
            <w:r w:rsidR="00443BE8">
              <w:rPr>
                <w:rFonts w:ascii="Times New Roman" w:hAnsi="Times New Roman"/>
                <w:sz w:val="24"/>
              </w:rPr>
              <w:t> </w:t>
            </w:r>
            <w:r>
              <w:rPr>
                <w:rFonts w:ascii="Times New Roman" w:hAnsi="Times New Roman"/>
                <w:sz w:val="24"/>
              </w:rPr>
              <w:t>439, lettera</w:t>
            </w:r>
            <w:r w:rsidR="00443BE8">
              <w:rPr>
                <w:rFonts w:ascii="Times New Roman" w:hAnsi="Times New Roman"/>
                <w:sz w:val="24"/>
              </w:rPr>
              <w:t> </w:t>
            </w:r>
            <w:r>
              <w:rPr>
                <w:rFonts w:ascii="Times New Roman" w:hAnsi="Times New Roman"/>
                <w:sz w:val="24"/>
              </w:rPr>
              <w:t>c), del regolamento (UE) n. 575/2013, gli enti forniscono una descrizione</w:t>
            </w:r>
            <w:r>
              <w:rPr>
                <w:rFonts w:ascii="Times New Roman" w:hAnsi="Times New Roman"/>
                <w:color w:val="000000"/>
                <w:sz w:val="24"/>
              </w:rPr>
              <w:t xml:space="preserve"> </w:t>
            </w:r>
            <w:r>
              <w:rPr>
                <w:rFonts w:ascii="Times New Roman" w:hAnsi="Times New Roman"/>
                <w:sz w:val="24"/>
              </w:rPr>
              <w:t>delle politiche rispetto al rischio di correlazione sfavorevole definito all</w:t>
            </w:r>
            <w:r w:rsidR="008B6CDC">
              <w:rPr>
                <w:rFonts w:ascii="Times New Roman" w:hAnsi="Times New Roman"/>
                <w:sz w:val="24"/>
              </w:rPr>
              <w:t>'</w:t>
            </w:r>
            <w:r>
              <w:rPr>
                <w:rFonts w:ascii="Times New Roman" w:hAnsi="Times New Roman"/>
                <w:sz w:val="24"/>
              </w:rPr>
              <w:t>articolo 291 di tale regolamento.</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16C09E48"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Conformemente all</w:t>
            </w:r>
            <w:r w:rsidR="008B6CDC">
              <w:rPr>
                <w:rFonts w:ascii="Times New Roman" w:hAnsi="Times New Roman"/>
                <w:color w:val="000000"/>
                <w:sz w:val="24"/>
              </w:rPr>
              <w:t>'</w:t>
            </w:r>
            <w:r>
              <w:rPr>
                <w:rFonts w:ascii="Times New Roman" w:hAnsi="Times New Roman"/>
                <w:color w:val="000000"/>
                <w:sz w:val="24"/>
              </w:rPr>
              <w:t>articolo</w:t>
            </w:r>
            <w:r w:rsidR="00443BE8">
              <w:rPr>
                <w:rFonts w:ascii="Times New Roman" w:hAnsi="Times New Roman"/>
                <w:color w:val="000000"/>
                <w:sz w:val="24"/>
              </w:rPr>
              <w:t> </w:t>
            </w:r>
            <w:r>
              <w:rPr>
                <w:rFonts w:ascii="Times New Roman" w:hAnsi="Times New Roman"/>
                <w:color w:val="000000"/>
                <w:sz w:val="24"/>
              </w:rPr>
              <w:t xml:space="preserve">431, paragrafi 3 e 4, </w:t>
            </w:r>
            <w:r>
              <w:rPr>
                <w:rFonts w:ascii="Times New Roman" w:hAnsi="Times New Roman"/>
                <w:sz w:val="24"/>
              </w:rPr>
              <w:t>del regolamento (UE) n. 575/2013</w:t>
            </w:r>
            <w:r>
              <w:rPr>
                <w:rFonts w:ascii="Times New Roman" w:hAnsi="Times New Roman"/>
                <w:color w:val="000000"/>
                <w:sz w:val="24"/>
              </w:rPr>
              <w:t>, gli enti integrano le informazioni di cui sopra con eventuali altri obiettivi di gestione del rischio e le pertinenti politiche relative a tale regolamento.</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lastRenderedPageBreak/>
              <w:t>e)</w:t>
            </w:r>
          </w:p>
        </w:tc>
        <w:tc>
          <w:tcPr>
            <w:tcW w:w="7655" w:type="dxa"/>
          </w:tcPr>
          <w:p w14:paraId="4E0DF669" w14:textId="43307187"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Nel pubblicare le informazioni di cui all</w:t>
            </w:r>
            <w:r w:rsidR="008B6CDC">
              <w:rPr>
                <w:rFonts w:ascii="Times New Roman" w:hAnsi="Times New Roman"/>
                <w:color w:val="000000"/>
                <w:sz w:val="24"/>
              </w:rPr>
              <w:t>'</w:t>
            </w:r>
            <w:r>
              <w:rPr>
                <w:rFonts w:ascii="Times New Roman" w:hAnsi="Times New Roman"/>
                <w:color w:val="000000"/>
                <w:sz w:val="24"/>
              </w:rPr>
              <w:t>articolo 439, lettera</w:t>
            </w:r>
            <w:r w:rsidR="00443BE8">
              <w:rPr>
                <w:rFonts w:ascii="Times New Roman" w:hAnsi="Times New Roman"/>
                <w:color w:val="000000"/>
                <w:sz w:val="24"/>
              </w:rPr>
              <w:t> </w:t>
            </w:r>
            <w:r>
              <w:rPr>
                <w:rFonts w:ascii="Times New Roman" w:hAnsi="Times New Roman"/>
                <w:color w:val="000000"/>
                <w:sz w:val="24"/>
              </w:rPr>
              <w:t xml:space="preserve">d), </w:t>
            </w:r>
            <w:r>
              <w:rPr>
                <w:rFonts w:ascii="Times New Roman" w:hAnsi="Times New Roman"/>
                <w:sz w:val="24"/>
              </w:rPr>
              <w:t>del regolamento (UE) n. 575/2013</w:t>
            </w:r>
            <w:r>
              <w:rPr>
                <w:rFonts w:ascii="Times New Roman" w:hAnsi="Times New Roman"/>
                <w:color w:val="000000"/>
                <w:sz w:val="24"/>
              </w:rPr>
              <w:t>, gli enti indicano l</w:t>
            </w:r>
            <w:r w:rsidR="008B6CDC">
              <w:rPr>
                <w:rFonts w:ascii="Times New Roman" w:hAnsi="Times New Roman"/>
                <w:color w:val="000000"/>
                <w:sz w:val="24"/>
              </w:rPr>
              <w:t>'</w:t>
            </w:r>
            <w:r>
              <w:rPr>
                <w:rFonts w:ascii="Times New Roman" w:hAnsi="Times New Roman"/>
                <w:color w:val="000000"/>
                <w:sz w:val="24"/>
              </w:rPr>
              <w:t>importo delle garanzie reali che dovrebbero fornire in caso di ribasso del loro rating di credito.</w:t>
            </w:r>
          </w:p>
          <w:p w14:paraId="08B2F868" w14:textId="347537B2"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Ove la banca centrale di uno Stato membro fornisca assistenza di liquidità sotto forma di operazioni di swap con garanzie reali, l</w:t>
            </w:r>
            <w:r w:rsidR="008B6CDC">
              <w:rPr>
                <w:rFonts w:ascii="Times New Roman" w:hAnsi="Times New Roman"/>
                <w:color w:val="000000"/>
                <w:sz w:val="24"/>
              </w:rPr>
              <w:t>'</w:t>
            </w:r>
            <w:r>
              <w:rPr>
                <w:rFonts w:ascii="Times New Roman" w:hAnsi="Times New Roman"/>
                <w:color w:val="000000"/>
                <w:sz w:val="24"/>
              </w:rPr>
              <w:t>autorità competente può esentare gli enti dalla pubblicazione di tali informazioni qualora detta autorità competente ritenga che la pubblicazione delle informazioni ivi indicate potrebbe rivelare che è stata fornita assistenza di liquidità di ultima istanza. A</w:t>
            </w:r>
            <w:r w:rsidR="00443BE8">
              <w:rPr>
                <w:rFonts w:ascii="Times New Roman" w:hAnsi="Times New Roman"/>
                <w:color w:val="000000"/>
                <w:sz w:val="24"/>
              </w:rPr>
              <w:t> </w:t>
            </w:r>
            <w:r>
              <w:rPr>
                <w:rFonts w:ascii="Times New Roman" w:hAnsi="Times New Roman"/>
                <w:color w:val="000000"/>
                <w:sz w:val="24"/>
              </w:rPr>
              <w:t>tali fini l</w:t>
            </w:r>
            <w:r w:rsidR="008B6CDC">
              <w:rPr>
                <w:rFonts w:ascii="Times New Roman" w:hAnsi="Times New Roman"/>
                <w:color w:val="000000"/>
                <w:sz w:val="24"/>
              </w:rPr>
              <w:t>'</w:t>
            </w:r>
            <w:r>
              <w:rPr>
                <w:rFonts w:ascii="Times New Roman" w:hAnsi="Times New Roman"/>
                <w:color w:val="000000"/>
                <w:sz w:val="24"/>
              </w:rPr>
              <w:t>autorità competente fissa soglie adeguate e criteri obiettivi.</w:t>
            </w:r>
          </w:p>
        </w:tc>
      </w:tr>
    </w:tbl>
    <w:p w14:paraId="27B59149" w14:textId="77777777" w:rsidR="00F43911" w:rsidRPr="008B6CDC" w:rsidRDefault="00F43911" w:rsidP="00F43911">
      <w:pPr>
        <w:pStyle w:val="Titlelevel2"/>
        <w:spacing w:before="0"/>
        <w:rPr>
          <w:rFonts w:ascii="Times New Roman" w:hAnsi="Times New Roman" w:cs="Times New Roman"/>
          <w:b/>
          <w:color w:val="auto"/>
          <w:sz w:val="24"/>
        </w:rPr>
      </w:pPr>
    </w:p>
    <w:p w14:paraId="7B935B7B" w14:textId="55D1ADC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Modello EU CCR1: analisi dell</w:t>
      </w:r>
      <w:r w:rsidR="008B6CDC">
        <w:rPr>
          <w:rFonts w:ascii="Times New Roman" w:hAnsi="Times New Roman"/>
          <w:b/>
          <w:color w:val="auto"/>
          <w:sz w:val="24"/>
        </w:rPr>
        <w:t>'</w:t>
      </w:r>
      <w:r>
        <w:rPr>
          <w:rFonts w:ascii="Times New Roman" w:hAnsi="Times New Roman"/>
          <w:b/>
          <w:color w:val="auto"/>
          <w:sz w:val="24"/>
        </w:rPr>
        <w:t xml:space="preserve">esposizione al CCR per metodo </w:t>
      </w:r>
      <w:r>
        <w:rPr>
          <w:rFonts w:ascii="Times New Roman" w:hAnsi="Times New Roman"/>
          <w:color w:val="auto"/>
          <w:sz w:val="24"/>
        </w:rPr>
        <w:t>(formato fisso)</w:t>
      </w:r>
    </w:p>
    <w:p w14:paraId="5F298634" w14:textId="20E2CD6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Gli enti pubblicano le informazioni di cui all</w:t>
      </w:r>
      <w:r w:rsidR="008B6CDC">
        <w:rPr>
          <w:rFonts w:ascii="Times New Roman" w:hAnsi="Times New Roman"/>
          <w:color w:val="000000"/>
          <w:sz w:val="24"/>
        </w:rPr>
        <w:t>'</w:t>
      </w:r>
      <w:r>
        <w:rPr>
          <w:rFonts w:ascii="Times New Roman" w:hAnsi="Times New Roman"/>
          <w:color w:val="000000"/>
          <w:sz w:val="24"/>
        </w:rPr>
        <w:t>articolo</w:t>
      </w:r>
      <w:r w:rsidR="00443BE8">
        <w:rPr>
          <w:rFonts w:ascii="Times New Roman" w:hAnsi="Times New Roman"/>
          <w:color w:val="000000"/>
          <w:sz w:val="24"/>
        </w:rPr>
        <w:t> </w:t>
      </w:r>
      <w:r>
        <w:rPr>
          <w:rFonts w:ascii="Times New Roman" w:hAnsi="Times New Roman"/>
          <w:color w:val="000000"/>
          <w:sz w:val="24"/>
        </w:rPr>
        <w:t xml:space="preserve">439, lettere f), g) e k), </w:t>
      </w:r>
      <w:r>
        <w:rPr>
          <w:rFonts w:ascii="Times New Roman" w:hAnsi="Times New Roman"/>
          <w:color w:val="auto"/>
          <w:sz w:val="24"/>
        </w:rPr>
        <w:t>del regolamento (UE) n. 575/2013</w:t>
      </w:r>
      <w:r>
        <w:rPr>
          <w:rFonts w:ascii="Times New Roman" w:hAnsi="Times New Roman"/>
          <w:color w:val="000000"/>
          <w:sz w:val="24"/>
        </w:rPr>
        <w:t xml:space="preserve"> seguendo le istruzioni fornite di seguito nel presente allegato per compilare il modello EU</w:t>
      </w:r>
      <w:r w:rsidR="00443BE8">
        <w:rPr>
          <w:rFonts w:ascii="Times New Roman" w:hAnsi="Times New Roman"/>
          <w:color w:val="000000"/>
          <w:sz w:val="24"/>
        </w:rPr>
        <w:t> </w:t>
      </w:r>
      <w:r>
        <w:rPr>
          <w:rFonts w:ascii="Times New Roman" w:hAnsi="Times New Roman"/>
          <w:color w:val="000000"/>
          <w:sz w:val="24"/>
        </w:rPr>
        <w:t>CCR1 di cui all</w:t>
      </w:r>
      <w:r w:rsidR="008B6CDC">
        <w:rPr>
          <w:rFonts w:ascii="Times New Roman" w:hAnsi="Times New Roman"/>
          <w:color w:val="000000"/>
          <w:sz w:val="24"/>
        </w:rPr>
        <w:t>'</w:t>
      </w:r>
      <w:r>
        <w:rPr>
          <w:rFonts w:ascii="Times New Roman" w:hAnsi="Times New Roman"/>
          <w:color w:val="000000"/>
          <w:sz w:val="24"/>
        </w:rPr>
        <w:t>allegato</w:t>
      </w:r>
      <w:r w:rsidR="00443BE8">
        <w:rPr>
          <w:rFonts w:ascii="Times New Roman" w:hAnsi="Times New Roman"/>
          <w:color w:val="000000"/>
          <w:sz w:val="24"/>
        </w:rPr>
        <w:t> </w:t>
      </w:r>
      <w:r>
        <w:rPr>
          <w:rFonts w:ascii="Times New Roman" w:hAnsi="Times New Roman"/>
          <w:color w:val="000000"/>
          <w:sz w:val="24"/>
        </w:rPr>
        <w:t>XXV delle soluzioni informatiche dell</w:t>
      </w:r>
      <w:r w:rsidR="008B6CDC">
        <w:rPr>
          <w:rFonts w:ascii="Times New Roman" w:hAnsi="Times New Roman"/>
          <w:color w:val="000000"/>
          <w:sz w:val="24"/>
        </w:rPr>
        <w:t>'</w:t>
      </w:r>
      <w:r>
        <w:rPr>
          <w:rFonts w:ascii="Times New Roman" w:hAnsi="Times New Roman"/>
          <w:color w:val="000000"/>
          <w:sz w:val="24"/>
        </w:rPr>
        <w:t>ABE.</w:t>
      </w:r>
    </w:p>
    <w:p w14:paraId="570E50EE" w14:textId="21C4DD54"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000000"/>
          <w:sz w:val="24"/>
        </w:rPr>
        <w:t xml:space="preserve">Da questo modello sono esclusi i requisiti di fondi propri per il rischio di CVA (parte tre, titolo VI, </w:t>
      </w:r>
      <w:r>
        <w:rPr>
          <w:rFonts w:ascii="Times New Roman" w:hAnsi="Times New Roman"/>
          <w:color w:val="auto"/>
          <w:sz w:val="24"/>
        </w:rPr>
        <w:t>del regolamento (UE) n. 575/2013</w:t>
      </w:r>
      <w:r>
        <w:rPr>
          <w:rFonts w:ascii="Times New Roman" w:hAnsi="Times New Roman"/>
          <w:color w:val="000000"/>
          <w:sz w:val="24"/>
        </w:rPr>
        <w:t xml:space="preserve">) e le esposizioni verso una controparte centrale (parte tre, titolo II, capo 6, sezione 9, </w:t>
      </w:r>
      <w:r>
        <w:rPr>
          <w:rFonts w:ascii="Times New Roman" w:hAnsi="Times New Roman"/>
          <w:color w:val="auto"/>
          <w:sz w:val="24"/>
        </w:rPr>
        <w:t>del regolamento (UE) n. 575/2013</w:t>
      </w:r>
      <w:r>
        <w:rPr>
          <w:rFonts w:ascii="Times New Roman" w:hAnsi="Times New Roman"/>
          <w:color w:val="000000"/>
          <w:sz w:val="24"/>
        </w:rPr>
        <w:t>), come</w:t>
      </w:r>
      <w:r w:rsidR="00443BE8">
        <w:rPr>
          <w:rFonts w:ascii="Times New Roman" w:hAnsi="Times New Roman"/>
          <w:color w:val="000000"/>
          <w:sz w:val="24"/>
        </w:rPr>
        <w:t> </w:t>
      </w:r>
      <w:r>
        <w:rPr>
          <w:rFonts w:ascii="Times New Roman" w:hAnsi="Times New Roman"/>
          <w:color w:val="000000"/>
          <w:sz w:val="24"/>
        </w:rPr>
        <w:t>definite ai fini del modello EU CCR8.</w:t>
      </w:r>
      <w:r>
        <w:t xml:space="preserve"> </w:t>
      </w:r>
      <w:r>
        <w:rPr>
          <w:rFonts w:ascii="Times New Roman" w:hAnsi="Times New Roman"/>
          <w:color w:val="000000"/>
          <w:sz w:val="24"/>
        </w:rPr>
        <w:t>Per le operazioni di finanziamento tramite</w:t>
      </w:r>
      <w:r w:rsidR="00443BE8">
        <w:rPr>
          <w:rFonts w:ascii="Times New Roman" w:hAnsi="Times New Roman"/>
          <w:color w:val="000000"/>
          <w:sz w:val="24"/>
        </w:rPr>
        <w:t> </w:t>
      </w:r>
      <w:r>
        <w:rPr>
          <w:rFonts w:ascii="Times New Roman" w:hAnsi="Times New Roman"/>
          <w:color w:val="000000"/>
          <w:sz w:val="24"/>
        </w:rPr>
        <w:t>titoli, nel modello sono inclusi i valori dell</w:t>
      </w:r>
      <w:r w:rsidR="008B6CDC">
        <w:rPr>
          <w:rFonts w:ascii="Times New Roman" w:hAnsi="Times New Roman"/>
          <w:color w:val="000000"/>
          <w:sz w:val="24"/>
        </w:rPr>
        <w:t>'</w:t>
      </w:r>
      <w:r>
        <w:rPr>
          <w:rFonts w:ascii="Times New Roman" w:hAnsi="Times New Roman"/>
          <w:color w:val="000000"/>
          <w:sz w:val="24"/>
        </w:rPr>
        <w:t>esposizione prima e dopo l</w:t>
      </w:r>
      <w:r w:rsidR="008B6CDC">
        <w:rPr>
          <w:rFonts w:ascii="Times New Roman" w:hAnsi="Times New Roman"/>
          <w:color w:val="000000"/>
          <w:sz w:val="24"/>
        </w:rPr>
        <w:t>'</w:t>
      </w:r>
      <w:r>
        <w:rPr>
          <w:rFonts w:ascii="Times New Roman" w:hAnsi="Times New Roman"/>
          <w:color w:val="000000"/>
          <w:sz w:val="24"/>
        </w:rPr>
        <w:t>effetto dell</w:t>
      </w:r>
      <w:r w:rsidR="008B6CDC">
        <w:rPr>
          <w:rFonts w:ascii="Times New Roman" w:hAnsi="Times New Roman"/>
          <w:color w:val="000000"/>
          <w:sz w:val="24"/>
        </w:rPr>
        <w:t>'</w:t>
      </w:r>
      <w:r>
        <w:rPr>
          <w:rFonts w:ascii="Times New Roman" w:hAnsi="Times New Roman"/>
          <w:color w:val="000000"/>
          <w:sz w:val="24"/>
        </w:rPr>
        <w:t xml:space="preserve">attenuazione del rischio di credito determinati in base ai metodi di cui alla parte tre, titolo II, capi 4 e 6, </w:t>
      </w:r>
      <w:r>
        <w:rPr>
          <w:rFonts w:ascii="Times New Roman" w:hAnsi="Times New Roman"/>
          <w:color w:val="auto"/>
          <w:sz w:val="24"/>
        </w:rPr>
        <w:t>del regolamento (UE) n. 575/2013</w:t>
      </w:r>
      <w:r>
        <w:rPr>
          <w:rFonts w:ascii="Times New Roman" w:hAnsi="Times New Roman"/>
          <w:color w:val="000000"/>
          <w:sz w:val="24"/>
        </w:rPr>
        <w:t>, a seconda del metodo utilizzato, conformemente all</w:t>
      </w:r>
      <w:r w:rsidR="008B6CDC">
        <w:rPr>
          <w:rFonts w:ascii="Times New Roman" w:hAnsi="Times New Roman"/>
          <w:color w:val="000000"/>
          <w:sz w:val="24"/>
        </w:rPr>
        <w:t>'</w:t>
      </w:r>
      <w:r>
        <w:rPr>
          <w:rFonts w:ascii="Times New Roman" w:hAnsi="Times New Roman"/>
          <w:color w:val="000000"/>
          <w:sz w:val="24"/>
        </w:rPr>
        <w:t>articolo</w:t>
      </w:r>
      <w:r w:rsidR="00443BE8">
        <w:rPr>
          <w:rFonts w:ascii="Times New Roman" w:hAnsi="Times New Roman"/>
          <w:color w:val="000000"/>
          <w:sz w:val="24"/>
        </w:rPr>
        <w:t> </w:t>
      </w:r>
      <w:r>
        <w:rPr>
          <w:rFonts w:ascii="Times New Roman" w:hAnsi="Times New Roman"/>
          <w:color w:val="000000"/>
          <w:sz w:val="24"/>
        </w:rPr>
        <w:t>439, lettera</w:t>
      </w:r>
      <w:r w:rsidR="00443BE8">
        <w:rPr>
          <w:rFonts w:ascii="Times New Roman" w:hAnsi="Times New Roman"/>
          <w:color w:val="000000"/>
          <w:sz w:val="24"/>
        </w:rPr>
        <w:t> </w:t>
      </w:r>
      <w:r>
        <w:rPr>
          <w:rFonts w:ascii="Times New Roman" w:hAnsi="Times New Roman"/>
          <w:color w:val="000000"/>
          <w:sz w:val="24"/>
        </w:rPr>
        <w:t>g),</w:t>
      </w:r>
      <w:r w:rsidR="00443BE8">
        <w:rPr>
          <w:rFonts w:ascii="Times New Roman" w:hAnsi="Times New Roman"/>
          <w:color w:val="000000"/>
          <w:sz w:val="24"/>
        </w:rPr>
        <w:t xml:space="preserve"> </w:t>
      </w:r>
      <w:r>
        <w:rPr>
          <w:rFonts w:ascii="Times New Roman" w:hAnsi="Times New Roman"/>
          <w:color w:val="auto"/>
          <w:sz w:val="24"/>
        </w:rPr>
        <w:t>di tale regolamento</w:t>
      </w:r>
      <w:r>
        <w:rPr>
          <w:rFonts w:ascii="Times New Roman" w:hAnsi="Times New Roman"/>
          <w:color w:val="000000"/>
          <w:sz w:val="24"/>
        </w:rPr>
        <w:t xml:space="preserve"> e gli importi dell</w:t>
      </w:r>
      <w:r w:rsidR="008B6CDC">
        <w:rPr>
          <w:rFonts w:ascii="Times New Roman" w:hAnsi="Times New Roman"/>
          <w:color w:val="000000"/>
          <w:sz w:val="24"/>
        </w:rPr>
        <w:t>'</w:t>
      </w:r>
      <w:r>
        <w:rPr>
          <w:rFonts w:ascii="Times New Roman" w:hAnsi="Times New Roman"/>
          <w:color w:val="000000"/>
          <w:sz w:val="24"/>
        </w:rPr>
        <w:t>esposizione al rischio associati ripartiti per metodo applicabile.</w:t>
      </w:r>
    </w:p>
    <w:p w14:paraId="5B43A4B5" w14:textId="01709D9A"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Gli enti che utilizzano i metodi di cui alla parte tre, titolo II, capo 6, sezioni da 4 a 5, del regolamento (UE) n. 575/2013 indicano, nella descrizione che accompagna il modello, l</w:t>
      </w:r>
      <w:r w:rsidR="008B6CDC">
        <w:rPr>
          <w:rFonts w:ascii="Times New Roman" w:hAnsi="Times New Roman"/>
          <w:color w:val="auto"/>
          <w:sz w:val="24"/>
        </w:rPr>
        <w:t>'</w:t>
      </w:r>
      <w:r>
        <w:rPr>
          <w:rFonts w:ascii="Times New Roman" w:hAnsi="Times New Roman"/>
          <w:color w:val="auto"/>
          <w:sz w:val="24"/>
        </w:rPr>
        <w:t>entità delle loro operazioni su derivati in bilancio e fuori bilancio, calcolata conformemente all</w:t>
      </w:r>
      <w:r w:rsidR="008B6CDC">
        <w:rPr>
          <w:rFonts w:ascii="Times New Roman" w:hAnsi="Times New Roman"/>
          <w:color w:val="auto"/>
          <w:sz w:val="24"/>
        </w:rPr>
        <w:t>'</w:t>
      </w:r>
      <w:r>
        <w:rPr>
          <w:rFonts w:ascii="Times New Roman" w:hAnsi="Times New Roman"/>
          <w:color w:val="auto"/>
          <w:sz w:val="24"/>
        </w:rPr>
        <w:t>articolo 273 bis, paragrafo 1 o 2, di tale regolamento, a seconda dei casi, in applicazione dell</w:t>
      </w:r>
      <w:r w:rsidR="008B6CDC">
        <w:rPr>
          <w:rFonts w:ascii="Times New Roman" w:hAnsi="Times New Roman"/>
          <w:color w:val="auto"/>
          <w:sz w:val="24"/>
        </w:rPr>
        <w:t>'</w:t>
      </w:r>
      <w:r>
        <w:rPr>
          <w:rFonts w:ascii="Times New Roman" w:hAnsi="Times New Roman"/>
          <w:color w:val="auto"/>
          <w:sz w:val="24"/>
        </w:rPr>
        <w:t>articolo 439, lettera m), del medesimo regolamento.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Riferimenti giuridici e istruzioni</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1E249333"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Numero di</w:t>
            </w:r>
            <w:r w:rsidR="005F3412">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Spiegazione</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2F146FBF"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Metodo dell</w:t>
            </w:r>
            <w:r w:rsidR="008B6CDC">
              <w:rPr>
                <w:rFonts w:ascii="Times New Roman" w:hAnsi="Times New Roman"/>
                <w:b/>
                <w:sz w:val="24"/>
              </w:rPr>
              <w:t>'</w:t>
            </w:r>
            <w:r>
              <w:rPr>
                <w:rFonts w:ascii="Times New Roman" w:hAnsi="Times New Roman"/>
                <w:b/>
                <w:sz w:val="24"/>
              </w:rPr>
              <w:t>esposizione originaria (per i derivati)</w:t>
            </w:r>
          </w:p>
          <w:p w14:paraId="11E99694" w14:textId="741A82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Derivati e operazioni con regolamento a lungo termine per cui gli enti hanno scelto di calcolare il valore dell</w:t>
            </w:r>
            <w:r w:rsidR="008B6CDC">
              <w:rPr>
                <w:rFonts w:ascii="Times New Roman" w:hAnsi="Times New Roman"/>
                <w:sz w:val="24"/>
              </w:rPr>
              <w:t>'</w:t>
            </w:r>
            <w:r>
              <w:rPr>
                <w:rFonts w:ascii="Times New Roman" w:hAnsi="Times New Roman"/>
                <w:sz w:val="24"/>
              </w:rPr>
              <w:t xml:space="preserve">esposizione come prodotto di </w:t>
            </w:r>
            <w:r>
              <w:rPr>
                <w:rFonts w:ascii="Times New Roman" w:hAnsi="Times New Roman"/>
                <w:color w:val="000000"/>
                <w:sz w:val="24"/>
              </w:rPr>
              <w:t>alfa</w:t>
            </w:r>
            <w:r>
              <w:rPr>
                <w:rFonts w:ascii="Times New Roman" w:hAnsi="Times New Roman"/>
                <w:sz w:val="24"/>
              </w:rPr>
              <w:t xml:space="preserve"> *</w:t>
            </w:r>
            <w:r>
              <w:rPr>
                <w:rFonts w:ascii="Times New Roman" w:hAnsi="Times New Roman"/>
                <w:color w:val="000000"/>
                <w:sz w:val="24"/>
              </w:rPr>
              <w:t xml:space="preserve"> (</w:t>
            </w:r>
            <w:r>
              <w:rPr>
                <w:rFonts w:ascii="Times New Roman" w:hAnsi="Times New Roman"/>
                <w:sz w:val="24"/>
              </w:rPr>
              <w:t xml:space="preserve">RC + PFE) </w:t>
            </w:r>
            <w:r>
              <w:rPr>
                <w:rFonts w:ascii="Times New Roman" w:hAnsi="Times New Roman"/>
                <w:color w:val="000000"/>
                <w:sz w:val="24"/>
              </w:rPr>
              <w:t xml:space="preserve">dove α = 1,4 </w:t>
            </w:r>
            <w:r>
              <w:rPr>
                <w:rFonts w:ascii="Times New Roman" w:hAnsi="Times New Roman"/>
                <w:sz w:val="24"/>
              </w:rPr>
              <w:t>e RC e PFE sono calcolati conformemente all</w:t>
            </w:r>
            <w:r w:rsidR="008B6CDC">
              <w:rPr>
                <w:rFonts w:ascii="Times New Roman" w:hAnsi="Times New Roman"/>
                <w:sz w:val="24"/>
              </w:rPr>
              <w:t>'</w:t>
            </w:r>
            <w:r>
              <w:rPr>
                <w:rFonts w:ascii="Times New Roman" w:hAnsi="Times New Roman"/>
                <w:sz w:val="24"/>
              </w:rPr>
              <w:t>articolo 282 della parte tre, titolo II, capo 6, sezione 5, del regolamento (UE) n. 575/2013.</w:t>
            </w:r>
          </w:p>
          <w:p w14:paraId="49426263" w14:textId="35939A72" w:rsidR="00F43911" w:rsidRPr="007F4CC8" w:rsidRDefault="00F43911" w:rsidP="00443BE8">
            <w:pPr>
              <w:pStyle w:val="TableMainHeading"/>
              <w:keepLines/>
              <w:spacing w:before="0" w:after="240"/>
              <w:jc w:val="both"/>
              <w:rPr>
                <w:rFonts w:ascii="Times New Roman" w:hAnsi="Times New Roman"/>
                <w:sz w:val="24"/>
                <w:szCs w:val="24"/>
              </w:rPr>
            </w:pPr>
            <w:r>
              <w:rPr>
                <w:rFonts w:ascii="Times New Roman" w:hAnsi="Times New Roman"/>
                <w:sz w:val="24"/>
              </w:rPr>
              <w:lastRenderedPageBreak/>
              <w:t>Questo metodo semplificato per calcolare il valore dell</w:t>
            </w:r>
            <w:r w:rsidR="008B6CDC">
              <w:rPr>
                <w:rFonts w:ascii="Times New Roman" w:hAnsi="Times New Roman"/>
                <w:sz w:val="24"/>
              </w:rPr>
              <w:t>'</w:t>
            </w:r>
            <w:r>
              <w:rPr>
                <w:rFonts w:ascii="Times New Roman" w:hAnsi="Times New Roman"/>
                <w:sz w:val="24"/>
              </w:rPr>
              <w:t>esposizione delle posizioni in derivati può essere utilizzato solo dagli enti</w:t>
            </w:r>
            <w:r>
              <w:rPr>
                <w:rFonts w:ascii="Times New Roman" w:hAnsi="Times New Roman"/>
                <w:i/>
                <w:sz w:val="24"/>
              </w:rPr>
              <w:t xml:space="preserve"> </w:t>
            </w:r>
            <w:r>
              <w:rPr>
                <w:rFonts w:ascii="Times New Roman" w:hAnsi="Times New Roman"/>
                <w:sz w:val="24"/>
              </w:rPr>
              <w:t>che soddisfano le condizioni di cui all</w:t>
            </w:r>
            <w:r w:rsidR="008B6CDC">
              <w:rPr>
                <w:rFonts w:ascii="Times New Roman" w:hAnsi="Times New Roman"/>
                <w:sz w:val="24"/>
              </w:rPr>
              <w:t>'</w:t>
            </w:r>
            <w:r>
              <w:rPr>
                <w:rFonts w:ascii="Times New Roman" w:hAnsi="Times New Roman"/>
                <w:sz w:val="24"/>
              </w:rPr>
              <w:t>articolo 273 bis, paragrafo 2 o 4, della parte tre, titolo II, capo 6, del regolamento (UE) n.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lastRenderedPageBreak/>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Metodo standardizzato semplificato per il CCR (SA-CCR semplificato per i derivati)</w:t>
            </w:r>
          </w:p>
          <w:p w14:paraId="10F957D1" w14:textId="2BEBEFB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Derivati e operazioni con regolamento a lungo termine per cui gli enti hanno scelto di calcolare il valore dell</w:t>
            </w:r>
            <w:r w:rsidR="008B6CDC">
              <w:rPr>
                <w:rFonts w:ascii="Times New Roman" w:hAnsi="Times New Roman"/>
                <w:sz w:val="24"/>
              </w:rPr>
              <w:t>'</w:t>
            </w:r>
            <w:r>
              <w:rPr>
                <w:rFonts w:ascii="Times New Roman" w:hAnsi="Times New Roman"/>
                <w:sz w:val="24"/>
              </w:rPr>
              <w:t xml:space="preserve">esposizione come prodotto di </w:t>
            </w:r>
            <w:r>
              <w:rPr>
                <w:rFonts w:ascii="Times New Roman" w:hAnsi="Times New Roman"/>
                <w:color w:val="000000"/>
                <w:sz w:val="24"/>
              </w:rPr>
              <w:t>alfa</w:t>
            </w:r>
            <w:r>
              <w:rPr>
                <w:rFonts w:ascii="Times New Roman" w:hAnsi="Times New Roman"/>
                <w:sz w:val="24"/>
              </w:rPr>
              <w:t xml:space="preserve"> *</w:t>
            </w:r>
            <w:r>
              <w:rPr>
                <w:rFonts w:ascii="Times New Roman" w:hAnsi="Times New Roman"/>
                <w:color w:val="000000"/>
                <w:sz w:val="24"/>
              </w:rPr>
              <w:t xml:space="preserve"> (</w:t>
            </w:r>
            <w:r>
              <w:rPr>
                <w:rFonts w:ascii="Times New Roman" w:hAnsi="Times New Roman"/>
                <w:sz w:val="24"/>
              </w:rPr>
              <w:t xml:space="preserve">RC + PFE) </w:t>
            </w:r>
            <w:r>
              <w:rPr>
                <w:rFonts w:ascii="Times New Roman" w:hAnsi="Times New Roman"/>
                <w:color w:val="000000"/>
                <w:sz w:val="24"/>
              </w:rPr>
              <w:t xml:space="preserve">dove α = 1,4 </w:t>
            </w:r>
            <w:r>
              <w:rPr>
                <w:rFonts w:ascii="Times New Roman" w:hAnsi="Times New Roman"/>
                <w:sz w:val="24"/>
              </w:rPr>
              <w:t>e RC e PFE sono calcolati conformemente all</w:t>
            </w:r>
            <w:r w:rsidR="008B6CDC">
              <w:rPr>
                <w:rFonts w:ascii="Times New Roman" w:hAnsi="Times New Roman"/>
                <w:sz w:val="24"/>
              </w:rPr>
              <w:t>'</w:t>
            </w:r>
            <w:r>
              <w:rPr>
                <w:rFonts w:ascii="Times New Roman" w:hAnsi="Times New Roman"/>
                <w:sz w:val="24"/>
              </w:rPr>
              <w:t>articolo 281 della parte tre, titolo II, capo 6, sezione 4, del regolamento (UE) n. 575/2013.</w:t>
            </w:r>
          </w:p>
          <w:p w14:paraId="48AAA379" w14:textId="628A6CB6"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Questo metodo standardizzato semplificato per calcolare il valore dell</w:t>
            </w:r>
            <w:r w:rsidR="008B6CDC">
              <w:rPr>
                <w:rFonts w:ascii="Times New Roman" w:hAnsi="Times New Roman"/>
                <w:sz w:val="24"/>
              </w:rPr>
              <w:t>'</w:t>
            </w:r>
            <w:r>
              <w:rPr>
                <w:rFonts w:ascii="Times New Roman" w:hAnsi="Times New Roman"/>
                <w:sz w:val="24"/>
              </w:rPr>
              <w:t>esposizione delle posizioni in derivati può essere utilizzato solo dagli enti che soddisfano le condizioni di cui all</w:t>
            </w:r>
            <w:r w:rsidR="008B6CDC">
              <w:rPr>
                <w:rFonts w:ascii="Times New Roman" w:hAnsi="Times New Roman"/>
                <w:sz w:val="24"/>
              </w:rPr>
              <w:t>'</w:t>
            </w:r>
            <w:r>
              <w:rPr>
                <w:rFonts w:ascii="Times New Roman" w:hAnsi="Times New Roman"/>
                <w:sz w:val="24"/>
              </w:rPr>
              <w:t xml:space="preserve">articolo 273 bis, paragrafo 1 o 4, della parte tre, titolo II, capo 6, del regolamento (UE) n. 575/2013.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Metodo standardizzato per il CCR (SA-CCR per i derivati)</w:t>
            </w:r>
          </w:p>
          <w:p w14:paraId="124D31EB" w14:textId="12BB0CD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Derivati e operazioni con regolamento a lungo termine per cui gli enti hanno scelto di calcolare il valore dell</w:t>
            </w:r>
            <w:r w:rsidR="008B6CDC">
              <w:rPr>
                <w:rFonts w:ascii="Times New Roman" w:hAnsi="Times New Roman"/>
              </w:rPr>
              <w:t>'</w:t>
            </w:r>
            <w:r>
              <w:rPr>
                <w:rFonts w:ascii="Times New Roman" w:hAnsi="Times New Roman"/>
              </w:rPr>
              <w:t xml:space="preserve">esposizione come prodotto di alfa*(RC + PFE) dove α = 1,4 e RC e PFE sono calcolati conformemente alla parte tre, titolo II, capo 6, sezione 3, </w:t>
            </w:r>
            <w:r>
              <w:rPr>
                <w:rFonts w:ascii="Times New Roman" w:hAnsi="Times New Roman"/>
                <w:color w:val="auto"/>
              </w:rPr>
              <w:t>del regolamento (UE) n. 575/2013</w:t>
            </w:r>
            <w:r>
              <w:rPr>
                <w:rFonts w:ascii="Times New Roman" w:hAnsi="Times New Roman"/>
              </w:rPr>
              <w:t>.</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IMM (per derivati e SFT)</w:t>
            </w:r>
          </w:p>
          <w:p w14:paraId="3C605AEA" w14:textId="43628029"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 xml:space="preserve">Derivati, </w:t>
            </w:r>
            <w:r>
              <w:rPr>
                <w:rFonts w:ascii="Times New Roman" w:hAnsi="Times New Roman"/>
                <w:sz w:val="24"/>
              </w:rPr>
              <w:t xml:space="preserve">operazioni con regolamento a lungo termine </w:t>
            </w:r>
            <w:r>
              <w:rPr>
                <w:rFonts w:ascii="Times New Roman" w:hAnsi="Times New Roman"/>
                <w:color w:val="000000"/>
                <w:sz w:val="24"/>
              </w:rPr>
              <w:t>e SFT per cui gli enti sono stati autorizzati a calcolare il valore dell</w:t>
            </w:r>
            <w:r w:rsidR="008B6CDC">
              <w:rPr>
                <w:rFonts w:ascii="Times New Roman" w:hAnsi="Times New Roman"/>
                <w:color w:val="000000"/>
                <w:sz w:val="24"/>
              </w:rPr>
              <w:t>'</w:t>
            </w:r>
            <w:r>
              <w:rPr>
                <w:rFonts w:ascii="Times New Roman" w:hAnsi="Times New Roman"/>
                <w:color w:val="000000"/>
                <w:sz w:val="24"/>
              </w:rPr>
              <w:t xml:space="preserve">esposizione utilizzando il metodo dei modelli interni (IMM) conformemente alla parte tre, titolo II, capo 6, sezione 6, </w:t>
            </w:r>
            <w:r>
              <w:rPr>
                <w:rFonts w:ascii="Times New Roman" w:hAnsi="Times New Roman"/>
                <w:sz w:val="24"/>
              </w:rPr>
              <w:t>del regolamento (UE) n. 575/2013</w:t>
            </w:r>
            <w:r>
              <w:rPr>
                <w:rFonts w:ascii="Times New Roman" w:hAnsi="Times New Roman"/>
                <w:color w:val="000000"/>
                <w:sz w:val="24"/>
              </w:rPr>
              <w:t>.</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Di cui insiemi di attività soggette a compensazione contenenti operazioni di finanziamento tramite titoli</w:t>
            </w:r>
          </w:p>
          <w:p w14:paraId="6014ACE8" w14:textId="4ABD59AE"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Insiemi di attività soggette a compensazione contenenti solo SFT ai sensi dell</w:t>
            </w:r>
            <w:r w:rsidR="008B6CDC">
              <w:rPr>
                <w:rFonts w:ascii="Times New Roman" w:hAnsi="Times New Roman"/>
              </w:rPr>
              <w:t>'</w:t>
            </w:r>
            <w:r>
              <w:rPr>
                <w:rFonts w:ascii="Times New Roman" w:hAnsi="Times New Roman"/>
              </w:rPr>
              <w:t>articolo</w:t>
            </w:r>
            <w:r w:rsidR="00443BE8">
              <w:rPr>
                <w:rFonts w:ascii="Times New Roman" w:hAnsi="Times New Roman"/>
              </w:rPr>
              <w:t> </w:t>
            </w:r>
            <w:r>
              <w:rPr>
                <w:rFonts w:ascii="Times New Roman" w:hAnsi="Times New Roman"/>
              </w:rPr>
              <w:t>4, paragrafo</w:t>
            </w:r>
            <w:r w:rsidR="00443BE8">
              <w:rPr>
                <w:rFonts w:ascii="Times New Roman" w:hAnsi="Times New Roman"/>
              </w:rPr>
              <w:t> </w:t>
            </w:r>
            <w:r>
              <w:rPr>
                <w:rFonts w:ascii="Times New Roman" w:hAnsi="Times New Roman"/>
              </w:rPr>
              <w:t>1, punto</w:t>
            </w:r>
            <w:r w:rsidR="00443BE8">
              <w:rPr>
                <w:rFonts w:ascii="Times New Roman" w:hAnsi="Times New Roman"/>
              </w:rPr>
              <w:t> </w:t>
            </w:r>
            <w:r>
              <w:rPr>
                <w:rFonts w:ascii="Times New Roman" w:hAnsi="Times New Roman"/>
              </w:rPr>
              <w:t xml:space="preserve">139, </w:t>
            </w:r>
            <w:r>
              <w:rPr>
                <w:rFonts w:ascii="Times New Roman" w:hAnsi="Times New Roman"/>
                <w:color w:val="auto"/>
              </w:rPr>
              <w:t>del regolamento (UE) n. 575/2013</w:t>
            </w:r>
            <w:r>
              <w:rPr>
                <w:rFonts w:ascii="Times New Roman" w:hAnsi="Times New Roman"/>
              </w:rPr>
              <w:t>, per</w:t>
            </w:r>
            <w:r w:rsidR="00443BE8">
              <w:rPr>
                <w:rFonts w:ascii="Times New Roman" w:hAnsi="Times New Roman"/>
              </w:rPr>
              <w:t> </w:t>
            </w:r>
            <w:r>
              <w:rPr>
                <w:rFonts w:ascii="Times New Roman" w:hAnsi="Times New Roman"/>
              </w:rPr>
              <w:t>cui gli enti sono stati autorizzati a determinare il valore dell</w:t>
            </w:r>
            <w:r w:rsidR="008B6CDC">
              <w:rPr>
                <w:rFonts w:ascii="Times New Roman" w:hAnsi="Times New Roman"/>
              </w:rPr>
              <w:t>'</w:t>
            </w:r>
            <w:r>
              <w:rPr>
                <w:rFonts w:ascii="Times New Roman" w:hAnsi="Times New Roman"/>
              </w:rPr>
              <w:t>esposizione utilizzando l</w:t>
            </w:r>
            <w:r w:rsidR="008B6CDC">
              <w:rPr>
                <w:rFonts w:ascii="Times New Roman" w:hAnsi="Times New Roman"/>
              </w:rPr>
              <w:t>'</w:t>
            </w:r>
            <w:r>
              <w:rPr>
                <w:rFonts w:ascii="Times New Roman" w:hAnsi="Times New Roman"/>
              </w:rPr>
              <w:t>IMM.</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Di cui insiemi di attività soggette a compensazione contenenti derivati e operazioni con regolamento a lungo termine</w:t>
            </w:r>
          </w:p>
          <w:p w14:paraId="4E9E50F8" w14:textId="0487AFD2"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Insiemi di attività soggette a compensazione contenenti solo strumenti derivati di cui all</w:t>
            </w:r>
            <w:r w:rsidR="008B6CDC">
              <w:rPr>
                <w:rFonts w:ascii="Times New Roman" w:hAnsi="Times New Roman"/>
              </w:rPr>
              <w:t>'</w:t>
            </w:r>
            <w:r>
              <w:rPr>
                <w:rFonts w:ascii="Times New Roman" w:hAnsi="Times New Roman"/>
              </w:rPr>
              <w:t>allegato</w:t>
            </w:r>
            <w:r w:rsidR="00443BE8">
              <w:rPr>
                <w:rFonts w:ascii="Times New Roman" w:hAnsi="Times New Roman"/>
              </w:rPr>
              <w:t> </w:t>
            </w:r>
            <w:r>
              <w:rPr>
                <w:rFonts w:ascii="Times New Roman" w:hAnsi="Times New Roman"/>
              </w:rPr>
              <w:t xml:space="preserve">II </w:t>
            </w:r>
            <w:r>
              <w:rPr>
                <w:rFonts w:ascii="Times New Roman" w:hAnsi="Times New Roman"/>
                <w:color w:val="auto"/>
              </w:rPr>
              <w:t>del regolamento (UE) n. 575/2013</w:t>
            </w:r>
            <w:r>
              <w:rPr>
                <w:rFonts w:ascii="Times New Roman" w:hAnsi="Times New Roman"/>
              </w:rPr>
              <w:t xml:space="preserve"> e operazioni con regolamento a lungo termine ai sensi dell</w:t>
            </w:r>
            <w:r w:rsidR="008B6CDC">
              <w:rPr>
                <w:rFonts w:ascii="Times New Roman" w:hAnsi="Times New Roman"/>
              </w:rPr>
              <w:t>'</w:t>
            </w:r>
            <w:r>
              <w:rPr>
                <w:rFonts w:ascii="Times New Roman" w:hAnsi="Times New Roman"/>
              </w:rPr>
              <w:t>articolo</w:t>
            </w:r>
            <w:r w:rsidR="00443BE8">
              <w:rPr>
                <w:rFonts w:ascii="Times New Roman" w:hAnsi="Times New Roman"/>
              </w:rPr>
              <w:t> </w:t>
            </w:r>
            <w:r>
              <w:rPr>
                <w:rFonts w:ascii="Times New Roman" w:hAnsi="Times New Roman"/>
              </w:rPr>
              <w:t xml:space="preserve">272, punto 2, </w:t>
            </w:r>
            <w:r>
              <w:rPr>
                <w:rFonts w:ascii="Times New Roman" w:hAnsi="Times New Roman"/>
                <w:color w:val="auto"/>
              </w:rPr>
              <w:t>del regolamento (UE) n. 575/2013</w:t>
            </w:r>
            <w:r>
              <w:rPr>
                <w:rFonts w:ascii="Times New Roman" w:hAnsi="Times New Roman"/>
              </w:rPr>
              <w:t>, per i quali gli enti sono stati autorizzati a</w:t>
            </w:r>
            <w:r w:rsidR="00443BE8">
              <w:rPr>
                <w:rFonts w:ascii="Times New Roman" w:hAnsi="Times New Roman"/>
              </w:rPr>
              <w:t> </w:t>
            </w:r>
            <w:r>
              <w:rPr>
                <w:rFonts w:ascii="Times New Roman" w:hAnsi="Times New Roman"/>
              </w:rPr>
              <w:t>determinare il valore dell</w:t>
            </w:r>
            <w:r w:rsidR="008B6CDC">
              <w:rPr>
                <w:rFonts w:ascii="Times New Roman" w:hAnsi="Times New Roman"/>
              </w:rPr>
              <w:t>'</w:t>
            </w:r>
            <w:r>
              <w:rPr>
                <w:rFonts w:ascii="Times New Roman" w:hAnsi="Times New Roman"/>
              </w:rPr>
              <w:t>esposizione utilizzando l</w:t>
            </w:r>
            <w:r w:rsidR="008B6CDC">
              <w:rPr>
                <w:rFonts w:ascii="Times New Roman" w:hAnsi="Times New Roman"/>
              </w:rPr>
              <w:t>'</w:t>
            </w:r>
            <w:r>
              <w:rPr>
                <w:rFonts w:ascii="Times New Roman" w:hAnsi="Times New Roman"/>
              </w:rPr>
              <w:t>IMM.</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lastRenderedPageBreak/>
              <w:t>EU-2c</w:t>
            </w:r>
          </w:p>
        </w:tc>
        <w:tc>
          <w:tcPr>
            <w:tcW w:w="7655" w:type="dxa"/>
          </w:tcPr>
          <w:p w14:paraId="1786D9AA" w14:textId="77777777" w:rsidR="00F43911" w:rsidRPr="00A03D37" w:rsidRDefault="00F43911" w:rsidP="00443BE8">
            <w:pPr>
              <w:pStyle w:val="Default"/>
              <w:spacing w:after="240"/>
              <w:rPr>
                <w:rFonts w:ascii="Times New Roman" w:hAnsi="Times New Roman" w:cs="Times New Roman"/>
                <w:b/>
              </w:rPr>
            </w:pPr>
            <w:r>
              <w:rPr>
                <w:rFonts w:ascii="Times New Roman" w:hAnsi="Times New Roman"/>
                <w:b/>
              </w:rPr>
              <w:t>Di cui da insiemi di attività soggette ad accordo di compensazione contrattuale tra prodotti differenti</w:t>
            </w:r>
          </w:p>
          <w:p w14:paraId="2B590CCD" w14:textId="6E8CC7E6"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Insiemi di attività soggette a compensazione contenenti operazioni di diverse categorie di prodotti (articolo 272, punto 11, </w:t>
            </w:r>
            <w:r>
              <w:rPr>
                <w:rFonts w:ascii="Times New Roman" w:hAnsi="Times New Roman"/>
                <w:color w:val="auto"/>
              </w:rPr>
              <w:t>del regolamento (UE) n. 575/2013</w:t>
            </w:r>
            <w:r>
              <w:rPr>
                <w:rFonts w:ascii="Times New Roman" w:hAnsi="Times New Roman"/>
              </w:rPr>
              <w:t>), ossia derivati e SFT, per i quali esiste un accordo di compensazione contrattuale tra prodotti differenti ai sensi dell</w:t>
            </w:r>
            <w:r w:rsidR="008B6CDC">
              <w:rPr>
                <w:rFonts w:ascii="Times New Roman" w:hAnsi="Times New Roman"/>
              </w:rPr>
              <w:t>'</w:t>
            </w:r>
            <w:r>
              <w:rPr>
                <w:rFonts w:ascii="Times New Roman" w:hAnsi="Times New Roman"/>
              </w:rPr>
              <w:t xml:space="preserve">articolo 272, punto 25, </w:t>
            </w:r>
            <w:r>
              <w:rPr>
                <w:rFonts w:ascii="Times New Roman" w:hAnsi="Times New Roman"/>
                <w:color w:val="auto"/>
              </w:rPr>
              <w:t>del regolamento (UE) n. 575/2013</w:t>
            </w:r>
            <w:r>
              <w:rPr>
                <w:rFonts w:ascii="Times New Roman" w:hAnsi="Times New Roman"/>
              </w:rPr>
              <w:t xml:space="preserve"> e per i quali gli enti sono stati autorizzati a determinare il valore dell</w:t>
            </w:r>
            <w:r w:rsidR="008B6CDC">
              <w:rPr>
                <w:rFonts w:ascii="Times New Roman" w:hAnsi="Times New Roman"/>
              </w:rPr>
              <w:t>'</w:t>
            </w:r>
            <w:r>
              <w:rPr>
                <w:rFonts w:ascii="Times New Roman" w:hAnsi="Times New Roman"/>
              </w:rPr>
              <w:t>esposizione utilizzando l</w:t>
            </w:r>
            <w:r w:rsidR="008B6CDC">
              <w:rPr>
                <w:rFonts w:ascii="Times New Roman" w:hAnsi="Times New Roman"/>
              </w:rPr>
              <w:t>'</w:t>
            </w:r>
            <w:r>
              <w:rPr>
                <w:rFonts w:ascii="Times New Roman" w:hAnsi="Times New Roman"/>
              </w:rPr>
              <w:t>IMM.</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Metodo semplificato per il trattamento delle garanzie reali finanziarie (per le SFT) e metodo integrale per il trattamento delle garanzie reali finanziarie (per le SFT)</w:t>
            </w:r>
          </w:p>
          <w:p w14:paraId="7FFBE4B5" w14:textId="2CDDFFF7"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Operazioni di vendita con patto di riacquisto, operazioni di concessione o assunzione di titoli o merci in prestito e operazioni di finanziamento con margini per le quali gli enti hanno deciso di determinare il valore dell</w:t>
            </w:r>
            <w:r w:rsidR="008B6CDC">
              <w:rPr>
                <w:rFonts w:ascii="Times New Roman" w:hAnsi="Times New Roman"/>
                <w:sz w:val="24"/>
              </w:rPr>
              <w:t>'</w:t>
            </w:r>
            <w:r>
              <w:rPr>
                <w:rFonts w:ascii="Times New Roman" w:hAnsi="Times New Roman"/>
                <w:sz w:val="24"/>
              </w:rPr>
              <w:t>esposizione ai sensi degli articoli 222 e 223 della parte tre, titolo II, capo 4, del regolamento (UE) n. 575/2013, anziché ai sensi dell</w:t>
            </w:r>
            <w:r w:rsidR="008B6CDC">
              <w:rPr>
                <w:rFonts w:ascii="Times New Roman" w:hAnsi="Times New Roman"/>
                <w:sz w:val="24"/>
              </w:rPr>
              <w:t>'</w:t>
            </w:r>
            <w:r>
              <w:rPr>
                <w:rFonts w:ascii="Times New Roman" w:hAnsi="Times New Roman"/>
                <w:sz w:val="24"/>
              </w:rPr>
              <w:t>articolo 271, paragrafo 2, della parte tre, titolo II, capo 6, di tale regolamento.</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VaR per le SFT</w:t>
            </w:r>
          </w:p>
          <w:p w14:paraId="2F37A77D" w14:textId="77119BA4"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Operazioni di vendita con patto di riacquisto, operazioni di concessione o assunzione di titoli o merci in prestito, operazioni di finanziamento con margini o altre operazioni correlate ai mercati finanziari diverse da operazioni in derivati per le quali (conformemente all</w:t>
            </w:r>
            <w:r w:rsidR="008B6CDC">
              <w:rPr>
                <w:rFonts w:ascii="Times New Roman" w:hAnsi="Times New Roman"/>
                <w:sz w:val="24"/>
              </w:rPr>
              <w:t>'</w:t>
            </w:r>
            <w:r>
              <w:rPr>
                <w:rFonts w:ascii="Times New Roman" w:hAnsi="Times New Roman"/>
                <w:sz w:val="24"/>
              </w:rPr>
              <w:t>articolo 221 del regolamento (UE) n. 575/2013) il valore dell</w:t>
            </w:r>
            <w:r w:rsidR="008B6CDC">
              <w:rPr>
                <w:rFonts w:ascii="Times New Roman" w:hAnsi="Times New Roman"/>
                <w:sz w:val="24"/>
              </w:rPr>
              <w:t>'</w:t>
            </w:r>
            <w:r>
              <w:rPr>
                <w:rFonts w:ascii="Times New Roman" w:hAnsi="Times New Roman"/>
                <w:sz w:val="24"/>
              </w:rPr>
              <w:t>esposizione è calcolato utilizzando un metodo basato su modelli interni (IMA) che tenga conto degli effetti di correlazione tra le posizioni in titoli soggette all</w:t>
            </w:r>
            <w:r w:rsidR="008B6CDC">
              <w:rPr>
                <w:rFonts w:ascii="Times New Roman" w:hAnsi="Times New Roman"/>
                <w:sz w:val="24"/>
              </w:rPr>
              <w:t>'</w:t>
            </w:r>
            <w:r>
              <w:rPr>
                <w:rFonts w:ascii="Times New Roman" w:hAnsi="Times New Roman"/>
                <w:sz w:val="24"/>
              </w:rPr>
              <w:t>accordo quadro di compensazione e della liquidità degli strumenti interessati.</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Totale</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Spiegazione</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6470C894"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Costo di sostituzione (RC) ed esposizione potenziale futura (PFE)</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RC e PFE sono calcolati:</w:t>
            </w:r>
          </w:p>
          <w:p w14:paraId="3D3887A9" w14:textId="4A86582A"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w:t>
            </w:r>
            <w:r w:rsidR="00443BE8">
              <w:rPr>
                <w:rFonts w:ascii="Times New Roman" w:hAnsi="Times New Roman"/>
                <w:sz w:val="24"/>
              </w:rPr>
              <w:t> </w:t>
            </w:r>
            <w:r>
              <w:rPr>
                <w:rFonts w:ascii="Times New Roman" w:hAnsi="Times New Roman"/>
                <w:sz w:val="24"/>
              </w:rPr>
              <w:t>conformemente all</w:t>
            </w:r>
            <w:r w:rsidR="008B6CDC">
              <w:rPr>
                <w:rFonts w:ascii="Times New Roman" w:hAnsi="Times New Roman"/>
                <w:sz w:val="24"/>
              </w:rPr>
              <w:t>'</w:t>
            </w:r>
            <w:r>
              <w:rPr>
                <w:rFonts w:ascii="Times New Roman" w:hAnsi="Times New Roman"/>
                <w:sz w:val="24"/>
              </w:rPr>
              <w:t>articolo</w:t>
            </w:r>
            <w:r w:rsidR="00443BE8">
              <w:rPr>
                <w:rFonts w:ascii="Times New Roman" w:hAnsi="Times New Roman"/>
                <w:sz w:val="24"/>
              </w:rPr>
              <w:t> </w:t>
            </w:r>
            <w:r>
              <w:rPr>
                <w:rFonts w:ascii="Times New Roman" w:hAnsi="Times New Roman"/>
                <w:sz w:val="24"/>
              </w:rPr>
              <w:t>282, paragrafi</w:t>
            </w:r>
            <w:r w:rsidR="00443BE8">
              <w:rPr>
                <w:rFonts w:ascii="Times New Roman" w:hAnsi="Times New Roman"/>
                <w:sz w:val="24"/>
              </w:rPr>
              <w:t xml:space="preserve"> </w:t>
            </w:r>
            <w:r>
              <w:rPr>
                <w:rFonts w:ascii="Times New Roman" w:hAnsi="Times New Roman"/>
                <w:sz w:val="24"/>
              </w:rPr>
              <w:t>3 e 4, della parte tre, titolo</w:t>
            </w:r>
            <w:r w:rsidR="00443BE8">
              <w:rPr>
                <w:rFonts w:ascii="Times New Roman" w:hAnsi="Times New Roman"/>
                <w:sz w:val="24"/>
              </w:rPr>
              <w:t> </w:t>
            </w:r>
            <w:r>
              <w:rPr>
                <w:rFonts w:ascii="Times New Roman" w:hAnsi="Times New Roman"/>
                <w:sz w:val="24"/>
              </w:rPr>
              <w:t>II, capo</w:t>
            </w:r>
            <w:r w:rsidR="00443BE8">
              <w:rPr>
                <w:rFonts w:ascii="Times New Roman" w:hAnsi="Times New Roman"/>
                <w:sz w:val="24"/>
              </w:rPr>
              <w:t> </w:t>
            </w:r>
            <w:r>
              <w:rPr>
                <w:rFonts w:ascii="Times New Roman" w:hAnsi="Times New Roman"/>
                <w:sz w:val="24"/>
              </w:rPr>
              <w:t>6, sezione</w:t>
            </w:r>
            <w:r w:rsidR="00443BE8">
              <w:rPr>
                <w:rFonts w:ascii="Times New Roman" w:hAnsi="Times New Roman"/>
                <w:sz w:val="24"/>
              </w:rPr>
              <w:t> </w:t>
            </w:r>
            <w:r>
              <w:rPr>
                <w:rFonts w:ascii="Times New Roman" w:hAnsi="Times New Roman"/>
                <w:sz w:val="24"/>
              </w:rPr>
              <w:t>5, del regolamento (UE) n. 575/2013 nel caso del metodo dell</w:t>
            </w:r>
            <w:r w:rsidR="008B6CDC">
              <w:rPr>
                <w:rFonts w:ascii="Times New Roman" w:hAnsi="Times New Roman"/>
                <w:sz w:val="24"/>
              </w:rPr>
              <w:t>'</w:t>
            </w:r>
            <w:r>
              <w:rPr>
                <w:rFonts w:ascii="Times New Roman" w:hAnsi="Times New Roman"/>
                <w:sz w:val="24"/>
              </w:rPr>
              <w:t>esposizione originaria (riga EU-1 di questo modello);</w:t>
            </w:r>
          </w:p>
          <w:p w14:paraId="3CB92BF2" w14:textId="261DD56A"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conformemente all</w:t>
            </w:r>
            <w:r w:rsidR="008B6CDC">
              <w:rPr>
                <w:rFonts w:ascii="Times New Roman" w:hAnsi="Times New Roman"/>
                <w:sz w:val="24"/>
              </w:rPr>
              <w:t>'</w:t>
            </w:r>
            <w:r>
              <w:rPr>
                <w:rFonts w:ascii="Times New Roman" w:hAnsi="Times New Roman"/>
                <w:sz w:val="24"/>
              </w:rPr>
              <w:t>articolo 281 della parte tre, titolo II, capo 6, sezione 5, del</w:t>
            </w:r>
            <w:r w:rsidR="00443BE8">
              <w:rPr>
                <w:rFonts w:ascii="Times New Roman" w:hAnsi="Times New Roman"/>
                <w:sz w:val="24"/>
              </w:rPr>
              <w:t> </w:t>
            </w:r>
            <w:r>
              <w:rPr>
                <w:rFonts w:ascii="Times New Roman" w:hAnsi="Times New Roman"/>
                <w:sz w:val="24"/>
              </w:rPr>
              <w:t>regolamento (UE) n. 575/2013 nel caso del metodo SA-CCR semplificato (riga EU-2 di questo modello);</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 conformemente agli articoli 275 e 278 della parte tre, titolo II, capo 6, sezioni 4 e 5, del regolamento (UE) n. 575/2013 nel caso del metodo SA-CCR (riga 1 di questo modello).</w:t>
            </w:r>
          </w:p>
          <w:p w14:paraId="3D6E29EA" w14:textId="77777777" w:rsidR="00F43911" w:rsidRPr="007F4CC8" w:rsidRDefault="00F43911" w:rsidP="004F3087">
            <w:pPr>
              <w:spacing w:after="240"/>
            </w:pPr>
            <w:r>
              <w:rPr>
                <w:rFonts w:ascii="Times New Roman" w:hAnsi="Times New Roman"/>
                <w:sz w:val="24"/>
              </w:rPr>
              <w:t>Gli enti indicano la somma dei costi di sostituzione per tutti gli insiemi di attività soggette a compensazione nelle righe corrispondenti.</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Esposizione attesa positiva effettiva (EPE effettiva)</w:t>
            </w:r>
          </w:p>
          <w:p w14:paraId="457B2CC6" w14:textId="5F55D769"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L</w:t>
            </w:r>
            <w:r w:rsidR="008B6CDC">
              <w:rPr>
                <w:rFonts w:ascii="Times New Roman" w:hAnsi="Times New Roman"/>
              </w:rPr>
              <w:t>'</w:t>
            </w:r>
            <w:r>
              <w:rPr>
                <w:rFonts w:ascii="Times New Roman" w:hAnsi="Times New Roman"/>
              </w:rPr>
              <w:t>EPE effettiva per insieme di attività soggette a compensazione è definita all</w:t>
            </w:r>
            <w:r w:rsidR="008B6CDC">
              <w:rPr>
                <w:rFonts w:ascii="Times New Roman" w:hAnsi="Times New Roman"/>
              </w:rPr>
              <w:t>'</w:t>
            </w:r>
            <w:r>
              <w:rPr>
                <w:rFonts w:ascii="Times New Roman" w:hAnsi="Times New Roman"/>
              </w:rPr>
              <w:t xml:space="preserve">articolo 272, punto 22, </w:t>
            </w:r>
            <w:r>
              <w:rPr>
                <w:rFonts w:ascii="Times New Roman" w:hAnsi="Times New Roman"/>
                <w:color w:val="auto"/>
              </w:rPr>
              <w:t>del regolamento (UE) n. 575/2013</w:t>
            </w:r>
            <w:r>
              <w:rPr>
                <w:rFonts w:ascii="Times New Roman" w:hAnsi="Times New Roman"/>
              </w:rPr>
              <w:t xml:space="preserve"> ed è calcolata conformemente all</w:t>
            </w:r>
            <w:r w:rsidR="008B6CDC">
              <w:rPr>
                <w:rFonts w:ascii="Times New Roman" w:hAnsi="Times New Roman"/>
              </w:rPr>
              <w:t>'</w:t>
            </w:r>
            <w:r>
              <w:rPr>
                <w:rFonts w:ascii="Times New Roman" w:hAnsi="Times New Roman"/>
              </w:rPr>
              <w:t xml:space="preserve">articolo 284, paragrafo 6, </w:t>
            </w:r>
            <w:r>
              <w:rPr>
                <w:rFonts w:ascii="Times New Roman" w:hAnsi="Times New Roman"/>
                <w:color w:val="auto"/>
              </w:rPr>
              <w:t>di tale regolamento</w:t>
            </w:r>
            <w:r>
              <w:rPr>
                <w:rFonts w:ascii="Times New Roman" w:hAnsi="Times New Roman"/>
              </w:rPr>
              <w:t>.</w:t>
            </w:r>
          </w:p>
          <w:p w14:paraId="217186F1" w14:textId="15FD5E1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L</w:t>
            </w:r>
            <w:r w:rsidR="008B6CDC">
              <w:rPr>
                <w:rFonts w:ascii="Times New Roman" w:hAnsi="Times New Roman"/>
              </w:rPr>
              <w:t>'</w:t>
            </w:r>
            <w:r>
              <w:rPr>
                <w:rFonts w:ascii="Times New Roman" w:hAnsi="Times New Roman"/>
              </w:rPr>
              <w:t>EPE effettiva da indicare qui è quella applicata per la determinazione dei</w:t>
            </w:r>
            <w:r w:rsidR="00443BE8">
              <w:rPr>
                <w:rFonts w:ascii="Times New Roman" w:hAnsi="Times New Roman"/>
              </w:rPr>
              <w:t> </w:t>
            </w:r>
            <w:r>
              <w:rPr>
                <w:rFonts w:ascii="Times New Roman" w:hAnsi="Times New Roman"/>
              </w:rPr>
              <w:t>requisiti di fondi propri conformemente all</w:t>
            </w:r>
            <w:r w:rsidR="008B6CDC">
              <w:rPr>
                <w:rFonts w:ascii="Times New Roman" w:hAnsi="Times New Roman"/>
              </w:rPr>
              <w:t>'</w:t>
            </w:r>
            <w:r>
              <w:rPr>
                <w:rFonts w:ascii="Times New Roman" w:hAnsi="Times New Roman"/>
              </w:rPr>
              <w:t xml:space="preserve">articolo 284, paragrafo 3, </w:t>
            </w:r>
            <w:r>
              <w:rPr>
                <w:rFonts w:ascii="Times New Roman" w:hAnsi="Times New Roman"/>
                <w:color w:val="auto"/>
              </w:rPr>
              <w:t>del regolamento (UE) n. 575/2013</w:t>
            </w:r>
            <w:r>
              <w:rPr>
                <w:rFonts w:ascii="Times New Roman" w:hAnsi="Times New Roman"/>
              </w:rPr>
              <w:t>, ossia l</w:t>
            </w:r>
            <w:r w:rsidR="008B6CDC">
              <w:rPr>
                <w:rFonts w:ascii="Times New Roman" w:hAnsi="Times New Roman"/>
              </w:rPr>
              <w:t>'</w:t>
            </w:r>
            <w:r>
              <w:rPr>
                <w:rFonts w:ascii="Times New Roman" w:hAnsi="Times New Roman"/>
              </w:rPr>
              <w:t>EPE effettiva calcolata utilizzando i dati di mercato correnti o l</w:t>
            </w:r>
            <w:r w:rsidR="008B6CDC">
              <w:rPr>
                <w:rFonts w:ascii="Times New Roman" w:hAnsi="Times New Roman"/>
              </w:rPr>
              <w:t>'</w:t>
            </w:r>
            <w:r>
              <w:rPr>
                <w:rFonts w:ascii="Times New Roman" w:hAnsi="Times New Roman"/>
              </w:rPr>
              <w:t>EPE effettiva calcolata utilizzando una calibrazione di stress, a seconda di quale determini un requisito di fondi propri più elevato.</w:t>
            </w:r>
          </w:p>
          <w:p w14:paraId="1B528B51" w14:textId="340E85CC"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Gli enti specificano nella descrizione che accompagna questo modello quale EPE effettiva è stata inserita.</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6EA795EC" w:rsidR="00F43911" w:rsidRPr="005F3D92" w:rsidRDefault="00F43911" w:rsidP="00443BE8">
            <w:pPr>
              <w:pStyle w:val="Default"/>
              <w:spacing w:after="240"/>
              <w:rPr>
                <w:rFonts w:ascii="Times New Roman" w:hAnsi="Times New Roman" w:cs="Times New Roman"/>
                <w:b/>
              </w:rPr>
            </w:pPr>
            <w:r>
              <w:rPr>
                <w:rFonts w:ascii="Times New Roman" w:hAnsi="Times New Roman"/>
                <w:b/>
              </w:rPr>
              <w:t>Alfa utilizzata per il calcolo del valore dell</w:t>
            </w:r>
            <w:r w:rsidR="008B6CDC">
              <w:rPr>
                <w:rFonts w:ascii="Times New Roman" w:hAnsi="Times New Roman"/>
                <w:b/>
              </w:rPr>
              <w:t>'</w:t>
            </w:r>
            <w:r>
              <w:rPr>
                <w:rFonts w:ascii="Times New Roman" w:hAnsi="Times New Roman"/>
                <w:b/>
              </w:rPr>
              <w:t>esposizione a fini regolamentari</w:t>
            </w:r>
          </w:p>
          <w:p w14:paraId="6B33CCED" w14:textId="274C1A0F"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Il valore di α è fissato a 1,4 nelle righe EU-1, EU-2 e 1 di questo modello conformemente all</w:t>
            </w:r>
            <w:r w:rsidR="008B6CDC">
              <w:rPr>
                <w:rFonts w:ascii="Times New Roman" w:hAnsi="Times New Roman"/>
              </w:rPr>
              <w:t>'</w:t>
            </w:r>
            <w:r>
              <w:rPr>
                <w:rFonts w:ascii="Times New Roman" w:hAnsi="Times New Roman"/>
              </w:rPr>
              <w:t>articolo 282, paragrafo 2, all</w:t>
            </w:r>
            <w:r w:rsidR="008B6CDC">
              <w:rPr>
                <w:rFonts w:ascii="Times New Roman" w:hAnsi="Times New Roman"/>
              </w:rPr>
              <w:t>'</w:t>
            </w:r>
            <w:r>
              <w:rPr>
                <w:rFonts w:ascii="Times New Roman" w:hAnsi="Times New Roman"/>
              </w:rPr>
              <w:t>articolo 281, paragrafo 1, e all</w:t>
            </w:r>
            <w:r w:rsidR="008B6CDC">
              <w:rPr>
                <w:rFonts w:ascii="Times New Roman" w:hAnsi="Times New Roman"/>
              </w:rPr>
              <w:t>'</w:t>
            </w:r>
            <w:r>
              <w:rPr>
                <w:rFonts w:ascii="Times New Roman" w:hAnsi="Times New Roman"/>
              </w:rPr>
              <w:t xml:space="preserve">articolo 274, paragrafo 2, </w:t>
            </w:r>
            <w:r>
              <w:rPr>
                <w:rFonts w:ascii="Times New Roman" w:hAnsi="Times New Roman"/>
                <w:color w:val="auto"/>
              </w:rPr>
              <w:t>del regolamento (UE) n. 575/2013</w:t>
            </w:r>
            <w:r>
              <w:rPr>
                <w:rFonts w:ascii="Times New Roman" w:hAnsi="Times New Roman"/>
              </w:rPr>
              <w:t>.</w:t>
            </w:r>
          </w:p>
          <w:p w14:paraId="3D498F38" w14:textId="195BA7D2"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Ai fini del metodo dei modelli interni, α può essere il valore predefinito pari a</w:t>
            </w:r>
            <w:r w:rsidR="00443BE8">
              <w:rPr>
                <w:rFonts w:ascii="Times New Roman" w:hAnsi="Times New Roman"/>
              </w:rPr>
              <w:t> </w:t>
            </w:r>
            <w:r>
              <w:rPr>
                <w:rFonts w:ascii="Times New Roman" w:hAnsi="Times New Roman"/>
              </w:rPr>
              <w:t>1,4 o un altro valore se le autorità competenti ne richiedono uno superiore conformemente all</w:t>
            </w:r>
            <w:r w:rsidR="008B6CDC">
              <w:rPr>
                <w:rFonts w:ascii="Times New Roman" w:hAnsi="Times New Roman"/>
              </w:rPr>
              <w:t>'</w:t>
            </w:r>
            <w:r>
              <w:rPr>
                <w:rFonts w:ascii="Times New Roman" w:hAnsi="Times New Roman"/>
              </w:rPr>
              <w:t>articolo</w:t>
            </w:r>
            <w:r w:rsidR="00443BE8">
              <w:rPr>
                <w:rFonts w:ascii="Times New Roman" w:hAnsi="Times New Roman"/>
              </w:rPr>
              <w:t> </w:t>
            </w:r>
            <w:r>
              <w:rPr>
                <w:rFonts w:ascii="Times New Roman" w:hAnsi="Times New Roman"/>
              </w:rPr>
              <w:t>284, paragrafo</w:t>
            </w:r>
            <w:r w:rsidR="00443BE8">
              <w:rPr>
                <w:rFonts w:ascii="Times New Roman" w:hAnsi="Times New Roman"/>
              </w:rPr>
              <w:t> </w:t>
            </w:r>
            <w:r>
              <w:rPr>
                <w:rFonts w:ascii="Times New Roman" w:hAnsi="Times New Roman"/>
              </w:rPr>
              <w:t xml:space="preserve">4, </w:t>
            </w:r>
            <w:r>
              <w:rPr>
                <w:rFonts w:ascii="Times New Roman" w:hAnsi="Times New Roman"/>
                <w:color w:val="auto"/>
              </w:rPr>
              <w:t>del regolamento (UE) n. 575/2013</w:t>
            </w:r>
            <w:r>
              <w:rPr>
                <w:rFonts w:ascii="Times New Roman" w:hAnsi="Times New Roman"/>
              </w:rPr>
              <w:t xml:space="preserve"> o autorizzano gli enti a utilizzare le proprie stime interne conformemente all</w:t>
            </w:r>
            <w:r w:rsidR="008B6CDC">
              <w:rPr>
                <w:rFonts w:ascii="Times New Roman" w:hAnsi="Times New Roman"/>
              </w:rPr>
              <w:t>'</w:t>
            </w:r>
            <w:r>
              <w:rPr>
                <w:rFonts w:ascii="Times New Roman" w:hAnsi="Times New Roman"/>
              </w:rPr>
              <w:t xml:space="preserve">articolo 284, paragrafo 9, della parte tre, titolo II, capo 6, sezione 6, </w:t>
            </w:r>
            <w:r>
              <w:rPr>
                <w:rFonts w:ascii="Times New Roman" w:hAnsi="Times New Roman"/>
                <w:color w:val="auto"/>
              </w:rPr>
              <w:t>di tale regolamento</w:t>
            </w:r>
            <w:r>
              <w:rPr>
                <w:rFonts w:ascii="Times New Roman" w:hAnsi="Times New Roman"/>
              </w:rPr>
              <w:t>.</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36E24BA"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Valore dell</w:t>
            </w:r>
            <w:r w:rsidR="008B6CDC">
              <w:rPr>
                <w:rFonts w:ascii="Times New Roman" w:hAnsi="Times New Roman"/>
                <w:b/>
                <w:sz w:val="24"/>
              </w:rPr>
              <w:t>'</w:t>
            </w:r>
            <w:r>
              <w:rPr>
                <w:rFonts w:ascii="Times New Roman" w:hAnsi="Times New Roman"/>
                <w:b/>
                <w:sz w:val="24"/>
              </w:rPr>
              <w:t>esposizione pre-CRM</w:t>
            </w:r>
          </w:p>
          <w:p w14:paraId="4D1BA8A2" w14:textId="54DB091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Il valore dell</w:t>
            </w:r>
            <w:r w:rsidR="008B6CDC">
              <w:rPr>
                <w:rFonts w:ascii="Times New Roman" w:hAnsi="Times New Roman"/>
                <w:sz w:val="24"/>
              </w:rPr>
              <w:t>'</w:t>
            </w:r>
            <w:r>
              <w:rPr>
                <w:rFonts w:ascii="Times New Roman" w:hAnsi="Times New Roman"/>
                <w:sz w:val="24"/>
              </w:rPr>
              <w:t>esposizione pre-CRM per le attività soggette al CCR è calcolato conformemente ai metodi di cui alla parte tre, titolo</w:t>
            </w:r>
            <w:r w:rsidR="00443BE8">
              <w:rPr>
                <w:rFonts w:ascii="Times New Roman" w:hAnsi="Times New Roman"/>
                <w:sz w:val="24"/>
              </w:rPr>
              <w:t> </w:t>
            </w:r>
            <w:r>
              <w:rPr>
                <w:rFonts w:ascii="Times New Roman" w:hAnsi="Times New Roman"/>
                <w:sz w:val="24"/>
              </w:rPr>
              <w:t>II, capi 4 e 6, del</w:t>
            </w:r>
            <w:r w:rsidR="00443BE8">
              <w:rPr>
                <w:rFonts w:ascii="Times New Roman" w:hAnsi="Times New Roman"/>
                <w:sz w:val="24"/>
              </w:rPr>
              <w:t> </w:t>
            </w:r>
            <w:r>
              <w:rPr>
                <w:rFonts w:ascii="Times New Roman" w:hAnsi="Times New Roman"/>
                <w:sz w:val="24"/>
              </w:rPr>
              <w:t>regolamento (UE) n. 575/2013, tenendo conto dell</w:t>
            </w:r>
            <w:r w:rsidR="008B6CDC">
              <w:rPr>
                <w:rFonts w:ascii="Times New Roman" w:hAnsi="Times New Roman"/>
                <w:sz w:val="24"/>
              </w:rPr>
              <w:t>'</w:t>
            </w:r>
            <w:r>
              <w:rPr>
                <w:rFonts w:ascii="Times New Roman" w:hAnsi="Times New Roman"/>
                <w:sz w:val="24"/>
              </w:rPr>
              <w:t>effetto della compensazione, ma senza tener conto di eventuali altre tecniche di attenuazione del rischio di credito (ad esempio garanzie fornite come margine).</w:t>
            </w:r>
          </w:p>
          <w:p w14:paraId="392128FE" w14:textId="05B3C232"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Nel caso delle SFT, la componente in titoli non è presa in considerazione nella determinazione del valore dell</w:t>
            </w:r>
            <w:r w:rsidR="008B6CDC">
              <w:rPr>
                <w:rFonts w:ascii="Times New Roman" w:hAnsi="Times New Roman"/>
                <w:sz w:val="24"/>
              </w:rPr>
              <w:t>'</w:t>
            </w:r>
            <w:r>
              <w:rPr>
                <w:rFonts w:ascii="Times New Roman" w:hAnsi="Times New Roman"/>
                <w:sz w:val="24"/>
              </w:rPr>
              <w:t>esposizione pre-CRM in caso di ricevimento di</w:t>
            </w:r>
            <w:r w:rsidR="00443BE8">
              <w:rPr>
                <w:rFonts w:ascii="Times New Roman" w:hAnsi="Times New Roman"/>
                <w:sz w:val="24"/>
              </w:rPr>
              <w:t> </w:t>
            </w:r>
            <w:r>
              <w:rPr>
                <w:rFonts w:ascii="Times New Roman" w:hAnsi="Times New Roman"/>
                <w:sz w:val="24"/>
              </w:rPr>
              <w:t>una garanzia reale e pertanto non diminuisce il valore dell</w:t>
            </w:r>
            <w:r w:rsidR="008B6CDC">
              <w:rPr>
                <w:rFonts w:ascii="Times New Roman" w:hAnsi="Times New Roman"/>
                <w:sz w:val="24"/>
              </w:rPr>
              <w:t>'</w:t>
            </w:r>
            <w:r>
              <w:rPr>
                <w:rFonts w:ascii="Times New Roman" w:hAnsi="Times New Roman"/>
                <w:sz w:val="24"/>
              </w:rPr>
              <w:t>esposizione. Al</w:t>
            </w:r>
            <w:r w:rsidR="00443BE8">
              <w:rPr>
                <w:rFonts w:ascii="Times New Roman" w:hAnsi="Times New Roman"/>
                <w:sz w:val="24"/>
              </w:rPr>
              <w:t> </w:t>
            </w:r>
            <w:r>
              <w:rPr>
                <w:rFonts w:ascii="Times New Roman" w:hAnsi="Times New Roman"/>
                <w:sz w:val="24"/>
              </w:rPr>
              <w:t xml:space="preserve">contrario la componente in titoli delle SFT è presa in considerazione nella </w:t>
            </w:r>
            <w:r>
              <w:rPr>
                <w:rFonts w:ascii="Times New Roman" w:hAnsi="Times New Roman"/>
                <w:sz w:val="24"/>
              </w:rPr>
              <w:lastRenderedPageBreak/>
              <w:t>determinazione del valore dell</w:t>
            </w:r>
            <w:r w:rsidR="008B6CDC">
              <w:rPr>
                <w:rFonts w:ascii="Times New Roman" w:hAnsi="Times New Roman"/>
                <w:sz w:val="24"/>
              </w:rPr>
              <w:t>'</w:t>
            </w:r>
            <w:r>
              <w:rPr>
                <w:rFonts w:ascii="Times New Roman" w:hAnsi="Times New Roman"/>
                <w:sz w:val="24"/>
              </w:rPr>
              <w:t>esposizione pre-CRM in modo regolare in caso di fornitura di una garanzia reale.</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Inoltre le operazioni assistite da garanzia reale sono trattate come non garantite, ossia non si applicano effetti di marginazione.</w:t>
            </w:r>
          </w:p>
          <w:p w14:paraId="3610D469" w14:textId="6024187B"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Nel caso delle operazioni per le quali è stato individuato uno specifico rischio</w:t>
            </w:r>
            <w:r w:rsidR="00443BE8">
              <w:rPr>
                <w:rFonts w:ascii="Times New Roman" w:hAnsi="Times New Roman"/>
                <w:sz w:val="24"/>
              </w:rPr>
              <w:t> </w:t>
            </w:r>
            <w:r>
              <w:rPr>
                <w:rFonts w:ascii="Times New Roman" w:hAnsi="Times New Roman"/>
                <w:sz w:val="24"/>
              </w:rPr>
              <w:t>di correlazione sfavorevole, il valore dell</w:t>
            </w:r>
            <w:r w:rsidR="008B6CDC">
              <w:rPr>
                <w:rFonts w:ascii="Times New Roman" w:hAnsi="Times New Roman"/>
                <w:sz w:val="24"/>
              </w:rPr>
              <w:t>'</w:t>
            </w:r>
            <w:r>
              <w:rPr>
                <w:rFonts w:ascii="Times New Roman" w:hAnsi="Times New Roman"/>
                <w:sz w:val="24"/>
              </w:rPr>
              <w:t>esposizione pre-CRM deve essere determinato conformemente all</w:t>
            </w:r>
            <w:r w:rsidR="008B6CDC">
              <w:rPr>
                <w:rFonts w:ascii="Times New Roman" w:hAnsi="Times New Roman"/>
                <w:sz w:val="24"/>
              </w:rPr>
              <w:t>'</w:t>
            </w:r>
            <w:r>
              <w:rPr>
                <w:rFonts w:ascii="Times New Roman" w:hAnsi="Times New Roman"/>
                <w:sz w:val="24"/>
              </w:rPr>
              <w:t>articolo 291 del regolamento (UE) n. 575/2013.</w:t>
            </w:r>
          </w:p>
          <w:p w14:paraId="3EB18FDE" w14:textId="7CBB724A"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Il valore dell</w:t>
            </w:r>
            <w:r w:rsidR="008B6CDC">
              <w:rPr>
                <w:rFonts w:ascii="Times New Roman" w:hAnsi="Times New Roman"/>
                <w:sz w:val="24"/>
              </w:rPr>
              <w:t>'</w:t>
            </w:r>
            <w:r>
              <w:rPr>
                <w:rFonts w:ascii="Times New Roman" w:hAnsi="Times New Roman"/>
                <w:sz w:val="24"/>
              </w:rPr>
              <w:t>esposizione pre-CRM non tiene conto della deduzione della perdita per CVA sostenuta conformemente all</w:t>
            </w:r>
            <w:r w:rsidR="008B6CDC">
              <w:rPr>
                <w:rFonts w:ascii="Times New Roman" w:hAnsi="Times New Roman"/>
                <w:sz w:val="24"/>
              </w:rPr>
              <w:t>'</w:t>
            </w:r>
            <w:r>
              <w:rPr>
                <w:rFonts w:ascii="Times New Roman" w:hAnsi="Times New Roman"/>
                <w:sz w:val="24"/>
              </w:rPr>
              <w:t>articolo 273, paragrafo 6, del regolamento (UE) n. 575/2013.</w:t>
            </w:r>
          </w:p>
          <w:p w14:paraId="3CE91BAE" w14:textId="66CA7827" w:rsidR="00F43911" w:rsidRPr="007F4CC8" w:rsidRDefault="00F43911" w:rsidP="004F3087">
            <w:pPr>
              <w:spacing w:after="240"/>
              <w:rPr>
                <w:rFonts w:ascii="Times New Roman" w:hAnsi="Times New Roman" w:cs="Times New Roman"/>
                <w:sz w:val="24"/>
              </w:rPr>
            </w:pPr>
            <w:r>
              <w:rPr>
                <w:rFonts w:ascii="Times New Roman" w:hAnsi="Times New Roman"/>
                <w:sz w:val="24"/>
              </w:rPr>
              <w:t>L</w:t>
            </w:r>
            <w:r w:rsidR="008B6CDC">
              <w:rPr>
                <w:rFonts w:ascii="Times New Roman" w:hAnsi="Times New Roman"/>
                <w:sz w:val="24"/>
              </w:rPr>
              <w:t>'</w:t>
            </w:r>
            <w:r>
              <w:rPr>
                <w:rFonts w:ascii="Times New Roman" w:hAnsi="Times New Roman"/>
                <w:sz w:val="24"/>
              </w:rPr>
              <w:t>ente indica la somma di tutti i valori delle esposizioni pre-CRM nella rispettiva riga.</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6EF39EF9"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Valore dell</w:t>
            </w:r>
            <w:r w:rsidR="008B6CDC">
              <w:rPr>
                <w:rFonts w:ascii="Times New Roman" w:hAnsi="Times New Roman"/>
                <w:b/>
                <w:sz w:val="24"/>
              </w:rPr>
              <w:t>'</w:t>
            </w:r>
            <w:r>
              <w:rPr>
                <w:rFonts w:ascii="Times New Roman" w:hAnsi="Times New Roman"/>
                <w:b/>
                <w:sz w:val="24"/>
              </w:rPr>
              <w:t>esposizione (post-CRM)</w:t>
            </w:r>
          </w:p>
          <w:p w14:paraId="4C374AEE" w14:textId="4E1DBB68"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Il valore dell</w:t>
            </w:r>
            <w:r w:rsidR="008B6CDC">
              <w:rPr>
                <w:rFonts w:ascii="Times New Roman" w:hAnsi="Times New Roman"/>
                <w:sz w:val="24"/>
              </w:rPr>
              <w:t>'</w:t>
            </w:r>
            <w:r>
              <w:rPr>
                <w:rFonts w:ascii="Times New Roman" w:hAnsi="Times New Roman"/>
                <w:sz w:val="24"/>
              </w:rPr>
              <w:t>esposizione post-CRM per le attività soggette al CCR è calcolato conformemente ai metodi di cui alla parte tre, titolo II, capi 4 e 6, del regolamento (UE) n. 575/2013, avendo applicato tecniche di CRM a norma della parte tre, titolo II, capi 4 e 6, del medesimo regolamento.</w:t>
            </w:r>
          </w:p>
          <w:p w14:paraId="00427D02" w14:textId="136ADAB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Nel caso delle operazioni per le quali è stato individuato uno specifico rischio di correlazione sfavorevole, il valore dell</w:t>
            </w:r>
            <w:r w:rsidR="008B6CDC">
              <w:rPr>
                <w:rFonts w:ascii="Times New Roman" w:hAnsi="Times New Roman"/>
                <w:sz w:val="24"/>
              </w:rPr>
              <w:t>'</w:t>
            </w:r>
            <w:r>
              <w:rPr>
                <w:rFonts w:ascii="Times New Roman" w:hAnsi="Times New Roman"/>
                <w:sz w:val="24"/>
              </w:rPr>
              <w:t>esposizione deve essere determinato conformemente all</w:t>
            </w:r>
            <w:r w:rsidR="008B6CDC">
              <w:rPr>
                <w:rFonts w:ascii="Times New Roman" w:hAnsi="Times New Roman"/>
                <w:sz w:val="24"/>
              </w:rPr>
              <w:t>'</w:t>
            </w:r>
            <w:r>
              <w:rPr>
                <w:rFonts w:ascii="Times New Roman" w:hAnsi="Times New Roman"/>
                <w:sz w:val="24"/>
              </w:rPr>
              <w:t>articolo 291 del regolamento (UE) n. 575/2013.</w:t>
            </w:r>
          </w:p>
          <w:p w14:paraId="11C26276" w14:textId="54A0B5BB"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Conformemente all</w:t>
            </w:r>
            <w:r w:rsidR="008B6CDC">
              <w:rPr>
                <w:rFonts w:ascii="Times New Roman" w:hAnsi="Times New Roman"/>
                <w:sz w:val="24"/>
              </w:rPr>
              <w:t>'</w:t>
            </w:r>
            <w:r>
              <w:rPr>
                <w:rFonts w:ascii="Times New Roman" w:hAnsi="Times New Roman"/>
                <w:sz w:val="24"/>
              </w:rPr>
              <w:t>articolo 273, paragrafo 6, del regolamento (UE) n. 575/2013, la perdita per CVA sostenuta non è dedotta dal valore dell</w:t>
            </w:r>
            <w:r w:rsidR="008B6CDC">
              <w:rPr>
                <w:rFonts w:ascii="Times New Roman" w:hAnsi="Times New Roman"/>
                <w:sz w:val="24"/>
              </w:rPr>
              <w:t>'</w:t>
            </w:r>
            <w:r>
              <w:rPr>
                <w:rFonts w:ascii="Times New Roman" w:hAnsi="Times New Roman"/>
                <w:sz w:val="24"/>
              </w:rPr>
              <w:t>esposizione post-CRM.</w:t>
            </w:r>
          </w:p>
          <w:p w14:paraId="69480D33" w14:textId="31170D9F" w:rsidR="00F43911" w:rsidRPr="007F4CC8" w:rsidRDefault="00F43911" w:rsidP="00443BE8">
            <w:pPr>
              <w:spacing w:after="240"/>
              <w:jc w:val="both"/>
              <w:rPr>
                <w:rFonts w:ascii="Times New Roman" w:hAnsi="Times New Roman" w:cs="Times New Roman"/>
                <w:sz w:val="24"/>
              </w:rPr>
            </w:pPr>
            <w:r>
              <w:rPr>
                <w:rFonts w:ascii="Times New Roman" w:hAnsi="Times New Roman"/>
                <w:sz w:val="24"/>
              </w:rPr>
              <w:t>L</w:t>
            </w:r>
            <w:r w:rsidR="008B6CDC">
              <w:rPr>
                <w:rFonts w:ascii="Times New Roman" w:hAnsi="Times New Roman"/>
                <w:sz w:val="24"/>
              </w:rPr>
              <w:t>'</w:t>
            </w:r>
            <w:r>
              <w:rPr>
                <w:rFonts w:ascii="Times New Roman" w:hAnsi="Times New Roman"/>
                <w:sz w:val="24"/>
              </w:rPr>
              <w:t>ente indica la somma di tutti i valori delle esposizioni post-CRM nella rispettiva riga.</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2C9D4AB2"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Valore dell</w:t>
            </w:r>
            <w:r w:rsidR="008B6CDC">
              <w:rPr>
                <w:rFonts w:ascii="Times New Roman" w:hAnsi="Times New Roman"/>
                <w:b/>
                <w:sz w:val="24"/>
              </w:rPr>
              <w:t>'</w:t>
            </w:r>
            <w:r>
              <w:rPr>
                <w:rFonts w:ascii="Times New Roman" w:hAnsi="Times New Roman"/>
                <w:b/>
                <w:sz w:val="24"/>
              </w:rPr>
              <w:t>esposizione</w:t>
            </w:r>
          </w:p>
          <w:p w14:paraId="48F8B1EB" w14:textId="25763842"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Valore dell</w:t>
            </w:r>
            <w:r w:rsidR="008B6CDC">
              <w:rPr>
                <w:rFonts w:ascii="Times New Roman" w:hAnsi="Times New Roman"/>
                <w:sz w:val="24"/>
              </w:rPr>
              <w:t>'</w:t>
            </w:r>
            <w:r>
              <w:rPr>
                <w:rFonts w:ascii="Times New Roman" w:hAnsi="Times New Roman"/>
                <w:sz w:val="24"/>
              </w:rPr>
              <w:t>esposizione per le attività soggette al CCR calcolato conformemente ai metodi di cui alla parte tre, titolo</w:t>
            </w:r>
            <w:r w:rsidR="00443BE8">
              <w:rPr>
                <w:rFonts w:ascii="Times New Roman" w:hAnsi="Times New Roman"/>
                <w:sz w:val="24"/>
              </w:rPr>
              <w:t> </w:t>
            </w:r>
            <w:r>
              <w:rPr>
                <w:rFonts w:ascii="Times New Roman" w:hAnsi="Times New Roman"/>
                <w:sz w:val="24"/>
              </w:rPr>
              <w:t>II, capi 4 e 6, del regolamento (UE) n. 575/2013, che è l</w:t>
            </w:r>
            <w:r w:rsidR="008B6CDC">
              <w:rPr>
                <w:rFonts w:ascii="Times New Roman" w:hAnsi="Times New Roman"/>
                <w:sz w:val="24"/>
              </w:rPr>
              <w:t>'</w:t>
            </w:r>
            <w:r>
              <w:rPr>
                <w:rFonts w:ascii="Times New Roman" w:hAnsi="Times New Roman"/>
                <w:sz w:val="24"/>
              </w:rPr>
              <w:t>importo pertinente ai fini del calcolo dei requisiti di fondi propri, vale a dire avendo applicato tecniche di attenuazione del rischio di credito conformemente alla parte tre, titolo II, capi 4 e 6, del suddetto regolamento e considerando la deduzione della perdita per CVA sostenuta di cui all</w:t>
            </w:r>
            <w:r w:rsidR="008B6CDC">
              <w:rPr>
                <w:rFonts w:ascii="Times New Roman" w:hAnsi="Times New Roman"/>
                <w:sz w:val="24"/>
              </w:rPr>
              <w:t>'</w:t>
            </w:r>
            <w:r>
              <w:rPr>
                <w:rFonts w:ascii="Times New Roman" w:hAnsi="Times New Roman"/>
                <w:sz w:val="24"/>
              </w:rPr>
              <w:t>articolo 273, paragrafo 6, del medesimo regolamento.</w:t>
            </w:r>
          </w:p>
          <w:p w14:paraId="07CE657B" w14:textId="24B04D4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Il valore dell</w:t>
            </w:r>
            <w:r w:rsidR="008B6CDC">
              <w:rPr>
                <w:rFonts w:ascii="Times New Roman" w:hAnsi="Times New Roman"/>
                <w:sz w:val="24"/>
              </w:rPr>
              <w:t>'</w:t>
            </w:r>
            <w:r>
              <w:rPr>
                <w:rFonts w:ascii="Times New Roman" w:hAnsi="Times New Roman"/>
                <w:sz w:val="24"/>
              </w:rPr>
              <w:t>esposizione per le operazioni per le quali è stato individuato uno specifico rischio di correlazione sfavorevole deve essere determinato conformemente all</w:t>
            </w:r>
            <w:r w:rsidR="008B6CDC">
              <w:rPr>
                <w:rFonts w:ascii="Times New Roman" w:hAnsi="Times New Roman"/>
                <w:sz w:val="24"/>
              </w:rPr>
              <w:t>'</w:t>
            </w:r>
            <w:r>
              <w:rPr>
                <w:rFonts w:ascii="Times New Roman" w:hAnsi="Times New Roman"/>
                <w:sz w:val="24"/>
              </w:rPr>
              <w:t>articolo 291 del regolamento (UE) n. 575/2013.</w:t>
            </w:r>
          </w:p>
          <w:p w14:paraId="1417E2BF" w14:textId="5C4B239D" w:rsidR="00F43911" w:rsidRPr="007F4CC8" w:rsidRDefault="00F43911" w:rsidP="00443BE8">
            <w:pPr>
              <w:keepLines/>
              <w:spacing w:after="240"/>
              <w:jc w:val="both"/>
              <w:rPr>
                <w:rFonts w:ascii="Times New Roman" w:hAnsi="Times New Roman" w:cs="Times New Roman"/>
                <w:sz w:val="24"/>
              </w:rPr>
            </w:pPr>
            <w:r>
              <w:rPr>
                <w:rFonts w:ascii="Times New Roman" w:hAnsi="Times New Roman"/>
                <w:sz w:val="24"/>
              </w:rPr>
              <w:lastRenderedPageBreak/>
              <w:t>Nei casi in cui per una singola controparte sia utilizzato più di un metodo per</w:t>
            </w:r>
            <w:r w:rsidR="00443BE8">
              <w:rPr>
                <w:rFonts w:ascii="Times New Roman" w:hAnsi="Times New Roman"/>
                <w:sz w:val="24"/>
              </w:rPr>
              <w:t> </w:t>
            </w:r>
            <w:r>
              <w:rPr>
                <w:rFonts w:ascii="Times New Roman" w:hAnsi="Times New Roman"/>
                <w:sz w:val="24"/>
              </w:rPr>
              <w:t>il</w:t>
            </w:r>
            <w:r w:rsidR="00443BE8">
              <w:rPr>
                <w:rFonts w:ascii="Times New Roman" w:hAnsi="Times New Roman"/>
                <w:sz w:val="24"/>
              </w:rPr>
              <w:t> </w:t>
            </w:r>
            <w:r>
              <w:rPr>
                <w:rFonts w:ascii="Times New Roman" w:hAnsi="Times New Roman"/>
                <w:sz w:val="24"/>
              </w:rPr>
              <w:t>CCR, la perdita per CVA sostenuta, dedotta a livello di controparte, è</w:t>
            </w:r>
            <w:r w:rsidR="00443BE8">
              <w:rPr>
                <w:rFonts w:ascii="Times New Roman" w:hAnsi="Times New Roman"/>
                <w:sz w:val="24"/>
              </w:rPr>
              <w:t> </w:t>
            </w:r>
            <w:r>
              <w:rPr>
                <w:rFonts w:ascii="Times New Roman" w:hAnsi="Times New Roman"/>
                <w:sz w:val="24"/>
              </w:rPr>
              <w:t>assegnata al valore dell</w:t>
            </w:r>
            <w:r w:rsidR="008B6CDC">
              <w:rPr>
                <w:rFonts w:ascii="Times New Roman" w:hAnsi="Times New Roman"/>
                <w:sz w:val="24"/>
              </w:rPr>
              <w:t>'</w:t>
            </w:r>
            <w:r>
              <w:rPr>
                <w:rFonts w:ascii="Times New Roman" w:hAnsi="Times New Roman"/>
                <w:sz w:val="24"/>
              </w:rPr>
              <w:t>esposizione dei diversi insiemi di attività soggette a</w:t>
            </w:r>
            <w:r w:rsidR="00443BE8">
              <w:rPr>
                <w:rFonts w:ascii="Times New Roman" w:hAnsi="Times New Roman"/>
                <w:sz w:val="24"/>
              </w:rPr>
              <w:t> </w:t>
            </w:r>
            <w:r>
              <w:rPr>
                <w:rFonts w:ascii="Times New Roman" w:hAnsi="Times New Roman"/>
                <w:sz w:val="24"/>
              </w:rPr>
              <w:t>compensazione in ogni metodo CCR che riflettono la proporzione del valore dell</w:t>
            </w:r>
            <w:r w:rsidR="008B6CDC">
              <w:rPr>
                <w:rFonts w:ascii="Times New Roman" w:hAnsi="Times New Roman"/>
                <w:sz w:val="24"/>
              </w:rPr>
              <w:t>'</w:t>
            </w:r>
            <w:r>
              <w:rPr>
                <w:rFonts w:ascii="Times New Roman" w:hAnsi="Times New Roman"/>
                <w:sz w:val="24"/>
              </w:rPr>
              <w:t>esposizione post-CRM dei rispettivi insiemi di attività soggette a compensazione rispetto al valore dell</w:t>
            </w:r>
            <w:r w:rsidR="008B6CDC">
              <w:rPr>
                <w:rFonts w:ascii="Times New Roman" w:hAnsi="Times New Roman"/>
                <w:sz w:val="24"/>
              </w:rPr>
              <w:t>'</w:t>
            </w:r>
            <w:r>
              <w:rPr>
                <w:rFonts w:ascii="Times New Roman" w:hAnsi="Times New Roman"/>
                <w:sz w:val="24"/>
              </w:rPr>
              <w:t>esposizione complessiva post-CRM della controparte.</w:t>
            </w:r>
          </w:p>
          <w:p w14:paraId="736282AA" w14:textId="33D296C0" w:rsidR="00F43911" w:rsidRPr="007F4CC8" w:rsidRDefault="00F43911" w:rsidP="00443BE8">
            <w:pPr>
              <w:spacing w:after="240"/>
              <w:jc w:val="both"/>
              <w:rPr>
                <w:rFonts w:ascii="Times New Roman" w:hAnsi="Times New Roman" w:cs="Times New Roman"/>
                <w:sz w:val="24"/>
              </w:rPr>
            </w:pPr>
            <w:r>
              <w:rPr>
                <w:rFonts w:ascii="Times New Roman" w:hAnsi="Times New Roman"/>
                <w:sz w:val="24"/>
              </w:rPr>
              <w:t>L</w:t>
            </w:r>
            <w:r w:rsidR="008B6CDC">
              <w:rPr>
                <w:rFonts w:ascii="Times New Roman" w:hAnsi="Times New Roman"/>
                <w:sz w:val="24"/>
              </w:rPr>
              <w:t>'</w:t>
            </w:r>
            <w:r>
              <w:rPr>
                <w:rFonts w:ascii="Times New Roman" w:hAnsi="Times New Roman"/>
                <w:sz w:val="24"/>
              </w:rPr>
              <w:t>ente indica la somma di tutti i valori delle esposizioni post-CRM nella rispettiva riga.</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RWEA</w:t>
            </w:r>
          </w:p>
          <w:p w14:paraId="26B75465" w14:textId="7C10F8C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Importi delle esposizioni ponderati per il rischio, come definiti all</w:t>
            </w:r>
            <w:r w:rsidR="008B6CDC">
              <w:rPr>
                <w:rFonts w:ascii="Times New Roman" w:hAnsi="Times New Roman"/>
                <w:sz w:val="24"/>
              </w:rPr>
              <w:t>'</w:t>
            </w:r>
            <w:r>
              <w:rPr>
                <w:rFonts w:ascii="Times New Roman" w:hAnsi="Times New Roman"/>
                <w:sz w:val="24"/>
              </w:rPr>
              <w:t>articolo 92, paragrafi</w:t>
            </w:r>
            <w:r w:rsidR="00443BE8">
              <w:rPr>
                <w:rFonts w:ascii="Times New Roman" w:hAnsi="Times New Roman"/>
                <w:sz w:val="24"/>
              </w:rPr>
              <w:t xml:space="preserve"> </w:t>
            </w:r>
            <w:r>
              <w:rPr>
                <w:rFonts w:ascii="Times New Roman" w:hAnsi="Times New Roman"/>
                <w:sz w:val="24"/>
              </w:rPr>
              <w:t>3 e 4, del regolamento (UE) n. 575/2013, calcolati conformemente all</w:t>
            </w:r>
            <w:r w:rsidR="008B6CDC">
              <w:rPr>
                <w:rFonts w:ascii="Times New Roman" w:hAnsi="Times New Roman"/>
                <w:sz w:val="24"/>
              </w:rPr>
              <w:t>'</w:t>
            </w:r>
            <w:r>
              <w:rPr>
                <w:rFonts w:ascii="Times New Roman" w:hAnsi="Times New Roman"/>
                <w:sz w:val="24"/>
              </w:rPr>
              <w:t>articolo</w:t>
            </w:r>
            <w:r w:rsidR="00443BE8">
              <w:rPr>
                <w:rFonts w:ascii="Times New Roman" w:hAnsi="Times New Roman"/>
                <w:sz w:val="24"/>
              </w:rPr>
              <w:t> </w:t>
            </w:r>
            <w:r>
              <w:rPr>
                <w:rFonts w:ascii="Times New Roman" w:hAnsi="Times New Roman"/>
                <w:sz w:val="24"/>
              </w:rPr>
              <w:t>107 di tale regolamento, per gli elementi i cui fattori di ponderazione del rischio sono stimati sulla base dei requisiti di cui alla parte tre, titolo II, capi 2 e 3, del regolamento (UE) n. 575/2013 e per i quali il valore dell</w:t>
            </w:r>
            <w:r w:rsidR="008B6CDC">
              <w:rPr>
                <w:rFonts w:ascii="Times New Roman" w:hAnsi="Times New Roman"/>
                <w:sz w:val="24"/>
              </w:rPr>
              <w:t>'</w:t>
            </w:r>
            <w:r>
              <w:rPr>
                <w:rFonts w:ascii="Times New Roman" w:hAnsi="Times New Roman"/>
                <w:sz w:val="24"/>
              </w:rPr>
              <w:t>esposizione per attività soggetta al CCR è calcolato conformemente alla parte tre, titolo II, capi 4 e 6, del medesimo regolamento.</w:t>
            </w:r>
          </w:p>
        </w:tc>
      </w:tr>
    </w:tbl>
    <w:p w14:paraId="06E4BA45" w14:textId="77777777" w:rsidR="007D4C3D" w:rsidRPr="008B6CDC" w:rsidRDefault="007D4C3D" w:rsidP="00F43911">
      <w:pPr>
        <w:pStyle w:val="Titlelevel2"/>
        <w:jc w:val="both"/>
        <w:rPr>
          <w:rFonts w:ascii="Times New Roman" w:hAnsi="Times New Roman" w:cs="Times New Roman"/>
          <w:b/>
          <w:color w:val="auto"/>
          <w:sz w:val="24"/>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Modello EU CCR3 – Metodo standardizzato: esposizioni soggette al CCR per classe di esposizioni regolamentare e ponderazione del rischio </w:t>
      </w:r>
      <w:r>
        <w:rPr>
          <w:rFonts w:ascii="Times New Roman" w:hAnsi="Times New Roman"/>
          <w:color w:val="auto"/>
          <w:sz w:val="24"/>
        </w:rPr>
        <w:t>(formato fisso)</w:t>
      </w:r>
    </w:p>
    <w:p w14:paraId="140DD484" w14:textId="2FB4D40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Gli enti pubblicano le informazioni di cui all</w:t>
      </w:r>
      <w:r w:rsidR="008B6CDC">
        <w:rPr>
          <w:rFonts w:ascii="Times New Roman" w:hAnsi="Times New Roman"/>
          <w:color w:val="000000"/>
          <w:sz w:val="24"/>
        </w:rPr>
        <w:t>'</w:t>
      </w:r>
      <w:r>
        <w:rPr>
          <w:rFonts w:ascii="Times New Roman" w:hAnsi="Times New Roman"/>
          <w:color w:val="000000"/>
          <w:sz w:val="24"/>
        </w:rPr>
        <w:t xml:space="preserve">articolo 444, lettera e), </w:t>
      </w:r>
      <w:r>
        <w:rPr>
          <w:rFonts w:ascii="Times New Roman" w:hAnsi="Times New Roman"/>
          <w:color w:val="auto"/>
          <w:sz w:val="24"/>
        </w:rPr>
        <w:t>del regolamento (UE) n. 575/2013</w:t>
      </w:r>
      <w:r>
        <w:rPr>
          <w:rFonts w:ascii="Times New Roman" w:hAnsi="Times New Roman"/>
          <w:color w:val="000000"/>
          <w:sz w:val="24"/>
        </w:rPr>
        <w:t xml:space="preserve"> seguendo le istruzioni fornite di seguito nel presente allegato per compilare il modello EU CCR3 di cui all</w:t>
      </w:r>
      <w:r w:rsidR="008B6CDC">
        <w:rPr>
          <w:rFonts w:ascii="Times New Roman" w:hAnsi="Times New Roman"/>
          <w:color w:val="000000"/>
          <w:sz w:val="24"/>
        </w:rPr>
        <w:t>'</w:t>
      </w:r>
      <w:r>
        <w:rPr>
          <w:rFonts w:ascii="Times New Roman" w:hAnsi="Times New Roman"/>
          <w:color w:val="000000"/>
          <w:sz w:val="24"/>
        </w:rPr>
        <w:t>allegato XXV delle soluzioni informatiche dell</w:t>
      </w:r>
      <w:r w:rsidR="008B6CDC">
        <w:rPr>
          <w:rFonts w:ascii="Times New Roman" w:hAnsi="Times New Roman"/>
          <w:color w:val="000000"/>
          <w:sz w:val="24"/>
        </w:rPr>
        <w:t>'</w:t>
      </w:r>
      <w:r>
        <w:rPr>
          <w:rFonts w:ascii="Times New Roman" w:hAnsi="Times New Roman"/>
          <w:color w:val="000000"/>
          <w:sz w:val="24"/>
        </w:rPr>
        <w:t>ABE.</w:t>
      </w:r>
    </w:p>
    <w:p w14:paraId="719E9920" w14:textId="3224471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Gli enti che utilizzano il metodo standardizzato per il rischio di credito per calcolare gli importi delle esposizioni ponderati per il rischio (esclusi quelli derivati dai requisiti di fondi propri per il rischio di CVA e per le esposizioni compensate mediante una CCP) per tutte o parte delle loro esposizioni soggette al CCR conformemente all</w:t>
      </w:r>
      <w:r w:rsidR="008B6CDC">
        <w:rPr>
          <w:rFonts w:ascii="Times New Roman" w:hAnsi="Times New Roman"/>
          <w:color w:val="000000"/>
          <w:sz w:val="24"/>
        </w:rPr>
        <w:t>'</w:t>
      </w:r>
      <w:r>
        <w:rPr>
          <w:rFonts w:ascii="Times New Roman" w:hAnsi="Times New Roman"/>
          <w:color w:val="000000"/>
          <w:sz w:val="24"/>
        </w:rPr>
        <w:t xml:space="preserve">articolo 107 </w:t>
      </w:r>
      <w:r>
        <w:rPr>
          <w:rFonts w:ascii="Times New Roman" w:hAnsi="Times New Roman"/>
          <w:color w:val="auto"/>
          <w:sz w:val="24"/>
        </w:rPr>
        <w:t>del regolamento (UE) n. 575/2013</w:t>
      </w:r>
      <w:r>
        <w:rPr>
          <w:rFonts w:ascii="Times New Roman" w:hAnsi="Times New Roman"/>
          <w:color w:val="000000"/>
          <w:sz w:val="24"/>
        </w:rPr>
        <w:t xml:space="preserve">, indipendentemente dal metodo CCR utilizzato per determinare </w:t>
      </w:r>
      <w:r>
        <w:rPr>
          <w:rFonts w:ascii="Times New Roman" w:hAnsi="Times New Roman"/>
          <w:color w:val="auto"/>
          <w:sz w:val="24"/>
        </w:rPr>
        <w:t>i valori delle esposizioni conformemente alla parte tre, titolo II, capi 4 e 6, di tale regolamento, pubblicano le informazioni riportate di seguito.</w:t>
      </w:r>
    </w:p>
    <w:p w14:paraId="6C656446" w14:textId="11F097A1"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Se ritiene che le informazioni richieste in questo modello non siano significative perché le esposizioni e gli importi delle esposizioni ponderati per il rischio non sono significativi, l</w:t>
      </w:r>
      <w:r w:rsidR="008B6CDC">
        <w:rPr>
          <w:rFonts w:ascii="Times New Roman" w:hAnsi="Times New Roman"/>
          <w:color w:val="000000"/>
          <w:sz w:val="24"/>
        </w:rPr>
        <w:t>'</w:t>
      </w:r>
      <w:r>
        <w:rPr>
          <w:rFonts w:ascii="Times New Roman" w:hAnsi="Times New Roman"/>
          <w:color w:val="000000"/>
          <w:sz w:val="24"/>
        </w:rPr>
        <w:t>ente può scegliere di non pubblicare il modello. L</w:t>
      </w:r>
      <w:r w:rsidR="008B6CDC">
        <w:rPr>
          <w:rFonts w:ascii="Times New Roman" w:hAnsi="Times New Roman"/>
          <w:color w:val="000000"/>
          <w:sz w:val="24"/>
        </w:rPr>
        <w:t>'</w:t>
      </w:r>
      <w:r>
        <w:rPr>
          <w:rFonts w:ascii="Times New Roman" w:hAnsi="Times New Roman"/>
          <w:color w:val="000000"/>
          <w:sz w:val="24"/>
        </w:rPr>
        <w:t>ente è tuttavia tenuto a spiegare in un commento descrittivo perché ritiene che le informazioni non siano significative, includendo una descrizione delle esposizioni nei portafogli interessati e il</w:t>
      </w:r>
      <w:r w:rsidR="00F22770">
        <w:rPr>
          <w:rFonts w:ascii="Times New Roman" w:hAnsi="Times New Roman"/>
          <w:color w:val="000000"/>
          <w:sz w:val="24"/>
        </w:rPr>
        <w:t> </w:t>
      </w:r>
      <w:r>
        <w:rPr>
          <w:rFonts w:ascii="Times New Roman" w:hAnsi="Times New Roman"/>
          <w:color w:val="000000"/>
          <w:sz w:val="24"/>
        </w:rPr>
        <w:t>totale aggregato degli importi delle esposizioni ponderati per il rischio derivanti da tali esposizioni.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F22770">
        <w:trPr>
          <w:trHeight w:val="416"/>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F22770">
            <w:pPr>
              <w:keepNext/>
              <w:spacing w:after="120"/>
              <w:rPr>
                <w:rFonts w:ascii="Times New Roman" w:hAnsi="Times New Roman" w:cs="Times New Roman"/>
                <w:b/>
                <w:sz w:val="24"/>
              </w:rPr>
            </w:pPr>
            <w:r>
              <w:rPr>
                <w:rFonts w:ascii="Times New Roman" w:hAnsi="Times New Roman"/>
                <w:b/>
                <w:sz w:val="24"/>
              </w:rPr>
              <w:lastRenderedPageBreak/>
              <w:t>Riferimenti giuridici e istruzioni</w:t>
            </w:r>
          </w:p>
        </w:tc>
      </w:tr>
      <w:tr w:rsidR="00F43911" w:rsidRPr="007F4CC8" w14:paraId="5AB7769D" w14:textId="77777777" w:rsidTr="00F22770">
        <w:trPr>
          <w:trHeight w:val="594"/>
        </w:trPr>
        <w:tc>
          <w:tcPr>
            <w:tcW w:w="1384" w:type="dxa"/>
            <w:shd w:val="clear" w:color="auto" w:fill="D9D9D9" w:themeFill="background1" w:themeFillShade="D9"/>
          </w:tcPr>
          <w:p w14:paraId="6C8972D4" w14:textId="4E8ADE11" w:rsidR="00F43911" w:rsidRPr="007F4CC8" w:rsidRDefault="00F43911" w:rsidP="00F22770">
            <w:pPr>
              <w:autoSpaceDE w:val="0"/>
              <w:autoSpaceDN w:val="0"/>
              <w:adjustRightInd w:val="0"/>
              <w:spacing w:after="120"/>
              <w:rPr>
                <w:rFonts w:ascii="Times New Roman" w:hAnsi="Times New Roman" w:cs="Times New Roman"/>
                <w:b/>
                <w:sz w:val="24"/>
              </w:rPr>
            </w:pPr>
            <w:r>
              <w:rPr>
                <w:rFonts w:ascii="Times New Roman" w:hAnsi="Times New Roman"/>
                <w:b/>
                <w:sz w:val="24"/>
              </w:rPr>
              <w:t>Numero di</w:t>
            </w:r>
            <w:r w:rsidR="008B6CDC">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Spiegazione</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Classi di esposizioni</w:t>
            </w:r>
          </w:p>
          <w:p w14:paraId="119BFBA0" w14:textId="5A11B15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Queste righe si riferiscono alle classi di esposizioni regolamentari, come definite agli articoli da 112 a 134 della parte tre, titolo</w:t>
            </w:r>
            <w:r w:rsidR="00F22770">
              <w:rPr>
                <w:rFonts w:ascii="Times New Roman" w:hAnsi="Times New Roman"/>
                <w:sz w:val="24"/>
              </w:rPr>
              <w:t> </w:t>
            </w:r>
            <w:r>
              <w:rPr>
                <w:rFonts w:ascii="Times New Roman" w:hAnsi="Times New Roman"/>
                <w:sz w:val="24"/>
              </w:rPr>
              <w:t>II, capo</w:t>
            </w:r>
            <w:r w:rsidR="00F22770">
              <w:rPr>
                <w:rFonts w:ascii="Times New Roman" w:hAnsi="Times New Roman"/>
                <w:sz w:val="24"/>
              </w:rPr>
              <w:t> </w:t>
            </w:r>
            <w:r>
              <w:rPr>
                <w:rFonts w:ascii="Times New Roman" w:hAnsi="Times New Roman"/>
                <w:sz w:val="24"/>
              </w:rPr>
              <w:t>4, del regolamento (UE) n. 575/2013. In ciascuna riga sono indicati i corrispondenti valori delle esposizioni (cfr. la definizione fornita nella colonna g del modello EU CCR1).</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Altre posizioni</w:t>
            </w:r>
          </w:p>
          <w:p w14:paraId="6B472AE2" w14:textId="064FB31B"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Si tratta delle attività soggette a uno specifico fattore di ponderazione del rischio di cui all</w:t>
            </w:r>
            <w:r w:rsidR="008B6CDC">
              <w:rPr>
                <w:rFonts w:ascii="Times New Roman" w:hAnsi="Times New Roman"/>
                <w:sz w:val="24"/>
              </w:rPr>
              <w:t>'</w:t>
            </w:r>
            <w:r>
              <w:rPr>
                <w:rFonts w:ascii="Times New Roman" w:hAnsi="Times New Roman"/>
                <w:sz w:val="24"/>
              </w:rPr>
              <w:t>articolo 134 della parte tre, titolo II, capo 4, del regolamento (UE) n. 575/2013 e di ogni altra posizione non compresa nelle righe da 1 a 9 di questo modello. In questa voce rientrano inoltre le attività non dedotte in</w:t>
            </w:r>
            <w:r w:rsidR="00F22770">
              <w:rPr>
                <w:rFonts w:ascii="Times New Roman" w:hAnsi="Times New Roman"/>
                <w:sz w:val="24"/>
              </w:rPr>
              <w:t> </w:t>
            </w:r>
            <w:r>
              <w:rPr>
                <w:rFonts w:ascii="Times New Roman" w:hAnsi="Times New Roman"/>
                <w:sz w:val="24"/>
              </w:rPr>
              <w:t>applicazione dell</w:t>
            </w:r>
            <w:r w:rsidR="008B6CDC">
              <w:rPr>
                <w:rFonts w:ascii="Times New Roman" w:hAnsi="Times New Roman"/>
                <w:sz w:val="24"/>
              </w:rPr>
              <w:t>'</w:t>
            </w:r>
            <w:r>
              <w:rPr>
                <w:rFonts w:ascii="Times New Roman" w:hAnsi="Times New Roman"/>
                <w:sz w:val="24"/>
              </w:rPr>
              <w:t>articolo 39 del regolamento (UE) n. 575/2013 (pagamenti in eccesso di imposte, riporti di perdite fiscali e attività fiscali differite che non</w:t>
            </w:r>
            <w:r w:rsidR="00F22770">
              <w:rPr>
                <w:rFonts w:ascii="Times New Roman" w:hAnsi="Times New Roman"/>
                <w:sz w:val="24"/>
              </w:rPr>
              <w:t> </w:t>
            </w:r>
            <w:r>
              <w:rPr>
                <w:rFonts w:ascii="Times New Roman" w:hAnsi="Times New Roman"/>
                <w:sz w:val="24"/>
              </w:rPr>
              <w:t>si basano sulla redditività futura), dell</w:t>
            </w:r>
            <w:r w:rsidR="008B6CDC">
              <w:rPr>
                <w:rFonts w:ascii="Times New Roman" w:hAnsi="Times New Roman"/>
                <w:sz w:val="24"/>
              </w:rPr>
              <w:t>'</w:t>
            </w:r>
            <w:r>
              <w:rPr>
                <w:rFonts w:ascii="Times New Roman" w:hAnsi="Times New Roman"/>
                <w:sz w:val="24"/>
              </w:rPr>
              <w:t>articolo 41 del regolamento (UE) n. 575/2013 (attività dei fondi pensione a prestazioni definite), degli articoli 46 e 469 del regolamento (UE) n. 575/2013 (investimenti non significativi nel capitale CET1 di soggetti del settore finanziario), degli articoli 49 e 471 del regolamento (UE) n. 575/2013 (partecipazioni in imprese di assicurazione indipendentemente dal fatto che esse siano sottoposte a vigilanza ai sensi della direttiva sui conglomerati), degli articoli 60 e 475 del regolamento (UE) n. 575/2013 (investimenti non significativi e significativi, detenuti indirettamente, in capitale aggiuntivo AT1 di soggetti del settore finanziario), degli articoli 70 e 477 del regolamento (UE) n. 575/2013 (posizioni non significative e significative, detenute indirettamente e sinteticamente, di capitale T2 emesso da un soggetto del settore finanziario) non assegnate ad altre classi di esposizioni, né a partecipazioni qualificate al</w:t>
            </w:r>
            <w:r w:rsidR="00F22770">
              <w:rPr>
                <w:rFonts w:ascii="Times New Roman" w:hAnsi="Times New Roman"/>
                <w:sz w:val="24"/>
              </w:rPr>
              <w:t> </w:t>
            </w:r>
            <w:r>
              <w:rPr>
                <w:rFonts w:ascii="Times New Roman" w:hAnsi="Times New Roman"/>
                <w:sz w:val="24"/>
              </w:rPr>
              <w:t>di fuori del settore finanziario se non hanno ricevuto un fattore di ponderazione del rischio pari al 1 250 % in applicazione dell</w:t>
            </w:r>
            <w:r w:rsidR="008B6CDC">
              <w:rPr>
                <w:rFonts w:ascii="Times New Roman" w:hAnsi="Times New Roman"/>
                <w:sz w:val="24"/>
              </w:rPr>
              <w:t>'</w:t>
            </w:r>
            <w:r>
              <w:rPr>
                <w:rFonts w:ascii="Times New Roman" w:hAnsi="Times New Roman"/>
                <w:sz w:val="24"/>
              </w:rPr>
              <w:t>articolo 36, lettera k), della parte due, titolo I, capo 2, del regolamento (UE) n. 575/2013.</w:t>
            </w:r>
          </w:p>
        </w:tc>
      </w:tr>
      <w:tr w:rsidR="00F43911" w:rsidRPr="007F4CC8" w14:paraId="40CEECAA" w14:textId="77777777" w:rsidTr="00F22770">
        <w:trPr>
          <w:trHeight w:val="448"/>
        </w:trPr>
        <w:tc>
          <w:tcPr>
            <w:tcW w:w="1384" w:type="dxa"/>
          </w:tcPr>
          <w:p w14:paraId="084620EC" w14:textId="77777777" w:rsidR="00F43911" w:rsidRPr="007F4CC8" w:rsidRDefault="00F43911" w:rsidP="004F3087">
            <w:pPr>
              <w:pStyle w:val="Applicationdirecte"/>
              <w:spacing w:before="0" w:after="240"/>
              <w:jc w:val="center"/>
            </w:pPr>
            <w:r>
              <w:t>11</w:t>
            </w:r>
          </w:p>
        </w:tc>
        <w:tc>
          <w:tcPr>
            <w:tcW w:w="7655" w:type="dxa"/>
            <w:vAlign w:val="center"/>
          </w:tcPr>
          <w:p w14:paraId="0569A440" w14:textId="3F1D3F61"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Valore dell</w:t>
            </w:r>
            <w:r w:rsidR="008B6CDC">
              <w:rPr>
                <w:rFonts w:ascii="Times New Roman" w:hAnsi="Times New Roman"/>
                <w:b/>
                <w:sz w:val="24"/>
              </w:rPr>
              <w:t>'</w:t>
            </w:r>
            <w:r>
              <w:rPr>
                <w:rFonts w:ascii="Times New Roman" w:hAnsi="Times New Roman"/>
                <w:b/>
                <w:sz w:val="24"/>
              </w:rPr>
              <w:t>esposizione complessiva</w:t>
            </w:r>
          </w:p>
        </w:tc>
      </w:tr>
      <w:tr w:rsidR="00F43911" w:rsidRPr="007F4CC8" w14:paraId="68F92AF2" w14:textId="77777777" w:rsidTr="00F22770">
        <w:trPr>
          <w:trHeight w:val="756"/>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F22770">
            <w:pPr>
              <w:pStyle w:val="Applicationdirecte"/>
              <w:spacing w:before="0" w:after="60"/>
              <w:jc w:val="center"/>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Spiegazione</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3A96D3FF"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Queste colonne si riferiscono alle classi di merito di credito/ai fattori di ponderazione del rischio di cui alla parte tre, titolo II, capo 2, del regolamento (UE) n. 575/2013 per i quali sono indicati i corrispondenti valori dell</w:t>
            </w:r>
            <w:r w:rsidR="008B6CDC">
              <w:rPr>
                <w:rFonts w:ascii="Times New Roman" w:hAnsi="Times New Roman"/>
                <w:sz w:val="24"/>
              </w:rPr>
              <w:t>'</w:t>
            </w:r>
            <w:r>
              <w:rPr>
                <w:rFonts w:ascii="Times New Roman" w:hAnsi="Times New Roman"/>
                <w:sz w:val="24"/>
              </w:rPr>
              <w:t>esposizione (cfr. la definizione fornita nella colonna g del modello EU CCR1).</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l</w:t>
            </w:r>
          </w:p>
        </w:tc>
        <w:tc>
          <w:tcPr>
            <w:tcW w:w="7655" w:type="dxa"/>
            <w:vAlign w:val="center"/>
          </w:tcPr>
          <w:p w14:paraId="2AD95FAF" w14:textId="20D5C004"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Valore dell</w:t>
            </w:r>
            <w:r w:rsidR="008B6CDC">
              <w:rPr>
                <w:rFonts w:ascii="Times New Roman" w:hAnsi="Times New Roman"/>
                <w:b/>
                <w:sz w:val="24"/>
              </w:rPr>
              <w:t>'</w:t>
            </w:r>
            <w:r>
              <w:rPr>
                <w:rFonts w:ascii="Times New Roman" w:hAnsi="Times New Roman"/>
                <w:b/>
                <w:sz w:val="24"/>
              </w:rPr>
              <w:t>esposizione complessiva</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Modello EU CCR4 – Metodo IRB: esposizioni soggette al CCR per classe di esposizioni e scala di PD </w:t>
      </w:r>
      <w:r>
        <w:rPr>
          <w:rFonts w:ascii="Times New Roman" w:hAnsi="Times New Roman"/>
          <w:color w:val="auto"/>
          <w:sz w:val="24"/>
        </w:rPr>
        <w:t>(formato fisso)</w:t>
      </w:r>
    </w:p>
    <w:p w14:paraId="03E920F2" w14:textId="43341C5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Gli enti pubblicano le informazioni di cui all</w:t>
      </w:r>
      <w:r w:rsidR="008B6CDC">
        <w:rPr>
          <w:rFonts w:ascii="Times New Roman" w:hAnsi="Times New Roman"/>
          <w:color w:val="000000"/>
          <w:sz w:val="24"/>
        </w:rPr>
        <w:t>'</w:t>
      </w:r>
      <w:r>
        <w:rPr>
          <w:rFonts w:ascii="Times New Roman" w:hAnsi="Times New Roman"/>
          <w:color w:val="000000"/>
          <w:sz w:val="24"/>
        </w:rPr>
        <w:t xml:space="preserve">articolo 452, lettera g), </w:t>
      </w:r>
      <w:r>
        <w:rPr>
          <w:rFonts w:ascii="Times New Roman" w:hAnsi="Times New Roman"/>
          <w:color w:val="auto"/>
          <w:sz w:val="24"/>
        </w:rPr>
        <w:t>del regolamento (UE) n. 575/2013</w:t>
      </w:r>
      <w:r>
        <w:rPr>
          <w:rFonts w:ascii="Times New Roman" w:hAnsi="Times New Roman"/>
          <w:color w:val="000000"/>
          <w:sz w:val="24"/>
        </w:rPr>
        <w:t xml:space="preserve"> seguendo le istruzioni fornite di seguito nel presente allegato per compilare il modello EU CCR4 di cui all</w:t>
      </w:r>
      <w:r w:rsidR="008B6CDC">
        <w:rPr>
          <w:rFonts w:ascii="Times New Roman" w:hAnsi="Times New Roman"/>
          <w:color w:val="000000"/>
          <w:sz w:val="24"/>
        </w:rPr>
        <w:t>'</w:t>
      </w:r>
      <w:r>
        <w:rPr>
          <w:rFonts w:ascii="Times New Roman" w:hAnsi="Times New Roman"/>
          <w:color w:val="000000"/>
          <w:sz w:val="24"/>
        </w:rPr>
        <w:t>allegato XXV delle soluzioni informatiche dell</w:t>
      </w:r>
      <w:r w:rsidR="008B6CDC">
        <w:rPr>
          <w:rFonts w:ascii="Times New Roman" w:hAnsi="Times New Roman"/>
          <w:color w:val="000000"/>
          <w:sz w:val="24"/>
        </w:rPr>
        <w:t>'</w:t>
      </w:r>
      <w:r>
        <w:rPr>
          <w:rFonts w:ascii="Times New Roman" w:hAnsi="Times New Roman"/>
          <w:color w:val="000000"/>
          <w:sz w:val="24"/>
        </w:rPr>
        <w:t>ABE.</w:t>
      </w:r>
    </w:p>
    <w:p w14:paraId="21A1A0D5" w14:textId="47DDF60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Gli enti che utilizzano il metodo avanzato o il metodo IRB di base per calcolare gli</w:t>
      </w:r>
      <w:r w:rsidR="00F22770">
        <w:rPr>
          <w:rFonts w:ascii="Times New Roman" w:hAnsi="Times New Roman"/>
          <w:color w:val="000000"/>
          <w:sz w:val="24"/>
        </w:rPr>
        <w:t> </w:t>
      </w:r>
      <w:r>
        <w:rPr>
          <w:rFonts w:ascii="Times New Roman" w:hAnsi="Times New Roman"/>
          <w:color w:val="000000"/>
          <w:sz w:val="24"/>
        </w:rPr>
        <w:t xml:space="preserve">importi delle esposizioni ponderati per il </w:t>
      </w:r>
      <w:r>
        <w:rPr>
          <w:rFonts w:ascii="Times New Roman" w:hAnsi="Times New Roman"/>
          <w:color w:val="auto"/>
          <w:sz w:val="24"/>
        </w:rPr>
        <w:t>rischio (esclusi quelli derivati dai requisiti di fondi propri per il rischio di CVA e per le esposizioni compensate mediante CCP) per tutte o parte delle loro esposizioni soggette al CCR conformemente all</w:t>
      </w:r>
      <w:r w:rsidR="008B6CDC">
        <w:rPr>
          <w:rFonts w:ascii="Times New Roman" w:hAnsi="Times New Roman"/>
          <w:color w:val="auto"/>
          <w:sz w:val="24"/>
        </w:rPr>
        <w:t>'</w:t>
      </w:r>
      <w:r>
        <w:rPr>
          <w:rFonts w:ascii="Times New Roman" w:hAnsi="Times New Roman"/>
          <w:color w:val="auto"/>
          <w:sz w:val="24"/>
        </w:rPr>
        <w:t>articolo 107 del regolamento (UE) n. 575/2013, indipendentemente dal metodo CCR utilizzato per determinare i valori delle esposizioni conformemente alla parte tre, titolo II, capi 4 e 6, di tale regolamento, pubblicano le informazioni riportate di seguito.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Riferimenti giuridici e istruzioni</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0D5E541E"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Numero di</w:t>
            </w:r>
            <w:r w:rsidR="008B6CDC">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Spiegazione</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Da 1 a 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Scala di PD</w:t>
            </w:r>
          </w:p>
          <w:p w14:paraId="27E474D8" w14:textId="6F96D0E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Le esposizioni soggette al CCR sono assegnate alla categoria appropriata della scala di PD fissa sulla base della PD stimata per ciascun debitore assegnato a questa classe di esposizioni (senza tener conto di sostituzioni dovute all</w:t>
            </w:r>
            <w:r w:rsidR="008B6CDC">
              <w:rPr>
                <w:rFonts w:ascii="Times New Roman" w:hAnsi="Times New Roman"/>
                <w:sz w:val="24"/>
              </w:rPr>
              <w:t>'</w:t>
            </w:r>
            <w:r>
              <w:rPr>
                <w:rFonts w:ascii="Times New Roman" w:hAnsi="Times New Roman"/>
                <w:sz w:val="24"/>
              </w:rPr>
              <w:t>esistenza di una garanzia o di un derivato su crediti). Gli enti associano ciascuna esposizione alla scala di PD indicata nel modello, tenendo conto anche di scale continue. Tutte le esposizioni in stato di default sono incluse nella categoria corrispondente a una PD del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Da 1 a 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Classe di esposizioni X</w:t>
            </w:r>
          </w:p>
          <w:p w14:paraId="2F40E777" w14:textId="4FEB721A"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Si riferisce alle diverse classi di esposizioni elencate all</w:t>
            </w:r>
            <w:r w:rsidR="008B6CDC">
              <w:rPr>
                <w:rFonts w:ascii="Times New Roman" w:hAnsi="Times New Roman"/>
                <w:sz w:val="24"/>
              </w:rPr>
              <w:t>'</w:t>
            </w:r>
            <w:r>
              <w:rPr>
                <w:rFonts w:ascii="Times New Roman" w:hAnsi="Times New Roman"/>
                <w:sz w:val="24"/>
              </w:rPr>
              <w:t>articolo 147 della parte tre, titolo II, capo 3, del regolamento (UE) n.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x e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Totale parziale (classe di esposizioni X) / Totale (tutte le classi di esposizioni pertinenti per il CCR)</w:t>
            </w:r>
          </w:p>
          <w:p w14:paraId="6E6CECB2" w14:textId="774E00AC"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Il totale (parziale) dei valori delle esposizioni, degli importi delle esposizioni ponderati per il rischio e del numero dei debitori è pari alla somma delle rispettive colonne. Per quanto riguarda i diversi parametri </w:t>
            </w:r>
            <w:r w:rsidR="008B6CDC">
              <w:rPr>
                <w:rFonts w:ascii="Times New Roman" w:hAnsi="Times New Roman"/>
                <w:sz w:val="24"/>
              </w:rPr>
              <w:t>"</w:t>
            </w:r>
            <w:r>
              <w:rPr>
                <w:rFonts w:ascii="Times New Roman" w:hAnsi="Times New Roman"/>
                <w:sz w:val="24"/>
              </w:rPr>
              <w:t>PD media</w:t>
            </w:r>
            <w:r w:rsidR="008B6CDC">
              <w:rPr>
                <w:rFonts w:ascii="Times New Roman" w:hAnsi="Times New Roman"/>
                <w:sz w:val="24"/>
              </w:rPr>
              <w:t>"</w:t>
            </w:r>
            <w:r>
              <w:rPr>
                <w:rFonts w:ascii="Times New Roman" w:hAnsi="Times New Roman"/>
                <w:sz w:val="24"/>
              </w:rPr>
              <w:t xml:space="preserve">, </w:t>
            </w:r>
            <w:r w:rsidR="008B6CDC">
              <w:rPr>
                <w:rFonts w:ascii="Times New Roman" w:hAnsi="Times New Roman"/>
                <w:sz w:val="24"/>
              </w:rPr>
              <w:t>"</w:t>
            </w:r>
            <w:r>
              <w:rPr>
                <w:rFonts w:ascii="Times New Roman" w:hAnsi="Times New Roman"/>
                <w:sz w:val="24"/>
              </w:rPr>
              <w:t>LGD media</w:t>
            </w:r>
            <w:r w:rsidR="008B6CDC">
              <w:rPr>
                <w:rFonts w:ascii="Times New Roman" w:hAnsi="Times New Roman"/>
                <w:sz w:val="24"/>
              </w:rPr>
              <w:t>"</w:t>
            </w:r>
            <w:r>
              <w:rPr>
                <w:rFonts w:ascii="Times New Roman" w:hAnsi="Times New Roman"/>
                <w:sz w:val="24"/>
              </w:rPr>
              <w:t xml:space="preserve">, </w:t>
            </w:r>
            <w:r w:rsidR="008B6CDC">
              <w:rPr>
                <w:rFonts w:ascii="Times New Roman" w:hAnsi="Times New Roman"/>
                <w:sz w:val="24"/>
              </w:rPr>
              <w:t>"</w:t>
            </w:r>
            <w:r>
              <w:rPr>
                <w:rFonts w:ascii="Times New Roman" w:hAnsi="Times New Roman"/>
                <w:sz w:val="24"/>
              </w:rPr>
              <w:t>Durata media</w:t>
            </w:r>
            <w:r w:rsidR="008B6CDC">
              <w:rPr>
                <w:rFonts w:ascii="Times New Roman" w:hAnsi="Times New Roman"/>
                <w:sz w:val="24"/>
              </w:rPr>
              <w:t>"</w:t>
            </w:r>
            <w:r>
              <w:rPr>
                <w:rFonts w:ascii="Times New Roman" w:hAnsi="Times New Roman"/>
                <w:sz w:val="24"/>
              </w:rPr>
              <w:t xml:space="preserve"> e </w:t>
            </w:r>
            <w:r w:rsidR="008B6CDC">
              <w:rPr>
                <w:rFonts w:ascii="Times New Roman" w:hAnsi="Times New Roman"/>
                <w:sz w:val="24"/>
              </w:rPr>
              <w:t>"</w:t>
            </w:r>
            <w:r>
              <w:rPr>
                <w:rFonts w:ascii="Times New Roman" w:hAnsi="Times New Roman"/>
                <w:sz w:val="24"/>
              </w:rPr>
              <w:t>Densità degli RWEA</w:t>
            </w:r>
            <w:r w:rsidR="008B6CDC">
              <w:rPr>
                <w:rFonts w:ascii="Times New Roman" w:hAnsi="Times New Roman"/>
                <w:sz w:val="24"/>
              </w:rPr>
              <w:t>"</w:t>
            </w:r>
            <w:r>
              <w:rPr>
                <w:rFonts w:ascii="Times New Roman" w:hAnsi="Times New Roman"/>
                <w:sz w:val="24"/>
              </w:rPr>
              <w:t>, si applicano le definizioni seguenti in relazione al campione della classe di esposizioni X o a tutte le classi di esposizioni pertinenti per il CCR.</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7E6920">
            <w:pPr>
              <w:pStyle w:val="Applicationdirecte"/>
              <w:keepNext/>
              <w:spacing w:before="0"/>
              <w:jc w:val="center"/>
              <w:rPr>
                <w:b/>
              </w:rPr>
            </w:pPr>
            <w:r>
              <w:rPr>
                <w:b/>
              </w:rPr>
              <w:lastRenderedPageBreak/>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F22770">
            <w:pPr>
              <w:pStyle w:val="TableMainHeading"/>
              <w:keepNext/>
              <w:spacing w:before="0" w:after="240"/>
              <w:rPr>
                <w:rFonts w:ascii="Times New Roman" w:hAnsi="Times New Roman"/>
                <w:b/>
                <w:sz w:val="24"/>
                <w:szCs w:val="24"/>
              </w:rPr>
            </w:pPr>
            <w:r>
              <w:rPr>
                <w:rFonts w:ascii="Times New Roman" w:hAnsi="Times New Roman"/>
                <w:b/>
                <w:sz w:val="24"/>
              </w:rPr>
              <w:t>Spiegazione</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0E59BE03"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Valore dell</w:t>
            </w:r>
            <w:r w:rsidR="008B6CDC">
              <w:rPr>
                <w:rFonts w:ascii="Times New Roman" w:hAnsi="Times New Roman"/>
                <w:b/>
                <w:sz w:val="24"/>
              </w:rPr>
              <w:t>'</w:t>
            </w:r>
            <w:r>
              <w:rPr>
                <w:rFonts w:ascii="Times New Roman" w:hAnsi="Times New Roman"/>
                <w:b/>
                <w:sz w:val="24"/>
              </w:rPr>
              <w:t>esposizione</w:t>
            </w:r>
          </w:p>
          <w:p w14:paraId="4DAED01E" w14:textId="2C5D506D" w:rsidR="00F43911" w:rsidRPr="007F4CC8" w:rsidRDefault="00F43911" w:rsidP="007E6920">
            <w:pPr>
              <w:spacing w:after="220"/>
              <w:jc w:val="both"/>
              <w:rPr>
                <w:rFonts w:ascii="Times New Roman" w:eastAsia="Times New Roman" w:hAnsi="Times New Roman" w:cs="Times New Roman"/>
                <w:sz w:val="24"/>
              </w:rPr>
            </w:pPr>
            <w:r>
              <w:rPr>
                <w:rFonts w:ascii="Times New Roman" w:hAnsi="Times New Roman"/>
                <w:sz w:val="24"/>
              </w:rPr>
              <w:t>Valore dell</w:t>
            </w:r>
            <w:r w:rsidR="008B6CDC">
              <w:rPr>
                <w:rFonts w:ascii="Times New Roman" w:hAnsi="Times New Roman"/>
                <w:sz w:val="24"/>
              </w:rPr>
              <w:t>'</w:t>
            </w:r>
            <w:r>
              <w:rPr>
                <w:rFonts w:ascii="Times New Roman" w:hAnsi="Times New Roman"/>
                <w:sz w:val="24"/>
              </w:rPr>
              <w:t>esposizione (cfr. la definizione fornita nella colonna g del modello EU CCR1)</w:t>
            </w:r>
            <w:r>
              <w:rPr>
                <w:rFonts w:ascii="Times New Roman" w:hAnsi="Times New Roman"/>
                <w:i/>
                <w:sz w:val="24"/>
              </w:rPr>
              <w:t>,</w:t>
            </w:r>
            <w:r>
              <w:rPr>
                <w:rFonts w:ascii="Times New Roman" w:hAnsi="Times New Roman"/>
                <w:sz w:val="24"/>
              </w:rPr>
              <w:t xml:space="preserve"> ripartito per classi di esposizioni e la scala di PD data di cui alla parte tre, titolo II, capo 3, del regolamento (UE) n.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2DEF57F2"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PD media ponderata per l</w:t>
            </w:r>
            <w:r w:rsidR="008B6CDC">
              <w:rPr>
                <w:rFonts w:ascii="Times New Roman" w:hAnsi="Times New Roman"/>
                <w:b/>
                <w:sz w:val="24"/>
              </w:rPr>
              <w:t>'</w:t>
            </w:r>
            <w:r>
              <w:rPr>
                <w:rFonts w:ascii="Times New Roman" w:hAnsi="Times New Roman"/>
                <w:b/>
                <w:sz w:val="24"/>
              </w:rPr>
              <w:t>esposizione (%)</w:t>
            </w:r>
          </w:p>
          <w:p w14:paraId="77163362" w14:textId="71730CEF" w:rsidR="00F43911" w:rsidRPr="007F4CC8" w:rsidRDefault="00F43911" w:rsidP="007E6920">
            <w:pPr>
              <w:spacing w:after="220"/>
              <w:rPr>
                <w:rFonts w:ascii="Times New Roman" w:eastAsia="Times New Roman" w:hAnsi="Times New Roman" w:cs="Times New Roman"/>
                <w:sz w:val="24"/>
              </w:rPr>
            </w:pPr>
            <w:r>
              <w:rPr>
                <w:rFonts w:ascii="Times New Roman" w:hAnsi="Times New Roman"/>
                <w:sz w:val="24"/>
              </w:rPr>
              <w:t>Media delle PD di singole classi di debitori ponderate per il corrispondente valore dell</w:t>
            </w:r>
            <w:r w:rsidR="008B6CDC">
              <w:rPr>
                <w:rFonts w:ascii="Times New Roman" w:hAnsi="Times New Roman"/>
                <w:sz w:val="24"/>
              </w:rPr>
              <w:t>'</w:t>
            </w:r>
            <w:r>
              <w:rPr>
                <w:rFonts w:ascii="Times New Roman" w:hAnsi="Times New Roman"/>
                <w:sz w:val="24"/>
              </w:rPr>
              <w:t>esposizione definito nella colonna a</w:t>
            </w:r>
            <w:r>
              <w:t xml:space="preserve"> </w:t>
            </w:r>
            <w:r>
              <w:rPr>
                <w:rFonts w:ascii="Times New Roman" w:hAnsi="Times New Roman"/>
                <w:sz w:val="24"/>
              </w:rPr>
              <w:t>di questo modello</w:t>
            </w:r>
            <w:r>
              <w:t>.</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Numero di debitori</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Il numero di soggetti giuridici o debitori assegnati a ciascuna categoria della scala di PD fissa, che sono stati valutati separatamente, indipendentemente dal numero dei diversi prestiti o esposizioni concessi.</w:t>
            </w:r>
          </w:p>
          <w:p w14:paraId="7E8F21FB" w14:textId="2D7F8B3A" w:rsidR="00F43911" w:rsidRPr="007F4CC8" w:rsidRDefault="00F43911" w:rsidP="007E6920">
            <w:pPr>
              <w:spacing w:after="220"/>
              <w:jc w:val="both"/>
              <w:rPr>
                <w:rFonts w:ascii="Times New Roman" w:hAnsi="Times New Roman" w:cs="Times New Roman"/>
                <w:sz w:val="24"/>
              </w:rPr>
            </w:pPr>
            <w:r>
              <w:rPr>
                <w:rFonts w:ascii="Times New Roman" w:hAnsi="Times New Roman"/>
                <w:sz w:val="24"/>
              </w:rPr>
              <w:t>Se diverse esposizioni verso lo stesso debitore sono valutate separatamente, esse sono conteggiate separatamente. Tale situazione può verificarsi se esposizioni distinte verso lo stesso debitore sono assegnate a classi di debitori diverse conformemente all</w:t>
            </w:r>
            <w:r w:rsidR="008B6CDC">
              <w:rPr>
                <w:rFonts w:ascii="Times New Roman" w:hAnsi="Times New Roman"/>
                <w:sz w:val="24"/>
              </w:rPr>
              <w:t>'</w:t>
            </w:r>
            <w:r>
              <w:rPr>
                <w:rFonts w:ascii="Times New Roman" w:hAnsi="Times New Roman"/>
                <w:sz w:val="24"/>
              </w:rPr>
              <w:t>articolo 172, paragrafo 1, lettera e), seconda frase, del regolamento (UE) n.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38F7C736"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LGD media ponderata per l</w:t>
            </w:r>
            <w:r w:rsidR="008B6CDC">
              <w:rPr>
                <w:rFonts w:ascii="Times New Roman" w:hAnsi="Times New Roman"/>
                <w:b/>
                <w:sz w:val="24"/>
              </w:rPr>
              <w:t>'</w:t>
            </w:r>
            <w:r>
              <w:rPr>
                <w:rFonts w:ascii="Times New Roman" w:hAnsi="Times New Roman"/>
                <w:b/>
                <w:sz w:val="24"/>
              </w:rPr>
              <w:t>esposizione (%)</w:t>
            </w:r>
          </w:p>
          <w:p w14:paraId="34068163" w14:textId="2BDFA9B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Media delle LGD delle classi di debitori ponderate per il corrispondente valore dell</w:t>
            </w:r>
            <w:r w:rsidR="008B6CDC">
              <w:rPr>
                <w:rFonts w:ascii="Times New Roman" w:hAnsi="Times New Roman"/>
                <w:sz w:val="24"/>
              </w:rPr>
              <w:t>'</w:t>
            </w:r>
            <w:r>
              <w:rPr>
                <w:rFonts w:ascii="Times New Roman" w:hAnsi="Times New Roman"/>
                <w:sz w:val="24"/>
              </w:rPr>
              <w:t>esposizione.</w:t>
            </w:r>
          </w:p>
          <w:p w14:paraId="789E926C" w14:textId="277D6428"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La LGD indicata corrisponde alla stima finale della LGD utilizzata nel calcolo dei requisiti di fondi propri ottenuti considerando gli effetti della CRM e le condizioni di recessione, se del caso.</w:t>
            </w:r>
          </w:p>
          <w:p w14:paraId="766422CE" w14:textId="6364A7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In caso di esposizioni soggette al trattamento del </w:t>
            </w:r>
            <w:r>
              <w:rPr>
                <w:rFonts w:ascii="Times New Roman" w:hAnsi="Times New Roman"/>
                <w:i/>
                <w:sz w:val="24"/>
              </w:rPr>
              <w:t>double default</w:t>
            </w:r>
            <w:r>
              <w:rPr>
                <w:rFonts w:ascii="Times New Roman" w:hAnsi="Times New Roman"/>
                <w:sz w:val="24"/>
              </w:rPr>
              <w:t>, la LGD da</w:t>
            </w:r>
            <w:r w:rsidR="007E6920">
              <w:rPr>
                <w:rFonts w:ascii="Times New Roman" w:hAnsi="Times New Roman"/>
                <w:sz w:val="24"/>
              </w:rPr>
              <w:t> </w:t>
            </w:r>
            <w:r>
              <w:rPr>
                <w:rFonts w:ascii="Times New Roman" w:hAnsi="Times New Roman"/>
                <w:sz w:val="24"/>
              </w:rPr>
              <w:t>indicare è la LGD selezionata conformemente all</w:t>
            </w:r>
            <w:r w:rsidR="008B6CDC">
              <w:rPr>
                <w:rFonts w:ascii="Times New Roman" w:hAnsi="Times New Roman"/>
                <w:sz w:val="24"/>
              </w:rPr>
              <w:t>'</w:t>
            </w:r>
            <w:r>
              <w:rPr>
                <w:rFonts w:ascii="Times New Roman" w:hAnsi="Times New Roman"/>
                <w:sz w:val="24"/>
              </w:rPr>
              <w:t>articolo 161, paragrafo 4, del regolamento (UE) n. 575/2013.</w:t>
            </w:r>
          </w:p>
          <w:p w14:paraId="7A98367D" w14:textId="6B0C240C"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Per le esposizioni in stato di default secondo il metodo A-IRB si applicano le</w:t>
            </w:r>
            <w:r w:rsidR="007E6920">
              <w:rPr>
                <w:rFonts w:ascii="Times New Roman" w:hAnsi="Times New Roman"/>
                <w:sz w:val="24"/>
              </w:rPr>
              <w:t> </w:t>
            </w:r>
            <w:r>
              <w:rPr>
                <w:rFonts w:ascii="Times New Roman" w:hAnsi="Times New Roman"/>
                <w:sz w:val="24"/>
              </w:rPr>
              <w:t>disposizioni dell</w:t>
            </w:r>
            <w:r w:rsidR="008B6CDC">
              <w:rPr>
                <w:rFonts w:ascii="Times New Roman" w:hAnsi="Times New Roman"/>
                <w:sz w:val="24"/>
              </w:rPr>
              <w:t>'</w:t>
            </w:r>
            <w:r>
              <w:rPr>
                <w:rFonts w:ascii="Times New Roman" w:hAnsi="Times New Roman"/>
                <w:sz w:val="24"/>
              </w:rPr>
              <w:t>articolo 181, paragrafo 1, lettera h), del regolamento (UE) n. 575/2013. La LGD indicata corrisponde alla stima della LGD in stato di default.</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e</w:t>
            </w:r>
          </w:p>
        </w:tc>
        <w:tc>
          <w:tcPr>
            <w:tcW w:w="7655" w:type="dxa"/>
            <w:vAlign w:val="center"/>
          </w:tcPr>
          <w:p w14:paraId="211ACBAA" w14:textId="71907C26"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Durata media ponderata per l</w:t>
            </w:r>
            <w:r w:rsidR="008B6CDC">
              <w:rPr>
                <w:rFonts w:ascii="Times New Roman" w:hAnsi="Times New Roman"/>
                <w:b/>
                <w:sz w:val="24"/>
              </w:rPr>
              <w:t>'</w:t>
            </w:r>
            <w:r>
              <w:rPr>
                <w:rFonts w:ascii="Times New Roman" w:hAnsi="Times New Roman"/>
                <w:b/>
                <w:sz w:val="24"/>
              </w:rPr>
              <w:t>esposizione (anni)</w:t>
            </w:r>
          </w:p>
          <w:p w14:paraId="1C040569" w14:textId="0DE88B04"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Media delle durate del debitore in anni ponderate per il corrispondente valore dell</w:t>
            </w:r>
            <w:r w:rsidR="008B6CDC">
              <w:rPr>
                <w:rFonts w:ascii="Times New Roman" w:hAnsi="Times New Roman"/>
                <w:sz w:val="24"/>
              </w:rPr>
              <w:t>'</w:t>
            </w:r>
            <w:r>
              <w:rPr>
                <w:rFonts w:ascii="Times New Roman" w:hAnsi="Times New Roman"/>
                <w:sz w:val="24"/>
              </w:rPr>
              <w:t>esposizione di cui alla colonna a di questo modello.</w:t>
            </w:r>
          </w:p>
          <w:p w14:paraId="61506003" w14:textId="388C8F1B"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Il valore della durata indicato è determinato conformemente all</w:t>
            </w:r>
            <w:r w:rsidR="008B6CDC">
              <w:rPr>
                <w:rFonts w:ascii="Times New Roman" w:hAnsi="Times New Roman"/>
                <w:sz w:val="24"/>
              </w:rPr>
              <w:t>'</w:t>
            </w:r>
            <w:r>
              <w:rPr>
                <w:rFonts w:ascii="Times New Roman" w:hAnsi="Times New Roman"/>
                <w:sz w:val="24"/>
              </w:rPr>
              <w:t>articolo 162 del regolamento (UE) n.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lastRenderedPageBreak/>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RWEA</w:t>
            </w:r>
          </w:p>
          <w:p w14:paraId="0179891F" w14:textId="0624742A"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Importi delle esposizioni ponderati per il rischio calcolati conformemente ai</w:t>
            </w:r>
            <w:r w:rsidR="007E6920">
              <w:rPr>
                <w:rFonts w:ascii="Times New Roman" w:hAnsi="Times New Roman"/>
                <w:sz w:val="24"/>
              </w:rPr>
              <w:t> </w:t>
            </w:r>
            <w:r>
              <w:rPr>
                <w:rFonts w:ascii="Times New Roman" w:hAnsi="Times New Roman"/>
                <w:sz w:val="24"/>
              </w:rPr>
              <w:t>requisiti della parte tre, titolo II, capo 3, del regolamento (UE) n. 575/2013; per le esposizioni verso amministrazioni centrali e banche centrali, enti e imprese, l</w:t>
            </w:r>
            <w:r w:rsidR="008B6CDC">
              <w:rPr>
                <w:rFonts w:ascii="Times New Roman" w:hAnsi="Times New Roman"/>
                <w:sz w:val="24"/>
              </w:rPr>
              <w:t>'</w:t>
            </w:r>
            <w:r>
              <w:rPr>
                <w:rFonts w:ascii="Times New Roman" w:hAnsi="Times New Roman"/>
                <w:sz w:val="24"/>
              </w:rPr>
              <w:t>importo dell</w:t>
            </w:r>
            <w:r w:rsidR="008B6CDC">
              <w:rPr>
                <w:rFonts w:ascii="Times New Roman" w:hAnsi="Times New Roman"/>
                <w:sz w:val="24"/>
              </w:rPr>
              <w:t>'</w:t>
            </w:r>
            <w:r>
              <w:rPr>
                <w:rFonts w:ascii="Times New Roman" w:hAnsi="Times New Roman"/>
                <w:sz w:val="24"/>
              </w:rPr>
              <w:t>esposizione ponderato per il rischio calcolato conformemente all</w:t>
            </w:r>
            <w:r w:rsidR="008B6CDC">
              <w:rPr>
                <w:rFonts w:ascii="Times New Roman" w:hAnsi="Times New Roman"/>
                <w:sz w:val="24"/>
              </w:rPr>
              <w:t>'</w:t>
            </w:r>
            <w:r>
              <w:rPr>
                <w:rFonts w:ascii="Times New Roman" w:hAnsi="Times New Roman"/>
                <w:sz w:val="24"/>
              </w:rPr>
              <w:t>articolo</w:t>
            </w:r>
            <w:r w:rsidR="007E6920">
              <w:rPr>
                <w:rFonts w:ascii="Times New Roman" w:hAnsi="Times New Roman"/>
                <w:sz w:val="24"/>
              </w:rPr>
              <w:t> </w:t>
            </w:r>
            <w:r>
              <w:rPr>
                <w:rFonts w:ascii="Times New Roman" w:hAnsi="Times New Roman"/>
                <w:sz w:val="24"/>
              </w:rPr>
              <w:t>153, paragrafi da 1 a 4, del regolamento (UE) n. 575/2013; si tiene conto dei fattori di sostegno alle PMI e alle infrastrutture determinati conformemente agli articoli 501 e 501 bis del regolamento (UE) n. 575/2013; per le esposizioni in strumenti di capitale nell</w:t>
            </w:r>
            <w:r w:rsidR="008B6CDC">
              <w:rPr>
                <w:rFonts w:ascii="Times New Roman" w:hAnsi="Times New Roman"/>
                <w:sz w:val="24"/>
              </w:rPr>
              <w:t>'</w:t>
            </w:r>
            <w:r>
              <w:rPr>
                <w:rFonts w:ascii="Times New Roman" w:hAnsi="Times New Roman"/>
                <w:sz w:val="24"/>
              </w:rPr>
              <w:t>ambito del metodo PD/LGD, l</w:t>
            </w:r>
            <w:r w:rsidR="008B6CDC">
              <w:rPr>
                <w:rFonts w:ascii="Times New Roman" w:hAnsi="Times New Roman"/>
                <w:sz w:val="24"/>
              </w:rPr>
              <w:t>'</w:t>
            </w:r>
            <w:r>
              <w:rPr>
                <w:rFonts w:ascii="Times New Roman" w:hAnsi="Times New Roman"/>
                <w:sz w:val="24"/>
              </w:rPr>
              <w:t>importo delle esposizioni ponderato per il rischio calcolato conformemente all</w:t>
            </w:r>
            <w:r w:rsidR="008B6CDC">
              <w:rPr>
                <w:rFonts w:ascii="Times New Roman" w:hAnsi="Times New Roman"/>
                <w:sz w:val="24"/>
              </w:rPr>
              <w:t>'</w:t>
            </w:r>
            <w:r>
              <w:rPr>
                <w:rFonts w:ascii="Times New Roman" w:hAnsi="Times New Roman"/>
                <w:sz w:val="24"/>
              </w:rPr>
              <w:t>articolo</w:t>
            </w:r>
            <w:r w:rsidR="007E6920">
              <w:rPr>
                <w:rFonts w:ascii="Times New Roman" w:hAnsi="Times New Roman"/>
                <w:sz w:val="24"/>
              </w:rPr>
              <w:t> </w:t>
            </w:r>
            <w:r>
              <w:rPr>
                <w:rFonts w:ascii="Times New Roman" w:hAnsi="Times New Roman"/>
                <w:sz w:val="24"/>
              </w:rPr>
              <w:t>155, paragrafo</w:t>
            </w:r>
            <w:r w:rsidR="007E6920">
              <w:rPr>
                <w:rFonts w:ascii="Times New Roman" w:hAnsi="Times New Roman"/>
                <w:sz w:val="24"/>
              </w:rPr>
              <w:t> </w:t>
            </w:r>
            <w:r>
              <w:rPr>
                <w:rFonts w:ascii="Times New Roman" w:hAnsi="Times New Roman"/>
                <w:sz w:val="24"/>
              </w:rPr>
              <w:t>3, del regolamento (UE) n.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Densità degli importi delle esposizioni ponderati per il rischio</w:t>
            </w:r>
          </w:p>
          <w:p w14:paraId="7215E9DB" w14:textId="15C53D5E"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Rapporto tra gli importi complessivi delle esposizioni ponderati per il rischio (nella colonna f di questo modello) e il valore dell</w:t>
            </w:r>
            <w:r w:rsidR="008B6CDC">
              <w:rPr>
                <w:rFonts w:ascii="Times New Roman" w:hAnsi="Times New Roman"/>
                <w:sz w:val="24"/>
              </w:rPr>
              <w:t>'</w:t>
            </w:r>
            <w:r>
              <w:rPr>
                <w:rFonts w:ascii="Times New Roman" w:hAnsi="Times New Roman"/>
                <w:sz w:val="24"/>
              </w:rPr>
              <w:t>esposizione (nella colonna a di questo modello).</w:t>
            </w:r>
          </w:p>
        </w:tc>
      </w:tr>
    </w:tbl>
    <w:p w14:paraId="5E980DF6" w14:textId="77777777" w:rsidR="00F43911" w:rsidRPr="008B6CDC" w:rsidRDefault="00F43911" w:rsidP="00F43911">
      <w:pPr>
        <w:pStyle w:val="Titlelevel2"/>
        <w:spacing w:before="0"/>
        <w:rPr>
          <w:rFonts w:ascii="Times New Roman" w:hAnsi="Times New Roman" w:cs="Times New Roman"/>
          <w:color w:val="auto"/>
          <w:sz w:val="24"/>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Modello EU CCR5: composizione delle garanzie reali per le esposizioni soggette al CCR - </w:t>
      </w:r>
      <w:r>
        <w:rPr>
          <w:rFonts w:ascii="Times New Roman" w:hAnsi="Times New Roman"/>
          <w:color w:val="auto"/>
          <w:sz w:val="24"/>
        </w:rPr>
        <w:t>Colonne fisse</w:t>
      </w:r>
    </w:p>
    <w:p w14:paraId="1BA1E0E1" w14:textId="4AB84718"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Gli enti pubblicano le informazioni di cui all</w:t>
      </w:r>
      <w:r w:rsidR="008B6CDC">
        <w:rPr>
          <w:rFonts w:ascii="Times New Roman" w:hAnsi="Times New Roman"/>
          <w:color w:val="000000"/>
          <w:sz w:val="24"/>
        </w:rPr>
        <w:t>'</w:t>
      </w:r>
      <w:r>
        <w:rPr>
          <w:rFonts w:ascii="Times New Roman" w:hAnsi="Times New Roman"/>
          <w:color w:val="000000"/>
          <w:sz w:val="24"/>
        </w:rPr>
        <w:t xml:space="preserve">articolo 439, lettera e), </w:t>
      </w:r>
      <w:r>
        <w:rPr>
          <w:rFonts w:ascii="Times New Roman" w:hAnsi="Times New Roman"/>
          <w:color w:val="auto"/>
          <w:sz w:val="24"/>
        </w:rPr>
        <w:t>del regolamento (UE) n. 575/2013</w:t>
      </w:r>
      <w:r>
        <w:rPr>
          <w:rFonts w:ascii="Times New Roman" w:hAnsi="Times New Roman"/>
          <w:color w:val="000000"/>
          <w:sz w:val="24"/>
        </w:rPr>
        <w:t xml:space="preserve"> seguendo le istruzioni fornite di seguito nel presente allegato per compilare il modello EU CCR5 di cui all</w:t>
      </w:r>
      <w:r w:rsidR="008B6CDC">
        <w:rPr>
          <w:rFonts w:ascii="Times New Roman" w:hAnsi="Times New Roman"/>
          <w:color w:val="000000"/>
          <w:sz w:val="24"/>
        </w:rPr>
        <w:t>'</w:t>
      </w:r>
      <w:r>
        <w:rPr>
          <w:rFonts w:ascii="Times New Roman" w:hAnsi="Times New Roman"/>
          <w:color w:val="000000"/>
          <w:sz w:val="24"/>
        </w:rPr>
        <w:t>allegato XXV delle soluzioni informatiche dell</w:t>
      </w:r>
      <w:r w:rsidR="008B6CDC">
        <w:rPr>
          <w:rFonts w:ascii="Times New Roman" w:hAnsi="Times New Roman"/>
          <w:color w:val="000000"/>
          <w:sz w:val="24"/>
        </w:rPr>
        <w:t>'</w:t>
      </w:r>
      <w:r>
        <w:rPr>
          <w:rFonts w:ascii="Times New Roman" w:hAnsi="Times New Roman"/>
          <w:color w:val="000000"/>
          <w:sz w:val="24"/>
        </w:rPr>
        <w:t>ABE.</w:t>
      </w:r>
    </w:p>
    <w:p w14:paraId="2C3CDB2D" w14:textId="0B84D248"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Questo modello è compilato con il valore equo delle garanzie reali (fornite o ricevute) utilizzate nelle esposizioni al CCR relative a operazioni su derivati o a SFT, a</w:t>
      </w:r>
      <w:r w:rsidR="007E6920">
        <w:rPr>
          <w:rFonts w:ascii="Times New Roman" w:hAnsi="Times New Roman"/>
          <w:color w:val="000000"/>
          <w:sz w:val="24"/>
        </w:rPr>
        <w:t> </w:t>
      </w:r>
      <w:r>
        <w:rPr>
          <w:rFonts w:ascii="Times New Roman" w:hAnsi="Times New Roman"/>
          <w:color w:val="000000"/>
          <w:sz w:val="24"/>
        </w:rPr>
        <w:t xml:space="preserve">prescindere dal fatto che le operazioni siano compensate o meno tramite una CCP e che le garanzie reali siano o meno fornite a una CCP. </w:t>
      </w:r>
    </w:p>
    <w:p w14:paraId="35B1131B" w14:textId="35609C1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Ove la banca centrale di uno Stato membro fornisca assistenza di liquidità sotto forma di operazioni di swap con garanzie reali, l</w:t>
      </w:r>
      <w:r w:rsidR="008B6CDC">
        <w:rPr>
          <w:rFonts w:ascii="Times New Roman" w:hAnsi="Times New Roman"/>
          <w:color w:val="000000"/>
          <w:sz w:val="24"/>
        </w:rPr>
        <w:t>'</w:t>
      </w:r>
      <w:r>
        <w:rPr>
          <w:rFonts w:ascii="Times New Roman" w:hAnsi="Times New Roman"/>
          <w:color w:val="000000"/>
          <w:sz w:val="24"/>
        </w:rPr>
        <w:t>autorità competente può esentare gli enti dalla pubblicazione delle informazioni di questo modello qualora detta autorità competente ritenga che la pubblicazione delle informazioni potrebbe rivelare che è stata fornita assistenza di liquidità di ultima istanza. A tali fini l</w:t>
      </w:r>
      <w:r w:rsidR="008B6CDC">
        <w:rPr>
          <w:rFonts w:ascii="Times New Roman" w:hAnsi="Times New Roman"/>
          <w:color w:val="000000"/>
          <w:sz w:val="24"/>
        </w:rPr>
        <w:t>'</w:t>
      </w:r>
      <w:r>
        <w:rPr>
          <w:rFonts w:ascii="Times New Roman" w:hAnsi="Times New Roman"/>
          <w:color w:val="000000"/>
          <w:sz w:val="24"/>
        </w:rPr>
        <w:t>autorità competente fissa soglie adeguate e criteri obiettivi.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Riferimenti giuridici e istruzioni</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4DFCA57C"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Numero di</w:t>
            </w:r>
            <w:r w:rsidR="008B6CDC">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Spiegazione</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Tipo di garanzia reale</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Disaggregazione per tipo di garanzia reale</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lastRenderedPageBreak/>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Totale</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Spiegazione</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e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Separato</w:t>
            </w:r>
          </w:p>
          <w:p w14:paraId="33245F1F" w14:textId="1C73EA1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Garanzie reali non aggredibili in caso di procedura concorsuale ai sensi dell</w:t>
            </w:r>
            <w:r w:rsidR="008B6CDC">
              <w:rPr>
                <w:rFonts w:ascii="Times New Roman" w:hAnsi="Times New Roman"/>
                <w:sz w:val="24"/>
              </w:rPr>
              <w:t>'</w:t>
            </w:r>
            <w:r>
              <w:rPr>
                <w:rFonts w:ascii="Times New Roman" w:hAnsi="Times New Roman"/>
                <w:sz w:val="24"/>
              </w:rPr>
              <w:t>articolo 300, punto 1, del regolamento (UE) n.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e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Non separato</w:t>
            </w:r>
          </w:p>
          <w:p w14:paraId="68BB9947" w14:textId="38DBFB2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Garanzie reali aggredibili in caso di procedura concorsuale ai sensi dell</w:t>
            </w:r>
            <w:r w:rsidR="008B6CDC">
              <w:rPr>
                <w:rFonts w:ascii="Times New Roman" w:hAnsi="Times New Roman"/>
                <w:sz w:val="24"/>
              </w:rPr>
              <w:t>'</w:t>
            </w:r>
            <w:r>
              <w:rPr>
                <w:rFonts w:ascii="Times New Roman" w:hAnsi="Times New Roman"/>
                <w:sz w:val="24"/>
              </w:rPr>
              <w:t>articolo 300, punto 1, del regolamento (UE) n.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Da a a 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Garanzie reali utilizzate in operazioni su derivati</w:t>
            </w:r>
          </w:p>
          <w:p w14:paraId="1A477A5A" w14:textId="2E2EB866"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Garanzie reali (comprese quelle sotto forma di margine iniziale e margine di variazione) utilizzate nelle esposizioni soggette al CCR relative a strumenti derivati di cui all</w:t>
            </w:r>
            <w:r w:rsidR="008B6CDC">
              <w:rPr>
                <w:rFonts w:ascii="Times New Roman" w:hAnsi="Times New Roman"/>
                <w:sz w:val="24"/>
              </w:rPr>
              <w:t>'</w:t>
            </w:r>
            <w:r>
              <w:rPr>
                <w:rFonts w:ascii="Times New Roman" w:hAnsi="Times New Roman"/>
                <w:sz w:val="24"/>
              </w:rPr>
              <w:t>allegato</w:t>
            </w:r>
            <w:r w:rsidR="007E6920">
              <w:rPr>
                <w:rFonts w:ascii="Times New Roman" w:hAnsi="Times New Roman"/>
                <w:sz w:val="24"/>
              </w:rPr>
              <w:t> </w:t>
            </w:r>
            <w:r>
              <w:rPr>
                <w:rFonts w:ascii="Times New Roman" w:hAnsi="Times New Roman"/>
                <w:sz w:val="24"/>
              </w:rPr>
              <w:t>II del regolamento (UE) n. 575/2013 o a un</w:t>
            </w:r>
            <w:r w:rsidR="008B6CDC">
              <w:rPr>
                <w:rFonts w:ascii="Times New Roman" w:hAnsi="Times New Roman"/>
                <w:sz w:val="24"/>
              </w:rPr>
              <w:t>'</w:t>
            </w:r>
            <w:r>
              <w:rPr>
                <w:rFonts w:ascii="Times New Roman" w:hAnsi="Times New Roman"/>
                <w:sz w:val="24"/>
              </w:rPr>
              <w:t>operazione con regolamento a lungo termine ai sensi dell</w:t>
            </w:r>
            <w:r w:rsidR="008B6CDC">
              <w:rPr>
                <w:rFonts w:ascii="Times New Roman" w:hAnsi="Times New Roman"/>
                <w:sz w:val="24"/>
              </w:rPr>
              <w:t>'</w:t>
            </w:r>
            <w:r>
              <w:rPr>
                <w:rFonts w:ascii="Times New Roman" w:hAnsi="Times New Roman"/>
                <w:sz w:val="24"/>
              </w:rPr>
              <w:t>articolo 271, paragrafo</w:t>
            </w:r>
            <w:r w:rsidR="007E6920">
              <w:rPr>
                <w:rFonts w:ascii="Times New Roman" w:hAnsi="Times New Roman"/>
                <w:sz w:val="24"/>
              </w:rPr>
              <w:t> </w:t>
            </w:r>
            <w:r>
              <w:rPr>
                <w:rFonts w:ascii="Times New Roman" w:hAnsi="Times New Roman"/>
                <w:sz w:val="24"/>
              </w:rPr>
              <w:t>2, del regolamento (UE) n. 575/2013, che non sono ammissibili come SFT.</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Da e a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Garanzie reali utilizzate in SFT</w:t>
            </w:r>
          </w:p>
          <w:p w14:paraId="527E4A25" w14:textId="60BEB951"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Garanzie reali (compresi il margine iniziale e il margine di variazione, nonché le garanzie reali che appaiono nella componente titoli dell</w:t>
            </w:r>
            <w:r w:rsidR="008B6CDC">
              <w:rPr>
                <w:rFonts w:ascii="Times New Roman" w:hAnsi="Times New Roman"/>
                <w:sz w:val="24"/>
              </w:rPr>
              <w:t>'</w:t>
            </w:r>
            <w:r>
              <w:rPr>
                <w:rFonts w:ascii="Times New Roman" w:hAnsi="Times New Roman"/>
                <w:sz w:val="24"/>
              </w:rPr>
              <w:t>SFT) utilizzate nelle esposizioni soggette al CCR relative a SFT o a un</w:t>
            </w:r>
            <w:r w:rsidR="008B6CDC">
              <w:rPr>
                <w:rFonts w:ascii="Times New Roman" w:hAnsi="Times New Roman"/>
                <w:sz w:val="24"/>
              </w:rPr>
              <w:t>'</w:t>
            </w:r>
            <w:r>
              <w:rPr>
                <w:rFonts w:ascii="Times New Roman" w:hAnsi="Times New Roman"/>
                <w:sz w:val="24"/>
              </w:rPr>
              <w:t>operazione con regolamento a lungo termine non ammissibile come derivato.</w:t>
            </w:r>
          </w:p>
        </w:tc>
      </w:tr>
    </w:tbl>
    <w:p w14:paraId="664BC745" w14:textId="77777777" w:rsidR="00F43911" w:rsidRPr="008B6CDC" w:rsidRDefault="00F43911" w:rsidP="00F43911">
      <w:pPr>
        <w:pStyle w:val="Titlelevel2"/>
        <w:spacing w:before="0"/>
        <w:rPr>
          <w:rFonts w:ascii="Times New Roman" w:hAnsi="Times New Roman" w:cs="Times New Roman"/>
          <w:color w:val="auto"/>
          <w:sz w:val="24"/>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EU CCR6: esposizioni in derivati su crediti </w:t>
      </w:r>
      <w:r>
        <w:rPr>
          <w:rFonts w:ascii="Times New Roman" w:hAnsi="Times New Roman"/>
          <w:color w:val="auto"/>
          <w:sz w:val="24"/>
        </w:rPr>
        <w:t>(formato fisso)</w:t>
      </w:r>
    </w:p>
    <w:p w14:paraId="249E517C" w14:textId="14EDCB4B"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Gli enti pubblicano le informazioni di cui all</w:t>
      </w:r>
      <w:r w:rsidR="008B6CDC">
        <w:rPr>
          <w:rFonts w:ascii="Times New Roman" w:hAnsi="Times New Roman"/>
          <w:color w:val="000000"/>
          <w:sz w:val="24"/>
        </w:rPr>
        <w:t>'</w:t>
      </w:r>
      <w:r>
        <w:rPr>
          <w:rFonts w:ascii="Times New Roman" w:hAnsi="Times New Roman"/>
          <w:color w:val="000000"/>
          <w:sz w:val="24"/>
        </w:rPr>
        <w:t xml:space="preserve">articolo 439, lettera j), </w:t>
      </w:r>
      <w:r>
        <w:rPr>
          <w:rFonts w:ascii="Times New Roman" w:hAnsi="Times New Roman"/>
          <w:color w:val="auto"/>
          <w:sz w:val="24"/>
        </w:rPr>
        <w:t>del regolamento (UE) n. 575/2013</w:t>
      </w:r>
      <w:r>
        <w:rPr>
          <w:rFonts w:ascii="Times New Roman" w:hAnsi="Times New Roman"/>
          <w:color w:val="000000"/>
          <w:sz w:val="24"/>
        </w:rPr>
        <w:t xml:space="preserve"> seguendo le istruzioni fornite di seguito nel presente allegato per compilare il modello EU CCR6 di cui all</w:t>
      </w:r>
      <w:r w:rsidR="008B6CDC">
        <w:rPr>
          <w:rFonts w:ascii="Times New Roman" w:hAnsi="Times New Roman"/>
          <w:color w:val="000000"/>
          <w:sz w:val="24"/>
        </w:rPr>
        <w:t>'</w:t>
      </w:r>
      <w:r>
        <w:rPr>
          <w:rFonts w:ascii="Times New Roman" w:hAnsi="Times New Roman"/>
          <w:color w:val="000000"/>
          <w:sz w:val="24"/>
        </w:rPr>
        <w:t>allegato XXV delle soluzioni informatiche dell</w:t>
      </w:r>
      <w:r w:rsidR="008B6CDC">
        <w:rPr>
          <w:rFonts w:ascii="Times New Roman" w:hAnsi="Times New Roman"/>
          <w:color w:val="000000"/>
          <w:sz w:val="24"/>
        </w:rPr>
        <w:t>'</w:t>
      </w:r>
      <w:r>
        <w:rPr>
          <w:rFonts w:ascii="Times New Roman" w:hAnsi="Times New Roman"/>
          <w:color w:val="000000"/>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Riferimenti giuridici e istruzioni</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CEB4FD2"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Numero di</w:t>
            </w:r>
            <w:r w:rsidR="008B6CDC">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Spiegazione</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5164FF9D"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Nozionali</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t>Somma degli importi nozionali assoluti dei derivati prima di qualsiasi compensazione, ripartiti per tipo di prodotto.</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lastRenderedPageBreak/>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Fair value (valori equi)</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Valori equi ripartiti per attività (valori equi positivi) e passività (valori equi negativi).</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Spiegazione</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Protezione in forma di derivati su crediti</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Protezione in forma di derivati su crediti acquistata o venduta conformemente</w:t>
            </w:r>
            <w:r>
              <w:rPr>
                <w:rFonts w:ascii="Times New Roman" w:hAnsi="Times New Roman"/>
                <w:sz w:val="24"/>
              </w:rPr>
              <w:t xml:space="preserve"> alla parte tre, titolo II, capo 6, del regolamento (UE) n. 575/2013.</w:t>
            </w:r>
          </w:p>
        </w:tc>
      </w:tr>
    </w:tbl>
    <w:p w14:paraId="2A1A8F86" w14:textId="77777777" w:rsidR="00F43911" w:rsidRPr="008B6CDC" w:rsidRDefault="00F43911" w:rsidP="00F43911">
      <w:pPr>
        <w:pStyle w:val="Titlelevel2"/>
        <w:spacing w:before="0"/>
        <w:rPr>
          <w:rFonts w:ascii="Times New Roman" w:hAnsi="Times New Roman" w:cs="Times New Roman"/>
          <w:color w:val="auto"/>
          <w:sz w:val="24"/>
        </w:rPr>
      </w:pPr>
    </w:p>
    <w:p w14:paraId="5800BF80" w14:textId="02520105"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Modello EU CCR7: prospetti degli RWEA delle esposizioni soggette al CCR nell</w:t>
      </w:r>
      <w:r w:rsidR="008B6CDC">
        <w:rPr>
          <w:rFonts w:ascii="Times New Roman" w:hAnsi="Times New Roman"/>
          <w:b/>
          <w:color w:val="auto"/>
          <w:sz w:val="24"/>
        </w:rPr>
        <w:t>'</w:t>
      </w:r>
      <w:r>
        <w:rPr>
          <w:rFonts w:ascii="Times New Roman" w:hAnsi="Times New Roman"/>
          <w:b/>
          <w:color w:val="auto"/>
          <w:sz w:val="24"/>
        </w:rPr>
        <w:t>ambito dell</w:t>
      </w:r>
      <w:r w:rsidR="008B6CDC">
        <w:rPr>
          <w:rFonts w:ascii="Times New Roman" w:hAnsi="Times New Roman"/>
          <w:b/>
          <w:color w:val="auto"/>
          <w:sz w:val="24"/>
        </w:rPr>
        <w:t>'</w:t>
      </w:r>
      <w:r>
        <w:rPr>
          <w:rFonts w:ascii="Times New Roman" w:hAnsi="Times New Roman"/>
          <w:b/>
          <w:color w:val="auto"/>
          <w:sz w:val="24"/>
        </w:rPr>
        <w:t xml:space="preserve">IMM </w:t>
      </w:r>
      <w:r>
        <w:rPr>
          <w:rFonts w:ascii="Times New Roman" w:hAnsi="Times New Roman"/>
          <w:color w:val="auto"/>
          <w:sz w:val="24"/>
        </w:rPr>
        <w:t>(formato fisso)</w:t>
      </w:r>
    </w:p>
    <w:p w14:paraId="2FBF77B4" w14:textId="1EA2C3F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Gli enti pubblicano le informazioni di cui all</w:t>
      </w:r>
      <w:r w:rsidR="008B6CDC">
        <w:rPr>
          <w:rFonts w:ascii="Times New Roman" w:hAnsi="Times New Roman"/>
          <w:color w:val="000000"/>
          <w:sz w:val="24"/>
        </w:rPr>
        <w:t>'</w:t>
      </w:r>
      <w:r>
        <w:rPr>
          <w:rFonts w:ascii="Times New Roman" w:hAnsi="Times New Roman"/>
          <w:color w:val="000000"/>
          <w:sz w:val="24"/>
        </w:rPr>
        <w:t xml:space="preserve">articolo 438, lettera h), </w:t>
      </w:r>
      <w:r>
        <w:rPr>
          <w:rFonts w:ascii="Times New Roman" w:hAnsi="Times New Roman"/>
          <w:color w:val="auto"/>
          <w:sz w:val="24"/>
        </w:rPr>
        <w:t>del regolamento (UE) n. 575/2013</w:t>
      </w:r>
      <w:r>
        <w:rPr>
          <w:rFonts w:ascii="Times New Roman" w:hAnsi="Times New Roman"/>
          <w:color w:val="000000"/>
          <w:sz w:val="24"/>
        </w:rPr>
        <w:t xml:space="preserve"> seguendo le istruzioni fornite di seguito nel presente allegato per compilare il modello EU CCR7 di cui all</w:t>
      </w:r>
      <w:r w:rsidR="008B6CDC">
        <w:rPr>
          <w:rFonts w:ascii="Times New Roman" w:hAnsi="Times New Roman"/>
          <w:color w:val="000000"/>
          <w:sz w:val="24"/>
        </w:rPr>
        <w:t>'</w:t>
      </w:r>
      <w:r>
        <w:rPr>
          <w:rFonts w:ascii="Times New Roman" w:hAnsi="Times New Roman"/>
          <w:color w:val="000000"/>
          <w:sz w:val="24"/>
        </w:rPr>
        <w:t>allegato XXV delle soluzioni informatiche dell</w:t>
      </w:r>
      <w:r w:rsidR="008B6CDC">
        <w:rPr>
          <w:rFonts w:ascii="Times New Roman" w:hAnsi="Times New Roman"/>
          <w:color w:val="000000"/>
          <w:sz w:val="24"/>
        </w:rPr>
        <w:t>'</w:t>
      </w:r>
      <w:r>
        <w:rPr>
          <w:rFonts w:ascii="Times New Roman" w:hAnsi="Times New Roman"/>
          <w:color w:val="000000"/>
          <w:sz w:val="24"/>
        </w:rPr>
        <w:t>ABE.</w:t>
      </w:r>
    </w:p>
    <w:p w14:paraId="5F6004F0" w14:textId="1887AAC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Gli enti che utilizzano l</w:t>
      </w:r>
      <w:r w:rsidR="008B6CDC">
        <w:rPr>
          <w:rFonts w:ascii="Times New Roman" w:hAnsi="Times New Roman"/>
          <w:color w:val="auto"/>
          <w:sz w:val="24"/>
        </w:rPr>
        <w:t>'</w:t>
      </w:r>
      <w:r>
        <w:rPr>
          <w:rFonts w:ascii="Times New Roman" w:hAnsi="Times New Roman"/>
          <w:color w:val="auto"/>
          <w:sz w:val="24"/>
        </w:rPr>
        <w:t>IMM per calcolare gli importi delle esposizioni ponderati per il rischio per tutte o parte delle loro esposizioni soggette al CCR conformemente alla parte tre, titolo II, capo 6, del regolamento (UE) n. 575/2013, a prescindere dal metodo del rischio di credito utilizzato per determinare i corrispondenti fattori di ponderazione del</w:t>
      </w:r>
      <w:r w:rsidR="007E6920">
        <w:rPr>
          <w:rFonts w:ascii="Times New Roman" w:hAnsi="Times New Roman"/>
          <w:color w:val="auto"/>
          <w:sz w:val="24"/>
        </w:rPr>
        <w:t> </w:t>
      </w:r>
      <w:r>
        <w:rPr>
          <w:rFonts w:ascii="Times New Roman" w:hAnsi="Times New Roman"/>
          <w:color w:val="auto"/>
          <w:sz w:val="24"/>
        </w:rPr>
        <w:t>rischio, pubblicano un rendiconto che illustra le variazioni degli importi delle esposizioni ponderati per il rischio dei derivati e delle SFT nell</w:t>
      </w:r>
      <w:r w:rsidR="008B6CDC">
        <w:rPr>
          <w:rFonts w:ascii="Times New Roman" w:hAnsi="Times New Roman"/>
          <w:color w:val="auto"/>
          <w:sz w:val="24"/>
        </w:rPr>
        <w:t>'</w:t>
      </w:r>
      <w:r>
        <w:rPr>
          <w:rFonts w:ascii="Times New Roman" w:hAnsi="Times New Roman"/>
          <w:color w:val="auto"/>
          <w:sz w:val="24"/>
        </w:rPr>
        <w:t>ambito di applicazione dell</w:t>
      </w:r>
      <w:r w:rsidR="008B6CDC">
        <w:rPr>
          <w:rFonts w:ascii="Times New Roman" w:hAnsi="Times New Roman"/>
          <w:color w:val="auto"/>
          <w:sz w:val="24"/>
        </w:rPr>
        <w:t>'</w:t>
      </w:r>
      <w:r>
        <w:rPr>
          <w:rFonts w:ascii="Times New Roman" w:hAnsi="Times New Roman"/>
          <w:color w:val="auto"/>
          <w:sz w:val="24"/>
        </w:rPr>
        <w:t>IMM differenziati per fattori chiave e basati su stime ragionevoli.</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Da questo modello sono esclusi gli importi ponderati per il rischio di CVA (parte tre, titolo VI, del regolamento (UE) n. 575/2013) e le esposizioni verso una controparte centrale (parte tre, titolo II, capo 6, sezione 9, del regolamento (UE) n. 575/2013).</w:t>
      </w:r>
    </w:p>
    <w:p w14:paraId="7DAAFDC1" w14:textId="79441951"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Gli enti indicano i flussi di RWEA come variazioni tra gli importi delle esposizioni ponderati per il rischio al termine del periodo di riferimento dell</w:t>
      </w:r>
      <w:r w:rsidR="008B6CDC">
        <w:rPr>
          <w:rFonts w:ascii="Times New Roman" w:hAnsi="Times New Roman"/>
          <w:color w:val="auto"/>
          <w:sz w:val="24"/>
        </w:rPr>
        <w:t>'</w:t>
      </w:r>
      <w:r>
        <w:rPr>
          <w:rFonts w:ascii="Times New Roman" w:hAnsi="Times New Roman"/>
          <w:color w:val="auto"/>
          <w:sz w:val="24"/>
        </w:rPr>
        <w:t>informativa (come specificato di seguito nella riga 9 di questo modello) e gli importi delle esposizioni ponderati per il rischio al termine del periodo di riferimento dell</w:t>
      </w:r>
      <w:r w:rsidR="008B6CDC">
        <w:rPr>
          <w:rFonts w:ascii="Times New Roman" w:hAnsi="Times New Roman"/>
          <w:color w:val="auto"/>
          <w:sz w:val="24"/>
        </w:rPr>
        <w:t>'</w:t>
      </w:r>
      <w:r>
        <w:rPr>
          <w:rFonts w:ascii="Times New Roman" w:hAnsi="Times New Roman"/>
          <w:color w:val="auto"/>
          <w:sz w:val="24"/>
        </w:rPr>
        <w:t>informativa precedente (come specificato di seguito nella riga 1 di questo modello; nel caso di informative trimestrali, al termine del trimestre precedente al trimestre del periodo di riferimento dell</w:t>
      </w:r>
      <w:r w:rsidR="008B6CDC">
        <w:rPr>
          <w:rFonts w:ascii="Times New Roman" w:hAnsi="Times New Roman"/>
          <w:color w:val="auto"/>
          <w:sz w:val="24"/>
        </w:rPr>
        <w:t>'</w:t>
      </w:r>
      <w:r>
        <w:rPr>
          <w:rFonts w:ascii="Times New Roman" w:hAnsi="Times New Roman"/>
          <w:color w:val="auto"/>
          <w:sz w:val="24"/>
        </w:rPr>
        <w:t>informativa). Gli enti possono integrare la propria informativa nell</w:t>
      </w:r>
      <w:r w:rsidR="008B6CDC">
        <w:rPr>
          <w:rFonts w:ascii="Times New Roman" w:hAnsi="Times New Roman"/>
          <w:color w:val="auto"/>
          <w:sz w:val="24"/>
        </w:rPr>
        <w:t>'</w:t>
      </w:r>
      <w:r>
        <w:rPr>
          <w:rFonts w:ascii="Times New Roman" w:hAnsi="Times New Roman"/>
          <w:color w:val="auto"/>
          <w:sz w:val="24"/>
        </w:rPr>
        <w:t>ambito del terzo pilastro pubblicando le stesse informazioni per i tre trimestri precedenti.</w:t>
      </w:r>
    </w:p>
    <w:p w14:paraId="23D5C19D" w14:textId="1D6C46E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t>Nella descrizione che accompagna il modello gli enti spiegano i dati indicati nella riga</w:t>
      </w:r>
      <w:r w:rsidR="007E6920">
        <w:rPr>
          <w:rFonts w:ascii="Times New Roman" w:hAnsi="Times New Roman"/>
          <w:color w:val="auto"/>
          <w:sz w:val="24"/>
        </w:rPr>
        <w:t> </w:t>
      </w:r>
      <w:r>
        <w:rPr>
          <w:rFonts w:ascii="Times New Roman" w:hAnsi="Times New Roman"/>
          <w:color w:val="auto"/>
          <w:sz w:val="24"/>
        </w:rPr>
        <w:t>8 del medesimo modello, ossia ogni altra determinante che contribuisca in modo significativo alle variazioni degli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7E6920">
            <w:pPr>
              <w:keepNext/>
              <w:spacing w:after="240"/>
              <w:rPr>
                <w:rFonts w:ascii="Times New Roman" w:hAnsi="Times New Roman" w:cs="Times New Roman"/>
                <w:b/>
                <w:sz w:val="24"/>
              </w:rPr>
            </w:pPr>
            <w:r>
              <w:rPr>
                <w:rFonts w:ascii="Times New Roman" w:hAnsi="Times New Roman"/>
                <w:b/>
                <w:sz w:val="24"/>
              </w:rPr>
              <w:lastRenderedPageBreak/>
              <w:t>Riferimenti giuridici e istruzioni</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54A6C173"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Numero di</w:t>
            </w:r>
            <w:r w:rsidR="008B6CDC">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Spiegazione</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alla fine del precedente periodo di informativa</w:t>
            </w:r>
          </w:p>
          <w:p w14:paraId="7F1BADFD" w14:textId="52B006DF"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Importi ponderati per il rischio delle esposizioni soggette al CCR nel quadro dell</w:t>
            </w:r>
            <w:r w:rsidR="008B6CDC">
              <w:rPr>
                <w:rFonts w:ascii="Times New Roman" w:hAnsi="Times New Roman"/>
                <w:sz w:val="24"/>
              </w:rPr>
              <w:t>'</w:t>
            </w:r>
            <w:r>
              <w:rPr>
                <w:rFonts w:ascii="Times New Roman" w:hAnsi="Times New Roman"/>
                <w:sz w:val="24"/>
              </w:rPr>
              <w:t>IMM alla fine del precedente periodo di informativa.</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Dimensione delle attività</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Variazioni (positive o negative) degli RWEA dovute a variazioni organiche delle dimensioni e della composizione del portafoglio (compresa la creazione di nuove attività e le esposizioni in scadenza) ma escluse le variazioni di dimensione del portafoglio dovute ad acquisizioni e dismissioni di soggetti.</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Qualità creditizia delle controparti</w:t>
            </w:r>
          </w:p>
          <w:p w14:paraId="70A7587F" w14:textId="0C3440FF"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Variazioni (positive o negative) degli RWEA dovute a variazioni della qualità valutata delle controparti dell</w:t>
            </w:r>
            <w:r w:rsidR="008B6CDC">
              <w:rPr>
                <w:rFonts w:ascii="Times New Roman" w:hAnsi="Times New Roman"/>
                <w:sz w:val="24"/>
              </w:rPr>
              <w:t>'</w:t>
            </w:r>
            <w:r>
              <w:rPr>
                <w:rFonts w:ascii="Times New Roman" w:hAnsi="Times New Roman"/>
                <w:sz w:val="24"/>
              </w:rPr>
              <w:t>ente misurata nel quadro del rischio di credito, qualunque sia il metodo utilizzato dall</w:t>
            </w:r>
            <w:r w:rsidR="008B6CDC">
              <w:rPr>
                <w:rFonts w:ascii="Times New Roman" w:hAnsi="Times New Roman"/>
                <w:sz w:val="24"/>
              </w:rPr>
              <w:t>'</w:t>
            </w:r>
            <w:r>
              <w:rPr>
                <w:rFonts w:ascii="Times New Roman" w:hAnsi="Times New Roman"/>
                <w:sz w:val="24"/>
              </w:rPr>
              <w:t>ente.</w:t>
            </w:r>
          </w:p>
          <w:p w14:paraId="5EFAE896" w14:textId="7316D1C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Questa riga include inoltre le potenziali variazioni degli RWEA dovute ai modelli IRB quando l</w:t>
            </w:r>
            <w:r w:rsidR="008B6CDC">
              <w:rPr>
                <w:rFonts w:ascii="Times New Roman" w:hAnsi="Times New Roman"/>
                <w:sz w:val="24"/>
              </w:rPr>
              <w:t>'</w:t>
            </w:r>
            <w:r>
              <w:rPr>
                <w:rFonts w:ascii="Times New Roman" w:hAnsi="Times New Roman"/>
                <w:sz w:val="24"/>
              </w:rPr>
              <w:t>ente utilizza il metodo IRB.</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Aggiornamenti del modello (solo IMM)</w:t>
            </w:r>
          </w:p>
          <w:p w14:paraId="58308728" w14:textId="049BD4A9"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Variazioni (positive o negative) degli RWEA dovute all</w:t>
            </w:r>
            <w:r w:rsidR="008B6CDC">
              <w:rPr>
                <w:rFonts w:ascii="Times New Roman" w:hAnsi="Times New Roman"/>
                <w:sz w:val="24"/>
              </w:rPr>
              <w:t>'</w:t>
            </w:r>
            <w:r>
              <w:rPr>
                <w:rFonts w:ascii="Times New Roman" w:hAnsi="Times New Roman"/>
                <w:sz w:val="24"/>
              </w:rPr>
              <w:t>attuazione del modello, a modifiche dell</w:t>
            </w:r>
            <w:r w:rsidR="008B6CDC">
              <w:rPr>
                <w:rFonts w:ascii="Times New Roman" w:hAnsi="Times New Roman"/>
                <w:sz w:val="24"/>
              </w:rPr>
              <w:t>'</w:t>
            </w:r>
            <w:r>
              <w:rPr>
                <w:rFonts w:ascii="Times New Roman" w:hAnsi="Times New Roman"/>
                <w:sz w:val="24"/>
              </w:rPr>
              <w:t>ambito di applicazione del modello o ad eventuali modifiche volte a ovviare alle debolezze del modello.</w:t>
            </w:r>
          </w:p>
          <w:p w14:paraId="58BDFEF1" w14:textId="735837D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Questa riga riflette solo le modifiche dell</w:t>
            </w:r>
            <w:r w:rsidR="008B6CDC">
              <w:rPr>
                <w:rFonts w:ascii="Times New Roman" w:hAnsi="Times New Roman"/>
                <w:sz w:val="24"/>
              </w:rPr>
              <w:t>'</w:t>
            </w:r>
            <w:r>
              <w:rPr>
                <w:rFonts w:ascii="Times New Roman" w:hAnsi="Times New Roman"/>
                <w:sz w:val="24"/>
              </w:rPr>
              <w:t>IMM.</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Metodologia e politica (solo IMM)</w:t>
            </w:r>
          </w:p>
          <w:p w14:paraId="046BC00D" w14:textId="556744DA"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Variazioni (positive o negative) degli RWEA dovute a modifiche metodologiche nei calcoli derivanti da cambiamenti nella politica di regolamentazione, come i nuovi regolamenti (solo nell</w:t>
            </w:r>
            <w:r w:rsidR="008B6CDC">
              <w:rPr>
                <w:rFonts w:ascii="Times New Roman" w:hAnsi="Times New Roman"/>
                <w:sz w:val="24"/>
              </w:rPr>
              <w:t>'</w:t>
            </w:r>
            <w:r>
              <w:rPr>
                <w:rFonts w:ascii="Times New Roman" w:hAnsi="Times New Roman"/>
                <w:sz w:val="24"/>
              </w:rPr>
              <w:t>IMM).</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Acquisizioni e dismissioni</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Variazioni (positive o negative) degli RWEA dovute a modifiche delle dimensioni del portafoglio derivanti da acquisizioni e dismissioni di soggetti.</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Oscillazioni del cambio</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Variazioni (positive o negative) degli RWEA dovute ad oscillazioni della conversione in valuta.</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7E6920">
            <w:pPr>
              <w:pStyle w:val="Applicationdirecte"/>
              <w:keepNext/>
              <w:spacing w:before="0" w:after="240"/>
              <w:jc w:val="center"/>
            </w:pPr>
            <w:r>
              <w:lastRenderedPageBreak/>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Altro</w:t>
            </w:r>
          </w:p>
          <w:p w14:paraId="58936611" w14:textId="4881322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Questa categoria è utilizzata per le variazioni (positive o negative) degli RWEA che non possono essere attribuite alle categorie precedenti. Gli enti includono in questa riga la somma delle suddette variazioni degli RWEA. Gli</w:t>
            </w:r>
            <w:r w:rsidR="007E6920">
              <w:rPr>
                <w:rFonts w:ascii="Times New Roman" w:hAnsi="Times New Roman"/>
                <w:sz w:val="24"/>
              </w:rPr>
              <w:t> </w:t>
            </w:r>
            <w:r>
              <w:rPr>
                <w:rFonts w:ascii="Times New Roman" w:hAnsi="Times New Roman"/>
                <w:sz w:val="24"/>
              </w:rPr>
              <w:t>enti illustrano ulteriormente, nella descrizione che accompagna questo modello, ogni altra determinante significativa delle variazioni degli importi ponderati per il rischio nell</w:t>
            </w:r>
            <w:r w:rsidR="008B6CDC">
              <w:rPr>
                <w:rFonts w:ascii="Times New Roman" w:hAnsi="Times New Roman"/>
                <w:sz w:val="24"/>
              </w:rPr>
              <w:t>'</w:t>
            </w:r>
            <w:r>
              <w:rPr>
                <w:rFonts w:ascii="Times New Roman" w:hAnsi="Times New Roman"/>
                <w:sz w:val="24"/>
              </w:rPr>
              <w:t>arco del periodo di informativa.</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alla fine del periodo di informativa corrente</w:t>
            </w:r>
          </w:p>
          <w:p w14:paraId="1EF927DE" w14:textId="23113E3C"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Importi ponderati per il rischio delle esposizioni soggette al CCR nel quadro dell</w:t>
            </w:r>
            <w:r w:rsidR="008B6CDC">
              <w:rPr>
                <w:rFonts w:ascii="Times New Roman" w:hAnsi="Times New Roman"/>
                <w:sz w:val="24"/>
              </w:rPr>
              <w:t>'</w:t>
            </w:r>
            <w:r>
              <w:rPr>
                <w:rFonts w:ascii="Times New Roman" w:hAnsi="Times New Roman"/>
                <w:sz w:val="24"/>
              </w:rPr>
              <w:t>IMM alla fine del periodo di informativa corrente.</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Spiegazione</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Modello EU CCR8: esposizioni verso CCP </w:t>
      </w:r>
      <w:r>
        <w:rPr>
          <w:rFonts w:ascii="Times New Roman" w:hAnsi="Times New Roman"/>
          <w:color w:val="auto"/>
          <w:sz w:val="24"/>
        </w:rPr>
        <w:t>(formato fisso)</w:t>
      </w:r>
      <w:r>
        <w:rPr>
          <w:rFonts w:ascii="Times New Roman" w:hAnsi="Times New Roman"/>
          <w:b/>
          <w:color w:val="auto"/>
          <w:sz w:val="24"/>
        </w:rPr>
        <w:t xml:space="preserve"> </w:t>
      </w:r>
    </w:p>
    <w:p w14:paraId="14C03A10" w14:textId="13F5B6E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Gli enti pubblicano le informazioni di cui all</w:t>
      </w:r>
      <w:r w:rsidR="008B6CDC">
        <w:rPr>
          <w:rFonts w:ascii="Times New Roman" w:hAnsi="Times New Roman"/>
          <w:color w:val="000000"/>
          <w:sz w:val="24"/>
        </w:rPr>
        <w:t>'</w:t>
      </w:r>
      <w:r>
        <w:rPr>
          <w:rFonts w:ascii="Times New Roman" w:hAnsi="Times New Roman"/>
          <w:color w:val="000000"/>
          <w:sz w:val="24"/>
        </w:rPr>
        <w:t xml:space="preserve">articolo 439, lettera i), </w:t>
      </w:r>
      <w:r>
        <w:rPr>
          <w:rFonts w:ascii="Times New Roman" w:hAnsi="Times New Roman"/>
          <w:color w:val="auto"/>
          <w:sz w:val="24"/>
        </w:rPr>
        <w:t>del regolamento (UE) n. 575/2013</w:t>
      </w:r>
      <w:r>
        <w:rPr>
          <w:rFonts w:ascii="Times New Roman" w:hAnsi="Times New Roman"/>
          <w:color w:val="000000"/>
          <w:sz w:val="24"/>
        </w:rPr>
        <w:t xml:space="preserve"> seguendo le istruzioni fornite di seguito nel presente allegato per compilare il modello EU CCR8 di cui all</w:t>
      </w:r>
      <w:r w:rsidR="008B6CDC">
        <w:rPr>
          <w:rFonts w:ascii="Times New Roman" w:hAnsi="Times New Roman"/>
          <w:color w:val="000000"/>
          <w:sz w:val="24"/>
        </w:rPr>
        <w:t>'</w:t>
      </w:r>
      <w:r>
        <w:rPr>
          <w:rFonts w:ascii="Times New Roman" w:hAnsi="Times New Roman"/>
          <w:color w:val="000000"/>
          <w:sz w:val="24"/>
        </w:rPr>
        <w:t>allegato XXV delle soluzioni informatiche dell</w:t>
      </w:r>
      <w:r w:rsidR="008B6CDC">
        <w:rPr>
          <w:rFonts w:ascii="Times New Roman" w:hAnsi="Times New Roman"/>
          <w:color w:val="000000"/>
          <w:sz w:val="24"/>
        </w:rPr>
        <w:t>'</w:t>
      </w:r>
      <w:r>
        <w:rPr>
          <w:rFonts w:ascii="Times New Roman" w:hAnsi="Times New Roman"/>
          <w:color w:val="000000"/>
          <w:sz w:val="24"/>
        </w:rPr>
        <w:t>ABE.</w:t>
      </w:r>
    </w:p>
    <w:p w14:paraId="2D8023A6" w14:textId="3A5A7D15" w:rsidR="00F43911" w:rsidRPr="007F4CC8" w:rsidRDefault="00F43911" w:rsidP="00F43911">
      <w:pPr>
        <w:pStyle w:val="Titlelevel2"/>
        <w:numPr>
          <w:ilvl w:val="0"/>
          <w:numId w:val="2"/>
        </w:numPr>
        <w:spacing w:before="0"/>
        <w:jc w:val="both"/>
        <w:rPr>
          <w:rFonts w:ascii="Times New Roman" w:hAnsi="Times New Roman"/>
          <w:b/>
          <w:color w:val="auto"/>
          <w:sz w:val="24"/>
        </w:rPr>
      </w:pPr>
      <w:r>
        <w:rPr>
          <w:rFonts w:ascii="Times New Roman" w:hAnsi="Times New Roman"/>
          <w:color w:val="000000"/>
          <w:sz w:val="24"/>
        </w:rPr>
        <w:t>Esposizioni verso CCP: contratti e operazioni elencati all</w:t>
      </w:r>
      <w:r w:rsidR="008B6CDC">
        <w:rPr>
          <w:rFonts w:ascii="Times New Roman" w:hAnsi="Times New Roman"/>
          <w:color w:val="000000"/>
          <w:sz w:val="24"/>
        </w:rPr>
        <w:t>'</w:t>
      </w:r>
      <w:r>
        <w:rPr>
          <w:rFonts w:ascii="Times New Roman" w:hAnsi="Times New Roman"/>
          <w:color w:val="000000"/>
          <w:sz w:val="24"/>
        </w:rPr>
        <w:t>articolo 301, paragrafo</w:t>
      </w:r>
      <w:r w:rsidR="007E6920">
        <w:rPr>
          <w:rFonts w:ascii="Times New Roman" w:hAnsi="Times New Roman"/>
          <w:color w:val="000000"/>
          <w:sz w:val="24"/>
        </w:rPr>
        <w:t> </w:t>
      </w:r>
      <w:r>
        <w:rPr>
          <w:rFonts w:ascii="Times New Roman" w:hAnsi="Times New Roman"/>
          <w:color w:val="000000"/>
          <w:sz w:val="24"/>
        </w:rPr>
        <w:t xml:space="preserve">1, </w:t>
      </w:r>
      <w:r>
        <w:rPr>
          <w:rFonts w:ascii="Times New Roman" w:hAnsi="Times New Roman"/>
          <w:color w:val="auto"/>
          <w:sz w:val="24"/>
        </w:rPr>
        <w:t>del</w:t>
      </w:r>
      <w:r w:rsidR="007E6920">
        <w:rPr>
          <w:rFonts w:ascii="Times New Roman" w:hAnsi="Times New Roman"/>
          <w:color w:val="auto"/>
          <w:sz w:val="24"/>
        </w:rPr>
        <w:t> </w:t>
      </w:r>
      <w:r>
        <w:rPr>
          <w:rFonts w:ascii="Times New Roman" w:hAnsi="Times New Roman"/>
          <w:color w:val="auto"/>
          <w:sz w:val="24"/>
        </w:rPr>
        <w:t>regolamento (UE) n. 575/2013</w:t>
      </w:r>
      <w:r>
        <w:rPr>
          <w:rFonts w:ascii="Times New Roman" w:hAnsi="Times New Roman"/>
          <w:color w:val="000000"/>
          <w:sz w:val="24"/>
        </w:rPr>
        <w:t xml:space="preserve"> fintantoché sono in corso con una CCP, comprese le</w:t>
      </w:r>
      <w:r w:rsidR="007E6920">
        <w:rPr>
          <w:rFonts w:ascii="Times New Roman" w:hAnsi="Times New Roman"/>
          <w:color w:val="000000"/>
          <w:sz w:val="24"/>
        </w:rPr>
        <w:t> </w:t>
      </w:r>
      <w:r>
        <w:rPr>
          <w:rFonts w:ascii="Times New Roman" w:hAnsi="Times New Roman"/>
          <w:color w:val="000000"/>
          <w:sz w:val="24"/>
        </w:rPr>
        <w:t>esposizioni per operazioni relative a CCP ai sensi dell</w:t>
      </w:r>
      <w:r w:rsidR="008B6CDC">
        <w:rPr>
          <w:rFonts w:ascii="Times New Roman" w:hAnsi="Times New Roman"/>
          <w:color w:val="000000"/>
          <w:sz w:val="24"/>
        </w:rPr>
        <w:t>'</w:t>
      </w:r>
      <w:r>
        <w:rPr>
          <w:rFonts w:ascii="Times New Roman" w:hAnsi="Times New Roman"/>
          <w:color w:val="000000"/>
          <w:sz w:val="24"/>
        </w:rPr>
        <w:t xml:space="preserve">articolo 300, punto 2, </w:t>
      </w:r>
      <w:r>
        <w:rPr>
          <w:rFonts w:ascii="Times New Roman" w:hAnsi="Times New Roman"/>
          <w:color w:val="auto"/>
          <w:sz w:val="24"/>
        </w:rPr>
        <w:t>di tale regolamento</w:t>
      </w:r>
      <w:r>
        <w:rPr>
          <w:rFonts w:ascii="Times New Roman" w:hAnsi="Times New Roman"/>
          <w:color w:val="000000"/>
          <w:sz w:val="24"/>
        </w:rPr>
        <w:t xml:space="preserve">, per le quali i requisiti di fondi propri sono calcolati conformemente alla parte tre, titolo II, capo 6, sezione 9, </w:t>
      </w:r>
      <w:r>
        <w:rPr>
          <w:rFonts w:ascii="Times New Roman" w:hAnsi="Times New Roman"/>
          <w:color w:val="auto"/>
          <w:sz w:val="24"/>
        </w:rPr>
        <w:t>del medesimo regolamento</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Riferimenti giuridici e istruzioni</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E8C49B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Numero di</w:t>
            </w:r>
            <w:r w:rsidR="008B6CDC">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Spiegazione</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CCP qualificata (QCCP)</w:t>
            </w:r>
          </w:p>
          <w:p w14:paraId="7D977D34" w14:textId="12775FB1" w:rsidR="00F43911" w:rsidRPr="007F4CC8" w:rsidRDefault="00F43911" w:rsidP="007E6920">
            <w:pPr>
              <w:keepNext/>
              <w:spacing w:after="240"/>
              <w:rPr>
                <w:rFonts w:ascii="Times New Roman" w:eastAsia="Times New Roman" w:hAnsi="Times New Roman" w:cs="Times New Roman"/>
                <w:sz w:val="24"/>
              </w:rPr>
            </w:pPr>
            <w:r>
              <w:rPr>
                <w:rFonts w:ascii="Times New Roman" w:hAnsi="Times New Roman"/>
                <w:sz w:val="24"/>
              </w:rPr>
              <w:t xml:space="preserve">Una controparte centrale qualificata o </w:t>
            </w:r>
            <w:r w:rsidR="008B6CDC">
              <w:rPr>
                <w:rFonts w:ascii="Times New Roman" w:hAnsi="Times New Roman"/>
                <w:sz w:val="24"/>
              </w:rPr>
              <w:t>"</w:t>
            </w:r>
            <w:r>
              <w:rPr>
                <w:rFonts w:ascii="Times New Roman" w:hAnsi="Times New Roman"/>
                <w:sz w:val="24"/>
              </w:rPr>
              <w:t>QCCP</w:t>
            </w:r>
            <w:r w:rsidR="008B6CDC">
              <w:rPr>
                <w:rFonts w:ascii="Times New Roman" w:hAnsi="Times New Roman"/>
                <w:sz w:val="24"/>
              </w:rPr>
              <w:t>"</w:t>
            </w:r>
            <w:r>
              <w:rPr>
                <w:rFonts w:ascii="Times New Roman" w:hAnsi="Times New Roman"/>
                <w:sz w:val="24"/>
              </w:rPr>
              <w:t xml:space="preserve"> ai sensi dell</w:t>
            </w:r>
            <w:r w:rsidR="008B6CDC">
              <w:rPr>
                <w:rFonts w:ascii="Times New Roman" w:hAnsi="Times New Roman"/>
                <w:sz w:val="24"/>
              </w:rPr>
              <w:t>'</w:t>
            </w:r>
            <w:r>
              <w:rPr>
                <w:rFonts w:ascii="Times New Roman" w:hAnsi="Times New Roman"/>
                <w:sz w:val="24"/>
              </w:rPr>
              <w:t>articolo 4, paragrafo 1, punto 88, del regolamento (UE) n.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lastRenderedPageBreak/>
              <w:t>7 e 8</w:t>
            </w:r>
          </w:p>
          <w:p w14:paraId="1BD08955" w14:textId="77777777" w:rsidR="00F43911" w:rsidRPr="007F4CC8" w:rsidRDefault="00F43911" w:rsidP="004F3087">
            <w:pPr>
              <w:pStyle w:val="Fait"/>
              <w:spacing w:before="0" w:after="240"/>
              <w:jc w:val="center"/>
            </w:pPr>
            <w:r>
              <w:t>17 e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Margine iniziale</w:t>
            </w:r>
          </w:p>
          <w:p w14:paraId="3C76FA21" w14:textId="4D0D6C58" w:rsidR="00F43911" w:rsidRPr="007F4CC8" w:rsidRDefault="00F43911" w:rsidP="00A5310C">
            <w:pPr>
              <w:keepNext/>
              <w:spacing w:after="200"/>
              <w:jc w:val="both"/>
              <w:rPr>
                <w:rFonts w:ascii="Times New Roman" w:eastAsia="Times New Roman" w:hAnsi="Times New Roman" w:cs="Times New Roman"/>
                <w:sz w:val="24"/>
              </w:rPr>
            </w:pPr>
            <w:r>
              <w:rPr>
                <w:rFonts w:ascii="Times New Roman" w:hAnsi="Times New Roman"/>
                <w:sz w:val="24"/>
              </w:rPr>
              <w:t>Gli enti indicano i valori equi delle garanzie reali ricevute o fornite come margine iniziale di cui all</w:t>
            </w:r>
            <w:r w:rsidR="008B6CDC">
              <w:rPr>
                <w:rFonts w:ascii="Times New Roman" w:hAnsi="Times New Roman"/>
                <w:sz w:val="24"/>
              </w:rPr>
              <w:t>'</w:t>
            </w:r>
            <w:r>
              <w:rPr>
                <w:rFonts w:ascii="Times New Roman" w:hAnsi="Times New Roman"/>
                <w:sz w:val="24"/>
              </w:rPr>
              <w:t>articolo 4, paragrafo 1, punto 140, del regolamento (UE) n. 575/2013.</w:t>
            </w:r>
          </w:p>
          <w:p w14:paraId="3B66900B" w14:textId="3C7D68C5" w:rsidR="00F43911" w:rsidRPr="007F4CC8" w:rsidRDefault="00F43911" w:rsidP="00A5310C">
            <w:pPr>
              <w:keepNext/>
              <w:spacing w:after="200"/>
              <w:jc w:val="both"/>
              <w:rPr>
                <w:rFonts w:ascii="Times New Roman" w:eastAsia="Times New Roman" w:hAnsi="Times New Roman" w:cs="Times New Roman"/>
                <w:i/>
                <w:sz w:val="24"/>
              </w:rPr>
            </w:pPr>
            <w:r>
              <w:rPr>
                <w:rFonts w:ascii="Times New Roman" w:hAnsi="Times New Roman"/>
                <w:sz w:val="24"/>
              </w:rPr>
              <w:t>Ai fini di questo modello, il margine iniziale non include i contributi versati a una CCP per meccanismi di ripartizione delle perdite (ad esempio, nei casi in cui una CCP utilizza il margine iniziale per ripartire le perdite tra i partecipanti diretti, esso sarà trattato come esposizione del fondo di garanzia).</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9 e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Contributi prefinanziati al fondo di garanzia</w:t>
            </w:r>
          </w:p>
          <w:p w14:paraId="2980A8E2" w14:textId="4D20292A"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Contributo al fondo di garanzia di una CCP versato dall</w:t>
            </w:r>
            <w:r w:rsidR="008B6CDC">
              <w:rPr>
                <w:rFonts w:ascii="Times New Roman" w:hAnsi="Times New Roman"/>
                <w:sz w:val="24"/>
              </w:rPr>
              <w:t>'</w:t>
            </w:r>
            <w:r>
              <w:rPr>
                <w:rFonts w:ascii="Times New Roman" w:hAnsi="Times New Roman"/>
                <w:sz w:val="24"/>
              </w:rPr>
              <w:t>ente.</w:t>
            </w:r>
          </w:p>
          <w:p w14:paraId="47DBAB7C" w14:textId="6D0DD2A7" w:rsidR="00F43911" w:rsidRPr="007F4CC8" w:rsidRDefault="008B6CDC" w:rsidP="00A5310C">
            <w:pPr>
              <w:keepNext/>
              <w:spacing w:after="200"/>
              <w:rPr>
                <w:rFonts w:ascii="Times New Roman" w:eastAsia="Times New Roman" w:hAnsi="Times New Roman" w:cs="Times New Roman"/>
                <w:sz w:val="24"/>
              </w:rPr>
            </w:pPr>
            <w:r>
              <w:rPr>
                <w:rFonts w:ascii="Times New Roman" w:hAnsi="Times New Roman"/>
                <w:sz w:val="24"/>
              </w:rPr>
              <w:t>"</w:t>
            </w:r>
            <w:r w:rsidR="00F43911">
              <w:rPr>
                <w:rFonts w:ascii="Times New Roman" w:hAnsi="Times New Roman"/>
                <w:sz w:val="24"/>
              </w:rPr>
              <w:t>Fondo di garanzia</w:t>
            </w:r>
            <w:r>
              <w:rPr>
                <w:rFonts w:ascii="Times New Roman" w:hAnsi="Times New Roman"/>
                <w:sz w:val="24"/>
              </w:rPr>
              <w:t>"</w:t>
            </w:r>
            <w:r w:rsidR="00F43911">
              <w:rPr>
                <w:rFonts w:ascii="Times New Roman" w:hAnsi="Times New Roman"/>
                <w:sz w:val="24"/>
              </w:rPr>
              <w:t xml:space="preserve"> ai sensi dell</w:t>
            </w:r>
            <w:r>
              <w:rPr>
                <w:rFonts w:ascii="Times New Roman" w:hAnsi="Times New Roman"/>
                <w:sz w:val="24"/>
              </w:rPr>
              <w:t>'</w:t>
            </w:r>
            <w:r w:rsidR="00F43911">
              <w:rPr>
                <w:rFonts w:ascii="Times New Roman" w:hAnsi="Times New Roman"/>
                <w:sz w:val="24"/>
              </w:rPr>
              <w:t>articolo 4, paragrafo 1, punto 89, del</w:t>
            </w:r>
            <w:r w:rsidR="007E6920">
              <w:rPr>
                <w:rFonts w:ascii="Times New Roman" w:hAnsi="Times New Roman"/>
                <w:sz w:val="24"/>
              </w:rPr>
              <w:t> </w:t>
            </w:r>
            <w:r w:rsidR="00F43911">
              <w:rPr>
                <w:rFonts w:ascii="Times New Roman" w:hAnsi="Times New Roman"/>
                <w:sz w:val="24"/>
              </w:rPr>
              <w:t>regolamento (UE) n.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A5310C">
            <w:pPr>
              <w:keepNext/>
              <w:spacing w:after="200"/>
              <w:jc w:val="both"/>
              <w:rPr>
                <w:rFonts w:ascii="Times New Roman" w:eastAsia="Times New Roman" w:hAnsi="Times New Roman" w:cs="Times New Roman"/>
                <w:b/>
                <w:sz w:val="24"/>
              </w:rPr>
            </w:pPr>
            <w:r>
              <w:rPr>
                <w:rFonts w:ascii="Times New Roman" w:hAnsi="Times New Roman"/>
                <w:b/>
                <w:sz w:val="24"/>
              </w:rPr>
              <w:t>Contributi non finanziati al fondo di garanzia</w:t>
            </w:r>
          </w:p>
          <w:p w14:paraId="32104DB8" w14:textId="1D423E25" w:rsidR="00F43911" w:rsidRPr="007F4CC8" w:rsidRDefault="00F43911" w:rsidP="00A5310C">
            <w:pPr>
              <w:keepNext/>
              <w:spacing w:after="200"/>
              <w:jc w:val="both"/>
              <w:rPr>
                <w:rFonts w:ascii="Times New Roman" w:eastAsia="Times New Roman" w:hAnsi="Times New Roman" w:cs="Times New Roman"/>
                <w:sz w:val="24"/>
              </w:rPr>
            </w:pPr>
            <w:r>
              <w:rPr>
                <w:rFonts w:ascii="Times New Roman" w:hAnsi="Times New Roman"/>
                <w:sz w:val="24"/>
              </w:rPr>
              <w:t>Contributi impegnati contrattualmente da un ente che opera come partecipante diretto allo scopo di metterli a disposizione di una CCP dopo che detta CCP ha esaurito il suo fondo di garanzia, per coprire le perdite subite in seguito al</w:t>
            </w:r>
            <w:r w:rsidR="007E6920">
              <w:rPr>
                <w:rFonts w:ascii="Times New Roman" w:hAnsi="Times New Roman"/>
                <w:sz w:val="24"/>
              </w:rPr>
              <w:t> </w:t>
            </w:r>
            <w:r>
              <w:rPr>
                <w:rFonts w:ascii="Times New Roman" w:hAnsi="Times New Roman"/>
                <w:sz w:val="24"/>
              </w:rPr>
              <w:t xml:space="preserve">default di uno o più dei suoi partecipanti diretti. </w:t>
            </w:r>
            <w:r w:rsidR="008B6CDC">
              <w:rPr>
                <w:rFonts w:ascii="Times New Roman" w:hAnsi="Times New Roman"/>
                <w:sz w:val="24"/>
              </w:rPr>
              <w:t>"</w:t>
            </w:r>
            <w:r>
              <w:rPr>
                <w:rFonts w:ascii="Times New Roman" w:hAnsi="Times New Roman"/>
                <w:sz w:val="24"/>
              </w:rPr>
              <w:t>Fondo di garanzia</w:t>
            </w:r>
            <w:r w:rsidR="008B6CDC">
              <w:rPr>
                <w:rFonts w:ascii="Times New Roman" w:hAnsi="Times New Roman"/>
                <w:sz w:val="24"/>
              </w:rPr>
              <w:t>"</w:t>
            </w:r>
            <w:r>
              <w:rPr>
                <w:rFonts w:ascii="Times New Roman" w:hAnsi="Times New Roman"/>
                <w:sz w:val="24"/>
              </w:rPr>
              <w:t xml:space="preserve"> ai sensi dell</w:t>
            </w:r>
            <w:r w:rsidR="008B6CDC">
              <w:rPr>
                <w:rFonts w:ascii="Times New Roman" w:hAnsi="Times New Roman"/>
                <w:sz w:val="24"/>
              </w:rPr>
              <w:t>'</w:t>
            </w:r>
            <w:r>
              <w:rPr>
                <w:rFonts w:ascii="Times New Roman" w:hAnsi="Times New Roman"/>
                <w:sz w:val="24"/>
              </w:rPr>
              <w:t>articolo 4, paragrafo 1, punto 89, del regolamento (UE) n.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e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Separato</w:t>
            </w:r>
          </w:p>
          <w:p w14:paraId="77E9C42E" w14:textId="77777777" w:rsidR="00F43911" w:rsidRPr="007F4CC8" w:rsidRDefault="00F43911" w:rsidP="00A5310C">
            <w:pPr>
              <w:spacing w:after="200"/>
              <w:jc w:val="both"/>
              <w:rPr>
                <w:rFonts w:ascii="Times New Roman" w:eastAsia="Calibri" w:hAnsi="Times New Roman" w:cs="Times New Roman"/>
                <w:sz w:val="24"/>
              </w:rPr>
            </w:pPr>
            <w:r>
              <w:rPr>
                <w:rFonts w:ascii="Times New Roman" w:hAnsi="Times New Roman"/>
                <w:sz w:val="24"/>
              </w:rPr>
              <w:t>Si veda la definizione contenuta nel modello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e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Non separato</w:t>
            </w:r>
          </w:p>
          <w:p w14:paraId="33E34E6A" w14:textId="77777777" w:rsidR="00F43911" w:rsidRPr="007F4CC8" w:rsidRDefault="00F43911" w:rsidP="00A5310C">
            <w:pPr>
              <w:spacing w:after="200"/>
              <w:jc w:val="both"/>
              <w:rPr>
                <w:rFonts w:ascii="Times New Roman" w:eastAsia="Calibri" w:hAnsi="Times New Roman" w:cs="Times New Roman"/>
                <w:sz w:val="24"/>
              </w:rPr>
            </w:pPr>
            <w:r>
              <w:rPr>
                <w:rFonts w:ascii="Times New Roman" w:hAnsi="Times New Roman"/>
                <w:sz w:val="24"/>
              </w:rPr>
              <w:t>Si veda la definizione contenuta nel modello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A5310C">
            <w:pPr>
              <w:pStyle w:val="Applicationdirecte"/>
              <w:spacing w:before="0"/>
              <w:jc w:val="center"/>
              <w:rPr>
                <w:b/>
              </w:rPr>
            </w:pPr>
            <w:r>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Spiegazione</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108E0729"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Valore dell</w:t>
            </w:r>
            <w:r w:rsidR="008B6CDC">
              <w:rPr>
                <w:rFonts w:ascii="Times New Roman" w:hAnsi="Times New Roman"/>
                <w:b/>
                <w:sz w:val="24"/>
              </w:rPr>
              <w:t>'</w:t>
            </w:r>
            <w:r>
              <w:rPr>
                <w:rFonts w:ascii="Times New Roman" w:hAnsi="Times New Roman"/>
                <w:b/>
                <w:sz w:val="24"/>
              </w:rPr>
              <w:t>esposizione</w:t>
            </w:r>
          </w:p>
          <w:p w14:paraId="35A19512" w14:textId="56CF2FFA" w:rsidR="00F43911" w:rsidRPr="007F4CC8" w:rsidRDefault="00F43911" w:rsidP="00A5310C">
            <w:pPr>
              <w:keepNext/>
              <w:spacing w:after="200"/>
              <w:jc w:val="both"/>
              <w:rPr>
                <w:rFonts w:ascii="Times New Roman" w:eastAsia="Times New Roman" w:hAnsi="Times New Roman" w:cs="Times New Roman"/>
                <w:sz w:val="24"/>
              </w:rPr>
            </w:pPr>
            <w:r>
              <w:rPr>
                <w:rFonts w:ascii="Times New Roman" w:hAnsi="Times New Roman"/>
                <w:sz w:val="24"/>
              </w:rPr>
              <w:t>Valore dell</w:t>
            </w:r>
            <w:r w:rsidR="008B6CDC">
              <w:rPr>
                <w:rFonts w:ascii="Times New Roman" w:hAnsi="Times New Roman"/>
                <w:sz w:val="24"/>
              </w:rPr>
              <w:t>'</w:t>
            </w:r>
            <w:r>
              <w:rPr>
                <w:rFonts w:ascii="Times New Roman" w:hAnsi="Times New Roman"/>
                <w:sz w:val="24"/>
              </w:rPr>
              <w:t>esposizione calcolato conformemente ai metodi di cui alla parte tre, titolo II, capi 4 e 6, del regolamento (UE) n. 575/2013 per le operazioni rientranti nell</w:t>
            </w:r>
            <w:r w:rsidR="008B6CDC">
              <w:rPr>
                <w:rFonts w:ascii="Times New Roman" w:hAnsi="Times New Roman"/>
                <w:sz w:val="24"/>
              </w:rPr>
              <w:t>'</w:t>
            </w:r>
            <w:r>
              <w:rPr>
                <w:rFonts w:ascii="Times New Roman" w:hAnsi="Times New Roman"/>
                <w:sz w:val="24"/>
              </w:rPr>
              <w:t>ambito di applicazione della parte tre, titolo II, capo 6, sezione 9, di tale regolamento, dopo l</w:t>
            </w:r>
            <w:r w:rsidR="008B6CDC">
              <w:rPr>
                <w:rFonts w:ascii="Times New Roman" w:hAnsi="Times New Roman"/>
                <w:sz w:val="24"/>
              </w:rPr>
              <w:t>'</w:t>
            </w:r>
            <w:r>
              <w:rPr>
                <w:rFonts w:ascii="Times New Roman" w:hAnsi="Times New Roman"/>
                <w:sz w:val="24"/>
              </w:rPr>
              <w:t>applicazione delle pertinenti rettifiche di cui agli articoli 304, 306 e 308 della suddetta sezione.</w:t>
            </w:r>
          </w:p>
          <w:p w14:paraId="12E09CAC" w14:textId="2956960E" w:rsidR="00F43911" w:rsidRPr="007F4CC8" w:rsidRDefault="00F43911" w:rsidP="00A5310C">
            <w:pPr>
              <w:keepNext/>
              <w:spacing w:after="200"/>
              <w:jc w:val="both"/>
              <w:rPr>
                <w:rFonts w:ascii="Times New Roman" w:eastAsia="Times New Roman" w:hAnsi="Times New Roman" w:cs="Times New Roman"/>
                <w:i/>
                <w:sz w:val="24"/>
              </w:rPr>
            </w:pPr>
            <w:r>
              <w:rPr>
                <w:rFonts w:ascii="Times New Roman" w:hAnsi="Times New Roman"/>
                <w:sz w:val="24"/>
              </w:rPr>
              <w:t>Un</w:t>
            </w:r>
            <w:r w:rsidR="008B6CDC">
              <w:rPr>
                <w:rFonts w:ascii="Times New Roman" w:hAnsi="Times New Roman"/>
                <w:sz w:val="24"/>
              </w:rPr>
              <w:t>'</w:t>
            </w:r>
            <w:r>
              <w:rPr>
                <w:rFonts w:ascii="Times New Roman" w:hAnsi="Times New Roman"/>
                <w:sz w:val="24"/>
              </w:rPr>
              <w:t>esposizione può essere un</w:t>
            </w:r>
            <w:r w:rsidR="008B6CDC">
              <w:rPr>
                <w:rFonts w:ascii="Times New Roman" w:hAnsi="Times New Roman"/>
                <w:sz w:val="24"/>
              </w:rPr>
              <w:t>'</w:t>
            </w:r>
            <w:r>
              <w:rPr>
                <w:rFonts w:ascii="Times New Roman" w:hAnsi="Times New Roman"/>
                <w:sz w:val="24"/>
              </w:rPr>
              <w:t>esposizione da negoziazione ai sensi dell</w:t>
            </w:r>
            <w:r w:rsidR="008B6CDC">
              <w:rPr>
                <w:rFonts w:ascii="Times New Roman" w:hAnsi="Times New Roman"/>
                <w:sz w:val="24"/>
              </w:rPr>
              <w:t>'</w:t>
            </w:r>
            <w:r>
              <w:rPr>
                <w:rFonts w:ascii="Times New Roman" w:hAnsi="Times New Roman"/>
                <w:sz w:val="24"/>
              </w:rPr>
              <w:t>articolo</w:t>
            </w:r>
            <w:r w:rsidR="00A5310C">
              <w:rPr>
                <w:rFonts w:ascii="Times New Roman" w:hAnsi="Times New Roman"/>
                <w:sz w:val="24"/>
              </w:rPr>
              <w:t> </w:t>
            </w:r>
            <w:r>
              <w:rPr>
                <w:rFonts w:ascii="Times New Roman" w:hAnsi="Times New Roman"/>
                <w:sz w:val="24"/>
              </w:rPr>
              <w:t>4, paragrafo</w:t>
            </w:r>
            <w:r w:rsidR="00A5310C">
              <w:rPr>
                <w:rFonts w:ascii="Times New Roman" w:hAnsi="Times New Roman"/>
                <w:sz w:val="24"/>
              </w:rPr>
              <w:t> </w:t>
            </w:r>
            <w:r>
              <w:rPr>
                <w:rFonts w:ascii="Times New Roman" w:hAnsi="Times New Roman"/>
                <w:sz w:val="24"/>
              </w:rPr>
              <w:t>1, punto</w:t>
            </w:r>
            <w:r w:rsidR="00A5310C">
              <w:rPr>
                <w:rFonts w:ascii="Times New Roman" w:hAnsi="Times New Roman"/>
                <w:sz w:val="24"/>
              </w:rPr>
              <w:t> </w:t>
            </w:r>
            <w:r>
              <w:rPr>
                <w:rFonts w:ascii="Times New Roman" w:hAnsi="Times New Roman"/>
                <w:sz w:val="24"/>
              </w:rPr>
              <w:t>91, del regolamento (UE) n. 575/2013. Il</w:t>
            </w:r>
            <w:r w:rsidR="007E6920">
              <w:rPr>
                <w:rFonts w:ascii="Times New Roman" w:hAnsi="Times New Roman"/>
                <w:sz w:val="24"/>
              </w:rPr>
              <w:t> </w:t>
            </w:r>
            <w:r>
              <w:rPr>
                <w:rFonts w:ascii="Times New Roman" w:hAnsi="Times New Roman"/>
                <w:sz w:val="24"/>
              </w:rPr>
              <w:t>valore dell</w:t>
            </w:r>
            <w:r w:rsidR="008B6CDC">
              <w:rPr>
                <w:rFonts w:ascii="Times New Roman" w:hAnsi="Times New Roman"/>
                <w:sz w:val="24"/>
              </w:rPr>
              <w:t>'</w:t>
            </w:r>
            <w:r>
              <w:rPr>
                <w:rFonts w:ascii="Times New Roman" w:hAnsi="Times New Roman"/>
                <w:sz w:val="24"/>
              </w:rPr>
              <w:t>esposizione indicato è l</w:t>
            </w:r>
            <w:r w:rsidR="008B6CDC">
              <w:rPr>
                <w:rFonts w:ascii="Times New Roman" w:hAnsi="Times New Roman"/>
                <w:sz w:val="24"/>
              </w:rPr>
              <w:t>'</w:t>
            </w:r>
            <w:r>
              <w:rPr>
                <w:rFonts w:ascii="Times New Roman" w:hAnsi="Times New Roman"/>
                <w:sz w:val="24"/>
              </w:rPr>
              <w:t>importo rilevante per il calcolo dei requisiti di fondi propri conformemente alla parte tre, titolo</w:t>
            </w:r>
            <w:r w:rsidR="00A5310C">
              <w:rPr>
                <w:rFonts w:ascii="Times New Roman" w:hAnsi="Times New Roman"/>
                <w:sz w:val="24"/>
              </w:rPr>
              <w:t> </w:t>
            </w:r>
            <w:r>
              <w:rPr>
                <w:rFonts w:ascii="Times New Roman" w:hAnsi="Times New Roman"/>
                <w:sz w:val="24"/>
              </w:rPr>
              <w:t>II, capo</w:t>
            </w:r>
            <w:r w:rsidR="00A5310C">
              <w:rPr>
                <w:rFonts w:ascii="Times New Roman" w:hAnsi="Times New Roman"/>
                <w:sz w:val="24"/>
              </w:rPr>
              <w:t> </w:t>
            </w:r>
            <w:r>
              <w:rPr>
                <w:rFonts w:ascii="Times New Roman" w:hAnsi="Times New Roman"/>
                <w:sz w:val="24"/>
              </w:rPr>
              <w:t>6, sezione</w:t>
            </w:r>
            <w:r w:rsidR="007E6920">
              <w:rPr>
                <w:rFonts w:ascii="Times New Roman" w:hAnsi="Times New Roman"/>
                <w:sz w:val="24"/>
              </w:rPr>
              <w:t> </w:t>
            </w:r>
            <w:r>
              <w:rPr>
                <w:rFonts w:ascii="Times New Roman" w:hAnsi="Times New Roman"/>
                <w:sz w:val="24"/>
              </w:rPr>
              <w:t>9, del regolamento (UE) n. 575/2013, tenendo conto dei requisiti di cui all</w:t>
            </w:r>
            <w:r w:rsidR="008B6CDC">
              <w:rPr>
                <w:rFonts w:ascii="Times New Roman" w:hAnsi="Times New Roman"/>
                <w:sz w:val="24"/>
              </w:rPr>
              <w:t>'</w:t>
            </w:r>
            <w:r>
              <w:rPr>
                <w:rFonts w:ascii="Times New Roman" w:hAnsi="Times New Roman"/>
                <w:sz w:val="24"/>
              </w:rPr>
              <w:t>articolo 497 di tale regolamento durante il periodo transitorio previsto in detto articolo.</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lastRenderedPageBreak/>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RWEA</w:t>
            </w:r>
          </w:p>
          <w:p w14:paraId="1E08469B" w14:textId="18F29609"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Importi delle esposizioni ponderati per il rischio di cui all</w:t>
            </w:r>
            <w:r w:rsidR="008B6CDC">
              <w:rPr>
                <w:rFonts w:ascii="Times New Roman" w:hAnsi="Times New Roman"/>
                <w:sz w:val="24"/>
              </w:rPr>
              <w:t>'</w:t>
            </w:r>
            <w:r>
              <w:rPr>
                <w:rFonts w:ascii="Times New Roman" w:hAnsi="Times New Roman"/>
                <w:sz w:val="24"/>
              </w:rPr>
              <w:t>articolo</w:t>
            </w:r>
            <w:r w:rsidR="00A5310C">
              <w:rPr>
                <w:rFonts w:ascii="Times New Roman" w:hAnsi="Times New Roman"/>
                <w:sz w:val="24"/>
              </w:rPr>
              <w:t> </w:t>
            </w:r>
            <w:r>
              <w:rPr>
                <w:rFonts w:ascii="Times New Roman" w:hAnsi="Times New Roman"/>
                <w:sz w:val="24"/>
              </w:rPr>
              <w:t>92, paragrafo</w:t>
            </w:r>
            <w:r w:rsidR="00A5310C">
              <w:rPr>
                <w:rFonts w:ascii="Times New Roman" w:hAnsi="Times New Roman"/>
                <w:sz w:val="24"/>
              </w:rPr>
              <w:t> </w:t>
            </w:r>
            <w:r>
              <w:rPr>
                <w:rFonts w:ascii="Times New Roman" w:hAnsi="Times New Roman"/>
                <w:sz w:val="24"/>
              </w:rPr>
              <w:t>3, lettera</w:t>
            </w:r>
            <w:r w:rsidR="00A5310C">
              <w:rPr>
                <w:rFonts w:ascii="Times New Roman" w:hAnsi="Times New Roman"/>
                <w:sz w:val="24"/>
              </w:rPr>
              <w:t> </w:t>
            </w:r>
            <w:r>
              <w:rPr>
                <w:rFonts w:ascii="Times New Roman" w:hAnsi="Times New Roman"/>
                <w:sz w:val="24"/>
              </w:rPr>
              <w:t xml:space="preserve">a), del regolamento (UE) n. 575/2013 </w:t>
            </w:r>
            <w:r>
              <w:rPr>
                <w:rFonts w:ascii="Times New Roman" w:hAnsi="Times New Roman"/>
                <w:color w:val="000000"/>
                <w:sz w:val="24"/>
              </w:rPr>
              <w:t xml:space="preserve">calcolati </w:t>
            </w:r>
            <w:r>
              <w:rPr>
                <w:rFonts w:ascii="Times New Roman" w:hAnsi="Times New Roman"/>
                <w:sz w:val="24"/>
              </w:rPr>
              <w:t>conformemente all</w:t>
            </w:r>
            <w:r w:rsidR="008B6CDC">
              <w:rPr>
                <w:rFonts w:ascii="Times New Roman" w:hAnsi="Times New Roman"/>
                <w:sz w:val="24"/>
              </w:rPr>
              <w:t>'</w:t>
            </w:r>
            <w:r>
              <w:rPr>
                <w:rFonts w:ascii="Times New Roman" w:hAnsi="Times New Roman"/>
                <w:sz w:val="24"/>
              </w:rPr>
              <w:t>articolo</w:t>
            </w:r>
            <w:r w:rsidR="00593366">
              <w:rPr>
                <w:rFonts w:ascii="Times New Roman" w:hAnsi="Times New Roman"/>
                <w:sz w:val="24"/>
              </w:rPr>
              <w:t> </w:t>
            </w:r>
            <w:r>
              <w:rPr>
                <w:rFonts w:ascii="Times New Roman" w:hAnsi="Times New Roman"/>
                <w:sz w:val="24"/>
              </w:rPr>
              <w:t>107 della parte tre, titolo</w:t>
            </w:r>
            <w:r w:rsidR="00593366">
              <w:rPr>
                <w:rFonts w:ascii="Times New Roman" w:hAnsi="Times New Roman"/>
                <w:sz w:val="24"/>
              </w:rPr>
              <w:t> </w:t>
            </w:r>
            <w:r>
              <w:rPr>
                <w:rFonts w:ascii="Times New Roman" w:hAnsi="Times New Roman"/>
                <w:sz w:val="24"/>
              </w:rPr>
              <w:t>II, capo</w:t>
            </w:r>
            <w:r w:rsidR="00593366">
              <w:rPr>
                <w:rFonts w:ascii="Times New Roman" w:hAnsi="Times New Roman"/>
                <w:sz w:val="24"/>
              </w:rPr>
              <w:t> </w:t>
            </w:r>
            <w:r>
              <w:rPr>
                <w:rFonts w:ascii="Times New Roman" w:hAnsi="Times New Roman"/>
                <w:sz w:val="24"/>
              </w:rPr>
              <w:t>6, sezione</w:t>
            </w:r>
            <w:r w:rsidR="00593366">
              <w:rPr>
                <w:rFonts w:ascii="Times New Roman" w:hAnsi="Times New Roman"/>
                <w:sz w:val="24"/>
              </w:rPr>
              <w:t> </w:t>
            </w:r>
            <w:r>
              <w:rPr>
                <w:rFonts w:ascii="Times New Roman" w:hAnsi="Times New Roman"/>
                <w:sz w:val="24"/>
              </w:rPr>
              <w:t>9, di</w:t>
            </w:r>
            <w:r w:rsidR="00A5310C">
              <w:rPr>
                <w:rFonts w:ascii="Times New Roman" w:hAnsi="Times New Roman"/>
                <w:sz w:val="24"/>
              </w:rPr>
              <w:t> </w:t>
            </w:r>
            <w:r>
              <w:rPr>
                <w:rFonts w:ascii="Times New Roman" w:hAnsi="Times New Roman"/>
                <w:sz w:val="24"/>
              </w:rPr>
              <w:t>tale regolamento.</w:t>
            </w:r>
          </w:p>
        </w:tc>
      </w:tr>
    </w:tbl>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8B6CDC" w:rsidRDefault="00F43911" w:rsidP="008B6CDC">
      <w:pPr>
        <w:pStyle w:val="FootnoteText"/>
      </w:pPr>
      <w:r w:rsidRPr="008B6CDC">
        <w:rPr>
          <w:rStyle w:val="FootnoteReference"/>
          <w:rFonts w:ascii="Times New Roman" w:hAnsi="Times New Roman"/>
        </w:rPr>
        <w:footnoteRef/>
      </w:r>
      <w:r w:rsidRPr="008B6CDC">
        <w:t xml:space="preserve"> </w:t>
      </w:r>
      <w:r w:rsidRPr="008B6CDC">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sidRPr="008B6CDC">
        <w:rPr>
          <w:color w:val="444444"/>
        </w:rPr>
        <w:t>(</w:t>
      </w:r>
      <w:hyperlink r:id="rId1" w:history="1">
        <w:r w:rsidRPr="008B6CDC">
          <w:rPr>
            <w:rStyle w:val="Hyperlink"/>
            <w:color w:val="800080"/>
          </w:rPr>
          <w:t>GU L 176 del 27.6.2013, pag. 1</w:t>
        </w:r>
      </w:hyperlink>
      <w:r w:rsidRPr="008B6CDC">
        <w:rPr>
          <w:color w:val="444444"/>
        </w:rPr>
        <w:t>)</w:t>
      </w:r>
      <w:r w:rsidRPr="008B6CDC">
        <w:t>;</w:t>
      </w:r>
      <w:r w:rsidRPr="008B6CDC">
        <w:rPr>
          <w:color w:val="800080"/>
          <w:u w:val="single"/>
        </w:rPr>
        <w:t xml:space="preserve"> </w:t>
      </w:r>
      <w:hyperlink r:id="rId2" w:history="1">
        <w:r w:rsidRPr="008B6CDC">
          <w:rPr>
            <w:rStyle w:val="Hyperlink"/>
          </w:rPr>
          <w:t>regolamento - UE - 2024/1623 - IT - EUR-Lex (europa.eu)</w:t>
        </w:r>
      </w:hyperlink>
      <w:r w:rsidRPr="008B6CDC">
        <w:rPr>
          <w:color w:val="444444"/>
        </w:rPr>
        <w:t>)</w:t>
      </w:r>
      <w:r w:rsidRPr="008B6CD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1CD2AEF3" w:rsidR="00532BBF" w:rsidRPr="00532BBF" w:rsidRDefault="00532BBF" w:rsidP="00532BBF">
                          <w:pPr>
                            <w:rPr>
                              <w:rFonts w:ascii="Calibri" w:eastAsia="Calibri" w:hAnsi="Calibri" w:cs="Calibri"/>
                              <w:noProof/>
                              <w:color w:val="000000"/>
                              <w:sz w:val="24"/>
                            </w:rPr>
                          </w:pPr>
                          <w:r>
                            <w:rPr>
                              <w:rFonts w:ascii="Calibri" w:hAnsi="Calibri"/>
                              <w:color w:val="000000"/>
                              <w:sz w:val="24"/>
                            </w:rPr>
                            <w:t>Per l</w:t>
                          </w:r>
                          <w:r w:rsidR="008B6CDC">
                            <w:rPr>
                              <w:rFonts w:ascii="Calibri" w:hAnsi="Calibri"/>
                              <w:color w:val="000000"/>
                              <w:sz w:val="24"/>
                            </w:rPr>
                            <w:t>'</w:t>
                          </w:r>
                          <w:r>
                            <w:rPr>
                              <w:rFonts w:ascii="Calibri" w:hAnsi="Calibri"/>
                              <w:color w:val="000000"/>
                              <w:sz w:val="24"/>
                            </w:rPr>
                            <w:t>uso ordinario dell</w:t>
                          </w:r>
                          <w:r w:rsidR="008B6CDC">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7C9B1F" id="_x0000_t202" coordsize="21600,21600" o:spt="202" path="m,l,21600r21600,l21600,xe">
              <v:stroke joinstyle="miter"/>
              <v:path gradientshapeok="t" o:connecttype="rect"/>
            </v:shapetype>
            <v:shape id="Text Box 2" o:spid="_x0000_s1026" type="#_x0000_t202" alt="Per l'uso ordinario dell'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FB08EA5" w14:textId="1CD2AEF3" w:rsidR="00532BBF" w:rsidRPr="00532BBF" w:rsidRDefault="00532BBF" w:rsidP="00532BBF">
                    <w:pPr>
                      <w:rPr>
                        <w:rFonts w:ascii="Calibri" w:eastAsia="Calibri" w:hAnsi="Calibri" w:cs="Calibri"/>
                        <w:noProof/>
                        <w:color w:val="000000"/>
                        <w:sz w:val="24"/>
                      </w:rPr>
                    </w:pPr>
                    <w:r>
                      <w:rPr>
                        <w:rFonts w:ascii="Calibri" w:hAnsi="Calibri"/>
                        <w:color w:val="000000"/>
                        <w:sz w:val="24"/>
                      </w:rPr>
                      <w:t>Per l</w:t>
                    </w:r>
                    <w:r w:rsidR="008B6CDC">
                      <w:rPr>
                        <w:rFonts w:ascii="Calibri" w:hAnsi="Calibri"/>
                        <w:color w:val="000000"/>
                        <w:sz w:val="24"/>
                      </w:rPr>
                      <w:t>'</w:t>
                    </w:r>
                    <w:r>
                      <w:rPr>
                        <w:rFonts w:ascii="Calibri" w:hAnsi="Calibri"/>
                        <w:color w:val="000000"/>
                        <w:sz w:val="24"/>
                      </w:rPr>
                      <w:t>uso ordinario dell</w:t>
                    </w:r>
                    <w:r w:rsidR="008B6CDC">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5527CC8B" w:rsidR="00532BBF" w:rsidRPr="00532BBF" w:rsidRDefault="00532BBF" w:rsidP="00532BBF">
                          <w:pPr>
                            <w:rPr>
                              <w:rFonts w:ascii="Calibri" w:eastAsia="Calibri" w:hAnsi="Calibri" w:cs="Calibri"/>
                              <w:noProof/>
                              <w:color w:val="000000"/>
                              <w:sz w:val="24"/>
                            </w:rPr>
                          </w:pPr>
                          <w:r>
                            <w:rPr>
                              <w:rFonts w:ascii="Calibri" w:hAnsi="Calibri"/>
                              <w:color w:val="000000"/>
                              <w:sz w:val="24"/>
                            </w:rPr>
                            <w:t>Per l</w:t>
                          </w:r>
                          <w:r w:rsidR="008B6CDC">
                            <w:rPr>
                              <w:rFonts w:ascii="Calibri" w:hAnsi="Calibri"/>
                              <w:color w:val="000000"/>
                              <w:sz w:val="24"/>
                            </w:rPr>
                            <w:t>'</w:t>
                          </w:r>
                          <w:r>
                            <w:rPr>
                              <w:rFonts w:ascii="Calibri" w:hAnsi="Calibri"/>
                              <w:color w:val="000000"/>
                              <w:sz w:val="24"/>
                            </w:rPr>
                            <w:t>uso ordinario dell</w:t>
                          </w:r>
                          <w:r w:rsidR="008B6CDC">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54AF2C4" id="_x0000_t202" coordsize="21600,21600" o:spt="202" path="m,l,21600r21600,l21600,xe">
              <v:stroke joinstyle="miter"/>
              <v:path gradientshapeok="t" o:connecttype="rect"/>
            </v:shapetype>
            <v:shape id="Text Box 3" o:spid="_x0000_s1027" type="#_x0000_t202" alt="Per l'uso ordinario dell'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B5B00D7" w14:textId="5527CC8B" w:rsidR="00532BBF" w:rsidRPr="00532BBF" w:rsidRDefault="00532BBF" w:rsidP="00532BBF">
                    <w:pPr>
                      <w:rPr>
                        <w:rFonts w:ascii="Calibri" w:eastAsia="Calibri" w:hAnsi="Calibri" w:cs="Calibri"/>
                        <w:noProof/>
                        <w:color w:val="000000"/>
                        <w:sz w:val="24"/>
                      </w:rPr>
                    </w:pPr>
                    <w:r>
                      <w:rPr>
                        <w:rFonts w:ascii="Calibri" w:hAnsi="Calibri"/>
                        <w:color w:val="000000"/>
                        <w:sz w:val="24"/>
                      </w:rPr>
                      <w:t>Per l</w:t>
                    </w:r>
                    <w:r w:rsidR="008B6CDC">
                      <w:rPr>
                        <w:rFonts w:ascii="Calibri" w:hAnsi="Calibri"/>
                        <w:color w:val="000000"/>
                        <w:sz w:val="24"/>
                      </w:rPr>
                      <w:t>'</w:t>
                    </w:r>
                    <w:r>
                      <w:rPr>
                        <w:rFonts w:ascii="Calibri" w:hAnsi="Calibri"/>
                        <w:color w:val="000000"/>
                        <w:sz w:val="24"/>
                      </w:rPr>
                      <w:t>uso ordinario dell</w:t>
                    </w:r>
                    <w:r w:rsidR="008B6CDC">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04FE8F82" w:rsidR="00532BBF" w:rsidRPr="00532BBF" w:rsidRDefault="00532BBF" w:rsidP="00532BBF">
                          <w:pPr>
                            <w:rPr>
                              <w:rFonts w:ascii="Calibri" w:eastAsia="Calibri" w:hAnsi="Calibri" w:cs="Calibri"/>
                              <w:noProof/>
                              <w:color w:val="000000"/>
                              <w:sz w:val="24"/>
                            </w:rPr>
                          </w:pPr>
                          <w:r>
                            <w:rPr>
                              <w:rFonts w:ascii="Calibri" w:hAnsi="Calibri"/>
                              <w:color w:val="000000"/>
                              <w:sz w:val="24"/>
                            </w:rPr>
                            <w:t>Per l</w:t>
                          </w:r>
                          <w:r w:rsidR="008B6CDC">
                            <w:rPr>
                              <w:rFonts w:ascii="Calibri" w:hAnsi="Calibri"/>
                              <w:color w:val="000000"/>
                              <w:sz w:val="24"/>
                            </w:rPr>
                            <w:t>'</w:t>
                          </w:r>
                          <w:r>
                            <w:rPr>
                              <w:rFonts w:ascii="Calibri" w:hAnsi="Calibri"/>
                              <w:color w:val="000000"/>
                              <w:sz w:val="24"/>
                            </w:rPr>
                            <w:t>uso ordinario dell</w:t>
                          </w:r>
                          <w:r w:rsidR="008B6CDC">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F7B3877" id="_x0000_t202" coordsize="21600,21600" o:spt="202" path="m,l,21600r21600,l21600,xe">
              <v:stroke joinstyle="miter"/>
              <v:path gradientshapeok="t" o:connecttype="rect"/>
            </v:shapetype>
            <v:shape id="Text Box 1" o:spid="_x0000_s1028" type="#_x0000_t202" alt="Per l'uso ordinario del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B1351D1" w14:textId="04FE8F82" w:rsidR="00532BBF" w:rsidRPr="00532BBF" w:rsidRDefault="00532BBF" w:rsidP="00532BBF">
                    <w:pPr>
                      <w:rPr>
                        <w:rFonts w:ascii="Calibri" w:eastAsia="Calibri" w:hAnsi="Calibri" w:cs="Calibri"/>
                        <w:noProof/>
                        <w:color w:val="000000"/>
                        <w:sz w:val="24"/>
                      </w:rPr>
                    </w:pPr>
                    <w:r>
                      <w:rPr>
                        <w:rFonts w:ascii="Calibri" w:hAnsi="Calibri"/>
                        <w:color w:val="000000"/>
                        <w:sz w:val="24"/>
                      </w:rPr>
                      <w:t>Per l</w:t>
                    </w:r>
                    <w:r w:rsidR="008B6CDC">
                      <w:rPr>
                        <w:rFonts w:ascii="Calibri" w:hAnsi="Calibri"/>
                        <w:color w:val="000000"/>
                        <w:sz w:val="24"/>
                      </w:rPr>
                      <w:t>'</w:t>
                    </w:r>
                    <w:r>
                      <w:rPr>
                        <w:rFonts w:ascii="Calibri" w:hAnsi="Calibri"/>
                        <w:color w:val="000000"/>
                        <w:sz w:val="24"/>
                      </w:rPr>
                      <w:t>uso ordinario dell</w:t>
                    </w:r>
                    <w:r w:rsidR="008B6CDC">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it-IT" w:vendorID="64" w:dllVersion="0" w:nlCheck="1" w:checkStyle="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443BE8"/>
    <w:rsid w:val="00532BBF"/>
    <w:rsid w:val="00593366"/>
    <w:rsid w:val="005F3412"/>
    <w:rsid w:val="006B1D12"/>
    <w:rsid w:val="007D4C3D"/>
    <w:rsid w:val="007E6920"/>
    <w:rsid w:val="008B6CDC"/>
    <w:rsid w:val="008F4881"/>
    <w:rsid w:val="00993FC2"/>
    <w:rsid w:val="00A5310C"/>
    <w:rsid w:val="00AB0BDD"/>
    <w:rsid w:val="00CD5187"/>
    <w:rsid w:val="00D50CDF"/>
    <w:rsid w:val="00DD6E68"/>
    <w:rsid w:val="00F22770"/>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8B6CDC"/>
    <w:pPr>
      <w:spacing w:before="80" w:line="200" w:lineRule="exact"/>
      <w:ind w:left="567" w:hanging="567"/>
      <w:jc w:val="both"/>
    </w:pPr>
    <w:rPr>
      <w:rFonts w:ascii="Times New Roman" w:hAnsi="Times New Roman" w:cs="Times New Roman"/>
      <w:sz w:val="18"/>
      <w:szCs w:val="18"/>
    </w:rPr>
  </w:style>
  <w:style w:type="character" w:customStyle="1" w:styleId="FootnoteTextChar">
    <w:name w:val="Footnote Text Char"/>
    <w:basedOn w:val="DefaultParagraphFont"/>
    <w:link w:val="FootnoteText"/>
    <w:rsid w:val="008B6CDC"/>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2CA724-5CB1-4B74-901F-28D39D34DC4D}"/>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F98D6-CBF7-434A-9A70-030233195C5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68</TotalTime>
  <Pages>17</Pages>
  <Words>5505</Words>
  <Characters>30888</Characters>
  <Application>Microsoft Office Word</Application>
  <DocSecurity>0</DocSecurity>
  <Lines>671</Lines>
  <Paragraphs>330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FORNELLI Giuseppe (DGT)</cp:lastModifiedBy>
  <cp:revision>11</cp:revision>
  <dcterms:created xsi:type="dcterms:W3CDTF">2021-03-11T13:24:00Z</dcterms:created>
  <dcterms:modified xsi:type="dcterms:W3CDTF">2024-10-18T07:40:00Z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