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3152" w14:textId="4E11F668" w:rsidR="00A81FD5" w:rsidRPr="007F4CC8" w:rsidRDefault="00A81FD5" w:rsidP="00A81FD5">
      <w:pPr>
        <w:pStyle w:val="Annexetitre"/>
        <w:spacing w:before="0"/>
      </w:pPr>
      <w:r>
        <w:t xml:space="preserve">Παράρτημα XXIV – Δημοσιοποίηση ανοιγμάτων ειδικού δανεισμού και ανοιγμάτων σε μετοχές </w:t>
      </w:r>
    </w:p>
    <w:p w14:paraId="085C05B0" w14:textId="77777777" w:rsidR="00A81FD5" w:rsidRPr="007F4CC8" w:rsidRDefault="00A81FD5" w:rsidP="00A81FD5">
      <w:pPr>
        <w:spacing w:after="120"/>
        <w:rPr>
          <w:rFonts w:ascii="Times New Roman" w:hAnsi="Times New Roman" w:cs="Times New Roman"/>
          <w:sz w:val="24"/>
        </w:rPr>
      </w:pPr>
    </w:p>
    <w:p w14:paraId="4D52DDD2" w14:textId="2226D869" w:rsidR="00A81FD5" w:rsidRPr="007F4CC8" w:rsidRDefault="00A81FD5" w:rsidP="00A81FD5">
      <w:pPr>
        <w:spacing w:after="120"/>
        <w:ind w:left="3"/>
        <w:rPr>
          <w:rFonts w:ascii="Times New Roman" w:hAnsi="Times New Roman"/>
          <w:sz w:val="24"/>
        </w:rPr>
      </w:pPr>
      <w:r>
        <w:rPr>
          <w:rFonts w:ascii="Times New Roman" w:hAnsi="Times New Roman"/>
          <w:b/>
          <w:sz w:val="24"/>
        </w:rPr>
        <w:t>Υπόδειγμα EU CR10 – Ανοίγματα ειδικού δανεισμού και ανοίγματα σε μετοχές.</w:t>
      </w:r>
      <w:r>
        <w:rPr>
          <w:rFonts w:ascii="Times New Roman" w:hAnsi="Times New Roman"/>
          <w:sz w:val="24"/>
        </w:rPr>
        <w:t xml:space="preserve"> Σταθερό υπόδειγμα.</w:t>
      </w:r>
    </w:p>
    <w:p w14:paraId="7F14938F" w14:textId="5C3615E8" w:rsidR="00A81FD5" w:rsidRPr="00AF68CB" w:rsidRDefault="00A81FD5" w:rsidP="00AF68CB">
      <w:pPr>
        <w:pStyle w:val="ListParagraph"/>
        <w:numPr>
          <w:ilvl w:val="0"/>
          <w:numId w:val="2"/>
        </w:numPr>
        <w:spacing w:after="120"/>
        <w:ind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438 στοιχείο ε) του κανονισμού (ΕΕ) αριθ. 575/2013 («ΚΚΑ»)</w:t>
      </w:r>
      <w:r w:rsidR="0016297E">
        <w:rPr>
          <w:rStyle w:val="FootnoteReference"/>
        </w:rPr>
        <w:footnoteReference w:id="1"/>
      </w:r>
      <w:r>
        <w:rPr>
          <w:rFonts w:ascii="Times New Roman" w:hAnsi="Times New Roman"/>
          <w:sz w:val="24"/>
        </w:rPr>
        <w:t xml:space="preserve"> ακολουθώντας τις οδηγίες που παρέχονται παρακάτω στο παρόν παράρτημα για τη συμπλήρωση του υποδείγματος EU CR10, το οποίο παρατίθεται στο παράρτημα XXIII των λύσεων ΤΠ της ΕΑΤ. Τα ιδρύματα δημοσιοποιούν τα εξής στοιχεία:</w:t>
      </w:r>
    </w:p>
    <w:p w14:paraId="536DBFB9" w14:textId="77777777" w:rsidR="00A81FD5" w:rsidRPr="007F4CC8" w:rsidRDefault="00A81FD5" w:rsidP="00A81FD5">
      <w:pPr>
        <w:pStyle w:val="ListParagraph"/>
        <w:numPr>
          <w:ilvl w:val="1"/>
          <w:numId w:val="2"/>
        </w:numPr>
        <w:spacing w:after="120"/>
        <w:rPr>
          <w:rFonts w:ascii="Times New Roman" w:hAnsi="Times New Roman"/>
          <w:sz w:val="24"/>
          <w:szCs w:val="24"/>
        </w:rPr>
      </w:pPr>
      <w:r>
        <w:rPr>
          <w:rFonts w:ascii="Times New Roman" w:hAnsi="Times New Roman"/>
          <w:sz w:val="24"/>
        </w:rPr>
        <w:t>πληροφορίες σχετικά με τα ακόλουθα είδη ανοιγμάτων ειδικού δανεισμού που αναφέρονται στον πίνακα 1 του άρθρου 153 παράγραφος 5:</w:t>
      </w:r>
    </w:p>
    <w:p w14:paraId="3460EFE7"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«Χρηματοδότηση έργου» στο υπόδειγμα EU CR10.1·</w:t>
      </w:r>
    </w:p>
    <w:p w14:paraId="05E046A4"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«Ακίνητα που παράγουν εισόδημα και εμπορικά ακίνητα υψηλής μεταβλητότητας» στο υπόδειγμα EU CR10.2·</w:t>
      </w:r>
    </w:p>
    <w:p w14:paraId="0802AD44"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«Χρηματοδότηση αντικειμένου» στο υπόδειγμα EU CR10.3·</w:t>
      </w:r>
    </w:p>
    <w:p w14:paraId="69BDB935"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«Χρηματοδότηση εμπορευμάτων» στο υπόδειγμα EU CR10.4·</w:t>
      </w:r>
    </w:p>
    <w:p w14:paraId="2E77063D" w14:textId="13E594D0" w:rsidR="00A81FD5" w:rsidRPr="007F4CC8" w:rsidRDefault="00A81FD5" w:rsidP="00A81FD5">
      <w:pPr>
        <w:pStyle w:val="ListParagraph"/>
        <w:numPr>
          <w:ilvl w:val="1"/>
          <w:numId w:val="2"/>
        </w:numPr>
        <w:spacing w:after="120"/>
        <w:ind w:hanging="357"/>
        <w:rPr>
          <w:rFonts w:ascii="Times New Roman" w:hAnsi="Times New Roman"/>
          <w:sz w:val="24"/>
          <w:szCs w:val="24"/>
        </w:rPr>
      </w:pPr>
      <w:r>
        <w:rPr>
          <w:rFonts w:ascii="Times New Roman" w:hAnsi="Times New Roman"/>
          <w:sz w:val="24"/>
        </w:rPr>
        <w:t>πληροφορίες σχετικά με τα ανοίγματα σε μετοχές στο υπόδειγμα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2"/>
      </w:tblGrid>
      <w:tr w:rsidR="00A81FD5" w:rsidRPr="007F4CC8" w14:paraId="78CCACB1" w14:textId="77777777" w:rsidTr="00312D1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27371FCA" w14:textId="77777777" w:rsidR="00A81FD5" w:rsidRPr="007F4CC8" w:rsidRDefault="00A81FD5"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B42C1" w14:textId="77777777" w:rsidR="00A81FD5" w:rsidRPr="007F4CC8" w:rsidRDefault="00A81FD5" w:rsidP="004F3087">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A81FD5" w:rsidRPr="007F4CC8" w14:paraId="7EA5F71F" w14:textId="77777777" w:rsidTr="00312D13">
        <w:trPr>
          <w:trHeight w:val="359"/>
        </w:trPr>
        <w:tc>
          <w:tcPr>
            <w:tcW w:w="1555" w:type="dxa"/>
            <w:vMerge/>
            <w:tcBorders>
              <w:left w:val="single" w:sz="4" w:space="0" w:color="auto"/>
              <w:right w:val="single" w:sz="4" w:space="0" w:color="auto"/>
            </w:tcBorders>
            <w:shd w:val="clear" w:color="auto" w:fill="D9D9D9" w:themeFill="background1" w:themeFillShade="D9"/>
          </w:tcPr>
          <w:p w14:paraId="5F0A068C"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512" w:type="dxa"/>
            <w:tcBorders>
              <w:left w:val="single" w:sz="4" w:space="0" w:color="auto"/>
            </w:tcBorders>
            <w:shd w:val="clear" w:color="auto" w:fill="D9D9D9" w:themeFill="background1" w:themeFillShade="D9"/>
          </w:tcPr>
          <w:p w14:paraId="1EAA19A1" w14:textId="77777777" w:rsidR="00A81FD5" w:rsidRPr="007F4CC8" w:rsidRDefault="00A81FD5" w:rsidP="004F308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A81FD5" w:rsidRPr="007F4CC8" w14:paraId="5BE84BFB" w14:textId="77777777" w:rsidTr="00312D13">
        <w:trPr>
          <w:trHeight w:val="316"/>
        </w:trPr>
        <w:tc>
          <w:tcPr>
            <w:tcW w:w="1555" w:type="dxa"/>
          </w:tcPr>
          <w:p w14:paraId="400664F6"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α</w:t>
            </w:r>
          </w:p>
        </w:tc>
        <w:tc>
          <w:tcPr>
            <w:tcW w:w="7512" w:type="dxa"/>
          </w:tcPr>
          <w:p w14:paraId="505BFF38" w14:textId="77777777" w:rsidR="00A81FD5" w:rsidRPr="00B42FCC" w:rsidRDefault="00A81FD5" w:rsidP="004F3087">
            <w:pPr>
              <w:spacing w:after="120"/>
              <w:jc w:val="both"/>
              <w:rPr>
                <w:rFonts w:ascii="Times New Roman" w:eastAsiaTheme="minorHAnsi" w:hAnsi="Times New Roman" w:cs="Times New Roman"/>
                <w:b/>
                <w:sz w:val="24"/>
              </w:rPr>
            </w:pPr>
            <w:r>
              <w:rPr>
                <w:rFonts w:ascii="Times New Roman" w:hAnsi="Times New Roman"/>
                <w:b/>
                <w:sz w:val="24"/>
              </w:rPr>
              <w:t>Ανοίγματα εντός ισολογισμού</w:t>
            </w:r>
          </w:p>
          <w:p w14:paraId="745AD69D" w14:textId="7830AC6E"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Τα ιδρύματα δημοσιοποιούν την αξία ανοίγματος των εντός ισολογισμού ανοιγμάτων σύμφωνα με το άρθρο 166 παράγραφοι 1 έως 7 και το άρθρο 167 παράγραφος 1 του κανονισμού (ΕΕ) αριθ. 575/2013.</w:t>
            </w:r>
          </w:p>
        </w:tc>
      </w:tr>
      <w:tr w:rsidR="00A81FD5" w:rsidRPr="007F4CC8" w14:paraId="0D47376E" w14:textId="77777777" w:rsidTr="00312D13">
        <w:trPr>
          <w:trHeight w:val="316"/>
        </w:trPr>
        <w:tc>
          <w:tcPr>
            <w:tcW w:w="1555" w:type="dxa"/>
          </w:tcPr>
          <w:p w14:paraId="79B7BB44"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β</w:t>
            </w:r>
          </w:p>
        </w:tc>
        <w:tc>
          <w:tcPr>
            <w:tcW w:w="7512" w:type="dxa"/>
          </w:tcPr>
          <w:p w14:paraId="18980CCD"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Ανοίγματα εκτός ισολογισμού</w:t>
            </w:r>
          </w:p>
          <w:p w14:paraId="1C2FD9EF" w14:textId="191BEB22"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την αξία ανοίγματος των εκτός ισολογισμού ανοιγμάτων σύμφωνα με το άρθρο 166 και το άρθρο 167 παράγραφος 2 του κανονισμού (ΕΕ) αριθ. 575/2013 χωρίς να λαμβάνουν υπόψη τυχόν συντελεστές μετατροπής που προσδιορίζονται στο άρθρο 166 παράγραφος 8 ή 9 του κανονισμού (ΕΕ) αριθ. 575/2013 ή τυχόν ποσοστά που προσδιορίζονται στο άρθρο 166 παράγραφος 10 του κανονισμού (ΕΕ) αριθ. 575/2013.</w:t>
            </w:r>
          </w:p>
          <w:p w14:paraId="72C867E8" w14:textId="03DDDFDF"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εκτός ισολογισμού ανοίγματα περιλαμβάνουν όλα τα δεσμευμένα αλλά μη </w:t>
            </w:r>
            <w:proofErr w:type="spellStart"/>
            <w:r>
              <w:rPr>
                <w:rFonts w:ascii="Times New Roman" w:hAnsi="Times New Roman"/>
                <w:sz w:val="24"/>
              </w:rPr>
              <w:t>αναληφθέντα</w:t>
            </w:r>
            <w:proofErr w:type="spellEnd"/>
            <w:r>
              <w:rPr>
                <w:rFonts w:ascii="Times New Roman" w:hAnsi="Times New Roman"/>
                <w:sz w:val="24"/>
              </w:rPr>
              <w:t xml:space="preserve"> ποσά και όλα τα στοιχεία εκτός ισολογισμού, όπως παρατίθενται στο παράρτημα I του κανονισμού (ΕΕ) αριθ. 575/2013.</w:t>
            </w:r>
          </w:p>
        </w:tc>
      </w:tr>
      <w:tr w:rsidR="00A81FD5" w:rsidRPr="007F4CC8" w14:paraId="348A6D93" w14:textId="77777777" w:rsidTr="00312D13">
        <w:trPr>
          <w:trHeight w:val="316"/>
        </w:trPr>
        <w:tc>
          <w:tcPr>
            <w:tcW w:w="1555" w:type="dxa"/>
          </w:tcPr>
          <w:p w14:paraId="00262C17"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γ</w:t>
            </w:r>
          </w:p>
        </w:tc>
        <w:tc>
          <w:tcPr>
            <w:tcW w:w="7512" w:type="dxa"/>
          </w:tcPr>
          <w:p w14:paraId="53761983"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Στάθμιση κινδύνου</w:t>
            </w:r>
          </w:p>
          <w:p w14:paraId="74BDA868" w14:textId="5C580C45"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Πρόκειται για σταθερή στήλη για τα υποδείγματα EU CR 10.1 έως EU CR 10.4. Δεν πρέπει να τροποποιείται. </w:t>
            </w:r>
          </w:p>
          <w:p w14:paraId="2AF282A3" w14:textId="143D6409"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Η στήλη αυτή έχει καθοριστεί σύμφωνα με το άρθρο 153 παράγραφος 5 του κανονισμού (ΕΕ) αριθ. 575/2013 για τα υποδείγματα EU CR10.1 έως EU CR10.4.  Για το υπόδειγμα EU CR 10.5, η στήλη αυτή είναι ευέλικτη. Τα ιδρύματα εφαρμόζουν τους σχετικούς συντελεστές στάθμισης κινδύνου σύμφωνα με το άρθρο 133 παράγραφοι 3 έως 6 και το άρθρο 495α παράγραφος 3 του κανονισμού (ΕΕ) αριθ. 575/2013.</w:t>
            </w:r>
          </w:p>
        </w:tc>
      </w:tr>
      <w:tr w:rsidR="00A81FD5" w:rsidRPr="007F4CC8" w14:paraId="7603C34A" w14:textId="77777777" w:rsidTr="00312D13">
        <w:trPr>
          <w:trHeight w:val="316"/>
        </w:trPr>
        <w:tc>
          <w:tcPr>
            <w:tcW w:w="1555" w:type="dxa"/>
          </w:tcPr>
          <w:p w14:paraId="3D9A6962"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δ</w:t>
            </w:r>
          </w:p>
        </w:tc>
        <w:tc>
          <w:tcPr>
            <w:tcW w:w="7512" w:type="dxa"/>
          </w:tcPr>
          <w:p w14:paraId="67C9AB4B"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Αξία ανοίγματος</w:t>
            </w:r>
          </w:p>
          <w:p w14:paraId="3EBD3C28" w14:textId="12336578" w:rsidR="00A81FD5" w:rsidRPr="007F4CC8" w:rsidRDefault="00A81FD5" w:rsidP="004F3087">
            <w:pPr>
              <w:autoSpaceDE w:val="0"/>
              <w:autoSpaceDN w:val="0"/>
              <w:adjustRightInd w:val="0"/>
              <w:spacing w:after="120"/>
              <w:rPr>
                <w:rFonts w:ascii="Times New Roman" w:hAnsi="Times New Roman" w:cs="Times New Roman"/>
                <w:sz w:val="24"/>
              </w:rPr>
            </w:pPr>
            <w:r>
              <w:rPr>
                <w:rFonts w:ascii="Times New Roman" w:hAnsi="Times New Roman"/>
                <w:sz w:val="24"/>
              </w:rPr>
              <w:t>Αξία ανοίγματος σύμφωνα με το άρθρο 166 ή 167 του κανονισμού (ΕΕ) αριθ. 575/2013.</w:t>
            </w:r>
          </w:p>
          <w:p w14:paraId="7CB9912F" w14:textId="58C868E9"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 xml:space="preserve">Η συγκεκριμένη στήλη περιλαμβάνει το άθροισμα της αξίας των ανοιγμάτων εντός ισολογισμού και των ανοιγμάτων εκτός ισολογισμού μετά τους συντελεστές μετατροπής και τα ποσοστά σύμφωνα με το άρθρο 166 παράγραφοι 8 έως 10 του κανονισμού (ΕΕ) αριθ. 575/2013. </w:t>
            </w:r>
          </w:p>
        </w:tc>
      </w:tr>
      <w:tr w:rsidR="00A81FD5" w:rsidRPr="007F4CC8" w14:paraId="101D075B" w14:textId="77777777" w:rsidTr="00312D13">
        <w:trPr>
          <w:trHeight w:val="316"/>
        </w:trPr>
        <w:tc>
          <w:tcPr>
            <w:tcW w:w="1555" w:type="dxa"/>
            <w:tcBorders>
              <w:bottom w:val="single" w:sz="4" w:space="0" w:color="auto"/>
            </w:tcBorders>
          </w:tcPr>
          <w:p w14:paraId="0967DA9C" w14:textId="77777777" w:rsidR="00A81FD5" w:rsidRPr="00DD0C4D" w:rsidRDefault="00A81FD5" w:rsidP="004F3087">
            <w:pPr>
              <w:autoSpaceDE w:val="0"/>
              <w:autoSpaceDN w:val="0"/>
              <w:adjustRightInd w:val="0"/>
              <w:spacing w:after="120"/>
              <w:jc w:val="both"/>
              <w:rPr>
                <w:rFonts w:ascii="Times New Roman" w:hAnsi="Times New Roman"/>
                <w:sz w:val="24"/>
              </w:rPr>
            </w:pPr>
            <w:r>
              <w:rPr>
                <w:rFonts w:ascii="Times New Roman" w:hAnsi="Times New Roman"/>
                <w:sz w:val="24"/>
              </w:rPr>
              <w:t>ε (υποδείγματα EU CR10.1 έως EU CR10.4)</w:t>
            </w:r>
          </w:p>
        </w:tc>
        <w:tc>
          <w:tcPr>
            <w:tcW w:w="7512" w:type="dxa"/>
          </w:tcPr>
          <w:p w14:paraId="703A355C"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ανοίγματος σταθμισμένο ως προς τον κίνδυνο (ανοίγματα ειδικού δανεισμού βάσει της προσέγγισης κατανομής)</w:t>
            </w:r>
          </w:p>
          <w:p w14:paraId="041E0E73" w14:textId="698ABDEF"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Το ποσό του σταθμισμένου ως προς τον κίνδυνο ανοίγματος υπολογιζόμενο σύμφωνα με το άρθρο 153 παράγραφος 5 του κανονισμού (ΕΕ) αριθ. 575/2013 μετά τους συντελεστές στήριξης σύμφωνα με τα άρθρα 501 και 501α του κανονισμού (ΕΕ) αριθ. 575/2013, κατά περίπτωση.</w:t>
            </w:r>
          </w:p>
        </w:tc>
      </w:tr>
      <w:tr w:rsidR="00A81FD5" w:rsidRPr="007F4CC8" w14:paraId="697C0CA4" w14:textId="77777777" w:rsidTr="00312D13">
        <w:trPr>
          <w:trHeight w:val="316"/>
        </w:trPr>
        <w:tc>
          <w:tcPr>
            <w:tcW w:w="1555" w:type="dxa"/>
            <w:tcBorders>
              <w:bottom w:val="nil"/>
            </w:tcBorders>
          </w:tcPr>
          <w:p w14:paraId="1672DF90" w14:textId="77777777" w:rsidR="00A81FD5" w:rsidRPr="00DD0C4D" w:rsidRDefault="00A81FD5" w:rsidP="004F3087">
            <w:pPr>
              <w:autoSpaceDE w:val="0"/>
              <w:autoSpaceDN w:val="0"/>
              <w:adjustRightInd w:val="0"/>
              <w:spacing w:after="120"/>
              <w:jc w:val="both"/>
              <w:rPr>
                <w:rFonts w:ascii="Times New Roman" w:hAnsi="Times New Roman"/>
                <w:sz w:val="24"/>
              </w:rPr>
            </w:pPr>
            <w:proofErr w:type="spellStart"/>
            <w:r>
              <w:rPr>
                <w:rFonts w:ascii="Times New Roman" w:hAnsi="Times New Roman"/>
                <w:sz w:val="24"/>
              </w:rPr>
              <w:t>στ</w:t>
            </w:r>
            <w:proofErr w:type="spellEnd"/>
            <w:r>
              <w:rPr>
                <w:rFonts w:ascii="Times New Roman" w:hAnsi="Times New Roman"/>
                <w:sz w:val="24"/>
              </w:rPr>
              <w:t xml:space="preserve"> (υποδείγματα EU CR10.1 έως EU CR10.4)</w:t>
            </w:r>
          </w:p>
        </w:tc>
        <w:tc>
          <w:tcPr>
            <w:tcW w:w="7512" w:type="dxa"/>
          </w:tcPr>
          <w:p w14:paraId="4FF75FEB" w14:textId="77777777" w:rsidR="00A81FD5" w:rsidRPr="00D647C0"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αναμενόμενης ζημίας (ανοίγματα ειδικού δανεισμού βάσει της προσέγγισης κατανομής)</w:t>
            </w:r>
          </w:p>
          <w:p w14:paraId="60279495" w14:textId="26DC979B"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Ποσό αναμενόμενης ζημίας υπολογιζόμενο σύμφωνα με το άρθρο 158 παράγραφος 6 του κανονισμού (ΕΕ) αριθ. 575/2013.</w:t>
            </w:r>
          </w:p>
        </w:tc>
      </w:tr>
      <w:tr w:rsidR="00A81FD5" w:rsidRPr="007F4CC8" w14:paraId="4F8B2187" w14:textId="77777777" w:rsidTr="00312D13">
        <w:trPr>
          <w:trHeight w:val="316"/>
        </w:trPr>
        <w:tc>
          <w:tcPr>
            <w:tcW w:w="1555" w:type="dxa"/>
            <w:tcBorders>
              <w:top w:val="nil"/>
            </w:tcBorders>
          </w:tcPr>
          <w:p w14:paraId="56FDDAB9"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t>στ</w:t>
            </w:r>
            <w:proofErr w:type="spellEnd"/>
            <w:r>
              <w:rPr>
                <w:rFonts w:ascii="Times New Roman" w:hAnsi="Times New Roman"/>
                <w:sz w:val="24"/>
              </w:rPr>
              <w:t xml:space="preserve"> (υπόδειγμα EU CR10.5)</w:t>
            </w:r>
          </w:p>
        </w:tc>
        <w:tc>
          <w:tcPr>
            <w:tcW w:w="7512" w:type="dxa"/>
          </w:tcPr>
          <w:p w14:paraId="63BCE1AB" w14:textId="77777777" w:rsidR="00A81FD5" w:rsidRPr="00D647C0"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αναμενόμενης ζημίας (ανοίγματα σε μετοχές βάσει της προσέγγισης της απλής στάθμισης κινδύνου)</w:t>
            </w:r>
          </w:p>
          <w:p w14:paraId="602A3DA1" w14:textId="4D627F35"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Ποσό αναμενόμενης ζημίας υπολογιζόμενο σύμφωνα με το άρθρο 158 παράγραφος 7 του κανονισμού (ΕΕ) αριθ. 575/2013, κατά περίπτωση.</w:t>
            </w:r>
          </w:p>
        </w:tc>
      </w:tr>
    </w:tbl>
    <w:p w14:paraId="2792224B" w14:textId="77777777" w:rsidR="00A81FD5" w:rsidRPr="007F4CC8" w:rsidRDefault="00A81FD5" w:rsidP="00A81FD5">
      <w:pPr>
        <w:spacing w:after="120"/>
        <w:rPr>
          <w:rFonts w:ascii="Times New Roman" w:hAnsi="Times New Roman" w:cs="Times New Roman"/>
          <w:sz w:val="24"/>
        </w:rPr>
      </w:pPr>
    </w:p>
    <w:p w14:paraId="2C3A6074" w14:textId="77777777" w:rsidR="00A81FD5" w:rsidRPr="007F4CC8" w:rsidRDefault="00A81FD5" w:rsidP="00A81FD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2"/>
      </w:tblGrid>
      <w:tr w:rsidR="00A81FD5" w:rsidRPr="007F4CC8" w14:paraId="3C9F1404" w14:textId="77777777" w:rsidTr="00312D1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56930760" w14:textId="77777777" w:rsidR="00A81FD5" w:rsidRPr="007F4CC8" w:rsidRDefault="00A81FD5"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8EC16B" w14:textId="77777777" w:rsidR="00A81FD5" w:rsidRPr="007F4CC8" w:rsidRDefault="00A81FD5" w:rsidP="004F3087">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A81FD5" w:rsidRPr="007F4CC8" w14:paraId="05D9511C" w14:textId="77777777" w:rsidTr="00312D13">
        <w:trPr>
          <w:trHeight w:val="403"/>
        </w:trPr>
        <w:tc>
          <w:tcPr>
            <w:tcW w:w="1555" w:type="dxa"/>
            <w:vMerge/>
            <w:tcBorders>
              <w:left w:val="single" w:sz="4" w:space="0" w:color="auto"/>
              <w:right w:val="single" w:sz="4" w:space="0" w:color="auto"/>
            </w:tcBorders>
            <w:shd w:val="clear" w:color="auto" w:fill="D9D9D9" w:themeFill="background1" w:themeFillShade="D9"/>
          </w:tcPr>
          <w:p w14:paraId="3DCFB7BE"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512" w:type="dxa"/>
            <w:tcBorders>
              <w:left w:val="single" w:sz="4" w:space="0" w:color="auto"/>
            </w:tcBorders>
            <w:shd w:val="clear" w:color="auto" w:fill="D9D9D9" w:themeFill="background1" w:themeFillShade="D9"/>
          </w:tcPr>
          <w:p w14:paraId="64C8C924" w14:textId="77777777" w:rsidR="00A81FD5" w:rsidRPr="007F4CC8" w:rsidRDefault="00A81FD5" w:rsidP="004F308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A81FD5" w:rsidRPr="007F4CC8" w14:paraId="5A7F3F5E" w14:textId="77777777" w:rsidTr="00312D13">
        <w:trPr>
          <w:trHeight w:val="316"/>
        </w:trPr>
        <w:tc>
          <w:tcPr>
            <w:tcW w:w="1555" w:type="dxa"/>
          </w:tcPr>
          <w:p w14:paraId="7D094947"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Κανονιστική κατηγορία</w:t>
            </w:r>
          </w:p>
        </w:tc>
        <w:tc>
          <w:tcPr>
            <w:tcW w:w="7512" w:type="dxa"/>
          </w:tcPr>
          <w:p w14:paraId="684D2C24" w14:textId="77777777" w:rsidR="00A81FD5" w:rsidRPr="00DD0C4D" w:rsidRDefault="00A81FD5" w:rsidP="004F3087">
            <w:pPr>
              <w:spacing w:after="120"/>
              <w:jc w:val="both"/>
              <w:rPr>
                <w:rFonts w:ascii="Times New Roman" w:eastAsiaTheme="minorHAnsi" w:hAnsi="Times New Roman" w:cs="Times New Roman"/>
                <w:b/>
                <w:sz w:val="24"/>
              </w:rPr>
            </w:pPr>
            <w:r>
              <w:rPr>
                <w:rFonts w:ascii="Times New Roman" w:hAnsi="Times New Roman"/>
                <w:b/>
                <w:sz w:val="24"/>
              </w:rPr>
              <w:t>Υποδείγματα EU CR10.1 – EU CR10.4</w:t>
            </w:r>
          </w:p>
          <w:p w14:paraId="73A34AF3" w14:textId="5763928A"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Τις ρυθμιστικές κατηγορίες που ισχύουν για τον ειδικό δανεισμό σύμφωνα με την προσέγγιση κατανομής (</w:t>
            </w:r>
            <w:proofErr w:type="spellStart"/>
            <w:r>
              <w:rPr>
                <w:rFonts w:ascii="Times New Roman" w:hAnsi="Times New Roman"/>
                <w:sz w:val="24"/>
              </w:rPr>
              <w:t>slotting</w:t>
            </w:r>
            <w:proofErr w:type="spellEnd"/>
            <w:r>
              <w:rPr>
                <w:rFonts w:ascii="Times New Roman" w:hAnsi="Times New Roman"/>
                <w:sz w:val="24"/>
              </w:rPr>
              <w:t>) για κάθε κατηγορία ανοιγμάτων ειδικού δανεισμού· όπως προσδιορίζονται στο άρθρο 153 παράγραφος 5 του κανονισμού (ΕΕ) αριθ. 575/2013 και στο τελικό σχέδιο ρυθμιστικών τεχνικών προτύπων σχετικά με την προσέγγιση κατανομής (</w:t>
            </w:r>
            <w:proofErr w:type="spellStart"/>
            <w:r>
              <w:rPr>
                <w:rFonts w:ascii="Times New Roman" w:hAnsi="Times New Roman"/>
                <w:sz w:val="24"/>
              </w:rPr>
              <w:t>slotting</w:t>
            </w:r>
            <w:proofErr w:type="spellEnd"/>
            <w:r>
              <w:rPr>
                <w:rFonts w:ascii="Times New Roman" w:hAnsi="Times New Roman"/>
                <w:sz w:val="24"/>
              </w:rPr>
              <w:t>).</w:t>
            </w:r>
          </w:p>
        </w:tc>
      </w:tr>
      <w:tr w:rsidR="00A81FD5" w:rsidRPr="007F4CC8" w14:paraId="06F4029F" w14:textId="77777777" w:rsidTr="00312D13">
        <w:trPr>
          <w:trHeight w:val="316"/>
        </w:trPr>
        <w:tc>
          <w:tcPr>
            <w:tcW w:w="1555" w:type="dxa"/>
          </w:tcPr>
          <w:p w14:paraId="5EAED2FC"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Κατηγορίες</w:t>
            </w:r>
          </w:p>
        </w:tc>
        <w:tc>
          <w:tcPr>
            <w:tcW w:w="7512" w:type="dxa"/>
          </w:tcPr>
          <w:p w14:paraId="73E10594" w14:textId="0741463C" w:rsidR="00A81FD5" w:rsidRPr="00360C8C" w:rsidRDefault="00A81FD5" w:rsidP="004F3087">
            <w:pPr>
              <w:spacing w:after="120"/>
              <w:jc w:val="both"/>
              <w:rPr>
                <w:rFonts w:ascii="Times New Roman" w:eastAsiaTheme="minorHAnsi" w:hAnsi="Times New Roman" w:cs="Times New Roman"/>
                <w:b/>
                <w:sz w:val="24"/>
              </w:rPr>
            </w:pPr>
            <w:r>
              <w:rPr>
                <w:rFonts w:ascii="Times New Roman" w:hAnsi="Times New Roman"/>
                <w:b/>
                <w:sz w:val="24"/>
              </w:rPr>
              <w:t>Υπόδειγμα EU CR10.5. Ευέλικτο</w:t>
            </w:r>
          </w:p>
          <w:p w14:paraId="1A9FFE85" w14:textId="723ADCB0" w:rsidR="00A81FD5" w:rsidRPr="007F4CC8" w:rsidRDefault="005122C8" w:rsidP="004F3087">
            <w:pPr>
              <w:spacing w:after="120"/>
              <w:jc w:val="both"/>
              <w:rPr>
                <w:rFonts w:ascii="Times New Roman" w:eastAsiaTheme="minorHAnsi" w:hAnsi="Times New Roman" w:cs="Times New Roman"/>
                <w:sz w:val="24"/>
              </w:rPr>
            </w:pPr>
            <w:r>
              <w:rPr>
                <w:rFonts w:ascii="Times New Roman" w:hAnsi="Times New Roman"/>
                <w:sz w:val="24"/>
              </w:rPr>
              <w:lastRenderedPageBreak/>
              <w:t xml:space="preserve">Τα ιδρύματα περιλαμβάνουν τις σχετικές κανονιστικές κατηγορίες που ισχύουν για τις μετοχές σύμφωνα με το άρθρο 133 παράγραφοι 3 έως 6 και το άρθρο 495α παράγραφος 3 του κανονισμού (ΕΕ) αριθ. 575/2013. </w:t>
            </w:r>
          </w:p>
        </w:tc>
      </w:tr>
    </w:tbl>
    <w:p w14:paraId="5A153A1E" w14:textId="77777777" w:rsidR="00A81FD5" w:rsidRPr="007F4CC8" w:rsidRDefault="00A81FD5" w:rsidP="00A81FD5">
      <w:pPr>
        <w:tabs>
          <w:tab w:val="left" w:pos="1430"/>
        </w:tabs>
        <w:rPr>
          <w:rFonts w:ascii="Times New Roman" w:hAnsi="Times New Roman" w:cs="Times New Roman"/>
          <w:sz w:val="24"/>
        </w:rPr>
      </w:pPr>
    </w:p>
    <w:p w14:paraId="7B637F1D" w14:textId="77777777" w:rsidR="00993FC2" w:rsidRDefault="00993FC2" w:rsidP="00A81FD5"/>
    <w:sectPr w:rsidR="00993FC2">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0DD73" w14:textId="77777777" w:rsidR="00703E80" w:rsidRDefault="00703E80" w:rsidP="00A81FD5">
      <w:r>
        <w:separator/>
      </w:r>
    </w:p>
  </w:endnote>
  <w:endnote w:type="continuationSeparator" w:id="0">
    <w:p w14:paraId="4133069B" w14:textId="77777777" w:rsidR="00703E80" w:rsidRDefault="00703E80" w:rsidP="00A8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214712"/>
      <w:docPartObj>
        <w:docPartGallery w:val="Page Numbers (Bottom of Page)"/>
        <w:docPartUnique/>
      </w:docPartObj>
    </w:sdtPr>
    <w:sdtEndPr>
      <w:rPr>
        <w:noProof/>
      </w:rPr>
    </w:sdtEndPr>
    <w:sdtContent>
      <w:p w14:paraId="293BD6A0" w14:textId="77777777" w:rsidR="00A81FD5" w:rsidRDefault="00A81FD5">
        <w:pPr>
          <w:pStyle w:val="Footer"/>
          <w:jc w:val="right"/>
        </w:pPr>
        <w:r>
          <w:fldChar w:fldCharType="begin"/>
        </w:r>
        <w:r>
          <w:instrText xml:space="preserve"> PAGE   \* MERGEFORMAT </w:instrText>
        </w:r>
        <w:r>
          <w:fldChar w:fldCharType="separate"/>
        </w:r>
        <w:r>
          <w:t>2</w:t>
        </w:r>
        <w:r>
          <w:fldChar w:fldCharType="end"/>
        </w:r>
      </w:p>
    </w:sdtContent>
  </w:sdt>
  <w:p w14:paraId="77A576E9" w14:textId="77777777" w:rsidR="00A81FD5" w:rsidRDefault="00A81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466AE" w14:textId="77777777" w:rsidR="00703E80" w:rsidRDefault="00703E80" w:rsidP="00A81FD5">
      <w:r>
        <w:separator/>
      </w:r>
    </w:p>
  </w:footnote>
  <w:footnote w:type="continuationSeparator" w:id="0">
    <w:p w14:paraId="32022626" w14:textId="77777777" w:rsidR="00703E80" w:rsidRDefault="00703E80" w:rsidP="00A81FD5">
      <w:r>
        <w:continuationSeparator/>
      </w:r>
    </w:p>
  </w:footnote>
  <w:footnote w:id="1">
    <w:p w14:paraId="5DF9A988" w14:textId="1DC1B74B" w:rsidR="0016297E" w:rsidRPr="0016297E" w:rsidRDefault="0016297E" w:rsidP="0016297E">
      <w:pPr>
        <w:pStyle w:val="FootnoteText"/>
      </w:pPr>
      <w:r>
        <w:rPr>
          <w:rStyle w:val="FootnoteReference"/>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w:t>
      </w:r>
      <w:hyperlink r:id="rId1" w:history="1">
        <w:r>
          <w:rPr>
            <w:rStyle w:val="Hyperlink"/>
            <w:color w:val="800080"/>
          </w:rPr>
          <w:t>ΕΕ L 176 της 27.6.2013, σ. 1</w:t>
        </w:r>
      </w:hyperlink>
      <w:r>
        <w:rPr>
          <w:color w:val="800080"/>
          <w:u w:val="single"/>
        </w:rPr>
        <w:t xml:space="preserve">· </w:t>
      </w:r>
      <w:hyperlink r:id="rId2" w:history="1">
        <w:r>
          <w:rPr>
            <w:rStyle w:val="Hyperlink"/>
          </w:rPr>
          <w:t>κανονισμός - ΕΕ - 2024/1623 - EL - EUR-</w:t>
        </w:r>
        <w:proofErr w:type="spellStart"/>
        <w:r>
          <w:rPr>
            <w:rStyle w:val="Hyperlink"/>
          </w:rPr>
          <w:t>Lex</w:t>
        </w:r>
        <w:proofErr w:type="spellEnd"/>
        <w:r>
          <w:rPr>
            <w:rStyle w:val="Hyperlink"/>
          </w:rPr>
          <w:t xml:space="preserve">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CA2D" w14:textId="4B287E36" w:rsidR="0089557A" w:rsidRDefault="0089557A">
    <w:pPr>
      <w:pStyle w:val="Header"/>
    </w:pPr>
    <w:r>
      <w:rPr>
        <w:noProof/>
      </w:rPr>
      <mc:AlternateContent>
        <mc:Choice Requires="wps">
          <w:drawing>
            <wp:anchor distT="0" distB="0" distL="0" distR="0" simplePos="0" relativeHeight="251659264" behindDoc="0" locked="0" layoutInCell="1" allowOverlap="1" wp14:anchorId="6B7ECC36" wp14:editId="1A347A40">
              <wp:simplePos x="635" y="635"/>
              <wp:positionH relativeFrom="page">
                <wp:align>left</wp:align>
              </wp:positionH>
              <wp:positionV relativeFrom="page">
                <wp:align>top</wp:align>
              </wp:positionV>
              <wp:extent cx="443865" cy="443865"/>
              <wp:effectExtent l="0" t="0" r="3175" b="4445"/>
              <wp:wrapNone/>
              <wp:docPr id="15725346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FEE100" w14:textId="1A0A7B31" w:rsidR="0089557A" w:rsidRPr="0089557A" w:rsidRDefault="0089557A" w:rsidP="0089557A">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B7ECC36"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1FEE100" w14:textId="1A0A7B31" w:rsidR="0089557A" w:rsidRPr="0089557A" w:rsidRDefault="0089557A" w:rsidP="0089557A">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13B" w14:textId="19D0E53F" w:rsidR="0089557A" w:rsidRDefault="0089557A">
    <w:pPr>
      <w:pStyle w:val="Header"/>
    </w:pPr>
    <w:r>
      <w:rPr>
        <w:noProof/>
      </w:rPr>
      <mc:AlternateContent>
        <mc:Choice Requires="wps">
          <w:drawing>
            <wp:anchor distT="0" distB="0" distL="0" distR="0" simplePos="0" relativeHeight="251660288" behindDoc="0" locked="0" layoutInCell="1" allowOverlap="1" wp14:anchorId="7DF76086" wp14:editId="609448B1">
              <wp:simplePos x="914400" y="447675"/>
              <wp:positionH relativeFrom="page">
                <wp:align>left</wp:align>
              </wp:positionH>
              <wp:positionV relativeFrom="page">
                <wp:align>top</wp:align>
              </wp:positionV>
              <wp:extent cx="443865" cy="443865"/>
              <wp:effectExtent l="0" t="0" r="3175" b="4445"/>
              <wp:wrapNone/>
              <wp:docPr id="334500121"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C71C80" w14:textId="569D2E7E" w:rsidR="0089557A" w:rsidRPr="0089557A" w:rsidRDefault="0089557A" w:rsidP="0089557A">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F76086"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9C71C80" w14:textId="569D2E7E" w:rsidR="0089557A" w:rsidRPr="0089557A" w:rsidRDefault="0089557A" w:rsidP="0089557A">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2FD7" w14:textId="1F8C1CF5" w:rsidR="0089557A" w:rsidRDefault="0089557A">
    <w:pPr>
      <w:pStyle w:val="Header"/>
    </w:pPr>
    <w:r>
      <w:rPr>
        <w:noProof/>
      </w:rPr>
      <mc:AlternateContent>
        <mc:Choice Requires="wps">
          <w:drawing>
            <wp:anchor distT="0" distB="0" distL="0" distR="0" simplePos="0" relativeHeight="251658240" behindDoc="0" locked="0" layoutInCell="1" allowOverlap="1" wp14:anchorId="5D3FAAB5" wp14:editId="5BE3112C">
              <wp:simplePos x="635" y="635"/>
              <wp:positionH relativeFrom="page">
                <wp:align>left</wp:align>
              </wp:positionH>
              <wp:positionV relativeFrom="page">
                <wp:align>top</wp:align>
              </wp:positionV>
              <wp:extent cx="443865" cy="443865"/>
              <wp:effectExtent l="0" t="0" r="3175" b="4445"/>
              <wp:wrapNone/>
              <wp:docPr id="14944306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D8DAD4" w14:textId="694FABB0" w:rsidR="0089557A" w:rsidRPr="0089557A" w:rsidRDefault="0089557A" w:rsidP="0089557A">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D3FAAB5"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D8DAD4" w14:textId="694FABB0" w:rsidR="0089557A" w:rsidRPr="0089557A" w:rsidRDefault="0089557A" w:rsidP="0089557A">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6A0E5E13"/>
    <w:multiLevelType w:val="hybridMultilevel"/>
    <w:tmpl w:val="A2BEEDA2"/>
    <w:lvl w:ilvl="0" w:tplc="0809000F">
      <w:start w:val="1"/>
      <w:numFmt w:val="decimal"/>
      <w:lvlText w:val="%1."/>
      <w:lvlJc w:val="left"/>
      <w:pPr>
        <w:ind w:left="720" w:hanging="360"/>
      </w:pPr>
    </w:lvl>
    <w:lvl w:ilvl="1" w:tplc="50B80B58">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5923548">
    <w:abstractNumId w:val="0"/>
  </w:num>
  <w:num w:numId="2" w16cid:durableId="609358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56335"/>
    <w:rsid w:val="001409C0"/>
    <w:rsid w:val="0016297E"/>
    <w:rsid w:val="002A29F0"/>
    <w:rsid w:val="00312D13"/>
    <w:rsid w:val="00456335"/>
    <w:rsid w:val="005122C8"/>
    <w:rsid w:val="0053271E"/>
    <w:rsid w:val="006120BE"/>
    <w:rsid w:val="00703E80"/>
    <w:rsid w:val="0089557A"/>
    <w:rsid w:val="00964BDB"/>
    <w:rsid w:val="00993FC2"/>
    <w:rsid w:val="00A81FD5"/>
    <w:rsid w:val="00AF68CB"/>
    <w:rsid w:val="00C15CE4"/>
    <w:rsid w:val="00CF64BB"/>
    <w:rsid w:val="00D6345C"/>
    <w:rsid w:val="00F964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C956"/>
  <w15:chartTrackingRefBased/>
  <w15:docId w15:val="{A6C1DA80-21DB-4AB0-ABCC-D95DD992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D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16297E"/>
    <w:pPr>
      <w:spacing w:before="80" w:line="200" w:lineRule="exact"/>
      <w:jc w:val="both"/>
    </w:pPr>
    <w:rPr>
      <w:sz w:val="18"/>
      <w:szCs w:val="18"/>
    </w:rPr>
  </w:style>
  <w:style w:type="character" w:customStyle="1" w:styleId="FootnoteTextChar">
    <w:name w:val="Footnote Text Char"/>
    <w:basedOn w:val="DefaultParagraphFont"/>
    <w:link w:val="FootnoteText"/>
    <w:rsid w:val="0016297E"/>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81FD5"/>
    <w:rPr>
      <w:rFonts w:asciiTheme="minorHAnsi" w:hAnsiTheme="minorHAnsi"/>
      <w:sz w:val="22"/>
      <w:szCs w:val="18"/>
      <w:vertAlign w:val="superscript"/>
    </w:rPr>
  </w:style>
  <w:style w:type="character" w:styleId="Hyperlink">
    <w:name w:val="Hyperlink"/>
    <w:basedOn w:val="DefaultParagraphFont"/>
    <w:uiPriority w:val="99"/>
    <w:rsid w:val="00A81FD5"/>
    <w:rPr>
      <w:color w:val="0563C1" w:themeColor="hyperlink"/>
      <w:u w:val="single"/>
    </w:rPr>
  </w:style>
  <w:style w:type="paragraph" w:customStyle="1" w:styleId="Annexetitre">
    <w:name w:val="Annexe titre"/>
    <w:basedOn w:val="Normal"/>
    <w:next w:val="Normal"/>
    <w:rsid w:val="00A81FD5"/>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A81FD5"/>
    <w:pPr>
      <w:ind w:left="720"/>
    </w:pPr>
    <w:rPr>
      <w:rFonts w:ascii="Calibri" w:eastAsia="Calibri" w:hAnsi="Calibri" w:cs="Times New Roman"/>
      <w:szCs w:val="22"/>
    </w:rPr>
  </w:style>
  <w:style w:type="paragraph" w:styleId="Header">
    <w:name w:val="header"/>
    <w:basedOn w:val="Normal"/>
    <w:link w:val="HeaderChar"/>
    <w:uiPriority w:val="99"/>
    <w:unhideWhenUsed/>
    <w:rsid w:val="00A81FD5"/>
    <w:pPr>
      <w:tabs>
        <w:tab w:val="center" w:pos="4513"/>
        <w:tab w:val="right" w:pos="9026"/>
      </w:tabs>
    </w:pPr>
  </w:style>
  <w:style w:type="character" w:customStyle="1" w:styleId="HeaderChar">
    <w:name w:val="Header Char"/>
    <w:basedOn w:val="DefaultParagraphFont"/>
    <w:link w:val="Header"/>
    <w:uiPriority w:val="99"/>
    <w:rsid w:val="00A81FD5"/>
    <w:rPr>
      <w:rFonts w:eastAsiaTheme="minorEastAsia"/>
      <w:szCs w:val="24"/>
    </w:rPr>
  </w:style>
  <w:style w:type="paragraph" w:styleId="Footer">
    <w:name w:val="footer"/>
    <w:basedOn w:val="Normal"/>
    <w:link w:val="FooterChar"/>
    <w:uiPriority w:val="99"/>
    <w:unhideWhenUsed/>
    <w:rsid w:val="00A81FD5"/>
    <w:pPr>
      <w:tabs>
        <w:tab w:val="center" w:pos="4513"/>
        <w:tab w:val="right" w:pos="9026"/>
      </w:tabs>
    </w:pPr>
  </w:style>
  <w:style w:type="character" w:customStyle="1" w:styleId="FooterChar">
    <w:name w:val="Footer Char"/>
    <w:basedOn w:val="DefaultParagraphFont"/>
    <w:link w:val="Footer"/>
    <w:uiPriority w:val="99"/>
    <w:rsid w:val="00A81FD5"/>
    <w:rPr>
      <w:rFonts w:eastAsiaTheme="minorEastAsia"/>
      <w:szCs w:val="24"/>
    </w:rPr>
  </w:style>
  <w:style w:type="character" w:styleId="CommentReference">
    <w:name w:val="annotation reference"/>
    <w:basedOn w:val="DefaultParagraphFont"/>
    <w:uiPriority w:val="99"/>
    <w:semiHidden/>
    <w:unhideWhenUsed/>
    <w:rsid w:val="0089557A"/>
    <w:rPr>
      <w:sz w:val="16"/>
      <w:szCs w:val="16"/>
    </w:rPr>
  </w:style>
  <w:style w:type="paragraph" w:styleId="CommentText">
    <w:name w:val="annotation text"/>
    <w:basedOn w:val="Normal"/>
    <w:link w:val="CommentTextChar"/>
    <w:uiPriority w:val="99"/>
    <w:unhideWhenUsed/>
    <w:rsid w:val="0089557A"/>
    <w:rPr>
      <w:sz w:val="20"/>
      <w:szCs w:val="20"/>
    </w:rPr>
  </w:style>
  <w:style w:type="character" w:customStyle="1" w:styleId="CommentTextChar">
    <w:name w:val="Comment Text Char"/>
    <w:basedOn w:val="DefaultParagraphFont"/>
    <w:link w:val="CommentText"/>
    <w:uiPriority w:val="99"/>
    <w:rsid w:val="0089557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9557A"/>
    <w:rPr>
      <w:b/>
      <w:bCs/>
    </w:rPr>
  </w:style>
  <w:style w:type="character" w:customStyle="1" w:styleId="CommentSubjectChar">
    <w:name w:val="Comment Subject Char"/>
    <w:basedOn w:val="CommentTextChar"/>
    <w:link w:val="CommentSubject"/>
    <w:uiPriority w:val="99"/>
    <w:semiHidden/>
    <w:rsid w:val="0089557A"/>
    <w:rPr>
      <w:rFonts w:eastAsiaTheme="minorEastAsia"/>
      <w:b/>
      <w:bCs/>
      <w:sz w:val="20"/>
      <w:szCs w:val="20"/>
    </w:rPr>
  </w:style>
  <w:style w:type="paragraph" w:styleId="Revision">
    <w:name w:val="Revision"/>
    <w:hidden/>
    <w:uiPriority w:val="99"/>
    <w:semiHidden/>
    <w:rsid w:val="002A29F0"/>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1CF0BC-64A7-44A4-BE6C-A045FAF69AE5}">
  <ds:schemaRefs>
    <ds:schemaRef ds:uri="http://schemas.openxmlformats.org/officeDocument/2006/bibliography"/>
  </ds:schemaRefs>
</ds:datastoreItem>
</file>

<file path=customXml/itemProps2.xml><?xml version="1.0" encoding="utf-8"?>
<ds:datastoreItem xmlns:ds="http://schemas.openxmlformats.org/officeDocument/2006/customXml" ds:itemID="{F64006E9-27C4-4A0B-83BF-BA2ABCD758F5}"/>
</file>

<file path=customXml/itemProps3.xml><?xml version="1.0" encoding="utf-8"?>
<ds:datastoreItem xmlns:ds="http://schemas.openxmlformats.org/officeDocument/2006/customXml" ds:itemID="{B22C6C32-E999-40B4-9045-D90F4C635F98}"/>
</file>

<file path=customXml/itemProps4.xml><?xml version="1.0" encoding="utf-8"?>
<ds:datastoreItem xmlns:ds="http://schemas.openxmlformats.org/officeDocument/2006/customXml" ds:itemID="{90A431BD-6C49-415A-9256-ACFBAEC8EA0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34</TotalTime>
  <Pages>3</Pages>
  <Words>646</Words>
  <Characters>3737</Characters>
  <Application>Microsoft Office Word</Application>
  <DocSecurity>0</DocSecurity>
  <Lines>106</Lines>
  <Paragraphs>52</Paragraphs>
  <ScaleCrop>false</ScaleCrop>
  <Company>European Banking Authority</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KARAKOULIS Georgios (DGT)</cp:lastModifiedBy>
  <cp:revision>15</cp:revision>
  <dcterms:created xsi:type="dcterms:W3CDTF">2021-03-11T13:21:00Z</dcterms:created>
  <dcterms:modified xsi:type="dcterms:W3CDTF">2024-10-18T12:12:00Z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591333ba,5dbaf94b,13f01119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2024-09-26T14:30:38Z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b845363d-b496-4e81-8635-4e3aececf02f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