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VI PIELIKUMS – Norādījumi informācijas atklāšanai par tiesiskā regulējuma piemērošanas jomu</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Veidne EU LI1 – Atšķirības starp grāmatvedības tvērumu un prudenciālās konsolidācijas tvērumu un finanšu pārskatu kategoriju attiecināšana uz regulatīvā riska kategorijām.</w:t>
      </w:r>
      <w:r>
        <w:rPr>
          <w:sz w:val="24"/>
          <w:rFonts w:ascii="Times New Roman" w:hAnsi="Times New Roman"/>
        </w:rPr>
        <w:t xml:space="preserve"> </w:t>
      </w:r>
      <w:r>
        <w:rPr>
          <w:sz w:val="24"/>
          <w:rFonts w:ascii="Times New Roman" w:hAnsi="Times New Roman"/>
        </w:rPr>
        <w:t xml:space="preserve">Elastīgs formāts.</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Iestādes atklāj Regulas (ES) Nr. 575/2013</w:t>
      </w:r>
      <w:r w:rsidRPr="007F4CC8">
        <w:rPr>
          <w:rStyle w:val="FootnoteReference"/>
        </w:rPr>
        <w:footnoteReference w:id="1"/>
      </w: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436. panta c) punktā minēto informāciju, ievērojot turpmāk šajā pielikumā sniegtos norādījumus, lai aizpildītu veidni EU LI1, kas ietverta EBI IT risinājumu V pielikumā.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Atsauces uz tiesību aktiem un norādījumi</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Kopējie aktīvi</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Rindu struktūra ir tāda pati kā rindu struktūra bilancei, kas izmantota iestādes jaunākajos pieejamajos finanšu pārskatos.</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“Finanšu pārskati” ir gada individuālie vai konsolidētie finanšu pārskati, kas definēti Direktīvas 2013/34/ES</w:t>
            </w:r>
            <w:r w:rsidRPr="007F4CC8">
              <w:rPr>
                <w:rStyle w:val="FootnoteReference"/>
                <w:rFonts w:eastAsia="Times New Roman" w:cs="Times New Roman"/>
              </w:rPr>
              <w:footnoteReference w:id="2"/>
            </w:r>
            <w:r>
              <w:rPr>
                <w:sz w:val="24"/>
                <w:rFonts w:ascii="Times New Roman" w:hAnsi="Times New Roman"/>
              </w:rPr>
              <w:t xml:space="preserve"> 4. un 24. pantā, kā arī (attiecīgā gadījumā) finanšu pārskati to starptautisko grāmatvedības standartu nozīmē, kuri ES apstiprināti, piemērojot Regulu (EK) Nr. 1606/2002</w:t>
            </w:r>
            <w:r w:rsidRPr="007F4CC8">
              <w:rPr>
                <w:rStyle w:val="FootnoteReference"/>
                <w:rFonts w:eastAsia="Times New Roman" w:cs="Times New Roman"/>
              </w:rPr>
              <w:footnoteReference w:id="3"/>
            </w:r>
            <w:r>
              <w:rPr>
                <w:sz w:val="24"/>
                <w:rFonts w:ascii="Times New Roman" w:hAnsi="Times New Roman"/>
              </w:rPr>
              <w:t xml:space="preserve">.</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Kopējās saistības</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Rindu struktūra ir tāda pati kā rindu struktūra bilancei, kas izmantota iestādes jaunākajos pieejamajos finanšu pārskatos.</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“Finanšu pārskati” ir gada individuālie vai konsolidētie finanšu pārskati, kas definēti Direktīvas 2013/34/ES 4. un 24. pantā, kā arī (attiecīgā gadījumā) finanšu pārskati to starptautisko grāmatvedības standartu nozīmē, kuri apstiprināti ES, piemērojot Regulu (EK) Nr.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Atsauces uz tiesību aktiem un norādījumi</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Atsauce uz aili</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Uzskaites vērtības, kas paziņotas publicētajos finanšu pārskatos</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Summa, kas norādīta aktīvu pusē un saistību pusē bilancē, kura izveidota, ievērojot konsolidācijas prasības, kas noteiktas piemērojamajā grāmatvedības regulējumā, tajā skaitā regulējumos, kuru pamatā ir Direktīva 2013/34/ES un Direktīva 86/635/EEK</w:t>
            </w:r>
            <w:r w:rsidRPr="007F4CC8">
              <w:rPr>
                <w:rStyle w:val="FootnoteReference"/>
                <w:rFonts w:eastAsia="Times New Roman" w:cs="Times New Roman"/>
              </w:rPr>
              <w:footnoteReference w:id="4"/>
            </w:r>
            <w:r>
              <w:rPr>
                <w:sz w:val="24"/>
                <w:rFonts w:ascii="Times New Roman" w:hAnsi="Times New Roman"/>
              </w:rPr>
              <w:t xml:space="preserve">, vai starptautiskos grāmatvedības standartus, kas apstiprināti ES.</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Uzskaites vērtības, uz kurām attiecas prudenciālās konsolidācijas tvērums</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Summa, kas norādīta aktīvu pusē un saistību pusē bilancē, kura izveidota, ievērojot regulatīvās konsolidācijas prasības </w:t>
            </w:r>
            <w:r>
              <w:rPr>
                <w:sz w:val="24"/>
                <w:i/>
                <w:rFonts w:ascii="Times New Roman" w:hAnsi="Times New Roman"/>
              </w:rPr>
              <w:t xml:space="preserve">CRR</w:t>
            </w:r>
            <w:r>
              <w:rPr>
                <w:sz w:val="24"/>
                <w:rFonts w:ascii="Times New Roman" w:hAnsi="Times New Roman"/>
              </w:rPr>
              <w:t xml:space="preserve"> pirmās daļas II sadaļas 2. un 3. iedaļā.</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Ja grāmatvedības konsolidācijas tvērums un prudenciālās konsolidācijas tvērums ir vienādi, šīs veidnes a) un b) ailes apvieno.</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To posteņu uzskaites vērtības, uz kuriem attiecas kredītriska regulējums</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To posteņu uzskaites vērtības atbilstoši prudenciālās konsolidācijas tvērumam (izņemot ārpusbilances posteņus), uz kuriem attiecas </w:t>
            </w:r>
            <w:r>
              <w:rPr>
                <w:sz w:val="24"/>
                <w:i/>
                <w:rFonts w:ascii="Times New Roman" w:hAnsi="Times New Roman"/>
              </w:rPr>
              <w:t xml:space="preserve">CRR</w:t>
            </w:r>
            <w:r>
              <w:rPr>
                <w:sz w:val="24"/>
                <w:rFonts w:ascii="Times New Roman" w:hAnsi="Times New Roman"/>
              </w:rPr>
              <w:t xml:space="preserve"> trešās daļas II sadaļas 2. un 3. nodaļa.</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To posteņu uzskaites vērtības, uz kuriem attiecas darījuma partnera kredītriska regulējums</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To posteņu uzskaites vērtības atbilstoši prudenciālās konsolidācijas tvērumam (izņemot ārpusbilances posteņus), uz kuriem attiecas </w:t>
            </w:r>
            <w:r>
              <w:rPr>
                <w:sz w:val="24"/>
                <w:i/>
                <w:rFonts w:ascii="Times New Roman" w:hAnsi="Times New Roman"/>
              </w:rPr>
              <w:t xml:space="preserve">CRR</w:t>
            </w:r>
            <w:r>
              <w:rPr>
                <w:sz w:val="24"/>
                <w:rFonts w:ascii="Times New Roman" w:hAnsi="Times New Roman"/>
              </w:rPr>
              <w:t xml:space="preserve"> trešās daļas II sadaļas 6. nodaļa.</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To posteņu uzskaites vērtības, uz kuriem attiecas vērtspapīrošanas regulējums</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To posteņu uzskaites vērtības atbilstoši prudenciālās konsolidācijas tvērumam (izņemot ārpusbilances posteņus) no netirdzniecības portfeļa, uz kuriem attiecas </w:t>
            </w:r>
            <w:r>
              <w:rPr>
                <w:sz w:val="24"/>
                <w:i/>
                <w:rFonts w:ascii="Times New Roman" w:hAnsi="Times New Roman"/>
              </w:rPr>
              <w:t xml:space="preserve">CRR</w:t>
            </w:r>
            <w:r>
              <w:rPr>
                <w:sz w:val="24"/>
                <w:rFonts w:ascii="Times New Roman" w:hAnsi="Times New Roman"/>
              </w:rPr>
              <w:t xml:space="preserve"> trešās daļas II sadaļas 5. nodaļa.</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To posteņu uzskaites vērtības, uz kuriem attiecas tirgus riska regulējums</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To posteņu uzskaites vērtības atbilstoši prudenciālās konsolidācijas tvērumam (izņemot ārpusbilances posteņus), uz kuriem attiecas </w:t>
            </w:r>
            <w:r>
              <w:rPr>
                <w:sz w:val="24"/>
                <w:i/>
                <w:rFonts w:ascii="Times New Roman" w:hAnsi="Times New Roman"/>
              </w:rPr>
              <w:t xml:space="preserve">CRR</w:t>
            </w:r>
            <w:r>
              <w:rPr>
                <w:sz w:val="24"/>
                <w:rFonts w:ascii="Times New Roman" w:hAnsi="Times New Roman"/>
              </w:rPr>
              <w:t xml:space="preserve"> trešās daļas IV sadaļa.</w:t>
            </w:r>
            <w:r>
              <w:rPr>
                <w:sz w:val="24"/>
                <w:rFonts w:ascii="Times New Roman" w:hAnsi="Times New Roman"/>
              </w:rPr>
              <w:t xml:space="preserve"> </w:t>
            </w:r>
            <w:r>
              <w:rPr>
                <w:sz w:val="24"/>
                <w:rFonts w:ascii="Times New Roman" w:hAnsi="Times New Roman"/>
              </w:rPr>
              <w:t xml:space="preserve">Šajā ailē iekļauj posteņus, kuri atbilst vērtspapīrošanas pozīcijām tirdzniecības portfelī un uz kuriem attiecas </w:t>
            </w:r>
            <w:r>
              <w:rPr>
                <w:sz w:val="24"/>
                <w:i/>
                <w:rFonts w:ascii="Times New Roman" w:hAnsi="Times New Roman"/>
              </w:rPr>
              <w:t xml:space="preserve">CRR</w:t>
            </w:r>
            <w:r>
              <w:rPr>
                <w:sz w:val="24"/>
                <w:rFonts w:ascii="Times New Roman" w:hAnsi="Times New Roman"/>
              </w:rPr>
              <w:t xml:space="preserve"> trešās daļas IV sadaļas prasības.</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To posteņu uzskaites vērtības, uz kuriem neattiecas pašu kapitāla prasības vai attiecas atskaitījums no pašu kapitāla</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To posteņu uzskaites vērtības atbilstoši prudenciālās konsolidācijas tvērumam (izņemot ārpusbilances posteņus), uz kuriem neattiecas pašu kapitāla prasības saskaņā ar </w:t>
            </w:r>
            <w:r>
              <w:rPr>
                <w:sz w:val="24"/>
                <w:i/>
                <w:rFonts w:ascii="Times New Roman" w:hAnsi="Times New Roman"/>
              </w:rPr>
              <w:t xml:space="preserve">CRR</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to posteņu uzskaites vērtības atbilstoši prudenciālās konsolidācijas tvērumam (izņemot ārpusbilances posteņus), uz kuriem attiecas atskaitījumi no pašu kapitāla saskaņā ar </w:t>
            </w:r>
            <w:r>
              <w:rPr>
                <w:sz w:val="24"/>
                <w:i/>
                <w:rFonts w:ascii="Times New Roman" w:hAnsi="Times New Roman"/>
              </w:rPr>
              <w:t xml:space="preserve">CRR</w:t>
            </w:r>
            <w:r>
              <w:rPr>
                <w:sz w:val="24"/>
                <w:rFonts w:ascii="Times New Roman" w:hAnsi="Times New Roman"/>
              </w:rPr>
              <w:t xml:space="preserve"> otro daļu.</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Atskaitītie posteņi var ietvert, piemēram, posteņus, kas uzskaitīti </w:t>
            </w:r>
            <w:r>
              <w:rPr>
                <w:sz w:val="24"/>
                <w:i/>
                <w:rFonts w:ascii="Times New Roman" w:hAnsi="Times New Roman"/>
              </w:rPr>
              <w:t xml:space="preserve">CRR</w:t>
            </w:r>
            <w:r>
              <w:rPr>
                <w:sz w:val="24"/>
                <w:rFonts w:ascii="Times New Roman" w:hAnsi="Times New Roman"/>
              </w:rPr>
              <w:t xml:space="preserve"> 37., 38., 39. un 41. pantā.</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Aktīvu summas ir summas, ko faktiski atskaita no pašu kapitāla, ņemot vērā jebkādu ieskaitu ar saistībām, ko pieļauj atskaitījums (un jebkuras atskaitījuma robežvērtības), kurš piemērojams saskaņā ar </w:t>
            </w:r>
            <w:r>
              <w:rPr>
                <w:sz w:val="24"/>
                <w:i/>
                <w:rFonts w:ascii="Times New Roman" w:hAnsi="Times New Roman"/>
              </w:rPr>
              <w:t xml:space="preserve">CRR</w:t>
            </w:r>
            <w:r>
              <w:rPr>
                <w:sz w:val="24"/>
                <w:rFonts w:ascii="Times New Roman" w:hAnsi="Times New Roman"/>
              </w:rPr>
              <w:t xml:space="preserve"> otrās daļas attiecīgajiem pantiem.</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Kad posteņiem, kas uzskaitīti </w:t>
            </w:r>
            <w:r>
              <w:rPr>
                <w:sz w:val="24"/>
                <w:i/>
                <w:rFonts w:ascii="Times New Roman" w:hAnsi="Times New Roman"/>
              </w:rPr>
              <w:t xml:space="preserve">CRR</w:t>
            </w:r>
            <w:r>
              <w:rPr>
                <w:sz w:val="24"/>
                <w:rFonts w:ascii="Times New Roman" w:hAnsi="Times New Roman"/>
              </w:rPr>
              <w:t xml:space="preserve"> 36. panta 1. punkta k) apakšpunktā un 48. pantā, piemēro 1250 % riska pakāpi, nevis tos atskaita, tos atklāj nevis šīs veidnes g) ailē, bet gan citās veidnes EU LI1 atbilstošajās ailēs.</w:t>
            </w:r>
            <w:r>
              <w:rPr>
                <w:sz w:val="24"/>
                <w:rFonts w:ascii="Times New Roman" w:hAnsi="Times New Roman"/>
              </w:rPr>
              <w:t xml:space="preserve"> </w:t>
            </w:r>
            <w:r>
              <w:rPr>
                <w:sz w:val="24"/>
                <w:rFonts w:ascii="Times New Roman" w:hAnsi="Times New Roman"/>
              </w:rPr>
              <w:t xml:space="preserve">Tas attiecas arī uz jebkuru citu posteni, kam piemēro 1250 % riska pakāpi saskaņā ar </w:t>
            </w:r>
            <w:r>
              <w:rPr>
                <w:sz w:val="24"/>
                <w:i/>
                <w:rFonts w:ascii="Times New Roman" w:hAnsi="Times New Roman"/>
              </w:rPr>
              <w:t xml:space="preserve">CRR</w:t>
            </w:r>
            <w:r>
              <w:rPr>
                <w:sz w:val="24"/>
                <w:rFonts w:ascii="Times New Roman" w:hAnsi="Times New Roman"/>
              </w:rPr>
              <w:t xml:space="preserve"> prasībām.</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Saistību summas ir saistību summa, kas ir jāņem vērā, lai noteiktu aktīvu summu, kura atskaitāma no pašu kapitāla saskaņā ar attiecīgajiem </w:t>
            </w:r>
            <w:r>
              <w:rPr>
                <w:sz w:val="24"/>
                <w:i/>
                <w:rFonts w:ascii="Times New Roman" w:hAnsi="Times New Roman"/>
              </w:rPr>
              <w:t xml:space="preserve">CRR</w:t>
            </w:r>
            <w:r>
              <w:rPr>
                <w:sz w:val="24"/>
                <w:rFonts w:ascii="Times New Roman" w:hAnsi="Times New Roman"/>
              </w:rPr>
              <w:t xml:space="preserve"> otrās daļas pantiem.</w:t>
            </w:r>
            <w:r>
              <w:rPr>
                <w:sz w:val="24"/>
                <w:rFonts w:ascii="Times New Roman" w:hAnsi="Times New Roman"/>
              </w:rPr>
              <w:t xml:space="preserve"> </w:t>
            </w:r>
            <w:r>
              <w:rPr>
                <w:sz w:val="24"/>
                <w:rFonts w:ascii="Times New Roman" w:hAnsi="Times New Roman"/>
              </w:rPr>
              <w:t xml:space="preserve">Turklāt šajā ailē atklāj visas saistības, izņemot tās, i) kuras ir būtiskas </w:t>
            </w:r>
            <w:r>
              <w:rPr>
                <w:sz w:val="24"/>
                <w:i/>
                <w:rFonts w:ascii="Times New Roman" w:hAnsi="Times New Roman"/>
              </w:rPr>
              <w:t xml:space="preserve">CRR</w:t>
            </w:r>
            <w:r>
              <w:rPr>
                <w:sz w:val="24"/>
                <w:rFonts w:ascii="Times New Roman" w:hAnsi="Times New Roman"/>
              </w:rPr>
              <w:t xml:space="preserve"> trešās daļas II sadaļas 4. nodaļā noteikto prasību piemērošanai vai ii) kuras ir būtiskas </w:t>
            </w:r>
            <w:r>
              <w:rPr>
                <w:sz w:val="24"/>
                <w:i/>
                <w:rFonts w:ascii="Times New Roman" w:hAnsi="Times New Roman"/>
              </w:rPr>
              <w:t xml:space="preserve">CRR</w:t>
            </w:r>
            <w:r>
              <w:rPr>
                <w:sz w:val="24"/>
                <w:rFonts w:ascii="Times New Roman" w:hAnsi="Times New Roman"/>
              </w:rPr>
              <w:t xml:space="preserve"> trešās daļas II sadaļas 6. nodaļā un </w:t>
            </w:r>
            <w:r>
              <w:rPr>
                <w:sz w:val="24"/>
                <w:i/>
                <w:rFonts w:ascii="Times New Roman" w:hAnsi="Times New Roman"/>
              </w:rPr>
              <w:t xml:space="preserve">CRR</w:t>
            </w:r>
            <w:r>
              <w:rPr>
                <w:sz w:val="24"/>
                <w:rFonts w:ascii="Times New Roman" w:hAnsi="Times New Roman"/>
              </w:rPr>
              <w:t xml:space="preserve"> trešās daļas IV sadaļā noteikto prasību piemērošanai.</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visas</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Ja atsevišķs postenis piesaista kapitāla prasības saskaņā ar vairāk nekā vienu riska regulējumu, vērtības atklāj visās ailēs, kas atbilst kapitāla prasībām, uz kurām tās attiecas.</w:t>
            </w:r>
            <w:r>
              <w:rPr>
                <w:sz w:val="24"/>
                <w:rFonts w:ascii="Times New Roman" w:hAnsi="Times New Roman"/>
              </w:rPr>
              <w:t xml:space="preserve"> </w:t>
            </w:r>
            <w:r>
              <w:rPr>
                <w:sz w:val="24"/>
                <w:rFonts w:ascii="Times New Roman" w:hAnsi="Times New Roman"/>
              </w:rPr>
              <w:t xml:space="preserve">Tas nozīmē, ka šīs veidnes c)–g) ailē norādīto vērtību summa var būt lielāka par šīs veidnes b) ailē norādīto vērtību.</w:t>
            </w:r>
            <w:r>
              <w:rPr>
                <w:sz w:val="24"/>
                <w:rFonts w:ascii="Times New Roman" w:hAnsi="Times New Roman"/>
              </w:rPr>
              <w:t xml:space="preserve"> </w:t>
            </w:r>
            <w:r>
              <w:rPr>
                <w:sz w:val="24"/>
                <w:rFonts w:ascii="Times New Roman" w:hAnsi="Times New Roman"/>
              </w:rPr>
              <w:t xml:space="preserve">Iestādes sniedz kvalitatīvus skaidrojumus par aktīviem un saistībām, uz kurām attiecas kapitāla prasības, par vairāk nekā vienu no riska regulējumiem, kas uzskaitīti </w:t>
            </w:r>
            <w:r>
              <w:rPr>
                <w:sz w:val="24"/>
                <w:i/>
                <w:rFonts w:ascii="Times New Roman" w:hAnsi="Times New Roman"/>
              </w:rPr>
              <w:t xml:space="preserve">CRR</w:t>
            </w:r>
            <w:r>
              <w:rPr>
                <w:sz w:val="24"/>
                <w:rFonts w:ascii="Times New Roman" w:hAnsi="Times New Roman"/>
              </w:rPr>
              <w:t xml:space="preserve"> trešajā daļā.</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Veidne EU LI2 – Galvenie avoti atšķirībām starp regulatīvajām riska darījumu vērtībām un uzskaites vērtībām finanšu pārskatos.</w:t>
      </w:r>
      <w:r>
        <w:rPr>
          <w:sz w:val="24"/>
          <w:b/>
          <w:rFonts w:ascii="Times New Roman" w:hAnsi="Times New Roman"/>
        </w:rPr>
        <w:t xml:space="preserve"> </w:t>
      </w:r>
      <w:r>
        <w:rPr>
          <w:sz w:val="24"/>
          <w:rFonts w:ascii="Times New Roman" w:hAnsi="Times New Roman"/>
        </w:rPr>
        <w:t xml:space="preserve">Fiksēts formāts.</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Iestādes </w:t>
      </w:r>
      <w:r>
        <w:rPr>
          <w:sz w:val="24"/>
          <w:color w:val="000000" w:themeColor="text1"/>
          <w:rFonts w:ascii="Times New Roman" w:hAnsi="Times New Roman"/>
        </w:rPr>
        <w:t xml:space="preserve">atklāj </w:t>
      </w:r>
      <w:r>
        <w:rPr>
          <w:sz w:val="24"/>
          <w:color w:val="000000" w:themeColor="text1"/>
          <w:i/>
          <w:rFonts w:ascii="Times New Roman" w:hAnsi="Times New Roman"/>
        </w:rPr>
        <w:t xml:space="preserve">CRR</w:t>
      </w:r>
      <w:r>
        <w:rPr>
          <w:sz w:val="24"/>
          <w:color w:val="000000" w:themeColor="text1"/>
          <w:rFonts w:ascii="Times New Roman" w:hAnsi="Times New Roman"/>
        </w:rPr>
        <w:t xml:space="preserve"> 436. panta d) punktā minēto informāciju</w:t>
      </w:r>
      <w:r>
        <w:rPr>
          <w:sz w:val="24"/>
          <w:rFonts w:ascii="Times New Roman" w:hAnsi="Times New Roman"/>
        </w:rPr>
        <w:t xml:space="preserve">, ievērojot turpmāk šajā pielikumā sniegtos norādījumus, lai aizpildītu veidni EU LI2, kas ietverta šīs īstenošanas regulas V pielikumā</w:t>
      </w:r>
      <w:r>
        <w:rPr>
          <w:sz w:val="24"/>
          <w:color w:val="000000" w:themeColor="text1"/>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Aktīvu uzskaites vērtības summa atbilstoši prudenciālās konsolidācijas tvērumam</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Summas šīs veidnes b)–e) ailē ir vienādas ar summām veidnes EU LI1 c)–f) ailē.</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Saistību uzskaites vērtības summa atbilstoši prudenciālās konsolidācijas tvērumam</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Summas šīs veidnes b)–e) ailē ir vienādas ar summām veidnes EU LI1 c)–f) ailē.</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Kopējā neto summa atbilstoši prudenciālās konsolidācijas tvērumam</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Summa pēc bilances posteņu savstarpējo prasījumu ieskaita starp aktīviem un saistībām atbilstoši prudenciālās konsolidācijas tvērumam neatkarīgi no minēto aktīvu un saistību atbilstības īpašajiem ieskaita noteikumiem </w:t>
            </w:r>
            <w:r>
              <w:rPr>
                <w:sz w:val="24"/>
                <w:i/>
                <w:rFonts w:ascii="Times New Roman" w:hAnsi="Times New Roman"/>
              </w:rPr>
              <w:t xml:space="preserve">CRR</w:t>
            </w:r>
            <w:r>
              <w:rPr>
                <w:sz w:val="24"/>
                <w:rFonts w:ascii="Times New Roman" w:hAnsi="Times New Roman"/>
              </w:rPr>
              <w:t xml:space="preserve"> trešās daļas II sadaļas 4. un 5. nodaļas un </w:t>
            </w:r>
            <w:r>
              <w:rPr>
                <w:sz w:val="24"/>
                <w:i/>
                <w:rFonts w:ascii="Times New Roman" w:hAnsi="Times New Roman"/>
              </w:rPr>
              <w:t xml:space="preserve">CRR</w:t>
            </w:r>
            <w:r>
              <w:rPr>
                <w:sz w:val="24"/>
                <w:rFonts w:ascii="Times New Roman" w:hAnsi="Times New Roman"/>
              </w:rPr>
              <w:t xml:space="preserve"> trešās daļas IV sadaļas piemērošanā.</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Summa šajā rindā ir vienāda ar vērtību 1. rindā, no kuras atskaitīta vērtība, kas norādīta šīs veidnes 2. rindā.</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Ārpusbilances summas</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Iekļauj ārpusbilances sākotnējos riska darījumus, pirms attiecīgā gadījumā tiek izmantota korekcijas pakāpe, no noteiktā ārpusbilances paziņojuma, ievērojot prudenciālās konsolidācijas tvērumu šīs veidnes a)–d) ailē.</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Novērtēšanas atšķirības</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otrās daļas I sadaļas 2. nodaļas 34. pantu un </w:t>
            </w:r>
            <w:r>
              <w:rPr>
                <w:sz w:val="24"/>
                <w:i/>
                <w:rFonts w:ascii="Times New Roman" w:hAnsi="Times New Roman"/>
              </w:rPr>
              <w:t xml:space="preserve">CRR</w:t>
            </w:r>
            <w:r>
              <w:rPr>
                <w:sz w:val="24"/>
                <w:rFonts w:ascii="Times New Roman" w:hAnsi="Times New Roman"/>
              </w:rPr>
              <w:t xml:space="preserve"> trešās daļas I sadaļas 3. nodaļas 105. pantu veikto vērtības korekciju uzskaites vērtības ietekme uz tirdzniecības portfeļa un netirdzniecības portfeļa riska darījumiem, vērtējot pēc patiesās vērtības saskaņā ar piemērojamo grāmatvedības regulējumu.</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Šī summa atbilst summai veidnes EU CC1 7. rindā, kā arī summai veidnes EU PV1 12. rindas f) ailē.</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Atšķirības atšķirīgu ieskaita noteikumu dēļ, izņemot atšķirības, kas jau iekļautas šīs veidnes 2. rindā</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Šis postenis attiecas uz neto bilances un ārpusbilances riska darījumu summām pēc </w:t>
            </w:r>
            <w:r>
              <w:rPr>
                <w:sz w:val="24"/>
                <w:i/>
                <w:rFonts w:ascii="Times New Roman" w:hAnsi="Times New Roman"/>
              </w:rPr>
              <w:t xml:space="preserve">CRR</w:t>
            </w:r>
            <w:r>
              <w:rPr>
                <w:sz w:val="24"/>
                <w:rFonts w:ascii="Times New Roman" w:hAnsi="Times New Roman"/>
              </w:rPr>
              <w:t xml:space="preserve"> trešās daļas II sadaļas 4. un 5. nodaļā un </w:t>
            </w:r>
            <w:r>
              <w:rPr>
                <w:sz w:val="24"/>
                <w:i/>
                <w:rFonts w:ascii="Times New Roman" w:hAnsi="Times New Roman"/>
              </w:rPr>
              <w:t xml:space="preserve">CRR</w:t>
            </w:r>
            <w:r>
              <w:rPr>
                <w:sz w:val="24"/>
                <w:rFonts w:ascii="Times New Roman" w:hAnsi="Times New Roman"/>
              </w:rPr>
              <w:t xml:space="preserve"> trešās daļas IV sadaļā paredzēto īpašo ieskaita noteikumu piemērošanas.</w:t>
            </w:r>
            <w:r>
              <w:rPr>
                <w:sz w:val="24"/>
                <w:rFonts w:ascii="Times New Roman" w:hAnsi="Times New Roman"/>
              </w:rPr>
              <w:t xml:space="preserve"> </w:t>
            </w:r>
            <w:r>
              <w:rPr>
                <w:sz w:val="24"/>
                <w:rFonts w:ascii="Times New Roman" w:hAnsi="Times New Roman"/>
              </w:rPr>
              <w:t xml:space="preserve">Ieskaita noteikumu piemērošanas ietekme var būt negatīva (gadījumā, ja var būt nepieciešams ieskaitīt vairāk riska darījumu, nekā izmantots bilances posteņu savstarpējo prasījumu ieskaitu šīs veidnes 2. rindā) vai pozitīva (gadījumā, ja </w:t>
            </w:r>
            <w:r>
              <w:rPr>
                <w:sz w:val="24"/>
                <w:i/>
                <w:rFonts w:ascii="Times New Roman" w:hAnsi="Times New Roman"/>
              </w:rPr>
              <w:t xml:space="preserve">CRR</w:t>
            </w:r>
            <w:r>
              <w:rPr>
                <w:sz w:val="24"/>
                <w:rFonts w:ascii="Times New Roman" w:hAnsi="Times New Roman"/>
              </w:rPr>
              <w:t xml:space="preserve"> paredzēto ieskaita noteikumu piemērošanas rezultātā ieskaita summa ir mazāka nekā bilances posteņu savstarpējo prasījumu ieskaits šīs veidnes 2. rindā).</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Atšķirības, kas rodas, ņemot vērā noteikumus</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Reintegrācija to īpašo un vispārējo kredītriska korekciju riska darījumu vērtībā (kā definēts Komisijas Deleģētajā regulā (ES) 183/2014</w:t>
            </w:r>
            <w:r w:rsidRPr="007F4CC8">
              <w:rPr>
                <w:rStyle w:val="FootnoteReference"/>
                <w:rFonts w:eastAsia="Times New Roman" w:cs="Times New Roman"/>
              </w:rPr>
              <w:footnoteReference w:id="5"/>
            </w:r>
            <w:r>
              <w:rPr>
                <w:sz w:val="24"/>
                <w:rFonts w:ascii="Times New Roman" w:hAnsi="Times New Roman"/>
              </w:rPr>
              <w:t xml:space="preserve">), kuras atskaitītas saskaņā ar piemērojamo grāmatvedības regulējumu no riska darījumu uzskaites vērtības atbilstoši </w:t>
            </w:r>
            <w:r>
              <w:rPr>
                <w:sz w:val="24"/>
                <w:i/>
                <w:rFonts w:ascii="Times New Roman" w:hAnsi="Times New Roman"/>
              </w:rPr>
              <w:t xml:space="preserve">CRR</w:t>
            </w:r>
            <w:r>
              <w:rPr>
                <w:sz w:val="24"/>
                <w:rFonts w:ascii="Times New Roman" w:hAnsi="Times New Roman"/>
              </w:rPr>
              <w:t xml:space="preserve"> trešās daļas II sadaļas 3. nodaļai riska pakāpes piemērošanas nolūkos.</w:t>
            </w:r>
            <w:r>
              <w:rPr>
                <w:sz w:val="24"/>
                <w:rFonts w:ascii="Times New Roman" w:hAnsi="Times New Roman"/>
              </w:rPr>
              <w:t xml:space="preserve"> </w:t>
            </w:r>
            <w:r>
              <w:rPr>
                <w:sz w:val="24"/>
                <w:rFonts w:ascii="Times New Roman" w:hAnsi="Times New Roman"/>
              </w:rPr>
              <w:t xml:space="preserve">Attiecībā uz riska darījumiem, kam piemērota riska pakāpe saskaņā ar </w:t>
            </w:r>
            <w:r>
              <w:rPr>
                <w:sz w:val="24"/>
                <w:i/>
                <w:rFonts w:ascii="Times New Roman" w:hAnsi="Times New Roman"/>
              </w:rPr>
              <w:t xml:space="preserve">CRR</w:t>
            </w:r>
            <w:r>
              <w:rPr>
                <w:sz w:val="24"/>
                <w:rFonts w:ascii="Times New Roman" w:hAnsi="Times New Roman"/>
              </w:rPr>
              <w:t xml:space="preserve"> trešās daļas II sadaļas 2. nodaļu, ja uzskaites vērtība finanšu pārskatos atbilstoši prudenciālās konsolidācijas tvērumam ir samazināta par elementiem, kas kvalificējami kā vispārējās kredītriska korekcijas atbilstoši iepriekš minētajai deleģētajai regulai, šos elementus reintegrē riska darījumu vērtībā.</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Atšķirības, kas rodas kredītriska mazināšanas metožu izmantošanas dēļ</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i/>
                <w:rFonts w:ascii="Times New Roman" w:hAnsi="Times New Roman"/>
              </w:rPr>
              <w:t xml:space="preserve">CRR</w:t>
            </w:r>
            <w:r>
              <w:rPr>
                <w:sz w:val="24"/>
                <w:rFonts w:ascii="Times New Roman" w:hAnsi="Times New Roman"/>
              </w:rPr>
              <w:t xml:space="preserve"> definēto riska mazināšanas metožu piemērošanas ietekme uz riska darījumu vērtību atbilstoši prudenciālās konsolidācijas tvērumam.</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Atšķirības, kas rodas kredīta korekcijas pakāpju dēļ</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Attiecīgo korekcijas pakāpju piemērošanas ietekme uz ārpusbilances riska darījumu vērtību atbilstoši prudenciālās konsolidācijas tvērumam saskaņā ar </w:t>
            </w:r>
            <w:r>
              <w:rPr>
                <w:sz w:val="24"/>
                <w:i/>
                <w:rFonts w:ascii="Times New Roman" w:hAnsi="Times New Roman"/>
              </w:rPr>
              <w:t xml:space="preserve">CRR</w:t>
            </w:r>
            <w:r>
              <w:rPr>
                <w:sz w:val="24"/>
                <w:rFonts w:ascii="Times New Roman" w:hAnsi="Times New Roman"/>
              </w:rPr>
              <w:t xml:space="preserve">.</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Korekcijas pakāpi ārpusbilances posteņiem, kam piemērojama riska pakāpe </w:t>
            </w:r>
            <w:r>
              <w:rPr>
                <w:sz w:val="24"/>
                <w:i/>
                <w:rFonts w:ascii="Times New Roman" w:hAnsi="Times New Roman"/>
              </w:rPr>
              <w:t xml:space="preserve">CRR</w:t>
            </w:r>
            <w:r>
              <w:rPr>
                <w:sz w:val="24"/>
                <w:rFonts w:ascii="Times New Roman" w:hAnsi="Times New Roman"/>
              </w:rPr>
              <w:t xml:space="preserve"> trešās daļas II sadaļas piemērošanā, nosaka saskaņā ar </w:t>
            </w:r>
            <w:r>
              <w:rPr>
                <w:sz w:val="24"/>
                <w:i/>
                <w:rFonts w:ascii="Times New Roman" w:hAnsi="Times New Roman"/>
              </w:rPr>
              <w:t xml:space="preserve">CRR</w:t>
            </w:r>
            <w:r>
              <w:rPr>
                <w:sz w:val="24"/>
                <w:rFonts w:ascii="Times New Roman" w:hAnsi="Times New Roman"/>
              </w:rPr>
              <w:t xml:space="preserve"> 111., 166., 167. un 182. pantu (attiecībā uz kredītrisku) un 246. pantu (attiecībā uz vērtspapīrošanas risku).</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Atšķirības, kas rodas saistībā ar vērtspapīrošanu ar riska pārvešanu</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Ietekme uz vērtspapīroto riska darījumu vērtību, ko izraisa vērtspapīroto darījumu izmantošana kredītriska pārvešanai trešām personām saskaņā ar </w:t>
            </w:r>
            <w:r>
              <w:rPr>
                <w:sz w:val="24"/>
                <w:i/>
                <w:rFonts w:ascii="Times New Roman" w:hAnsi="Times New Roman"/>
              </w:rPr>
              <w:t xml:space="preserve">CRR</w:t>
            </w:r>
            <w:r>
              <w:rPr>
                <w:sz w:val="24"/>
                <w:rFonts w:ascii="Times New Roman" w:hAnsi="Times New Roman"/>
              </w:rPr>
              <w:t xml:space="preserve">.</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Citas atšķirības</w:t>
            </w:r>
            <w:r>
              <w:rPr>
                <w:i/>
                <w:sz w:val="24"/>
                <w:rFonts w:ascii="Times New Roman" w:hAnsi="Times New Roman"/>
              </w:rPr>
              <w:t xml:space="preserve"> (ja piemērojams)</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Citi nozīmīgi faktori, kas veicina atšķirības starp finanšu pārskatu uzskaites vērtībām atbilstoši regulatīvajam piemērošanas tvērumam un riska darījumu summām, ko ņem vērā regulatīvos nolūkos.</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Iestādes papildina šajā rindā atklāto kvantitatīvo informāciju ar kvalitatīviem paskaidrojumiem par šo atšķirību galvenajiem veicinātājfaktoriem tabulā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Riska darījumu vērtības, ko ņem vērā regulatīvos nolūkos</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Kopsumma, ko uzskata par sākumpunktu </w:t>
            </w:r>
            <w:r>
              <w:rPr>
                <w:sz w:val="24"/>
                <w:i/>
                <w:rFonts w:ascii="Times New Roman" w:hAnsi="Times New Roman"/>
              </w:rPr>
              <w:t xml:space="preserve">RWEA</w:t>
            </w:r>
            <w:r>
              <w:rPr>
                <w:sz w:val="24"/>
                <w:rFonts w:ascii="Times New Roman" w:hAnsi="Times New Roman"/>
              </w:rPr>
              <w:t xml:space="preserve"> aprēķinam pēc to </w:t>
            </w:r>
            <w:r>
              <w:rPr>
                <w:sz w:val="24"/>
                <w:i/>
                <w:rFonts w:ascii="Times New Roman" w:hAnsi="Times New Roman"/>
              </w:rPr>
              <w:t xml:space="preserve">CRM</w:t>
            </w:r>
            <w:r>
              <w:rPr>
                <w:sz w:val="24"/>
                <w:rFonts w:ascii="Times New Roman" w:hAnsi="Times New Roman"/>
              </w:rPr>
              <w:t xml:space="preserve"> metožu piemērošanas (izņemot ieskaitu), kuras noteiktas </w:t>
            </w:r>
            <w:r>
              <w:rPr>
                <w:sz w:val="24"/>
                <w:i/>
                <w:rFonts w:ascii="Times New Roman" w:hAnsi="Times New Roman"/>
              </w:rPr>
              <w:t xml:space="preserve">CRR</w:t>
            </w:r>
            <w:r>
              <w:rPr>
                <w:sz w:val="24"/>
                <w:rFonts w:ascii="Times New Roman" w:hAnsi="Times New Roman"/>
              </w:rPr>
              <w:t xml:space="preserve"> trešās daļas II sadaļas 4. nodaļā, un pēc </w:t>
            </w:r>
            <w:r>
              <w:rPr>
                <w:sz w:val="24"/>
                <w:i/>
                <w:rFonts w:ascii="Times New Roman" w:hAnsi="Times New Roman"/>
              </w:rPr>
              <w:t xml:space="preserve">CRR</w:t>
            </w:r>
            <w:r>
              <w:rPr>
                <w:sz w:val="24"/>
                <w:rFonts w:ascii="Times New Roman" w:hAnsi="Times New Roman"/>
              </w:rPr>
              <w:t xml:space="preserve"> trešās daļas II sadaļas 4. un 5. nodaļā un </w:t>
            </w:r>
            <w:r>
              <w:rPr>
                <w:sz w:val="24"/>
                <w:i/>
                <w:rFonts w:ascii="Times New Roman" w:hAnsi="Times New Roman"/>
              </w:rPr>
              <w:t xml:space="preserve">CRR</w:t>
            </w:r>
            <w:r>
              <w:rPr>
                <w:sz w:val="24"/>
                <w:rFonts w:ascii="Times New Roman" w:hAnsi="Times New Roman"/>
              </w:rPr>
              <w:t xml:space="preserve"> trešās daļas IV sadaļā noteikto ieskaita prasību piemērošanas, par katru no riska kategorijām.</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Ja piemēro standartizēto pieeju (</w:t>
            </w:r>
            <w:r>
              <w:rPr>
                <w:sz w:val="24"/>
                <w:i/>
                <w:rFonts w:ascii="Times New Roman" w:hAnsi="Times New Roman"/>
              </w:rPr>
              <w:t xml:space="preserve">SA</w:t>
            </w:r>
            <w:r>
              <w:rPr>
                <w:sz w:val="24"/>
                <w:rFonts w:ascii="Times New Roman" w:hAnsi="Times New Roman"/>
              </w:rPr>
              <w:t xml:space="preserve">), šī ir vērtība pēc specifiskajām kredīta korekcijām, papildu vērtības korekcijām saskaņā ar </w:t>
            </w:r>
            <w:r>
              <w:rPr>
                <w:sz w:val="24"/>
                <w:i/>
                <w:rFonts w:ascii="Times New Roman" w:hAnsi="Times New Roman"/>
              </w:rPr>
              <w:t xml:space="preserve">CRR</w:t>
            </w:r>
            <w:r>
              <w:rPr>
                <w:sz w:val="24"/>
                <w:rFonts w:ascii="Times New Roman" w:hAnsi="Times New Roman"/>
              </w:rPr>
              <w:t xml:space="preserve"> 34. un 110. pantu un citiem pašu kapitāla samazinājumiem saistībā ar aktīvu posteni.</w:t>
            </w:r>
            <w:r>
              <w:rPr>
                <w:sz w:val="24"/>
                <w:rFonts w:ascii="Times New Roman" w:hAnsi="Times New Roman"/>
              </w:rPr>
              <w:t xml:space="preserve"> </w:t>
            </w:r>
            <w:r>
              <w:rPr>
                <w:sz w:val="24"/>
                <w:rFonts w:ascii="Times New Roman" w:hAnsi="Times New Roman"/>
              </w:rPr>
              <w:t xml:space="preserve">Ārpusbilances posteņiem, kas uzskaitīti šīs īstenošanas regulas I pielikumā, riska darījumu vērtība ir nominālā vērtība pēc specifisko kredītriska korekciju atskaitīšanas, reizinot ar piemērojamo procentuālo daļu, kas minēta </w:t>
            </w:r>
            <w:r>
              <w:rPr>
                <w:sz w:val="24"/>
                <w:i/>
                <w:rFonts w:ascii="Times New Roman" w:hAnsi="Times New Roman"/>
              </w:rPr>
              <w:t xml:space="preserve">CRR</w:t>
            </w:r>
            <w:r>
              <w:rPr>
                <w:sz w:val="24"/>
                <w:rFonts w:ascii="Times New Roman" w:hAnsi="Times New Roman"/>
              </w:rPr>
              <w:t xml:space="preserve"> 111. panta 1. punkta a) un d) punktā.</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Izmantojot </w:t>
            </w:r>
            <w:r>
              <w:rPr>
                <w:sz w:val="24"/>
                <w:i/>
                <w:rFonts w:ascii="Times New Roman" w:hAnsi="Times New Roman"/>
              </w:rPr>
              <w:t xml:space="preserve">IRB</w:t>
            </w:r>
            <w:r>
              <w:rPr>
                <w:sz w:val="24"/>
                <w:rFonts w:ascii="Times New Roman" w:hAnsi="Times New Roman"/>
              </w:rPr>
              <w:t xml:space="preserve"> pieeju, atklātā vērtība ir riska darījumu vērtība </w:t>
            </w:r>
            <w:r>
              <w:rPr>
                <w:sz w:val="24"/>
                <w:i/>
                <w:rFonts w:ascii="Times New Roman" w:hAnsi="Times New Roman"/>
              </w:rPr>
              <w:t xml:space="preserve">CRR</w:t>
            </w:r>
            <w:r>
              <w:rPr>
                <w:sz w:val="24"/>
                <w:rFonts w:ascii="Times New Roman" w:hAnsi="Times New Roman"/>
              </w:rPr>
              <w:t xml:space="preserve"> 166., 167. un 168. panta nozīmē.</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Tādējādi uzskaites vērtības, kas paziņotas finanšu pārskatos atbilstoši prudenciālās konsolidācijas tvērumam, atklāj šīs veidnes 1.–3. rindā, savukārt ārpusbilances sākotnējos riska darījumus atklāj šīs veidnes 4. rindā.</w:t>
            </w:r>
            <w:r>
              <w:rPr>
                <w:sz w:val="24"/>
                <w:rFonts w:ascii="Times New Roman" w:hAnsi="Times New Roman"/>
              </w:rPr>
              <w:t xml:space="preserve"> </w:t>
            </w:r>
            <w:r>
              <w:rPr>
                <w:sz w:val="24"/>
                <w:rFonts w:ascii="Times New Roman" w:hAnsi="Times New Roman"/>
              </w:rPr>
              <w:t xml:space="preserve">Jebkurš īpašs regulatīvs pieskaitījums vai atskaitījums saistībā ar šīm summām ir jāiekļauj šīs veidnes 5.–11. rindā, lai paskaidrotu, kā šīs summas saskaņot ar riska darījumu vērtību regulatīvos nolūkos kā </w:t>
            </w:r>
            <w:r>
              <w:rPr>
                <w:sz w:val="24"/>
                <w:i/>
                <w:rFonts w:ascii="Times New Roman" w:hAnsi="Times New Roman"/>
              </w:rPr>
              <w:t xml:space="preserve">RWEA</w:t>
            </w:r>
            <w:r>
              <w:rPr>
                <w:sz w:val="24"/>
                <w:rFonts w:ascii="Times New Roman" w:hAnsi="Times New Roman"/>
              </w:rPr>
              <w:t xml:space="preserve"> aprēķina sākumpunktu saskaņā ar katru no regulējumiem, kas minēti šīs veidnes b)–e) ailē.</w:t>
            </w:r>
            <w:r>
              <w:rPr>
                <w:sz w:val="24"/>
                <w:rFonts w:ascii="Times New Roman" w:hAnsi="Times New Roman"/>
              </w:rPr>
              <w:t xml:space="preserve"> </w:t>
            </w:r>
            <w:r>
              <w:rPr>
                <w:sz w:val="24"/>
                <w:rFonts w:ascii="Times New Roman" w:hAnsi="Times New Roman"/>
              </w:rPr>
              <w:t xml:space="preserve">Tas nozīmē, ka it īpaši kredītriska gadījumā riska darījumu summas, ko ņem vērā regulatīvos nolūkos un kas jāatklāj šīs veidnes 12. rindā, atšķirsies no uzskaites vērtībām, kas paziņotas finanšu pārskatos atbilstoši prudenciālās konsolidācijas tvērumam, ņemot vērā grāmatvedības noteikumu īpašo regulatīvo režīmu </w:t>
            </w:r>
            <w:r>
              <w:rPr>
                <w:sz w:val="24"/>
                <w:i/>
                <w:rFonts w:ascii="Times New Roman" w:hAnsi="Times New Roman"/>
              </w:rPr>
              <w:t xml:space="preserve">RWEA</w:t>
            </w:r>
            <w:r>
              <w:rPr>
                <w:sz w:val="24"/>
                <w:rFonts w:ascii="Times New Roman" w:hAnsi="Times New Roman"/>
              </w:rPr>
              <w:t xml:space="preserve"> aprēķināšanai.</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Atsauce uz aili</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Kopā</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Kopā veidnes EU LI2 a) ailē = summas veidnes EU LI1 b) ailē – summas veidnes EU LI1 g) ailē.</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Aiļu sadalījums regulatīvā riska kategorijās b)–e) ailē atbilst sadalījumam, kas uzskaitīts </w:t>
            </w:r>
            <w:r>
              <w:rPr>
                <w:sz w:val="24"/>
                <w:i/>
                <w:rFonts w:ascii="Times New Roman" w:hAnsi="Times New Roman"/>
              </w:rPr>
              <w:t xml:space="preserve">CRR</w:t>
            </w:r>
            <w:r>
              <w:rPr>
                <w:sz w:val="24"/>
                <w:rFonts w:ascii="Times New Roman" w:hAnsi="Times New Roman"/>
              </w:rPr>
              <w:t xml:space="preserve"> trešajā daļā:</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Kredītriska regulējums</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Riska darījumi, kas minēti </w:t>
            </w:r>
            <w:r>
              <w:rPr>
                <w:sz w:val="24"/>
                <w:i/>
                <w:rFonts w:ascii="Times New Roman" w:hAnsi="Times New Roman"/>
              </w:rPr>
              <w:t xml:space="preserve">CRR</w:t>
            </w:r>
            <w:r>
              <w:rPr>
                <w:sz w:val="24"/>
                <w:rFonts w:ascii="Times New Roman" w:hAnsi="Times New Roman"/>
              </w:rPr>
              <w:t xml:space="preserve"> trešās daļas II sadaļā</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Riska darījumi, kam piemēro kredītriska regulējumu, atbilst vai nu riska darījumu summai, kas piemērota kredītriska standartizētajā pieejā (sk. </w:t>
            </w:r>
            <w:r>
              <w:rPr>
                <w:sz w:val="24"/>
                <w:i/>
                <w:rFonts w:ascii="Times New Roman" w:hAnsi="Times New Roman"/>
              </w:rPr>
              <w:t xml:space="preserve">CRR</w:t>
            </w:r>
            <w:r>
              <w:rPr>
                <w:sz w:val="24"/>
                <w:rFonts w:ascii="Times New Roman" w:hAnsi="Times New Roman"/>
              </w:rPr>
              <w:t xml:space="preserve"> trešās daļas II sadaļas 2. nodaļas 111. pantu), vai arī riska darījumiem, kuros netiek pildītas saistības (</w:t>
            </w:r>
            <w:r>
              <w:rPr>
                <w:sz w:val="24"/>
                <w:i/>
                <w:rFonts w:ascii="Times New Roman" w:hAnsi="Times New Roman"/>
              </w:rPr>
              <w:t xml:space="preserve">EAD</w:t>
            </w:r>
            <w:r>
              <w:rPr>
                <w:sz w:val="24"/>
                <w:rFonts w:ascii="Times New Roman" w:hAnsi="Times New Roman"/>
              </w:rPr>
              <w:t xml:space="preserve">), ja kredītriskam piemēro </w:t>
            </w:r>
            <w:r>
              <w:rPr>
                <w:sz w:val="24"/>
                <w:i/>
                <w:rFonts w:ascii="Times New Roman" w:hAnsi="Times New Roman"/>
              </w:rPr>
              <w:t xml:space="preserve">IRB</w:t>
            </w:r>
            <w:r>
              <w:rPr>
                <w:sz w:val="24"/>
                <w:rFonts w:ascii="Times New Roman" w:hAnsi="Times New Roman"/>
              </w:rPr>
              <w:t xml:space="preserve"> pieeju (sk. </w:t>
            </w:r>
            <w:r>
              <w:rPr>
                <w:sz w:val="24"/>
                <w:i/>
                <w:rFonts w:ascii="Times New Roman" w:hAnsi="Times New Roman"/>
              </w:rPr>
              <w:t xml:space="preserve">CRR</w:t>
            </w:r>
            <w:r>
              <w:rPr>
                <w:sz w:val="24"/>
                <w:rFonts w:ascii="Times New Roman" w:hAnsi="Times New Roman"/>
              </w:rPr>
              <w:t xml:space="preserve"> trešās daļas II sadaļas 3. nodaļas 166., 167. un 168. pantu).</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Vērtspapīrošanas regulējums</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Riska darījumi no netirdzniecības portfeļa, kā norādīts </w:t>
            </w:r>
            <w:r>
              <w:rPr>
                <w:sz w:val="24"/>
                <w:i/>
                <w:rFonts w:ascii="Times New Roman" w:hAnsi="Times New Roman"/>
              </w:rPr>
              <w:t xml:space="preserve">CRR</w:t>
            </w:r>
            <w:r>
              <w:rPr>
                <w:sz w:val="24"/>
                <w:rFonts w:ascii="Times New Roman" w:hAnsi="Times New Roman"/>
              </w:rPr>
              <w:t xml:space="preserve"> trešās daļas II sadaļas 5. nodaļā.</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Vērtspapīrošanas riska darījumus nosaka saskaņā ar </w:t>
            </w:r>
            <w:r>
              <w:rPr>
                <w:sz w:val="24"/>
                <w:i/>
                <w:rFonts w:ascii="Times New Roman" w:hAnsi="Times New Roman"/>
              </w:rPr>
              <w:t xml:space="preserve">CRR</w:t>
            </w:r>
            <w:r>
              <w:rPr>
                <w:sz w:val="24"/>
                <w:rFonts w:ascii="Times New Roman" w:hAnsi="Times New Roman"/>
              </w:rPr>
              <w:t xml:space="preserve"> trešās daļas II sadaļas 5. nodaļas 246. pantu.</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Darījuma partnera kredītriska (</w:t>
            </w:r>
            <w:r>
              <w:rPr>
                <w:b/>
                <w:sz w:val="24"/>
                <w:i/>
                <w:rFonts w:ascii="Times New Roman" w:hAnsi="Times New Roman"/>
              </w:rPr>
              <w:t xml:space="preserve">CCR</w:t>
            </w:r>
            <w:r>
              <w:rPr>
                <w:b/>
                <w:sz w:val="24"/>
                <w:rFonts w:ascii="Times New Roman" w:hAnsi="Times New Roman"/>
              </w:rPr>
              <w:t xml:space="preserve">) regulējums</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Riska darījumi, kas ņemti vērā </w:t>
            </w:r>
            <w:r>
              <w:rPr>
                <w:sz w:val="24"/>
                <w:i/>
                <w:rFonts w:ascii="Times New Roman" w:hAnsi="Times New Roman"/>
              </w:rPr>
              <w:t xml:space="preserve">CRR</w:t>
            </w:r>
            <w:r>
              <w:rPr>
                <w:sz w:val="24"/>
                <w:rFonts w:ascii="Times New Roman" w:hAnsi="Times New Roman"/>
              </w:rPr>
              <w:t xml:space="preserve"> trešās daļas II sadaļas 6. nodaļā.</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Tirgus riska regulējums</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Tirgus riska darījumi, kas atbilst pozīcijām, kurām piemēro tirgus riska regulējumu </w:t>
            </w:r>
            <w:r>
              <w:rPr>
                <w:sz w:val="24"/>
                <w:i/>
                <w:rFonts w:ascii="Times New Roman" w:hAnsi="Times New Roman"/>
              </w:rPr>
              <w:t xml:space="preserve">CRR</w:t>
            </w:r>
            <w:r>
              <w:rPr>
                <w:sz w:val="24"/>
                <w:rFonts w:ascii="Times New Roman" w:hAnsi="Times New Roman"/>
              </w:rPr>
              <w:t xml:space="preserve"> trešās daļas IV sadaļā.</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Attiecībā uz šo aili informāciju atklāj tikai šīs veidnes 1.–3. un 12. rindā.</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visas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Ja uz atsevišķu posteni attiecas kapitāla prasības saskaņā ar vairāk nekā vienu riska regulējumu, to atklāj visās attiecīgajās ailēs, kas atbilst kapitāla prasībām.</w:t>
            </w:r>
            <w:r>
              <w:rPr>
                <w:sz w:val="24"/>
                <w:rFonts w:ascii="Times New Roman" w:hAnsi="Times New Roman"/>
              </w:rPr>
              <w:t xml:space="preserve"> </w:t>
            </w:r>
            <w:r>
              <w:rPr>
                <w:sz w:val="24"/>
                <w:rFonts w:ascii="Times New Roman" w:hAnsi="Times New Roman"/>
              </w:rPr>
              <w:t xml:space="preserve">Tas nozīmē, ka šīs veidnes b)–e) ailē norādīto vērtību summa var būt lielāka par šīs veidnes a) ailē norādīto vērtību.</w:t>
            </w:r>
            <w:r>
              <w:rPr>
                <w:sz w:val="24"/>
                <w:rFonts w:ascii="Times New Roman" w:hAnsi="Times New Roman"/>
              </w:rPr>
              <w:t xml:space="preserve"> </w:t>
            </w:r>
            <w:r>
              <w:rPr>
                <w:sz w:val="24"/>
                <w:rFonts w:ascii="Times New Roman" w:hAnsi="Times New Roman"/>
              </w:rPr>
              <w:t xml:space="preserve">Iestādes sniedz kvalitatīvus skaidrojumus par aktīviem un saistībām, uz kurām attiecas kapitāla prasības, par vairāk nekā vienu no riska regulējumiem, kas uzskaitīti </w:t>
            </w:r>
            <w:r>
              <w:rPr>
                <w:sz w:val="24"/>
                <w:i/>
                <w:rFonts w:ascii="Times New Roman" w:hAnsi="Times New Roman"/>
              </w:rPr>
              <w:t xml:space="preserve">CRR</w:t>
            </w:r>
            <w:r>
              <w:rPr>
                <w:sz w:val="24"/>
                <w:rFonts w:ascii="Times New Roman" w:hAnsi="Times New Roman"/>
              </w:rPr>
              <w:t xml:space="preserve"> trešajā daļā.</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Veidne EU LI3 – Izklāsts par konsolidācijas tvēruma atšķirībām (par katru struktūru)</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color w:val="000000" w:themeColor="text1"/>
          <w:rFonts w:ascii="Times New Roman" w:hAnsi="Times New Roman"/>
        </w:rPr>
        <w:t xml:space="preserve">Iestādes</w:t>
      </w:r>
      <w:r>
        <w:rPr>
          <w:sz w:val="24"/>
          <w:rFonts w:ascii="Times New Roman" w:hAnsi="Times New Roman"/>
        </w:rPr>
        <w:t xml:space="preserve"> atklāj </w:t>
      </w:r>
      <w:r>
        <w:rPr>
          <w:sz w:val="24"/>
          <w:color w:val="000000" w:themeColor="text1"/>
          <w:i/>
          <w:rFonts w:ascii="Times New Roman" w:hAnsi="Times New Roman"/>
        </w:rPr>
        <w:t xml:space="preserve">CRR</w:t>
      </w:r>
      <w:r>
        <w:rPr>
          <w:sz w:val="24"/>
          <w:color w:val="000000" w:themeColor="text1"/>
          <w:rFonts w:ascii="Times New Roman" w:hAnsi="Times New Roman"/>
        </w:rPr>
        <w:t xml:space="preserve"> 436. panta b) punktā</w:t>
      </w:r>
      <w:r>
        <w:rPr>
          <w:sz w:val="24"/>
          <w:rFonts w:ascii="Times New Roman" w:hAnsi="Times New Roman"/>
        </w:rPr>
        <w:t xml:space="preserve"> minēto informāciju, ievērojot turpmāk šajā pielikumā sniegtos norādījumus, lai aizpildītu šīs īstenošanas regulas V pielikumā ietverto veidni EU LI3</w:t>
      </w:r>
      <w:r>
        <w:rPr>
          <w:sz w:val="24"/>
          <w:color w:val="000000" w:themeColor="text1"/>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Rindas ir elastīgas.</w:t>
            </w:r>
            <w:r>
              <w:rPr>
                <w:sz w:val="24"/>
                <w:rFonts w:ascii="Times New Roman" w:hAnsi="Times New Roman"/>
              </w:rPr>
              <w:t xml:space="preserve"> </w:t>
            </w:r>
            <w:r>
              <w:rPr>
                <w:sz w:val="24"/>
                <w:rFonts w:ascii="Times New Roman" w:hAnsi="Times New Roman"/>
              </w:rPr>
              <w:t xml:space="preserve">Informāciju atklāj par struktūrām, kas iekļautas grāmatvedības un regulatīvajā konsolidācijas tvērumā, kā definēts saskaņā ar piemērojamo grāmatvedības regulējumu un </w:t>
            </w:r>
            <w:r>
              <w:rPr>
                <w:sz w:val="24"/>
                <w:i/>
                <w:rFonts w:ascii="Times New Roman" w:hAnsi="Times New Roman"/>
              </w:rPr>
              <w:t xml:space="preserve">CRR</w:t>
            </w:r>
            <w:r>
              <w:rPr>
                <w:sz w:val="24"/>
                <w:rFonts w:ascii="Times New Roman" w:hAnsi="Times New Roman"/>
              </w:rPr>
              <w:t xml:space="preserve"> pirmās daļas II sadaļas 2. un 3. iedaļā, attiecībā uz kurām grāmatvedības konsolidācijas metode atšķiras no regulatīvās konsolidācijas metodes.</w:t>
            </w:r>
            <w:r>
              <w:rPr>
                <w:sz w:val="24"/>
                <w:rFonts w:ascii="Times New Roman" w:hAnsi="Times New Roman"/>
              </w:rPr>
              <w:t xml:space="preserve"> </w:t>
            </w:r>
            <w:r>
              <w:rPr>
                <w:sz w:val="24"/>
                <w:rFonts w:ascii="Times New Roman" w:hAnsi="Times New Roman"/>
              </w:rPr>
              <w:t xml:space="preserve">Viena rinda par katru struktūru.</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Atsauce uz aili</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Struktūras nosaukums</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Tās struktūras komercnosaukums, kas iekļauta vai atskaitīta no iestādes regulatīvā un grāmatvedības konsolidācijas tvēruma</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Grāmatvedības konsolidācijas metode</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Konsolidācijas metode, kas izmantota saskaņā ar piemērojamo grāmatvedības regulējumu</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c–g</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Regulatīvās konsolidācijas metode</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Konsolidācijas metode, kas īstenota </w:t>
            </w:r>
            <w:r>
              <w:rPr>
                <w:sz w:val="24"/>
                <w:i/>
                <w:rFonts w:ascii="Times New Roman" w:hAnsi="Times New Roman"/>
              </w:rPr>
              <w:t xml:space="preserve">CRR</w:t>
            </w:r>
            <w:r>
              <w:rPr>
                <w:sz w:val="24"/>
                <w:rFonts w:ascii="Times New Roman" w:hAnsi="Times New Roman"/>
              </w:rPr>
              <w:t xml:space="preserve"> pirmās daļas II sadaļas 2. nodaļas nolūkā.</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Atklāj informāciju vismaz par metodēm, kas uzskaitītas </w:t>
            </w:r>
            <w:r>
              <w:rPr>
                <w:sz w:val="24"/>
                <w:i/>
                <w:rFonts w:ascii="Times New Roman" w:hAnsi="Times New Roman"/>
              </w:rPr>
              <w:t xml:space="preserve">CRR</w:t>
            </w:r>
            <w:r>
              <w:rPr>
                <w:sz w:val="24"/>
                <w:rFonts w:ascii="Times New Roman" w:hAnsi="Times New Roman"/>
              </w:rPr>
              <w:t xml:space="preserve"> 436. panta b) punktā.</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Iestādes atzīmē ar ķeksīti piemērojamās ailes, norādot katras struktūras konsolidācijas metodi atbilstoši grāmatvedības regulējumam un to, vai atbilstoši prudenciālās konsolidācijas tvērumam katra struktūra ir i) pilnībā konsolidēta,</w:t>
            </w:r>
            <w:r>
              <w:rPr>
                <w:sz w:val="24"/>
                <w:rFonts w:ascii="Times New Roman" w:hAnsi="Times New Roman"/>
              </w:rPr>
              <w:t xml:space="preserve"> </w:t>
            </w:r>
            <w:r>
              <w:rPr>
                <w:sz w:val="24"/>
                <w:rFonts w:ascii="Times New Roman" w:hAnsi="Times New Roman"/>
              </w:rPr>
              <w:t xml:space="preserve">ii) proporcionāli konsolidēta,</w:t>
            </w:r>
            <w:r>
              <w:rPr>
                <w:sz w:val="24"/>
                <w:rFonts w:ascii="Times New Roman" w:hAnsi="Times New Roman"/>
              </w:rPr>
              <w:t xml:space="preserve"> </w:t>
            </w:r>
            <w:r>
              <w:rPr>
                <w:sz w:val="24"/>
                <w:rFonts w:ascii="Times New Roman" w:hAnsi="Times New Roman"/>
              </w:rPr>
              <w:t xml:space="preserve">iii) atzīta atbilstoši pašu kapitāla metodei,</w:t>
            </w:r>
            <w:r>
              <w:rPr>
                <w:sz w:val="24"/>
                <w:rFonts w:ascii="Times New Roman" w:hAnsi="Times New Roman"/>
              </w:rPr>
              <w:t xml:space="preserve"> </w:t>
            </w:r>
            <w:r>
              <w:rPr>
                <w:sz w:val="24"/>
                <w:rFonts w:ascii="Times New Roman" w:hAnsi="Times New Roman"/>
              </w:rPr>
              <w:t xml:space="preserve">iv) nav ne konsolidēta, ne atskaitīta, vai</w:t>
            </w:r>
            <w:r>
              <w:rPr>
                <w:sz w:val="24"/>
                <w:rFonts w:ascii="Times New Roman" w:hAnsi="Times New Roman"/>
              </w:rPr>
              <w:t xml:space="preserve"> </w:t>
            </w:r>
            <w:r>
              <w:rPr>
                <w:sz w:val="24"/>
                <w:rFonts w:ascii="Times New Roman" w:hAnsi="Times New Roman"/>
              </w:rPr>
              <w:t xml:space="preserve">v) ir atskaitīta.</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Struktūras apraksts</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Īss struktūras apraksts, atklājot (vismaz) informāciju par tās darbības nozari</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Tabula EU LIA – Paskaidrojumi par atšķirībām starp grāmatvedības un regulatīvajām riska darījumu vērtībām.</w:t>
      </w:r>
      <w:r>
        <w:rPr>
          <w:sz w:val="24"/>
          <w:b/>
          <w:rFonts w:ascii="Times New Roman" w:hAnsi="Times New Roman"/>
        </w:rPr>
        <w:t xml:space="preserve"> </w:t>
      </w:r>
      <w:r>
        <w:rPr>
          <w:sz w:val="24"/>
          <w:rFonts w:ascii="Times New Roman" w:hAnsi="Times New Roman"/>
        </w:rPr>
        <w:t xml:space="preserve">Brīva formāta tekstlogi kvalitatīvas informācijas atklāšanai.</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color w:val="000000" w:themeColor="text1"/>
          <w:rFonts w:ascii="Times New Roman" w:hAnsi="Times New Roman"/>
        </w:rPr>
        <w:t xml:space="preserve">Iestādes</w:t>
      </w:r>
      <w:r>
        <w:rPr>
          <w:sz w:val="24"/>
          <w:rFonts w:ascii="Times New Roman" w:hAnsi="Times New Roman"/>
        </w:rPr>
        <w:t xml:space="preserve"> atklāj </w:t>
      </w:r>
      <w:r>
        <w:rPr>
          <w:sz w:val="24"/>
          <w:color w:val="000000" w:themeColor="text1"/>
          <w:i/>
          <w:rFonts w:ascii="Times New Roman" w:hAnsi="Times New Roman"/>
        </w:rPr>
        <w:t xml:space="preserve">CRR</w:t>
      </w:r>
      <w:r>
        <w:rPr>
          <w:sz w:val="24"/>
          <w:color w:val="000000" w:themeColor="text1"/>
          <w:rFonts w:ascii="Times New Roman" w:hAnsi="Times New Roman"/>
        </w:rPr>
        <w:t xml:space="preserve"> 436. panta b) un d) punktā</w:t>
      </w:r>
      <w:r>
        <w:rPr>
          <w:sz w:val="24"/>
          <w:rFonts w:ascii="Times New Roman" w:hAnsi="Times New Roman"/>
        </w:rPr>
        <w:t xml:space="preserve"> minēto informāciju, ievērojot turpmāk šajā pielikumā sniegtos norādījumus, lai aizpildītu šīs īstenošanas regulas V pielikumā ietverto tabulu EU LIA</w:t>
      </w:r>
      <w:r>
        <w:rPr>
          <w:sz w:val="24"/>
          <w:color w:val="000000" w:themeColor="text1"/>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Iestādes paskaidro un kvantificē izcelsmi jebkurām būtiskajām atšķirībām starp summām veidnes EU LI1 a) un b) ailē neatkarīgi no tā, vai atšķirības izriet no atšķirīgiem konsolidācijas noteikumiem vai atšķirīgu grāmatvedības standartu izmantošanas grāmatvedības konsolidācijā un regulatīvajā konsolidācijā.</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Iestādes paskaidro izcelsmi atšķirībām starp uzskaites vērtībām, kam piemēro prudenciālās konsolidācijas tvērumu, un summām, kas ņemtas vērā regulatīvos nolūkos un norādītas veidnē EU LI2.</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Tabula EU LIB – Cita kvalitatīva informācija par piemērošanas jomu.</w:t>
      </w:r>
      <w:r>
        <w:rPr>
          <w:sz w:val="24"/>
          <w:rFonts w:ascii="Times New Roman" w:hAnsi="Times New Roman"/>
        </w:rPr>
        <w:t xml:space="preserve"> </w:t>
      </w:r>
      <w:r>
        <w:rPr>
          <w:sz w:val="24"/>
          <w:rFonts w:ascii="Times New Roman" w:hAnsi="Times New Roman"/>
        </w:rPr>
        <w:t xml:space="preserve">Brīva formāta tekstlogi kvalitatīvas informācijas atklāšanai.</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436. panta f), g) un h) minēto informāciju, ievērojot turpmāk šajā pielikumā sniegtos norādījumus, lai aizpildītu šīs īstenošanas regulas V pielikumā ietverto tabulu EU LIB.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Iestādes atklāj jebkurus esošos vai paredzamos būtiskos praktiskos vai juridiskos šķēršļus tam, lai varētu veikt tūlītēju pašu kapitāla pārskaitīšanu vai saistību nokārtošanu starp mātesuzņēmumu un tā meitasuzņēmumiem.</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Attiecīgā gadījumā iestādes atklāj konsolidācijā neiekļauto meitasuzņēmumu nosaukumus.</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Attiecīgā gadījumā iestādes atklāj, kādu apstākļu dēļ ir izmantoti </w:t>
            </w:r>
            <w:r>
              <w:rPr>
                <w:sz w:val="24"/>
                <w:i/>
                <w:rFonts w:ascii="Times New Roman" w:hAnsi="Times New Roman"/>
              </w:rPr>
              <w:t xml:space="preserve">CRR</w:t>
            </w:r>
            <w:r>
              <w:rPr>
                <w:sz w:val="24"/>
                <w:rFonts w:ascii="Times New Roman" w:hAnsi="Times New Roman"/>
              </w:rPr>
              <w:t xml:space="preserve"> 7. pantā minētā atkāpe vai </w:t>
            </w:r>
            <w:r>
              <w:rPr>
                <w:sz w:val="24"/>
                <w:i/>
                <w:rFonts w:ascii="Times New Roman" w:hAnsi="Times New Roman"/>
              </w:rPr>
              <w:t xml:space="preserve">CRR</w:t>
            </w:r>
            <w:r>
              <w:rPr>
                <w:sz w:val="24"/>
                <w:rFonts w:ascii="Times New Roman" w:hAnsi="Times New Roman"/>
              </w:rPr>
              <w:t xml:space="preserve"> 9. pantā minētā individuālas konsolidēšanas metode.</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Attiecīgā gadījumā iestādes atklāj kopējo summu, par kuru faktiskais pašu kapitāls ir mazāks nekā nepieciešamais kapitāls visos meitasuzņēmumos, kas nav iekļauti konsolidācijā, un šādu meitasuzņēmumu nosaukumus.</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Veidne EU PV1 – Piesardzīgas vērtēšanas korekcijas (</w:t>
      </w:r>
      <w:r>
        <w:rPr>
          <w:sz w:val="24"/>
          <w:b/>
          <w:i/>
          <w:rFonts w:ascii="Times New Roman" w:hAnsi="Times New Roman"/>
        </w:rPr>
        <w:t xml:space="preserve">PVA</w:t>
      </w:r>
      <w:r>
        <w:rPr>
          <w:sz w:val="24"/>
          <w:b/>
          <w:rFonts w:ascii="Times New Roman" w:hAnsi="Times New Roman"/>
        </w:rPr>
        <w:t xml:space="preserve">)</w:t>
      </w:r>
      <w:r>
        <w:rPr>
          <w:sz w:val="24"/>
          <w:b/>
          <w:rFonts w:ascii="Times New Roman" w:hAnsi="Times New Roman"/>
        </w:rPr>
        <w:t xml:space="preserve"> </w:t>
      </w:r>
      <w:r>
        <w:rPr>
          <w:sz w:val="24"/>
          <w:rFonts w:ascii="Times New Roman" w:hAnsi="Times New Roman"/>
        </w:rPr>
        <w:t xml:space="preserve">Fiksēts formāts.</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Iestādes, kas piemēro pamatpieeju, lai noteiktu papildu vērtēšanas korekciju piesardzīgai vērtēšanai saskaņā ar Komisijas Deleģētās regulas (ES) 2016/101</w:t>
      </w:r>
      <w:r w:rsidRPr="007F4CC8">
        <w:rPr>
          <w:rStyle w:val="FootnoteReference"/>
          <w:rFonts w:ascii="Times New Roman" w:hAnsi="Times New Roman"/>
          <w:bCs/>
          <w:sz w:val="24"/>
          <w:szCs w:val="24"/>
        </w:rPr>
        <w:footnoteReference w:id="6"/>
      </w:r>
      <w:r>
        <w:rPr>
          <w:sz w:val="24"/>
          <w:rFonts w:ascii="Times New Roman" w:hAnsi="Times New Roman"/>
        </w:rPr>
        <w:t xml:space="preserve"> III nodaļu, atklāj </w:t>
      </w:r>
      <w:r>
        <w:rPr>
          <w:sz w:val="24"/>
          <w:i/>
          <w:rFonts w:ascii="Times New Roman" w:hAnsi="Times New Roman"/>
        </w:rPr>
        <w:t xml:space="preserve">CRR</w:t>
      </w:r>
      <w:r>
        <w:rPr>
          <w:sz w:val="24"/>
          <w:rFonts w:ascii="Times New Roman" w:hAnsi="Times New Roman"/>
        </w:rPr>
        <w:t xml:space="preserve"> 436. panta e) punktā minēto informāciju, ievērojot turpmāk šajā pielikumā sniegtos norādījumus, lai aizpildītu šīs īstenošanas regulas V pielikumā ietverto veidni EU PV1.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Atsauces uz tiesību aktiem un norādījumi</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1.–10. rinda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Kategoriju līmeņa PVK</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Tirgus cenas nenoteiktības, pozīcijas slēgšanas vai likvidācijas izdevumu, modeļa riska, koncentrētu pozīciju, turpmāku administratīvo izmaksu, priekšlaicīgas darījuma izbeigšanas un operacionālā riska kategoriju līmeņa papildu vērtības korekciju nosaka saskaņā ar Komisijas deleģētās regulas (ES) 2016/101 attiecīgi 9.–11. un 14.–17. pantu.</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Attiecībā uz tirgus cenas nenoteiktības, pozīcijas slēgšanas vai likvidācijas izdevumu un modeļa riska kategorijām, kurām piemēro ar diversifikāciju saistītos ieguvumus, kā noteikts attiecīgi Deleģētās regulas (ES) 2016/101 9. panta 6. punktā, 10. panta 7. punktā un 11. panta 7. punktā, kategoriju līmeņa PVK atklāj šīs veidnes a līdz EU-e2 ailē kā atsevišķo PVK tiešo summu pirms ar diversifikāciju saistītajiem ieguvumiem.</w:t>
            </w:r>
            <w:r>
              <w:rPr>
                <w:sz w:val="24"/>
                <w:rFonts w:ascii="Times New Roman" w:hAnsi="Times New Roman"/>
              </w:rPr>
              <w:t xml:space="preserve"> </w:t>
            </w:r>
            <w:r>
              <w:rPr>
                <w:sz w:val="24"/>
                <w:rFonts w:ascii="Times New Roman" w:hAnsi="Times New Roman"/>
              </w:rPr>
              <w:t xml:space="preserve">Ar diversifikāciju saistītos ieguvumus saskaņā ar Komisijas Deleģētās regulas (ES) 2016/101 9. panta 6. punktu, 10. panta 7. punktu un 11. panta 7. punktu iekļauj šīs veidnes f) ailē.</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Tirgus cenas nenoteiktība</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Tirgus cenas nenoteiktības PVK aprēķina saskaņā ar Komisijas Deleģētās regulas (ES) 2016/101 9. pantu.</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Neattiecas</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Pozīcijas slēgšanas vai likvidācijas izdevumi</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Pozīcijas slēgšanas vai likvidācijas izdevumu PVK aprēķina saskaņā ar Komisijas Deleģētās regulas (ES) 2016/101 10. pantu.</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Koncentrētas pozīcijas</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11. punkts</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Koncentrēto pozīciju PVK aprēķina saskaņā ar Komisijas Deleģētās regulas (ES) 2016/101 14. pantu.</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Priekšlaicīga darījuma izbeigšana</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Priekšlaicīgas darījuma izbeigšanas PVK aprēķina saskaņā ar Komisijas Deleģētās regulas (ES) 2016/101 16. pantu.</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Modeļa risks</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Modeļa riska PVK aprēķina saskaņā ar Komisijas Deleģētās regulas (ES) 2016/101 11. pantu.</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Operacionālais risks</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Operacionālā riska PVK aprēķina saskaņā ar Komisijas Deleģētās regulas (ES) 2016/101 17. pantu.</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Neattiecas</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Neattiecas</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Turpmākas administratīvās izmaksas</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Turpmāku administratīvo izmaksu PVK aprēķina saskaņā ar Komisijas Deleģētās regulas (ES) 2016/101 15. pantu.</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Neattiecas</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Kopējās papildu vērtības korekcijas</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Kopējās PVK, kas jāatskaita no pašu kapitāla saskaņā ar </w:t>
            </w:r>
            <w:r>
              <w:rPr>
                <w:color w:val="auto"/>
                <w:i/>
                <w:rFonts w:ascii="Times New Roman" w:hAnsi="Times New Roman"/>
              </w:rPr>
              <w:t xml:space="preserve">CRR</w:t>
            </w:r>
            <w:r>
              <w:rPr>
                <w:color w:val="auto"/>
                <w:rFonts w:ascii="Times New Roman" w:hAnsi="Times New Roman"/>
              </w:rPr>
              <w:t xml:space="preserve"> 34. un 105. pantu, atklāj šīs veidnes 12. rindas f) ailē.</w:t>
            </w:r>
            <w:r>
              <w:rPr>
                <w:color w:val="auto"/>
                <w:rFonts w:ascii="Times New Roman" w:hAnsi="Times New Roman"/>
              </w:rPr>
              <w:t xml:space="preserve"> </w:t>
            </w:r>
            <w:r>
              <w:rPr>
                <w:color w:val="auto"/>
                <w:rFonts w:ascii="Times New Roman" w:hAnsi="Times New Roman"/>
              </w:rPr>
              <w:t xml:space="preserve">Šī summa atbilst summai veidnes EU CC1 7. rindā, kā arī summai veidnes EU LI2 5. rindas a) ailē.</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Portfeļiem, uz kuriem attiecas pamatpieeja, kas noteikta Deleģētās regulas (ES) 2016/101 par piesardzīgu vērtēšanu III nodaļā, kopējā PVK ir summa, kuru veido vērtības šīs veidnes 1.–10. rindā, un vērtības, kuras aprēķinātas saskaņā ar Deleģētās regulas (ES) 2016/101 7. panta 2. punkta b) punkta i)–iii) apakšpunktu attiecībā uz portfeļiem, kam piemēro alternatīvo pieeju, ja tāda ir.</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Portfeļiem, uz kuriem attiecas vienkāršotā pieeja, kas noteikta Deleģētās regulas (ES) 2016/101 par piesardzīgu vērtēšanu II nodaļā, kopējā PVK, kura ietverta šīs veidnes f) ailē, ir summa, kas aprēķināta saskaņā ar šīs nodaļas 5. pantu.</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Paskaidrojums</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Sadalījums pa RISKA KATEGORIJĀM</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Iestādes savus pēc patiesās vērtības vērtētos aktīvus un saistības, kas iekļauti robežvērtības aprēķinā saskaņā ar Deleģētās regulas (ES) 2016/101 4. panta 1. punktu (tirdzniecības portfeļa un netirdzniecības portfeļa), iedala šādās riska kategorijās:</w:t>
            </w:r>
            <w:r>
              <w:rPr>
                <w:sz w:val="24"/>
                <w:rFonts w:ascii="Times New Roman" w:hAnsi="Times New Roman"/>
              </w:rPr>
              <w:t xml:space="preserve"> </w:t>
            </w:r>
            <w:r>
              <w:rPr>
                <w:sz w:val="24"/>
                <w:rFonts w:ascii="Times New Roman" w:hAnsi="Times New Roman"/>
              </w:rPr>
              <w:t xml:space="preserve">procentu likmes, ārvalstu valūta, kredīti, kapitāla vērtspapīri, preces.</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Iedalījumā šajās ailēs neiekļauj PVK, kas aprēķinātas saskaņā ar Komisijas Deleģētās regulas (ES) 2016/101 12. un 13. pantu un kas atklātas šīs veidnes EU-e1. un Eu-e2. ailē.</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Kategoriju līmeņa PVK – Vērtēšanas neskaidrība:</w:t>
            </w:r>
            <w:r>
              <w:rPr>
                <w:b/>
                <w:sz w:val="24"/>
                <w:u w:val="single"/>
                <w:rFonts w:ascii="Times New Roman" w:hAnsi="Times New Roman"/>
              </w:rPr>
              <w:t xml:space="preserve"> </w:t>
            </w:r>
            <w:r>
              <w:rPr>
                <w:b/>
                <w:sz w:val="24"/>
                <w:u w:val="single"/>
                <w:rFonts w:ascii="Times New Roman" w:hAnsi="Times New Roman"/>
              </w:rPr>
              <w:t xml:space="preserve">nenopelnītās peļņas no kredītriska starpības PVK</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 Komisijas Deleģētās Regulas (ES) 2016/101 12. pants</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Kopējo PVK nenopelnītajai peļņai no kredītriska starpības (“PVK no </w:t>
            </w:r>
            <w:r>
              <w:rPr>
                <w:sz w:val="24"/>
                <w:i/>
                <w:rFonts w:ascii="Times New Roman" w:hAnsi="Times New Roman"/>
              </w:rPr>
              <w:t xml:space="preserve">CVA</w:t>
            </w:r>
            <w:r>
              <w:rPr>
                <w:sz w:val="24"/>
                <w:rFonts w:ascii="Times New Roman" w:hAnsi="Times New Roman"/>
              </w:rPr>
              <w:t xml:space="preserve">”) un tās sadalījumu starp tirgus cenas nenoteiktības, pozīcijas slēgšanas vai likvidācijas izdevumu un modeļa riska PVK nosaka saskaņā ar Komisijas Deleģētās regulas (ES) 2016/101 12. pantu.</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Kategoriju līmeņa PVK – Ieguldījumu un finansējuma izmaksu PVK</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105. panta 10. punkts, Komisijas Deleģētās Regulas (ES) 2016/101 13. pants</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Kopējo PVK ieguldījumu un finansējuma izmaksām un tās sadalījumu starp tirgus cenas nenoteiktības, pozīcijas slēgšanas vai likvidācijas izdevumu un modeļa riska PVK nosaka saskaņā ar Komisijas Deleģētās regulas (ES) 2016/101 13. pantu.</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Kopējais kategoriju līmenis pēc diversifikācijas</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Portfeļiem, uz kuriem attiecas pamatpieeja, kā noteikts Komisijas Deleģētās regulas (ES) 2016/101 III nodaļā, kopējais kategoriju līmenis pēc diversifikācijas ietver kopējās PVK, kas aprēķinātas saskaņā ar pamatpieeju pēc patiesās vērtības vērtētajiem aktīviem un saistībām, kuras iekļautas robežvērtības aprēķinā saskaņā ar Komisijas Deleģētās regulas (ES) 2016/101 4. panta 1. punktu.</w:t>
            </w:r>
            <w:r>
              <w:rPr>
                <w:sz w:val="24"/>
                <w:rFonts w:ascii="Times New Roman" w:hAnsi="Times New Roman"/>
              </w:rPr>
              <w:t xml:space="preserve"> </w:t>
            </w:r>
            <w:r>
              <w:rPr>
                <w:sz w:val="24"/>
                <w:rFonts w:ascii="Times New Roman" w:hAnsi="Times New Roman"/>
              </w:rPr>
              <w:t xml:space="preserve">Tas ietver ar diversifikāciju saistītos ieguvumus, kas definēti saskaņā ar Komisijas Deleģētās regulas (ES) 2016/101 9. panta 6. punktu, 10. panta 7. punktu un 11. panta 7. punktu.</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Kopējā PVK šīs veidnes 12. rindas f) ailē ietver summas, kas aprēķinātas saskaņā ar Deleģētās regulas (ES) 2016/101 7. panta 2. punkta b) apakšpunkta i)–iii) punktu, portfeļiem, kam piemēro alternatīvo pieeju, ja tāda ir.</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Portfeļiem, uz kuriem attiecas vienkāršotā pieeja, kas noteikta Deleģētās regulas (ES) 2016/101 par piesardzīgu vērtēšanu II nodaļā, kopējā PVK, kas ietverta šīs veidnes 12. rindā, ir summa, kas aprēķināta saskaņā ar šīs nodaļas 5. pantu.</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T. sk.:</w:t>
            </w:r>
            <w:r>
              <w:rPr>
                <w:b/>
                <w:sz w:val="24"/>
                <w:u w:val="single"/>
                <w:rFonts w:ascii="Times New Roman" w:hAnsi="Times New Roman"/>
              </w:rPr>
              <w:t xml:space="preserve"> </w:t>
            </w:r>
            <w:r>
              <w:rPr>
                <w:b/>
                <w:sz w:val="24"/>
                <w:u w:val="single"/>
                <w:rFonts w:ascii="Times New Roman" w:hAnsi="Times New Roman"/>
              </w:rPr>
              <w:t xml:space="preserve">kopējā pamatpieeja tirdzniecības portfelī</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Katrai attiecīgajai PVK kategorijai attiecībā uz portfeļiem, kam piemēro pamatpieeju, kā noteikts Komisijas Deleģētās regulas (ES) 2016/101 III nodaļā, to PVK īpatsvars, kas izriet no pozīcijām, kuras turētas “tirdzniecības portfelī”:</w:t>
            </w:r>
            <w:r>
              <w:rPr>
                <w:sz w:val="24"/>
                <w:rFonts w:ascii="Times New Roman" w:hAnsi="Times New Roman"/>
              </w:rPr>
              <w:t xml:space="preserve"> </w:t>
            </w:r>
            <w:r>
              <w:rPr>
                <w:sz w:val="24"/>
                <w:rFonts w:ascii="Times New Roman" w:hAnsi="Times New Roman"/>
              </w:rPr>
              <w:t xml:space="preserve">visas finanšu instrumentu un preču pozīcijas, ko iestāde tur vai nu tirdzniecības nolūkā, vai lai ierobežotu risku tirdzniecības nolūkā turētām pozīcijām saskaņā ar </w:t>
            </w:r>
            <w:r>
              <w:rPr>
                <w:sz w:val="24"/>
                <w:i/>
                <w:rFonts w:ascii="Times New Roman" w:hAnsi="Times New Roman"/>
              </w:rPr>
              <w:t xml:space="preserve">CRR</w:t>
            </w:r>
            <w:r>
              <w:rPr>
                <w:sz w:val="24"/>
                <w:rFonts w:ascii="Times New Roman" w:hAnsi="Times New Roman"/>
              </w:rPr>
              <w:t xml:space="preserve"> 104. pantu.</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Atklātā vērtība ietver ar diversifikāciju saistītos ieguvumus, kas definēti saskaņā ar Komisijas Deleģētās regulas (ES) 2016/101 9. panta 6. punktu, 10. panta 7. punktu un 11. panta 7. punktu.</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T. sk.:</w:t>
            </w:r>
            <w:r>
              <w:rPr>
                <w:b/>
                <w:sz w:val="24"/>
                <w:u w:val="single"/>
                <w:rFonts w:ascii="Times New Roman" w:hAnsi="Times New Roman"/>
              </w:rPr>
              <w:t xml:space="preserve"> </w:t>
            </w:r>
            <w:r>
              <w:rPr>
                <w:b/>
                <w:sz w:val="24"/>
                <w:u w:val="single"/>
                <w:rFonts w:ascii="Times New Roman" w:hAnsi="Times New Roman"/>
              </w:rPr>
              <w:t xml:space="preserve">kopējā pamatpieeja bankas portfelī</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Katrai attiecīgajai PVK kategorijai attiecībā uz portfeļiem, kam piemēro pamatpieeju, kā noteikts Komisijas Deleģētās regulas (ES) 2016/101 III nodaļā, to PVK īpatsvars, kas izriet no</w:t>
            </w:r>
            <w:r>
              <w:rPr>
                <w:sz w:val="24"/>
                <w:color w:val="000000"/>
                <w:rFonts w:ascii="Times New Roman" w:hAnsi="Times New Roman"/>
              </w:rPr>
              <w:t xml:space="preserve"> pēc patiesās vērtības vērtētām pozīcijām</w:t>
            </w:r>
            <w:r>
              <w:rPr>
                <w:sz w:val="24"/>
                <w:rFonts w:ascii="Times New Roman" w:hAnsi="Times New Roman"/>
              </w:rPr>
              <w:t xml:space="preserve"> finanšu instrumentos un precēs, kuras </w:t>
            </w:r>
            <w:r>
              <w:rPr>
                <w:sz w:val="24"/>
                <w:color w:val="000000"/>
                <w:rFonts w:ascii="Times New Roman" w:hAnsi="Times New Roman"/>
              </w:rPr>
              <w:t xml:space="preserve">netiek turētas tirdzniecības portfelī</w:t>
            </w:r>
            <w:r>
              <w:rPr>
                <w:sz w:val="24"/>
                <w:rFonts w:ascii="Times New Roman" w:hAnsi="Times New Roman"/>
              </w:rPr>
              <w:t xml:space="preserve">.</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Atklātā vērtība ietver ar diversifikāciju saistītos ieguvumus, kas noteikti saskaņā ar Komisijas Deleģētās regulas (ES) 2016/101 9. panta 6. punktu, 10. panta 7. punktu un 11. panta 7. punktu.</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r>
      <w:r>
        <w:t xml:space="preserve">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EIROPAS PARLAMENTA UN PADOMES REGULA (EK) Nr. 1606/2002 (2002. gada 19. jūlijs) par starptautisko grāmatvedības standartu piemērošanu (OV L 243, 11.9.2002., 1. lpp.).</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PADOMES DIREKTĪVA 86/635/EEK (1986. gada 8. decembris) par banku un citu finanšu iestāžu gada pārskatiem un konsolidētajiem pārskatiem (OV L 372, 31.12.1986., 1. lpp.).</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KOMISIJAS DELEĢĒTĀ REGULA (ES) Nr. 183/2014 (2013. gada 20. decembris), ar ko papildina Eiropas Parlamenta un Padomes Regulu (ES) Nr. 575/2013 par prudenciālajām prasībām attiecībā uz kredītiestādēm un ieguldījumu brokeru sabiedrībām saistībā ar regulatīvajiem tehniskajiem standartiem, ar ko precizē specifisko un vispārējo kredītriska korekciju aprēķināšanu (OV L 57, 27.2.2014., 3. lpp.).</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KOMISIJAS DELEĢĒTĀ REGULA (ES) 2016/101 (2015. gada 26. oktobris), ar ko papildina Eiropas Parlamenta un Padomes Regulu (ES) Nr. 575/2013 attiecībā uz piesardzīgas vērtēšanas regulatīviem tehniskajiem standartiem saskaņā ar 105. panta 14. punktu (OV L 21, 28.1.2016., 54.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C04D6C"/>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B31FEF-4E2E-440F-A329-BA6622F9397E}"/>
</file>

<file path=customXml/itemProps2.xml><?xml version="1.0" encoding="utf-8"?>
<ds:datastoreItem xmlns:ds="http://schemas.openxmlformats.org/officeDocument/2006/customXml" ds:itemID="{91BA6D66-5485-4CFE-9A13-2B05FA97CA44}"/>
</file>

<file path=customXml/itemProps3.xml><?xml version="1.0" encoding="utf-8"?>
<ds:datastoreItem xmlns:ds="http://schemas.openxmlformats.org/officeDocument/2006/customXml" ds:itemID="{160BA28F-DBB8-4476-8D42-7FC0830C29A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XXXXXXX</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XXXXXXX</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