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VIII PRIEDAS. Nuosavų lėšų informacijos formų nurodymai</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EU CC1 forma. Reguliuojamų nuosavų lėšų sudėtis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Pildydamos EBI IT sprendimų VII priede pateiktą EU CC1 formą įstaigos atskleidžia </w:t>
      </w:r>
      <w:r>
        <w:rPr>
          <w:rFonts w:ascii="Times New Roman" w:hAnsi="Times New Roman"/>
          <w:color w:val="000000"/>
          <w:sz w:val="24"/>
        </w:rPr>
        <w:t>Reglamento (ES) Nr. 575/2013</w:t>
      </w:r>
      <w:r>
        <w:rPr>
          <w:rStyle w:val="FootnoteReference"/>
          <w:rFonts w:cs="Times New Roman"/>
          <w:color w:val="000000"/>
        </w:rPr>
        <w:footnoteReference w:id="1"/>
      </w:r>
      <w:r>
        <w:rPr>
          <w:rFonts w:ascii="Times New Roman" w:hAnsi="Times New Roman"/>
          <w:color w:val="000000"/>
          <w:sz w:val="24"/>
        </w:rPr>
        <w:t>(toliau – KRR)</w:t>
      </w:r>
      <w:r>
        <w:rPr>
          <w:rFonts w:ascii="Times New Roman" w:hAnsi="Times New Roman"/>
          <w:sz w:val="24"/>
        </w:rPr>
        <w:t xml:space="preserve"> 437 straipsnio a, d, e ir f punktuose nurodytą informaciją, vadovaudamosi šiame priede pateiktais nurodymais.</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Pildant EU CC1 formą teisės aktuose nustatyti koregavimai apima atskaitymus iš nuosavų lėšų ir </w:t>
      </w:r>
      <w:proofErr w:type="spellStart"/>
      <w:r>
        <w:rPr>
          <w:rFonts w:ascii="Times New Roman" w:hAnsi="Times New Roman"/>
          <w:sz w:val="24"/>
        </w:rPr>
        <w:t>prudencinius</w:t>
      </w:r>
      <w:proofErr w:type="spellEnd"/>
      <w:r>
        <w:rPr>
          <w:rFonts w:ascii="Times New Roman" w:hAnsi="Times New Roman"/>
          <w:sz w:val="24"/>
        </w:rPr>
        <w:t xml:space="preserve"> filtrus.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Įstaigos privalo užpildyti šios formos b skiltį, kad parodytų kiekvieno svarbaus įrašo, kuris kryžmine nuoroda susietinas su atitinkamomis EU CC2 formos eilutėmis, šaltinį.</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 xml:space="preserve">Į prie formos pridedamas aiškinamąsias pastabas įstaigos įtraukia visų apribojimų, taikomų apskaičiuojant nuosavas lėšas pagal KRR, ir priemonių, </w:t>
      </w:r>
      <w:proofErr w:type="spellStart"/>
      <w:r>
        <w:rPr>
          <w:rFonts w:ascii="Times New Roman" w:hAnsi="Times New Roman"/>
          <w:sz w:val="24"/>
        </w:rPr>
        <w:t>prudencinių</w:t>
      </w:r>
      <w:proofErr w:type="spellEnd"/>
      <w:r>
        <w:rPr>
          <w:rFonts w:ascii="Times New Roman" w:hAnsi="Times New Roman"/>
          <w:sz w:val="24"/>
        </w:rPr>
        <w:t xml:space="preserve"> filtrų bei atskaitymų, kuriems taikomi šie apribojimai, aprašymą. Be to, jos prideda išsamų paaiškinimą, kokiu pagrindu apskaičiuojami kapitalo pakankamumo koeficientai, kai tie kapitalo pakankamumo koeficientai apskaičiuojami naudojant nuosavų lėšų elementus, nustatytus remiantis ne KRR išdėstytu, o kitu pagrindu.</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Nuorodos į teisės aktus ir nurodymai</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Eilutės numeris</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Paaiškinimas</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Kapitalo priemonės ir susiję akcijų priedai</w:t>
            </w:r>
          </w:p>
          <w:p w14:paraId="3624D9E6" w14:textId="47F3962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Kapitalo priemonės ir susiję akcijų priedai pagal KRR 26 straipsnio 1 dalies a ir b punktus ir 27, 28, 29 straipsnius ir EBI sąrašą, nurodytą KRR 26 straipsnio 3 dalyje, ir jų suskirstymas pagal priemonės rūšį</w:t>
            </w:r>
            <w:r w:rsidR="00BF56F1">
              <w:rPr>
                <w:rFonts w:ascii="Times New Roman" w:hAnsi="Times New Roman"/>
                <w:sz w:val="24"/>
              </w:rPr>
              <w: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Nepaskirstytasis pelnas</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Nepaskirstytasis pelnas prieš visus teisės aktuose nustatytus koregavimus pagal KRR 26 straipsnio 1 dalies c punktą (prieš įtraukiant bet kokį tarpinį grynąjį pelną ar nuostolius).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Sukauptos kitos bendrosios pajamos (ir kiti rezervai)</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Sukauptų kitų bendrųjų pajamų ir kitų rezervų suma pagal KRR 26 straipsnio 1 dalies d ir e punktus.</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Atidėjiniai bendrai bankinei rizikai</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Atidėjinių bendrai bankinei rizikai suma pagal KRR 26 straipsnio 1 dalies f punktą.</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Reikalavimus atitinkančių straipsnių, nurodytų KRR 484 straipsnio 3 dalyje, ir susijusių akcijų priedų, kurie turi būti laipsniškai pašalinti iš CET1, suma</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484 straipsnio 3 dalyje nurodytų reikalavimus atitinkančių straipsnių ir susijusių akcijų priedų, kurie turi būti laipsniškai pašalinti iš CET1, kaip apibūdinta KRR 486 straipsnio 2 dalyje, suma.</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Mažumos dalys (suma, kurią leidžiama įtraukti į konsoliduotą CET1)</w:t>
            </w:r>
          </w:p>
          <w:p w14:paraId="64724C4C" w14:textId="66D50E1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Mažumos dalys (suma, kurią leidžiama įtraukti į konsoliduotą CET1) pagal KRR 84 straipsnį</w:t>
            </w:r>
            <w:r w:rsidR="00BF56F1">
              <w:rPr>
                <w:rFonts w:ascii="Times New Roman" w:hAnsi="Times New Roman"/>
                <w:sz w:val="24"/>
              </w:rPr>
              <w:t>.</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Nepriklausomai patikrintas tarpinis pelnas atėmus visus numatomus mokesčius arba dividendus</w:t>
            </w:r>
          </w:p>
          <w:p w14:paraId="30173762" w14:textId="6C10A9A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Nepriklausomai patikrintas tarpinis pelnas atėmus visus numatomus mokesčius arba dividendus pagal KRR 26 straipsnio 2 dalį</w:t>
            </w:r>
            <w:r w:rsidR="00BF56F1">
              <w:rPr>
                <w:rFonts w:ascii="Times New Roman" w:hAnsi="Times New Roman"/>
                <w:sz w:val="24"/>
              </w:rPr>
              <w:t>.</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Bendras 1 lygio nuosavas kapitalas (CET1) prieš teisės aktuose nustatytus koregavimus</w:t>
            </w:r>
          </w:p>
          <w:p w14:paraId="5517D0EC" w14:textId="168A8F1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1–EU-5a eilučių verčių suma</w:t>
            </w:r>
            <w:r w:rsidR="00BF56F1">
              <w:rPr>
                <w:rFonts w:ascii="Times New Roman" w:hAnsi="Times New Roman"/>
                <w:sz w:val="24"/>
              </w:rPr>
              <w:t>.</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Papildomi vertės koregavimai (neigiama suma)</w:t>
            </w:r>
          </w:p>
          <w:p w14:paraId="24604E94" w14:textId="5C9FBC5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Papildomi vertės koregavimai pagal KRR 34 ir 105 straipsnius (neigiama suma)</w:t>
            </w:r>
            <w:r w:rsidR="00BF56F1">
              <w:rPr>
                <w:rFonts w:ascii="Times New Roman" w:hAnsi="Times New Roman"/>
                <w:sz w:val="24"/>
              </w:rPr>
              <w:t>.</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Nematerialusis turtas (atėmus susijusius mokesčių įsipareigojimus) (neigiama suma)</w:t>
            </w:r>
          </w:p>
          <w:p w14:paraId="5E398664" w14:textId="770A54A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Nematerialusis turtas (atėmus susijusius mokesčių įsipareigojimus) pagal KRR 36 straipsnio 1 dalies b punktą ir 37 straipsnį (neigiama suma)</w:t>
            </w:r>
            <w:r w:rsidR="00BF56F1">
              <w:rPr>
                <w:rFonts w:ascii="Times New Roman" w:hAnsi="Times New Roman"/>
                <w:sz w:val="24"/>
              </w:rPr>
              <w:t>.</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Atidėtųjų mokesčių turtas, priklausantis nuo būsimo pelningumo, išskyrus turtą, susidarantį dėl laikinųjų skirtumų (atėmus susijusius mokesčių įsipareigojimus, jeigu įvykdomos KRR 38 straipsnio 3 dalyje nustatytos sąlygos) (neigiama suma)</w:t>
            </w:r>
          </w:p>
          <w:p w14:paraId="2A0A42E4" w14:textId="625DE00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Atidėtųjų mokesčių turtas, priklausantis nuo būsimo pelningumo, išskyrus turtą, susidarantį dėl laikinųjų skirtumų (atėmus susijusius mokesčių įsipareigojimus, jeigu įvykdomos KRR 38 straipsnio 3 dalyje nustatytos sąlygos) pagal KRR 36 straipsnio 1 dalies c punktą ir 38 straipsnį (neigiama suma)</w:t>
            </w:r>
            <w:r w:rsidR="00BF56F1">
              <w:rPr>
                <w:rFonts w:ascii="Times New Roman" w:hAnsi="Times New Roman"/>
                <w:sz w:val="24"/>
              </w:rPr>
              <w:t>.</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Tikrosios vertės rezervai, susiję su pelnu arba nuostoliais iš finansinių priemonių, kurios nėra vertinamos tikrąja verte, pinigų srautų apsidraudimo</w:t>
            </w:r>
          </w:p>
          <w:p w14:paraId="28EED647" w14:textId="4668859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Tikrosios vertės rezervai, susiję su pelnu arba nuostoliais iš finansinių priemonių, kurios nėra vertinamos tikrąja verte, pinigų srautų apsidraudimo, pagal KRR 33 straipsnio 1 dalies a punktą</w:t>
            </w:r>
            <w:r w:rsidR="00BF56F1">
              <w:rPr>
                <w:rFonts w:ascii="Times New Roman" w:hAnsi="Times New Roman"/>
                <w:sz w:val="24"/>
              </w:rPr>
              <w:t>.</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Neigiamos sumos, susidarančios apskaičiuojant tikėtinų nuostolių sumas</w:t>
            </w:r>
          </w:p>
          <w:p w14:paraId="1056ED1A" w14:textId="32DB022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Neigiamos sumos, susidarančios apskaičiuojant tikėtinų nuostolių sumas pagal KRR 36 straipsnio 1 dalies d punktą ir 40 straipsnį</w:t>
            </w:r>
            <w:r w:rsidR="00BF56F1">
              <w:rPr>
                <w:rFonts w:ascii="Times New Roman" w:hAnsi="Times New Roman"/>
                <w:sz w:val="24"/>
              </w:rPr>
              <w:t>.</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Nuosavo kapitalo padidėjimas, susidarantis dėl vertybiniais popieriais pakeisto turto (neigiama suma)</w:t>
            </w:r>
          </w:p>
          <w:p w14:paraId="0C6A56A7" w14:textId="16ED458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Nuosavo kapitalo padidėjimas, susidarantis dėl vertybiniais popieriais pakeisto turto, pagal KRR 32 straipsnio 1 dalį (neigiama suma)</w:t>
            </w:r>
            <w:r w:rsidR="00BF56F1">
              <w:rPr>
                <w:rFonts w:ascii="Times New Roman" w:hAnsi="Times New Roman"/>
                <w:sz w:val="24"/>
              </w:rPr>
              <w:t>.</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Pelnas arba nuostoliai iš įsipareigojimų, vertinamų tikrąja verte, kurie susidaro dėl pačios įstaigos kreditingumo pokyčių</w:t>
            </w:r>
          </w:p>
          <w:p w14:paraId="07C3FABE" w14:textId="279196A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Pelnas arba nuostoliai iš įsipareigojimų, vertinamų tikrąja verte, kurie susidaro dėl pačios įstaigos kreditingumo pokyčių, pagal KRR 33 straipsnio 1 dalies b punktą</w:t>
            </w:r>
            <w:r w:rsidR="00BF56F1">
              <w:rPr>
                <w:rFonts w:ascii="Times New Roman" w:hAnsi="Times New Roman"/>
                <w:sz w:val="24"/>
              </w:rPr>
              <w:t>.</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Nustatytų išmokų pensijų fondo turtas (neigiama suma)</w:t>
            </w:r>
          </w:p>
          <w:p w14:paraId="7FE0A992" w14:textId="174D3E2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Nustatytų išmokų pensijų fondo turtas pagal KRR 36 straipsnio 1 dalies e punktą ir 41 straipsnį (neigiama suma)</w:t>
            </w:r>
            <w:r w:rsidR="00BF56F1">
              <w:rPr>
                <w:rFonts w:ascii="Times New Roman" w:hAnsi="Times New Roman"/>
                <w:sz w:val="24"/>
              </w:rPr>
              <w:t>.</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nuosavos CET1 priemonės (neigiama suma)</w:t>
            </w:r>
          </w:p>
          <w:p w14:paraId="77709E9C" w14:textId="0955AAC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nuosavos CET1 priemonės, kaip aprašyta KRR 36 straipsnio 1 dalies f punkte ir 42 straipsnyje (neigiama suma)</w:t>
            </w:r>
            <w:r w:rsidR="00BF56F1">
              <w:rPr>
                <w:rFonts w:ascii="Times New Roman" w:hAnsi="Times New Roman"/>
                <w:sz w:val="24"/>
              </w:rPr>
              <w:t>.</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CET1 priemonės (neigiama suma)</w:t>
            </w:r>
          </w:p>
          <w:p w14:paraId="2AFFD0C1" w14:textId="36850A2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CET1 priemonės, kaip apibūdinta KRR 36 straipsnio 1 dalies g punkte ir 44 straipsnyje (neigiama suma)</w:t>
            </w:r>
            <w:r w:rsidR="00BF56F1">
              <w:rPr>
                <w:rFonts w:ascii="Times New Roman" w:hAnsi="Times New Roman"/>
                <w:sz w:val="24"/>
              </w:rPr>
              <w:t>.</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neturi reikšmingų investicijų, CET1 priemonės (10 % ribą viršijanti suma atėmus reikalavimus atitinkančias trumpąsias pozicijas) (neigiama suma)</w:t>
            </w:r>
          </w:p>
          <w:p w14:paraId="3D0E5CB4" w14:textId="28E44C8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Tiesiogiai, netiesiogiai ir dirbtinai turimos finansų sektoriaus subjektų, kuriuose įstaiga neturi reikšmingų investicijų, CET1 priemonės (10 % ribą viršijanti suma atėmus reikalavimus atitinkančias trumpąsias pozicijas), </w:t>
            </w:r>
            <w:r>
              <w:rPr>
                <w:rFonts w:ascii="Times New Roman" w:hAnsi="Times New Roman"/>
                <w:sz w:val="24"/>
              </w:rPr>
              <w:lastRenderedPageBreak/>
              <w:t>kaip apibūdinta KRR 36 straipsnio 1 dalies h punkte, 43, 45, 46 straipsniuose, 49 straipsnio 2 ir 3 dalyse ir 79 straipsnyje (neigiama suma)</w:t>
            </w:r>
            <w:r w:rsidR="00BF56F1">
              <w:rPr>
                <w:rFonts w:ascii="Times New Roman" w:hAnsi="Times New Roman"/>
                <w:sz w:val="24"/>
              </w:rPr>
              <w:t>.</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CET1 priemonės (10 % ribą viršijanti suma atėmus reikalavimus atitinkančias trumpąsias pozicijas) (neigiama suma)</w:t>
            </w:r>
          </w:p>
          <w:p w14:paraId="39DCB46F" w14:textId="5959556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CET1 priemonės (10 % ribą viršijanti suma atėmus reikalavimus atitinkančias trumpąsias pozicijas), kaip apibūdinta KRR 36 straipsnio 1 dalies i punkte, 43, 45, 47 straipsniuose, 48 straipsnio 1 dalies b punkte ir 49 straipsnio 1–3 dalyse (neigiama suma)</w:t>
            </w:r>
            <w:r w:rsidR="00BF56F1">
              <w:rPr>
                <w:rFonts w:ascii="Times New Roman" w:hAnsi="Times New Roman"/>
                <w:sz w:val="24"/>
              </w:rPr>
              <w:t>.</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Toliau nurodytų straipsnių, kurie atitinka 1 250 % rizikos koeficiento taikymo reikalavimus, pozicijos suma, kai įstaiga nusprendžia taikyti atskaitymo alternatyvą</w:t>
            </w:r>
          </w:p>
          <w:p w14:paraId="2CA8C5B0" w14:textId="532F03C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Pozicijos suma, kuri atitinka 1 250 % rizikos koeficiento taikymo reikalavimus, kai įstaiga nusprendžia taikyti atskaitymo alternatyvą, kaip apibūdinta KRR 36 straipsnio 1 dalies k punkte</w:t>
            </w:r>
            <w:r w:rsidR="00BF56F1">
              <w:rPr>
                <w:rFonts w:ascii="Times New Roman" w:hAnsi="Times New Roman"/>
                <w:sz w:val="24"/>
              </w:rPr>
              <w:t>.</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jos: ne finansų sektoriaus įmonėse turimos kvalifikuotosios akcijų paketo dalys (neigiama suma)</w:t>
            </w:r>
          </w:p>
          <w:p w14:paraId="0056EA61" w14:textId="4DB0A03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EU-20a eilutės sumos dalis, susijusi su ne finansų sektoriaus įmonėse turimomis kvalifikuotosiomis akcijų paketo dalimis pagal KRR 36 straipsnio 1 dalies k punkto i papunktį ir 89–91 straipsnius (neigiama suma)</w:t>
            </w:r>
            <w:r w:rsidR="00BF56F1">
              <w:rPr>
                <w:rFonts w:ascii="Times New Roman" w:hAnsi="Times New Roman"/>
                <w:sz w:val="24"/>
              </w:rPr>
              <w:t>.</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jos: pakeitimo vertybiniais popieriais pozicijos (neigiama suma)</w:t>
            </w:r>
          </w:p>
          <w:p w14:paraId="232BFB2B" w14:textId="0BFF3D4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EU-20a eilutės sumos dalis, susijusi su pakeitimo vertybiniais popieriais pozicijomis pagal KRR 36 straipsnio 1 dalies k punkto ii papunktį, 243 straipsnio 1 dalies b punktą, 244 straipsnio 1 dalies b punktą ir 258 straipsnį (neigiama suma)</w:t>
            </w:r>
            <w:r w:rsidR="00BF56F1">
              <w:rPr>
                <w:rFonts w:ascii="Times New Roman" w:hAnsi="Times New Roman"/>
                <w:sz w:val="24"/>
              </w:rPr>
              <w:t>.</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jos: nebaigti sandoriai (neigiama suma)</w:t>
            </w:r>
          </w:p>
          <w:p w14:paraId="218B6C2A" w14:textId="59DF1B8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EU-20a eilutės sumos dalis, susijusi su nebaigtais sandoriais pagal KRR 36 straipsnio 1 dalies k punkto iii papunktį ir 379 straipsnio 3 dalį (neigiama suma)</w:t>
            </w:r>
            <w:r w:rsidR="00BF56F1">
              <w:rPr>
                <w:rFonts w:ascii="Times New Roman" w:hAnsi="Times New Roman"/>
                <w:sz w:val="24"/>
              </w:rPr>
              <w:t>.</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(10 % ribą viršijanti suma atėmus susijusius mokesčių įsipareigojimus, jeigu įvykdomos KRR 38 straipsnio 3 dalyje nustatytos sąlygos) (neigiama suma)</w:t>
            </w:r>
          </w:p>
          <w:p w14:paraId="1047B9CB" w14:textId="5F2F9CC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Atidėtųjų mokesčių turtas, susidarantis dėl laikinųjų skirtumų (10 % ribą viršijanti suma atėmus susijusius mokesčių įsipareigojimus, jeigu </w:t>
            </w:r>
            <w:r>
              <w:rPr>
                <w:rFonts w:ascii="Times New Roman" w:hAnsi="Times New Roman"/>
                <w:sz w:val="24"/>
              </w:rPr>
              <w:lastRenderedPageBreak/>
              <w:t>įvykdomos KRR 38 straipsnio 3 dalyje nustatytos sąlygos), kaip apibūdinta KRR 36 straipsnio 1 dalies c punkte, 38 straipsnyje ir 48 straipsnio 1 dalies a punkte (neigiama suma)</w:t>
            </w:r>
            <w:r w:rsidR="00BF56F1">
              <w:rPr>
                <w:rFonts w:ascii="Times New Roman" w:hAnsi="Times New Roman"/>
                <w:sz w:val="24"/>
              </w:rPr>
              <w:t>.</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17,65 % ribą viršijanti suma (neigiama suma)</w:t>
            </w:r>
          </w:p>
          <w:p w14:paraId="5ADBAB1C" w14:textId="409E418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17,65 % ribą viršijanti suma pagal KRR 48 straipsnio 1 dalį (neigiama suma)</w:t>
            </w:r>
            <w:r w:rsidR="00BF56F1">
              <w:rPr>
                <w:rFonts w:ascii="Times New Roman" w:hAnsi="Times New Roman"/>
                <w:sz w:val="24"/>
              </w:rPr>
              <w:t>.</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jos: tiesiogiai, netiesiogiai ir dirbtinai įstaigos turimos finansų sektoriaus subjektų, kuriuose įstaiga turi reikšmingų investicijų, CET1 priemonės</w:t>
            </w:r>
          </w:p>
          <w:p w14:paraId="63DF0E4F" w14:textId="1243C91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22 eilutės sumos dalis, susijusi su tiesiogiai, netiesiogiai ir dirbtinai įstaigos turimomis finansų sektoriaus subjektų, kuriuose įstaiga turi reikšmingų investicijų, CET1 priemonėmis, kaip apibūdinta KRR 36 straipsnio 1 dalies i punkte ir 48 straipsnio 1 dalies b punkte</w:t>
            </w:r>
            <w:r w:rsidR="00BF56F1">
              <w:rPr>
                <w:rFonts w:ascii="Times New Roman" w:hAnsi="Times New Roman"/>
                <w:sz w:val="24"/>
              </w:rPr>
              <w:t>.</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jos: atidėtųjų mokesčių turtas, susidarantis dėl laikinųjų skirtumų</w:t>
            </w:r>
          </w:p>
          <w:p w14:paraId="482D0A2D" w14:textId="4D85EE9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22 eilutės sumos dalis, susijusi su atidėtųjų mokesčių turtu, susidarančiu dėl laikinųjų skirtumų, kaip aprašyta KRR 36 straipsnio 1 dalies c punkte, 38 straipsnyje ir 48 straipsnio 1 dalies a punkte</w:t>
            </w:r>
            <w:r w:rsidR="00BF56F1">
              <w:rPr>
                <w:rFonts w:ascii="Times New Roman" w:hAnsi="Times New Roman"/>
                <w:sz w:val="24"/>
              </w:rPr>
              <w:t>.</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Einamųjų finansinių metų nuostoliai (neigiama suma)</w:t>
            </w:r>
          </w:p>
          <w:p w14:paraId="21AC5462" w14:textId="261EE70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Einamųjų finansinių metų nuostoliai pagal KRR 36 straipsnio 1 dalies a punktą (neigiama suma)</w:t>
            </w:r>
            <w:r w:rsidR="00BF56F1">
              <w:rPr>
                <w:rFonts w:ascii="Times New Roman" w:hAnsi="Times New Roman"/>
                <w:sz w:val="24"/>
              </w:rPr>
              <w:t>.</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 CET1 straipsniais susiję numatomi mokesčiai, išskyrus tuos atvejus, kai įstaiga tinkamai pakoreguoja CET1 straipsnių sumą tiek, kiek tokie mokesčiai mažina šių straipsnių sumą, kuri gali būti panaudota rizikai ar nuostoliams padengti (neigiama suma)</w:t>
            </w:r>
          </w:p>
          <w:p w14:paraId="734D12DC" w14:textId="0A91DF0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 CET1 straipsniais susijusių mokesčių, kurie numatomi juos apskaičiuojant, suma, išskyrus tuos atvejus, kai įstaiga tinkamai pakoreguoja CET1 straipsnių sumą tiek, kiek tokie mokesčiai mažina šių straipsnių sumą, kuri gali būti panaudota rizikai ar nuostoliams padengti, kaip nustatyta KRR 36 straipsnio 1 dalies l punkte (neigiama suma)</w:t>
            </w:r>
            <w:r w:rsidR="00BF56F1">
              <w:rPr>
                <w:rFonts w:ascii="Times New Roman" w:hAnsi="Times New Roman"/>
                <w:sz w:val="24"/>
              </w:rPr>
              <w:t>.</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Reikalavimus atitinkantys įstaigos AT1 straipsnius viršijančių sumų atskaitymai iš AT1 (neigiama suma)</w:t>
            </w:r>
          </w:p>
          <w:p w14:paraId="355E3AEB" w14:textId="192596B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Reikalavimus atitinkantys įstaigos AT1 straipsnius viršijančių sumų atskaitymai iš AT1, kaip aprašyta KRR 36 straipsnio 1 dalies j punkte (neigiama suma)</w:t>
            </w:r>
            <w:r w:rsidR="00BF56F1">
              <w:rPr>
                <w:rFonts w:ascii="Times New Roman" w:hAnsi="Times New Roman"/>
                <w:sz w:val="24"/>
              </w:rPr>
              <w:t>.</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Kiti teisės aktuose nustatyti koregavimai</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Šioje eilutėje įstaigos atskleidžia visus taikytinus teisės aktuose nustatytus koregavimus, nurodytus teikiant priežiūros ataskaitas ir neįtrauktus į jokias kitas šios formos eilutes, įskaitant, jei aktualu, 9-ojo TFAS pereinamojo laikotarpio priemonių sumą iki pereinamojo laikotarpio pabaigos.</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 teisės aktuose nustatytų bendro 1 lygio nuosavo kapitalo (CET1) koregavimų suma</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Apskaičiuojama sudedant šios formos 7–EU-20a, 21, 22 ir EU-25a–EU-27a eilučių vertes.</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Bendras 1 lygio nuosavas kapitalas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Apskaičiuojama iš šios formos 6 eilutės vertės atėmus 28 eilutės vertę.</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Kapitalo priemonės ir susiję akcijų priedai</w:t>
            </w:r>
          </w:p>
          <w:p w14:paraId="78F65A5E" w14:textId="521494E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Kapitalo priemonės ir susiję akcijų priedai pagal KRR 51 ir 52 straipsnius</w:t>
            </w:r>
            <w:r w:rsidR="00BF56F1">
              <w:rPr>
                <w:rFonts w:ascii="Times New Roman" w:hAnsi="Times New Roman"/>
                <w:sz w:val="24"/>
              </w:rPr>
              <w:t>.</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pagal taikytinus apskaitos standartus priskiriami prie nuosavo kapitalo</w:t>
            </w:r>
          </w:p>
          <w:p w14:paraId="6088A1D4" w14:textId="7AA1E76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30 eilutės suma, pagal taikytinus apskaitos standartus priskirta prie nuosavo kapitalo</w:t>
            </w:r>
            <w:r w:rsidR="00BF56F1">
              <w:rPr>
                <w:rFonts w:ascii="Times New Roman" w:hAnsi="Times New Roman"/>
                <w:sz w:val="24"/>
              </w:rPr>
              <w:t>.</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pagal taikytinus apskaitos standartus priskiriami prie įsipareigojimų</w:t>
            </w:r>
          </w:p>
          <w:p w14:paraId="4C02CCA1" w14:textId="3037CAD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30 eilutės suma, pagal taikytinus apskaitos standartus priskirta prie įsipareigojimų</w:t>
            </w:r>
            <w:r w:rsidR="00BF56F1">
              <w:rPr>
                <w:rFonts w:ascii="Times New Roman" w:hAnsi="Times New Roman"/>
                <w:sz w:val="24"/>
              </w:rPr>
              <w:t>.</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Reikalavimus atitinkančių straipsnių, nurodytų KRR 484 straipsnio 4 dalyje, ir susijusių akcijų priedų, kurie turi būti laipsniškai pašalinti iš AT1, suma</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484 straipsnio 4 dalyje nurodytų reikalavimus atitinkančių straipsnių ir susijusių akcijų priedų, kurie turi būti laipsniškai pašalinti iš AT1 pagal KRR 486 straipsnio 3 dalį, suma.</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494a straipsnio 1 dalyje nurodytų reikalavimus atitinkančių straipsnių, kurie turi būti laipsniškai pašalinti iš AT1, suma</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494b straipsnio 1 dalyje nurodytų reikalavimus atitinkančių straipsnių, kurie turi būti laipsniškai pašalinti iš AT1, suma</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Kvalifikuotasis 1 lygio kapitalas, įtraukiamas į konsoliduotą AT1 kapitalą (įskaitant mažumos dalis, neįtrauktas į 5 eilutę), kurį yra išleidusios patronuojamosios įmonės ir turi trečiosios šalys</w:t>
            </w:r>
          </w:p>
          <w:p w14:paraId="33267B84" w14:textId="676E55C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Kvalifikuotasis T1 kapitalas, įtraukiamas į konsoliduotą AT1 kapitalą (įskaitant mažumos dalis, neįtrauktas į šios formos 5 eilutę), kurį yra išleidusios patronuojamosios įmonės ir turi trečiosios šalys, kaip apibūdinta KRR 85 ir 86 straipsniuose</w:t>
            </w:r>
            <w:r w:rsidR="00BF56F1">
              <w:rPr>
                <w:rFonts w:ascii="Times New Roman" w:hAnsi="Times New Roman"/>
                <w:sz w:val="24"/>
              </w:rPr>
              <w:t>.</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jo: patronuojamųjų įmonių išleistos priemonės, kurios turi būti laipsniškai panaikintos</w:t>
            </w:r>
          </w:p>
          <w:p w14:paraId="6DA4F142" w14:textId="0EDD96C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34 eilutės suma, susijusi su patronuojamųjų įmonių išleistomis priemonėmis, kurios turi būti laipsniškai panaikintos, kaip aprašyta KRR 486 straipsnio 3 dalyje</w:t>
            </w:r>
            <w:r w:rsidR="00BF56F1">
              <w:rPr>
                <w:rFonts w:ascii="Times New Roman" w:hAnsi="Times New Roman"/>
                <w:sz w:val="24"/>
              </w:rPr>
              <w:t>.</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Papildomas 1 lygio (AT1) kapitalas prieš teisės aktuose nustatytus koregavimus</w:t>
            </w:r>
          </w:p>
          <w:p w14:paraId="282C0FB0" w14:textId="65EEF25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30, 33, EU-33a, EU-33b ir 34 eilučių verčių suma</w:t>
            </w:r>
            <w:r w:rsidR="00BF56F1">
              <w:rPr>
                <w:rFonts w:ascii="Times New Roman" w:hAnsi="Times New Roman"/>
                <w:sz w:val="24"/>
              </w:rPr>
              <w:t>.</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nuosavos AT1 priemonės (neigiama suma)</w:t>
            </w:r>
          </w:p>
          <w:p w14:paraId="58F9FBF2" w14:textId="1AD3D27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nuosavos AT1 priemonės, kaip aprašyta KRR 52 straipsnio 1 dalies b punkte, 56 straipsnio a punkte ir 57 straipsnyje (neigiama suma)</w:t>
            </w:r>
            <w:r w:rsidR="00BF56F1">
              <w:rPr>
                <w:rFonts w:ascii="Times New Roman" w:hAnsi="Times New Roman"/>
                <w:sz w:val="24"/>
              </w:rPr>
              <w:t>.</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AT1 priemonės (neigiama suma)</w:t>
            </w:r>
          </w:p>
          <w:p w14:paraId="6BE90ADF" w14:textId="4B3DF76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AT1 priemonės, kaip apibūdinta KRR 56 straipsnio b punkte ir 58 straipsnyje (neigiama suma)</w:t>
            </w:r>
            <w:r w:rsidR="00BF56F1">
              <w:rPr>
                <w:rFonts w:ascii="Times New Roman" w:hAnsi="Times New Roman"/>
                <w:sz w:val="24"/>
              </w:rPr>
              <w:t>.</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AT1 priemonės (10 % ribą viršijanti suma atėmus reikalavimus atitinkančias trumpąsias pozicijas) (neigiama suma)</w:t>
            </w:r>
          </w:p>
          <w:p w14:paraId="3530D914" w14:textId="2349BC0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AT1 priemonės (10 % ribą viršijanti suma atėmus reikalavimus atitinkančias trumpąsias pozicijas), kaip apibūdinta KRR 56 straipsnio c punkte, 59, 60 ir 79 straipsniuose (neigiama suma)</w:t>
            </w:r>
            <w:r w:rsidR="00BF56F1">
              <w:rPr>
                <w:rFonts w:ascii="Times New Roman" w:hAnsi="Times New Roman"/>
                <w:sz w:val="24"/>
              </w:rPr>
              <w:t>.</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finansų sektoriaus subjektų, kuriuose įstaiga turi reikšmingų investicijų, AT1 priemonės (atėmus reikalavimus atitinkančias trumpąsias pozicijas) (neigiama suma)</w:t>
            </w:r>
          </w:p>
          <w:p w14:paraId="63735E89" w14:textId="5EC04C6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AT1 priemonės (atėmus reikalavimus atitinkančias trumpąsias pozicijas), kaip apibūdinta KRR 56 straipsnio d punkte, 59 ir 79 straipsniuose (neigiama suma)</w:t>
            </w:r>
            <w:r w:rsidR="00BF56F1">
              <w:rPr>
                <w:rFonts w:ascii="Times New Roman" w:hAnsi="Times New Roman"/>
                <w:sz w:val="24"/>
              </w:rPr>
              <w:t>.</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Reikalavimus atitinkantys įstaigos T2 straipsnius viršijančių sumų atskaitymai iš T2 (neigiama suma)</w:t>
            </w:r>
          </w:p>
          <w:p w14:paraId="089D0403" w14:textId="1240447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Reikalavimus atitinkantys įstaigos T2 straipsnius viršijančių sumų atskaitymai iš T2, kaip aprašyta KRR 56 straipsnio e punkte (neigiama suma)</w:t>
            </w:r>
            <w:r w:rsidR="00BF56F1">
              <w:rPr>
                <w:rFonts w:ascii="Times New Roman" w:hAnsi="Times New Roman"/>
                <w:sz w:val="24"/>
              </w:rPr>
              <w:t>.</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Kiti teisės aktuose nustatyti AT1 kapitalo koregavimai</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Šioje eilutėje įstaigos atskleidžia visus taikytinus teisės aktuose nustatytus koregavimus, nurodytus teikiant priežiūros ataskaitas ir neįtrauktus į jokias kitas šios formos eilutes.</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 teisės aktuose nustatytų papildomo 1 lygio (AT1) kapitalo koregavimų suma</w:t>
            </w:r>
          </w:p>
          <w:p w14:paraId="35FB6719" w14:textId="4690624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37–EU-42a eilučių verčių suma</w:t>
            </w:r>
            <w:r w:rsidR="00BF56F1">
              <w:rPr>
                <w:rFonts w:ascii="Times New Roman" w:hAnsi="Times New Roman"/>
                <w:sz w:val="24"/>
              </w:rPr>
              <w:t>.</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Papildomas 1 lygio (AT1) kapitalas</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Papildomas 1 lygio (AT1) kapitalas apskaičiuojamas iš šios formos 36 eilutės vertės atėmus 43 eilutės vertę.</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1 lygio kapitalas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1 lygio kapitalas apskaičiuojamas prie šios formos 29 eilutės vertės pridėjus 44 eilutės vertę.</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Kapitalo priemonės ir susiję akcijų priedai</w:t>
            </w:r>
          </w:p>
          <w:p w14:paraId="140805D7" w14:textId="2C1702B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Kapitalo priemonės ir susiję akcijų priedai, kaip aprašyta KRR 62 ir 63 straipsniuose</w:t>
            </w:r>
            <w:r w:rsidR="00BF56F1">
              <w:rPr>
                <w:rFonts w:ascii="Times New Roman" w:hAnsi="Times New Roman"/>
                <w:sz w:val="24"/>
              </w:rPr>
              <w:t>.</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484 straipsnio 5 dalyje nurodytų reikalavimus atitinkančių straipsnių ir susijusių akcijų priedų, kurie turi būti laipsniškai pašalinti iš T2, kaip apibūdinta KRR 486 straipsnio 4 dalyje, suma</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494a straipsnio 2 dalyje nurodytų reikalavimus atitinkančių straipsnių, kurie turi būti laipsniškai pašalinti iš T2, suma</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KRR 494b straipsnio 2 dalyje nurodytų reikalavimus atitinkančių straipsnių, kurie turi būti laipsniškai pašalinti iš T2, suma</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Kvalifikuotosios nuosavų lėšų priemonės, įtraukiamos į konsoliduotą T2 kapitalą (įskaitant mažumos dalis ir AT1 priemones, neįtrauktas į 5 ar 34 eilutę), kurias yra išleidusios patronuojamosios įmonės ir turi trečiosios šalys</w:t>
            </w:r>
          </w:p>
          <w:p w14:paraId="34FA1FFB" w14:textId="09D0779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Kvalifikuotosios nuosavų lėšų priemonės, įtraukiamos į konsoliduotą T2 kapitalą (įskaitant mažumos dalis ir AT1 priemones, neįtrauktas į šios formos 5 ar 34 eilutę), kurias yra išleidusios patronuojamosios įmonės ir turi trečiosios šalys, kaip apibūdinta KRR 87 ir 88 straipsniuose</w:t>
            </w:r>
            <w:r w:rsidR="00BF56F1">
              <w:rPr>
                <w:rFonts w:ascii="Times New Roman" w:hAnsi="Times New Roman"/>
                <w:sz w:val="24"/>
              </w:rPr>
              <w:t>.</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patronuojamųjų įmonių išleistos priemonės, kurios turi būti laipsniškai panaikintos</w:t>
            </w:r>
          </w:p>
          <w:p w14:paraId="4A6AC434" w14:textId="1D894D9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48 eilutės sumos dalis, susijusi su patronuojamųjų įmonių išleistomis priemonėmis, kurios turi būti laipsniškai panaikintos, kaip aprašyta KRR 486 straipsnio 4 dalyje</w:t>
            </w:r>
            <w:r w:rsidR="00BF56F1">
              <w:rPr>
                <w:rFonts w:ascii="Times New Roman" w:hAnsi="Times New Roman"/>
                <w:sz w:val="24"/>
              </w:rPr>
              <w:t>.</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koregavimai</w:t>
            </w:r>
          </w:p>
          <w:p w14:paraId="17F4C3B8" w14:textId="3771D93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koregavimai pagal KRR 62 straipsnio c ir d punktus</w:t>
            </w:r>
            <w:r w:rsidR="00BF56F1">
              <w:rPr>
                <w:rFonts w:ascii="Times New Roman" w:hAnsi="Times New Roman"/>
                <w:sz w:val="24"/>
              </w:rPr>
              <w:t>.</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2 lygio (T2) kapitalas prieš teisės aktuose nustatytus koregavimus</w:t>
            </w:r>
          </w:p>
          <w:p w14:paraId="0DD0BE98" w14:textId="25A61002" w:rsidR="00C85971" w:rsidRPr="007F4CC8" w:rsidRDefault="00C85971" w:rsidP="00D819DE">
            <w:pPr>
              <w:spacing w:after="200"/>
              <w:jc w:val="both"/>
              <w:rPr>
                <w:rFonts w:ascii="Times New Roman" w:hAnsi="Times New Roman"/>
                <w:sz w:val="24"/>
              </w:rPr>
            </w:pPr>
            <w:r>
              <w:rPr>
                <w:rFonts w:ascii="Times New Roman" w:hAnsi="Times New Roman"/>
                <w:sz w:val="24"/>
              </w:rPr>
              <w:t>Šios formos 46–48 ir 50 eilučių verčių suma</w:t>
            </w:r>
            <w:r w:rsidR="00BF56F1">
              <w:rPr>
                <w:rFonts w:ascii="Times New Roman" w:hAnsi="Times New Roman"/>
                <w:sz w:val="24"/>
              </w:rPr>
              <w:t>.</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nuosavos T2 priemonės ir subordinuotosios paskolos (neigiama suma)</w:t>
            </w:r>
          </w:p>
          <w:p w14:paraId="19B0E00E" w14:textId="6EC0E31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netiesiogiai ir dirbtinai turimos nuosavos T2 priemonės ir subordinuotosios paskolos, kaip aprašyta KRR 63 straipsnio b punkto i papunktyje, 66 straipsnio a punkte ir 67 straipsnyje (neigiama suma)</w:t>
            </w:r>
            <w:r w:rsidR="00BF56F1">
              <w:rPr>
                <w:rFonts w:ascii="Times New Roman" w:hAnsi="Times New Roman"/>
                <w:sz w:val="24"/>
              </w:rPr>
              <w:t>.</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T2 priemonės ir subordinuotosios paskolos (neigiama suma)</w:t>
            </w:r>
          </w:p>
          <w:p w14:paraId="63EF50C5" w14:textId="78D48BF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T2 priemonės ir subordinuotosios paskolos, kaip apibūdinta KRR 66 straipsnio b punkte ir 68 straipsnyje (neigiama suma)</w:t>
            </w:r>
            <w:r w:rsidR="00BF56F1">
              <w:rPr>
                <w:rFonts w:ascii="Times New Roman" w:hAnsi="Times New Roman"/>
                <w:sz w:val="24"/>
              </w:rPr>
              <w:t>.</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T2 priemonės ir subordinuotosios paskolos (10 % ribą viršijanti suma atėmus reikalavimus atitinkančias trumpąsias pozicijas) (neigiama suma)</w:t>
            </w:r>
          </w:p>
          <w:p w14:paraId="7EC68967" w14:textId="0D0AA64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T2 priemonės ir subordinuotosios paskolos (10 % ribą viršijanti suma atėmus reikalavimus atitinkančias trumpąsias pozicijas), kaip apibūdinta KRR 66 straipsnio c punkte, 69, 70 ir 79 straipsniuose (neigiama suma)</w:t>
            </w:r>
            <w:r w:rsidR="00BF56F1">
              <w:rPr>
                <w:rFonts w:ascii="Times New Roman" w:hAnsi="Times New Roman"/>
                <w:sz w:val="24"/>
              </w:rPr>
              <w:t>.</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T2 priemonės ir subordinuotosios paskolos (atėmus reikalavimus atitinkančias trumpąsias pozicijas) (neigiama suma)</w:t>
            </w:r>
          </w:p>
          <w:p w14:paraId="29E41F27" w14:textId="6C9A9F8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Tiesiogiai, netiesiogiai ir dirbtinai įstaigos turimos finansų sektoriaus subjektų, kuriuose įstaiga turi reikšmingų investicijų, T2 priemonės ir subordinuotosios paskolos (atėmus reikalavimus atitinkančias trumpąsias </w:t>
            </w:r>
            <w:r>
              <w:rPr>
                <w:rFonts w:ascii="Times New Roman" w:hAnsi="Times New Roman"/>
                <w:sz w:val="24"/>
              </w:rPr>
              <w:lastRenderedPageBreak/>
              <w:t>pozicijas) pagal KRR 66 straipsnio d punktą, 69 ir 79 straipsnius (neigiama suma)</w:t>
            </w:r>
            <w:r w:rsidR="00BF56F1">
              <w:rPr>
                <w:rFonts w:ascii="Times New Roman" w:hAnsi="Times New Roman"/>
                <w:sz w:val="24"/>
              </w:rPr>
              <w:t>.</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Įstaigos tinkamų įsipareigojimų straipsnius viršijančių sumų atskaitymai iš reikalavimus atitinkančių tinkamų įsipareigojimų (neigiama suma)</w:t>
            </w:r>
          </w:p>
          <w:p w14:paraId="1494AF54" w14:textId="3569CE56"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Įstaigos tinkamų įsipareigojimų straipsnius viršijančių sumų atskaitymai iš reikalavimus atitinkančių tinkamų įsipareigojimų pagal KRR 66 straipsnio e punktą (neigiama suma)</w:t>
            </w:r>
            <w:r w:rsidR="00BF56F1">
              <w:rPr>
                <w:rFonts w:ascii="Times New Roman" w:hAnsi="Times New Roman"/>
                <w:sz w:val="24"/>
              </w:rPr>
              <w:t>.</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Kiti teisės aktuose nustatyti T2 kapitalo koregavimai</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Šioje eilutėje įstaigos atskleidžia visus taikytinus teisės aktuose nustatytus koregavimus, nurodytus teikiant priežiūros ataskaitas ir neįtrauktus į jokias kitas šios formos eilutes.</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 teisės aktuose nustatytų 2 lygio (T2) kapitalo koregavimų suma</w:t>
            </w:r>
          </w:p>
          <w:p w14:paraId="75EB0C97" w14:textId="371D860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52–EU-56b eilučių verčių suma</w:t>
            </w:r>
            <w:r w:rsidR="00BF56F1">
              <w:rPr>
                <w:rFonts w:ascii="Times New Roman" w:hAnsi="Times New Roman"/>
                <w:sz w:val="24"/>
              </w:rPr>
              <w:t>.</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2 lygio (T2) kapitalas</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2 lygio (T2) kapitalas apskaičiuojamas iš šios formos 51 eilutės vertės atėmus 57 eilutės vertę.</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Visas kapitalas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Visas kapitalas apskaičiuojamas prie šios formos 45 eilutės vertės pridėjus 58 eilutės vertę.</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 rizikos pozicijos suma</w:t>
            </w:r>
          </w:p>
          <w:p w14:paraId="07C03EC1" w14:textId="02AC34C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Grupės bendra rizikos pozicijos suma</w:t>
            </w:r>
            <w:r w:rsidR="00BF56F1">
              <w:rPr>
                <w:rFonts w:ascii="Times New Roman" w:hAnsi="Times New Roman"/>
                <w:sz w:val="24"/>
              </w:rPr>
              <w:t>.</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Bendras 1 lygio nuosavas kapitalas</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Bendras 1 lygio nuosavas kapitalas (išreikštas bendros rizikos pozicijos sumos procentine dalimi) apskaičiuojamas šios formos 29 eilutės vertę padalijus iš 60 eilutės vertės (išreikštos procentine dalimi) pagal KRR 92 straipsnio 2 dalies a punktą.</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1 lygio kapitalas</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1 lygio kapitalas (išreikštas bendros rizikos pozicijos sumos procentine dalimi) apskaičiuojamas šios formos 45 eilutės vertę padalijus iš 60 eilutės vertės (išreikštos procentine dalimi) pagal KRR 92 straipsnio 2 dalies b punktą.</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Visas kapitalas</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Visas kapitalas (išreikštas bendros rizikos pozicijos sumos procentine dalimi) apskaičiuojamas šios formos 59 eilutės vertę padalijus iš 60 eilutės </w:t>
            </w:r>
            <w:r>
              <w:rPr>
                <w:rFonts w:ascii="Times New Roman" w:hAnsi="Times New Roman"/>
                <w:sz w:val="24"/>
              </w:rPr>
              <w:lastRenderedPageBreak/>
              <w:t>vertės (išreikštos procentine dalimi) pagal KRR 92 straipsnio 2 dalies c punktą.</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Bendri įstaigos CET1 kapitalo reikalavimai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Bendri įstaigos CET1 kapitalo reikalavimai apskaičiuojami prie CET1 kapitalo reikalavimo pagal KRR 92 straipsnio 1 dalies a punktą pridėjus papildomą CET1 reikalavimą, kurį įstaigos turi tenkinti pagal Direktyvos (ES) 2013/36</w:t>
            </w:r>
            <w:r>
              <w:rPr>
                <w:rStyle w:val="FootnoteReference"/>
                <w:rFonts w:cs="Times New Roman"/>
                <w:lang w:eastAsia="ja-JP"/>
              </w:rPr>
              <w:footnoteReference w:id="2"/>
            </w:r>
            <w:r>
              <w:rPr>
                <w:rFonts w:ascii="Times New Roman" w:hAnsi="Times New Roman"/>
                <w:sz w:val="24"/>
              </w:rPr>
              <w:t xml:space="preserve"> (toliau – KRD) 104 straipsnio 1 dalies a punktą, ir pridėjus jungtinio rezervo reikalavimą pagal KRD 128 straipsnio 6 dalį (išreikšta rizikos pozicijos sumos procentine dalimi).</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Apskaičiuojama prie 4,5 % pridėjus papildomus 2 ramsčio reikalavimus, kuriuos įstaigos turi tenkinti pagal KRD 104 straipsnio 1 dalies a punktą, ir pridėjus jungtinio rezervo reikalavimą, apskaičiuotą pagal KRD 128, 129, 130, 131 ir 133 straipsnius.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Šioje eilutėje nurodomas CET1 pakankamumo koeficientas, aktualus vertinant paskirstomų sumų apribojimus.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kapitalo apsaugos rezervo reikalavimas</w:t>
            </w:r>
          </w:p>
          <w:p w14:paraId="210E1B9C" w14:textId="2372906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kapitalo apsaugos rezervo reikalavimu pagal KRD 129 straipsnį</w:t>
            </w:r>
            <w:r w:rsidR="00BF56F1">
              <w:rPr>
                <w:rFonts w:ascii="Times New Roman" w:hAnsi="Times New Roman"/>
                <w:sz w:val="24"/>
              </w:rPr>
              <w:t>.</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anticiklinio kapitalo rezervo reikalavimas</w:t>
            </w:r>
          </w:p>
          <w:p w14:paraId="19B69C3B" w14:textId="5176D6D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anticiklinio kapitalo rezervo reikalavimu pagal KRD 130 straipsnį</w:t>
            </w:r>
            <w:r w:rsidR="00BF56F1">
              <w:rPr>
                <w:rFonts w:ascii="Times New Roman" w:hAnsi="Times New Roman"/>
                <w:sz w:val="24"/>
              </w:rPr>
              <w:t>.</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sisteminės rizikos rezervo reikalavimas</w:t>
            </w:r>
          </w:p>
          <w:p w14:paraId="465CB0EB" w14:textId="571D5EC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sisteminės rizikos rezervo reikalavimu pagal KRD 133 straipsnį</w:t>
            </w:r>
            <w:r w:rsidR="00BF56F1">
              <w:rPr>
                <w:rFonts w:ascii="Times New Roman" w:hAnsi="Times New Roman"/>
                <w:sz w:val="24"/>
              </w:rPr>
              <w:t>.</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iš jų: pasaulinės sisteminės svarbos įstaigos (G-SII) arba kitos sisteminės svarbos įstaigos (O-SII) rezervo reikalavimas</w:t>
            </w:r>
          </w:p>
          <w:p w14:paraId="2DA57F1D" w14:textId="1CC9121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G-SII ar O-SII rezervo reikalavimu pagal KRD 131 straipsnį</w:t>
            </w:r>
            <w:r w:rsidR="00BF56F1">
              <w:rPr>
                <w:rFonts w:ascii="Times New Roman" w:hAnsi="Times New Roman"/>
                <w:sz w:val="24"/>
              </w:rPr>
              <w:t>.</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iš jų: papildomų nuosavų lėšų reikalavimai rizikai, išskyrus pernelyg didelio sverto riziką, padengti </w:t>
            </w:r>
          </w:p>
          <w:p w14:paraId="2998F1B8" w14:textId="68C7DF7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Šios formos 64 eilutėje nurodyta suma (išreikšta bendros rizikos pozicijos sumos procentine dalimi), susijusi su priežiūrinio tikrinimo proceso metu nustatytais papildomų nuosavų lėšų reikalavimais, vykdytinais naudojant </w:t>
            </w:r>
            <w:r>
              <w:rPr>
                <w:rFonts w:ascii="Times New Roman" w:hAnsi="Times New Roman"/>
                <w:sz w:val="24"/>
              </w:rPr>
              <w:lastRenderedPageBreak/>
              <w:t>CET1 kapitalą, kaip nurodyta Direktyvos 2013/36/ES 104 straipsnio 1 dalies a punkte</w:t>
            </w:r>
            <w:r w:rsidR="00BF56F1">
              <w:rPr>
                <w:rFonts w:ascii="Times New Roman" w:hAnsi="Times New Roman"/>
                <w:sz w:val="24"/>
              </w:rPr>
              <w:t>.</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Bendras 1 lygio nuosavas kapitalas (išreikšta rizikos pozicijos sumos procentine dalimi), turimas įvykdžius minimalaus kapitalo reikalavimus</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Apskaičiuojama iš 61 eilutės vertės atėmus 4,5 (procentinio punkto), EU-67b eilutės vertę ir įstaigos naudojamą bendrą 1 lygio nuosavas kapitalą papildomo 1 ir 2 lygių kapitalo reikalavimams padengti.</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ir netiesiogiai turimos finansų sektoriaus subjektų, kuriuose įstaiga neturi reikšmingų investicijų, nuosavos lėšos ir tinkami įsipareigojimai (10 % ribos nesiekianti suma atėmus reikalavimus atitinkančias trumpąsias pozicijas)</w:t>
            </w:r>
          </w:p>
          <w:p w14:paraId="1F5B774D" w14:textId="5747EE9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ir netiesiogiai turimos finansų sektoriaus subjektų, kuriuose įstaiga neturi reikšmingų investicijų, nuosavos lėšos ir tinkami įsipareigojimai (10 % ribos nesiekianti suma atėmus reikalavimus atitinkančias trumpąsias pozicijas) pagal KRR 36 straipsnio 1 dalies h punktą, 45 ir 46 straipsnius, 56 straipsnio c punktą, 59 ir 60 straipsnius, 66 straipsnio c punktą, 69, 70 ir 72i straipsnius</w:t>
            </w:r>
            <w:r w:rsidR="00BF56F1">
              <w:rPr>
                <w:rFonts w:ascii="Times New Roman" w:hAnsi="Times New Roman"/>
                <w:sz w:val="24"/>
              </w:rPr>
              <w:t>.</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Įstaigos tiesiogiai ir netiesiogiai turimos finansų sektoriaus subjektų, kuriuose įstaiga turi reikšmingų investicijų, CET1 priemonės (17,65 % ribos nesiekianti suma atėmus reikalavimus atitinkančias trumpąsias pozicijas)</w:t>
            </w:r>
          </w:p>
          <w:p w14:paraId="5A38514E" w14:textId="7D9853B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Tiesiogiai ir netiesiogiai įstaigos turimos finansų sektoriaus subjektų, kuriuose įstaiga turi reikšmingų investicijų, CET1 priemonės (17,65 % ribos nesiekianti suma atėmus reikalavimus atitinkančias trumpąsias pozicijas) pagal KRR 36 straipsnio 1 dalies i punktą, 43, 45, 47 straipsnius, 48 straipsnio 1 dalies b punktą ir 49 straipsnio 1–3 dalis (bendra tokių investicijų, nenurodytų šios formos 19 ir 23 eilutėse, suma)</w:t>
            </w:r>
            <w:r w:rsidR="00BF56F1">
              <w:rPr>
                <w:rFonts w:ascii="Times New Roman" w:hAnsi="Times New Roman"/>
                <w:sz w:val="24"/>
              </w:rPr>
              <w:t>.</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Netaikoma</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(17,65 % ribos nesiekianti suma atėmus susijusius mokesčių įsipareigojimus, jeigu įvykdomos KRR 38 straipsnio 3 dalyje nustatytos sąlygos)</w:t>
            </w:r>
          </w:p>
          <w:p w14:paraId="3D7670CB" w14:textId="57D09D4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(17,65 % ribos nesiekianti suma pagal KRR 48 straipsnio 2 dalies b punktą, atėmus susijusius mokesčių įsipareigojimus, jeigu įvykdomos KRR 38 straipsnio 3 dalyje nustatytos sąlygos) pagal KRR 36 straipsnio 1 dalies c punktą, 38 ir 48 straipsnius (bendra tokio atidėtųjų mokesčių turto, kuris nėra nurodytas šios formos 21 ir 25 eilutėse, suma)</w:t>
            </w:r>
            <w:r w:rsidR="00BF56F1">
              <w:rPr>
                <w:rFonts w:ascii="Times New Roman" w:hAnsi="Times New Roman"/>
                <w:sz w:val="24"/>
              </w:rPr>
              <w:t>.</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taikomas standartizuotas metodas (prieš taikant viršutinę ribą)</w:t>
            </w:r>
          </w:p>
          <w:p w14:paraId="5F64B02C" w14:textId="792E61C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pagal KRR 62 straipsnio c punktą taikomas standartizuotas metodas</w:t>
            </w:r>
            <w:r w:rsidR="00BF56F1">
              <w:rPr>
                <w:rFonts w:ascii="Times New Roman" w:hAnsi="Times New Roman"/>
                <w:sz w:val="24"/>
              </w:rPr>
              <w:t>.</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koregavimams įtraukti į T2 kapitalą pagal standartizuotą metodą taikoma viršutinė riba</w:t>
            </w:r>
          </w:p>
          <w:p w14:paraId="3A3B34B4" w14:textId="0369862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koregavimams įtraukti į T2 kapitalą pagal standartizuotą metodą taikoma viršutinė riba pagal KRR 62 straipsnio c punktą</w:t>
            </w:r>
            <w:r w:rsidR="00BF56F1">
              <w:rPr>
                <w:rFonts w:ascii="Times New Roman" w:hAnsi="Times New Roman"/>
                <w:sz w:val="24"/>
              </w:rPr>
              <w:t>.</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taikomas vidaus reitingais pagrįstas metodas (prieš taikant viršutinę ribą)</w:t>
            </w:r>
          </w:p>
          <w:p w14:paraId="68CD65AF" w14:textId="024C5A0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pagal KRR 62 straipsnio d punktą taikomas vidaus reitingais pagrįstas metodas</w:t>
            </w:r>
            <w:r w:rsidR="00BF56F1">
              <w:rPr>
                <w:rFonts w:ascii="Times New Roman" w:hAnsi="Times New Roman"/>
                <w:sz w:val="24"/>
              </w:rPr>
              <w:t>.</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koregavimams įtraukti į T2 kapitalą pagal vidaus reitingais pagrįstą metodą taikoma viršutinė riba</w:t>
            </w:r>
          </w:p>
          <w:p w14:paraId="63CECB1B" w14:textId="462608B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Kredito rizikos koregavimams įtraukti į T2 kapitalą pagal vidaus reitingais pagrįstą metodą taikoma viršutinė riba pagal KRR 62 straipsnio d punktą</w:t>
            </w:r>
            <w:r w:rsidR="00BF56F1">
              <w:rPr>
                <w:rFonts w:ascii="Times New Roman" w:hAnsi="Times New Roman"/>
                <w:sz w:val="24"/>
              </w:rPr>
              <w:t>.</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Viršutinė riba, šiuo metu taikoma CET1 priemonėms, kurioms taikomos laipsniško panaikinimo nuostatos</w:t>
            </w:r>
          </w:p>
          <w:p w14:paraId="1D5E4031" w14:textId="3C2A513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Viršutinė riba, šiuo metu taikoma CET1 priemonėms, kurioms pagal KRR 484 straipsnio 3 dalį ir 486 straipsnio 2 ir 5 dalis taikomos laipsniško panaikinimo nuostatos</w:t>
            </w:r>
            <w:r w:rsidR="00BF56F1">
              <w:rPr>
                <w:rFonts w:ascii="Times New Roman" w:hAnsi="Times New Roman"/>
                <w:sz w:val="24"/>
              </w:rPr>
              <w:t>.</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 CET1 dėl taikomos viršutinės ribos neįtraukta suma (viršutinės ribos perviršis po išpirkimo ir suėjus terminui)</w:t>
            </w:r>
          </w:p>
          <w:p w14:paraId="6C527904" w14:textId="3E79B26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 CET1 dėl taikomos viršutinės ribos neįtraukta suma (viršutinės ribos perviršis po išpirkimo ir suėjus terminui) pagal KRR 484 straipsnio 3 dalį ir 486 straipsnio 2 ir 5 dalis</w:t>
            </w:r>
            <w:r w:rsidR="00BF56F1">
              <w:rPr>
                <w:rFonts w:ascii="Times New Roman" w:hAnsi="Times New Roman"/>
                <w:sz w:val="24"/>
              </w:rPr>
              <w:t>.</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Viršutinė riba, šiuo metu taikoma AT1 priemonėms, kurioms taikomos laipsniško panaikinimo nuostatos</w:t>
            </w:r>
          </w:p>
          <w:p w14:paraId="44449516" w14:textId="5DBEA91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Viršutinė riba, šiuo metu taikoma AT1 priemonėms, kurioms pagal KRR 484 straipsnio 4 dalį ir 486 straipsnio 3 ir 5 dalis taikomos laipsniško panaikinimo nuostatos</w:t>
            </w:r>
            <w:r w:rsidR="00BF56F1">
              <w:rPr>
                <w:rFonts w:ascii="Times New Roman" w:hAnsi="Times New Roman"/>
                <w:sz w:val="24"/>
              </w:rPr>
              <w:t>.</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 AT1 dėl taikomos viršutinės ribos neįtraukta suma (viršutinės ribos perviršis po išpirkimo ir suėjus terminui)</w:t>
            </w:r>
          </w:p>
          <w:p w14:paraId="127E661D" w14:textId="766A62C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 AT1 dėl taikomos viršutinės ribos neįtraukta suma (viršutinės ribos perviršis po išpirkimo ir suėjus terminui) pagal KRR 484 straipsnio 4 dalį ir 486 straipsnio 3 ir 5 dalis</w:t>
            </w:r>
            <w:r w:rsidR="00BF56F1">
              <w:rPr>
                <w:rFonts w:ascii="Times New Roman" w:hAnsi="Times New Roman"/>
                <w:sz w:val="24"/>
              </w:rPr>
              <w:t>.</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Viršutinė riba, šiuo metu taikoma T2 priemonėms, kurioms taikomos laipsniško panaikinimo nuostatos</w:t>
            </w:r>
          </w:p>
          <w:p w14:paraId="47E5FAF3" w14:textId="6A5C2A5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Viršutinė riba, šiuo metu taikoma T2 priemonėms, kurioms pagal KRR 484 straipsnio 5 dalį ir 486 straipsnio 4 ir 5 dalis taikomos laipsniško panaikinimo nuostatos</w:t>
            </w:r>
            <w:r w:rsidR="00BF56F1">
              <w:rPr>
                <w:rFonts w:ascii="Times New Roman" w:hAnsi="Times New Roman"/>
                <w:sz w:val="24"/>
              </w:rPr>
              <w:t>.</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 T2 dėl taikomos viršutinės ribos neįtraukta suma (viršutinės ribos perviršis po išpirkimo ir suėjus terminui)</w:t>
            </w:r>
          </w:p>
          <w:p w14:paraId="58872994" w14:textId="6CD0E80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Į T2 dėl taikomos viršutinės ribos neįtraukta suma (viršutinės ribos perviršis po išpirkimo ir suėjus terminui) pagal KRR 484 straipsnio 5 dalį ir 486 straipsnio 4 ir 5 dalis</w:t>
            </w:r>
            <w:r w:rsidR="00BF56F1">
              <w:rPr>
                <w:rFonts w:ascii="Times New Roman" w:hAnsi="Times New Roman"/>
                <w:sz w:val="24"/>
              </w:rPr>
              <w:t>.</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25614223" w:rsidR="00C85971" w:rsidRPr="007F4CC8" w:rsidRDefault="00C85971" w:rsidP="00C85971">
      <w:pPr>
        <w:rPr>
          <w:rFonts w:ascii="Times New Roman" w:hAnsi="Times New Roman" w:cs="Times New Roman"/>
          <w:sz w:val="24"/>
        </w:rPr>
      </w:pP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t>EU CC2 forma. Reguliuojamų nuosavų lėšų suderinimas su audituotose finansinėse ataskaitose teikiamu balansu</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Pildydamos šio įgyvendinimo reglamento VII priede pateiktą EU CC2 formą įstaigos atskleidžia KRR 437 straipsnio a punkte nurodytą informaciją, vadovaudamosi šiame priede pateiktais nurodymais.</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Įstaigos atskleidžia į jų paskelbtas finansines ataskaitas įtrauktą balansą. Finansinės ataskaitos – audituotos metų pabaigos duomenų finansinės ataskaitos.</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Formos eilutės yra lanksčios ir įstaigos jas pildo pagal savo finansines ataskaitas. Audituotose finansinėse ataskaitose pateikiami nuosavų lėšų straipsniai turi apimti visus straipsnius, kurie įtraukiami arba atskaitomi iš reguliuojamų nuosavų lėšų, įskaitant nuosavą kapitalą, įsipareigojimus, kaip antai skolą, ar kitų balanso eilučių, darančių poveikį reguliuojamoms nuosavoms lėšoms, kaip antai nematerialiojo turto, prestižo, atidėtųjų mokesčių turto. Įstaigos detalizuoja balanso nuosavų lėšų straipsnius, jei to reikia siekiant atskirai pateikti visus komponentus, įtrauktus į informacijos apie nuosavas lėšas teikimo (EU CC1) formos sudėtį. Įstaigos detalizuoja balanso elementus tik tiek, kad būtų pasiektas detalumas, reikalingas komponentams, kuriuos reikia nurodyti EU CC1 formoje, apskaičiuoti. Atskleidžiami duomenys yra proporcingi įstaigos balanso sudėtingumui.</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Skiltys yra nustatytos ir pildomos taip:</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a skiltis. Įstaigos pateikia skaičius, nurodytus balanse, įtrauktame į paskelbtas jų finansines ataskaitas, pagal apskaitos konsolidavimo apimtį.</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b skiltis. Įstaigos atskleidžia skaičius, atitinkančius </w:t>
      </w:r>
      <w:proofErr w:type="spellStart"/>
      <w:r>
        <w:rPr>
          <w:rFonts w:ascii="Times New Roman" w:hAnsi="Times New Roman"/>
          <w:sz w:val="24"/>
        </w:rPr>
        <w:t>prudencinio</w:t>
      </w:r>
      <w:proofErr w:type="spellEnd"/>
      <w:r>
        <w:rPr>
          <w:rFonts w:ascii="Times New Roman" w:hAnsi="Times New Roman"/>
          <w:sz w:val="24"/>
        </w:rPr>
        <w:t xml:space="preserve"> konsolidavimo apimtį.</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 skiltis. Įstaigos pateikia kryžmines nuorodas tarp nuosavų lėšų straipsnių EU CC2 formoje ir atitinkamų straipsnių informacijos apie nuosavas lėšas teikimo (EU CC1) formoje. EU CC2 formos c skiltyje pateikiama nuoroda bus susieta su nuoroda, pateikta EU CC1 formos b skiltyje.</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Toliau nurodytais atvejais, kai įstaigos apskaitos konsolidavimo apimtis ir </w:t>
      </w:r>
      <w:proofErr w:type="spellStart"/>
      <w:r>
        <w:rPr>
          <w:rFonts w:ascii="Times New Roman" w:hAnsi="Times New Roman"/>
          <w:sz w:val="24"/>
        </w:rPr>
        <w:t>prudencinio</w:t>
      </w:r>
      <w:proofErr w:type="spellEnd"/>
      <w:r>
        <w:rPr>
          <w:rFonts w:ascii="Times New Roman" w:hAnsi="Times New Roman"/>
          <w:sz w:val="24"/>
        </w:rPr>
        <w:t xml:space="preserve"> konsolidavimo apimtis visiškai vienodos, šios formos a ir b skiltys sujungiamos ir šis faktas aiškiai nurodomas:</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lastRenderedPageBreak/>
        <w:t>kai įstaigos savo įsipareigojimus, išdėstytus KRR aštuntoje dalyje, vykdo konsoliduotai ar iš dalies konsoliduotai, tačiau finansinių ataskaitų balanso konsolidavimo apimtis ir konsolidavimo metodas visiškai sutampa su KRR pirmos dalies II antraštinės dalies 2 skyriuje nurodyta konsolidavimo apimtimi ir konsolidavimo metodu, ir įstaigos aiškiai nurodo, kad atitinkamos konsolidavimo atimtys ir metodai nesiskiria;</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kai įsipareigojimus, nurodytus KRR aštuntoje dalyje, įstaigos vykdo individualiai.</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EU CCA lentelė. Reguliuojamų nuosavų lėšų priemonių ir tinkamų įsipareigojimų priemonių pagrindinės savybės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Pildydamos šio įgyvendinimo reglamento VII priede pateiktą EU CCA lentelę įstaigos atskleidžia KRR 437 straipsnio b ir c punktuose nurodytą informaciją, vadovaudamosi šiame priede pateiktais nurodymais.</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Įstaigos EU CCA lentelę pildo tokioms priemonių kategorijoms: bendro 1 lygio nuosavo kapitalo priemonėms, papildomo 1 lygio kapitalo priemonėms, 2 lygio kapitalo priemonėms ir, kaip apibrėžta KRR 72b straipsnyje, tinkamų įsipareigojimų priemonėms.</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Atskirose lentelių skiltyse nurodomos kiekvienos reguliuojamų nuosavų lėšų priemonės ir tinkamų įsipareigojimų priemonės savybės. Jeigu skirtingų tos pačios kategorijos priemonių savybės vienodos, įstaigos gali užpildyti tik vieną skiltį, kurioje atskleidžia informaciją apie tas vienodas savybes ir nurodo emisijas, su kuriomis susijusios tos vienodos savybės. Pildydamos šių priemonių skiltis įstaigos jas sugrupuoja į tris skirsnius (horizontaliai lentelėje), kad parodytų, ar jos skirtos atitikti: i) tik nuosavų lėšų (bet ne tinkamų įsipareigojimų) reikalavimus; ii) tiek nuosavų lėšų, tiek tinkamų įsipareigojimų reikalavimus, ar iii) tik tinkamų įsipareigojimų (bet ne nuosavų lėšų) reikalavimus.</w:t>
      </w:r>
      <w: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Teikdamos informaciją apie tinkamų įsipareigojimų priemones, kurios nėra subordinuotos neįtrauktų įsipareigojimų atžvilgiu, įstaigos atskleidžia tik vertybinius popierius, kurie yra pakeičiamos perleidžiamosios finansinės priemonės, išskyrus paskolas ir indėlius.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Reguliuojamų nuosavų lėšų priemonių ir tinkamų įsipareigojimų priemonių pagrindinių savybių lentelės pildymo nurodymai</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Eilutės numeris</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Paaiškinimas</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Emitentas</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juridinį emitento pavadinimą.</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Unikalus identifikatorius (pvz., CUSIP, ISIN arba „</w:t>
            </w:r>
            <w:proofErr w:type="spellStart"/>
            <w:r>
              <w:rPr>
                <w:rFonts w:ascii="Times New Roman" w:hAnsi="Times New Roman"/>
                <w:sz w:val="24"/>
              </w:rPr>
              <w:t>Bloomberg</w:t>
            </w:r>
            <w:proofErr w:type="spellEnd"/>
            <w:r>
              <w:rPr>
                <w:rFonts w:ascii="Times New Roman" w:hAnsi="Times New Roman"/>
                <w:sz w:val="24"/>
              </w:rPr>
              <w:t>“ neviešam platinimui nustatytas identifikatorius)</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Viešas arba neviešas platinimas</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Įstaigos nurodo, ar priemonė platinama viešai, ar neviešai.</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Pasirinkti iš sąrašo: [viešas] [neviešas]</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Priemonei taikoma teisė (kelių jurisdikcijų teisė)</w:t>
            </w:r>
          </w:p>
          <w:p w14:paraId="15AB1E4E" w14:textId="6C58224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Įstaigos nurodo priemonei taikomą teisę (kelių jurisdikcijų teisę)</w:t>
            </w:r>
            <w:r w:rsidR="00091B1C">
              <w:rPr>
                <w:rFonts w:ascii="Times New Roman" w:hAnsi="Times New Roman"/>
                <w:sz w:val="24"/>
              </w:rPr>
              <w:t>.</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Laisvos formos tekstas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Pertvarkymo institucijų nurašymo ir konvertavimo įgaliojimų pripažinimas sutartyse</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Įstaigos nurodo, ar priemonės sutartyje numatyta sąlyga, pagal kurią pertvarkymo institucijos arba atitinkamos trečiosios valstybės institucijos sprendimu pagrindinė priemonės suma turi būti visam laikui nurašyta arba priemonė turi būti konvertuota į bendro 1 lygio nuosavo kapitalo priemonę, pagal situaciją taikant toliau nurodytas nuostatas: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papildomo 1 lygio kapitalo priemonių atveju – KRR 52 straipsnio 1 dalies p punktą;</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2 lygio kapitalo priemonių atveju – KRR 63 straipsnio n arba o punktą;</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tinkamų įsipareigojimų atveju – KRR 72b straipsnio 2 dalies n punktą;</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visais pirmiau išvardytais atvejais ir kai taikoma trečiosios valstybės teisė – Direktyvos (ES) 2019/879</w:t>
            </w:r>
            <w:r>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(toliau – BGPD) 55 straipsnį.</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Nurašymas ir konvertavimas gali atitikti BGPD 55 straipsnį ir bet kurią iš pirmų trijų įtraukų.</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Dabartinė tvarka, kuria, kai tinkama, atsižvelgiama į KRR nustatytas pereinamojo laikotarpio taisykles</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KRR nustatytą pereinamojo laikotarpio reguliuojamų nuosavų lėšų tvarką. Pradinė priemonės klasifikacija yra pagrindinis atskaitos taškas neatsižvelgiant į tai, ar ta klasifikacija gali būti pakeista priskiriant priemonę prie žemesnių nuosavų lėšų lygių.</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[Bendras 1 lygio nuosavas kapitalas] [Papildomas 1 lygio kapitalas] [2 lygio kapitalas] [Neatitinka reikalavimų] [Netaikoma]</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Laisvos formos tekstas. Nurodyti, ar kokia nors emisijos dalis buvo perkelta į žemesnį kapitalo lygį.</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KRR nustatytos taisyklės, taikytinos pasibaigus pereinamajam laikotarpiui</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Įstaigos nurodo KRR nustatytą reguliuojamų nuosavų lėšų tvarką, neatsižvelgdamos į pereinamojo laikotarpio nuostatas.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Pasirinkti iš sąrašo: [Bendras 1 lygio nuosavas kapitalas] [Papildomas 1 lygio kapitalas] [2 lygio kapitalas] [Tinkami įsipareigojimai] [Netinkami įsipareigojimai]</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Įtrauktina į kapitalą individualiu arba (iš dalies) konsoliduotu, arba individualiu ir (iš dalies) konsoliduotu lygmeniu</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grupės lygmenį (-</w:t>
            </w:r>
            <w:proofErr w:type="spellStart"/>
            <w:r>
              <w:rPr>
                <w:rFonts w:ascii="Times New Roman" w:hAnsi="Times New Roman"/>
                <w:sz w:val="24"/>
              </w:rPr>
              <w:t>is</w:t>
            </w:r>
            <w:proofErr w:type="spellEnd"/>
            <w:r>
              <w:rPr>
                <w:rFonts w:ascii="Times New Roman" w:hAnsi="Times New Roman"/>
                <w:sz w:val="24"/>
              </w:rPr>
              <w:t>), kuriuo priemonė įtraukiama į nuosavas lėšas ir (arba) tinkamus įsipareigojimus.</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Pasirinkti iš sąrašo: [Individualus lygmuo] [(Iš dalies) konsoliduotas lygmuo] [Individualus ir (iš dalies) konsoliduotas lygmuo]</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Priemonės rūšis (turi būti nurodytos pagal kiekvieną jurisdikciją taikomos rūšys)</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Įstaigos nurodo priemonės rūšį priklausomai nuo jurisdikcijos.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CET1 priemonių atveju pasirinkti priemonės pavadinimą iš CET1 sąrašo, kurį EBI skelbia pagal KRR 26 straipsnio 3 dalį.</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Kitų priemonių atveju pasirinkti iš: meniu parinkčių, kurios įstaigoms pateiktinos kiekvienai jurisdikcijai atskirai. Turi būti įrašytos nuorodos į KRR straipsnius, taikomus kiekvienos rūšies priemonei.</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Reguliuojamajame kapitale arba tinkamuose įsipareigojimuose pripažinta suma (valiuta nurodoma mln. pagal paskutinę ataskaitinę datą)</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reguliuojamose nuosavose lėšose arba tinkamuose įsipareigojimuose pripažintą sumą.</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 Visų pirma nurodoma, ar kurios nors priemonių dalys įtrauktos į skirtingus reguliuojamų nuosavų lėšų lygius ir ar reguliuojamose nuosavose lėšose pripažinta suma skiriasi nuo emisijos sumos.</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Nominalioji priemonės suma </w:t>
            </w:r>
          </w:p>
          <w:p w14:paraId="6380272B" w14:textId="0C27E19A"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Nominalioji priemonės suma emisijos valiuta ir informacijos teikimo prievolėms vykdyti naudojama valiuta</w:t>
            </w:r>
            <w:r w:rsidR="00091B1C">
              <w:rPr>
                <w:rFonts w:ascii="Times New Roman" w:hAnsi="Times New Roman"/>
                <w:sz w:val="24"/>
              </w:rPr>
              <w:t>.</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Emisijos kaina</w:t>
            </w:r>
          </w:p>
          <w:p w14:paraId="1F541B10" w14:textId="71069966"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Priemonės emisijos kaina</w:t>
            </w:r>
            <w:r w:rsidR="00091B1C">
              <w:rPr>
                <w:rFonts w:ascii="Times New Roman" w:hAnsi="Times New Roman"/>
                <w:sz w:val="24"/>
              </w:rPr>
              <w:t>.</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Išpirkimo kaina</w:t>
            </w:r>
          </w:p>
          <w:p w14:paraId="3882BA0E" w14:textId="2537D0B2"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Priemonės išpirkimo kaina</w:t>
            </w:r>
            <w:r w:rsidR="00091B1C">
              <w:rPr>
                <w:rFonts w:ascii="Times New Roman" w:hAnsi="Times New Roman"/>
                <w:sz w:val="24"/>
              </w:rPr>
              <w:t>.</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Apskaitos klasifikacija</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apskaitos klasifikaciją.</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[Nuosavas kapitalas] [Įsipareigojimas – amortizuota savikaina] [Įsipareigojimas – tikrosios vertės pasirinkimo galimybė] [Mažumos dalis konsoliduotoje patronuojamojoje įmonėje]</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Pradinė emisijos data</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emisijos datą.</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Nuolatinė ar fiksuoto termino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priemonė yra fiksuoto termino, ar nuolatinė.</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[Nuolatinė] [Fiksuoto termino]</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Pradinis terminas</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Fiksuoto termino priemonės atveju įstaigos nurodo pradinį terminą (metai, mėnuo, diena). Nuolatinės priemonės atveju nurodoma „neterminuota“.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Emitento galimybė įvykdyti pasirinkimo pirkti sandorį iš anksto gavus priežiūros institucijos sutikimą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Įstaiga nurodo, ar numatyta galimybė emitentui įvykdyti (bet kokios rūšies) pasirinkimo pirkti sandorį.</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Neprivalomo pasirinkimo pirkti sandorio data, sąlyginių pasirinkimo pirkti sandorių datos ir išpirkimo suma</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priemonės nuostatose numatyta galimybė emitentui įvykdyti pasirinkimo pirkti sandorį, įstaigos nurodo pirmą pasirinkimo pirkti sandorio datą, jeigu priemonės pasirinkimo pirkti sandoris nustatytas konkrečią datą (metai, mėnuo ir diena), ir papildomai nurodo, ar priemonei nustatyta galimybė įvykdyti pasirinkimo pirkti sandorį, jei įvyksta su mokesčiais ir (arba) reguliavimu susijęs įvykis. Įstaigos taip pat nurodo išpirkimo kainą, nes ši informacija leidžia įvertinti pastovumą.</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Paskesnės pasirinkimo pirkti sandorių datos, jeigu taikoma</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nustatytos paskesnės pasirinkimo pirkti sandorių datos ir, jei taip, jų dažnumą, nes ši informacija leidžia įvertinti pastovumą.</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Nustatyto arba kintamojo dydžio dividendai ir (arba) atkarpa</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ar atkarpa ir (arba) dividendai yra: nustatyto dydžio visą priemonės galiojimo laikotarpį, kintamojo dydžio visą priemonės galiojimo laikotarpį, šiuo metu nustatyto dydžio, kuris ateityje bus pakeistas kintamuoju dydžiu, arba šiuo metu kintamojo dydžio, kuris ateityje bus pakeistas nustatytu dydžiu.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Pasirinkti iš sąrašo: [Nustatyto dydžio], [Kintamojo dydžio] [Nustatyto dydžio, kuris bus pakeistas kintamuoju dydžiu], [Kintamojo dydžio, kuris bus pakeistas nustatytu dydžiu]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Atkarpos dydis ir bet koks susijęs indeksas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priemonės atkarpos dydį ir visus susijusius indeksus, su kuriais susietas atkarpos ir (arba) dividendų dydis.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Laisvos formos tekstas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Dividendų nemokėjimo nuostatos galiojimas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ar nesumokėjus priemonės atkarpos išmokos ar dividendų draudžiama mokėti paprastųjų akcijų dividendus (t. y. ar numatyta dividendų nemokėjimo nuostata).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Pasirinkti iš sąrašo: [Taip] [Ne]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Taikoma visiškai savo nuožiūra, iš dalies savo nuožiūra arba privaloma (laiko atžvilgiu)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emitentas sprendžia dėl atkarpos ir (arba) dividendų mokėjimo visiškai savo nuožiūra ar iš dalies savo nuožiūra arba negali spręsti savo nuožiūra. Jeigu įstaiga gali visiškai savo nuožiūra visomis aplinkybėmis atšaukti atkarpos arba dividendų mokėjimus, ji turi pasirinkti parinktį „visiškai savo nuožiūra“ (įskaitant atvejus, kai yra numatyta dividendų nemokėjimo nuostata, kuri netrukdo įstaigai atšaukti su priemone susijusių mokėjimų). Jeigu mokėjimui atšaukti turi būti įvykdytos tam tikros sąlygos (pvz., nuosavos lėšos nesiekia tam tikros ribos), įstaiga turi pasirinkti parinktį „iš dalies savo nuožiūra“. Jeigu įstaiga negali atšaukti mokėjimo kitokiomis nei nemokumas aplinkybėmis, įstaiga turi pasirinkti parinktį „privaloma“.</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[Visiškai savo nuožiūra] [Iš dalies savo nuožiūra] [Privaloma]</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Laisvos formos tekstas (nurodyti, dėl kurių priežasčių gali būti veikiama savo nuožiūra, ar nustatyta dividendų mokėjimo nuostatų, dividendų nemokėjimo nuostatų, alternatyvus atkarpų mokėjimo mechanizmas)</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Taikoma visiškai savo nuožiūra, iš dalies savo nuožiūra arba privaloma (sumos atžvilgiu)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Įstaigos nurodo, ar emitentas sprendžia dėl atkarpos ir (arba) dividendų sumos visiškai savo nuožiūra ar iš dalies savo nuožiūra arba negali spręsti savo nuožiūra.</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[Visiškai savo nuožiūra] [Iš dalies savo nuožiūra] [Privaloma]</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Vertės padidėjimo arba kitos paskatos išpirkti buvimas</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esama vertės padidėjimo arba kitos paskatos išpirkti.</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Nekaupiamieji arba kaupiamieji</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dividendai ir (arba) atkarpos yra kaupiamieji, ar nekaupiamieji.</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[Nekaupiamieji] [Kaupiamieji] [Alternatyvus atkarpų mokėjimo mechanizmas]</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Konvertuojamoji arba nekonvertuojamoji</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priemonė yra konvertuojamoji, ar ne.</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[Konvertuojamoji] [Nekonvertuojamoji]</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konvertuojamoji, įvykis (-</w:t>
            </w:r>
            <w:proofErr w:type="spellStart"/>
            <w:r>
              <w:rPr>
                <w:rFonts w:ascii="Times New Roman" w:hAnsi="Times New Roman"/>
                <w:sz w:val="24"/>
              </w:rPr>
              <w:t>iai</w:t>
            </w:r>
            <w:proofErr w:type="spellEnd"/>
            <w:r>
              <w:rPr>
                <w:rFonts w:ascii="Times New Roman" w:hAnsi="Times New Roman"/>
                <w:sz w:val="24"/>
              </w:rPr>
              <w:t>), kuriam (-</w:t>
            </w:r>
            <w:proofErr w:type="spellStart"/>
            <w:r>
              <w:rPr>
                <w:rFonts w:ascii="Times New Roman" w:hAnsi="Times New Roman"/>
                <w:sz w:val="24"/>
              </w:rPr>
              <w:t>iems</w:t>
            </w:r>
            <w:proofErr w:type="spellEnd"/>
            <w:r>
              <w:rPr>
                <w:rFonts w:ascii="Times New Roman" w:hAnsi="Times New Roman"/>
                <w:sz w:val="24"/>
              </w:rPr>
              <w:t>) įvykus priemonė turi būti konvertuota</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sąlygas, kuriomis priemonė bus konvertuota, įskaitant gyvybingumo praradimo momentą. Jeigu inicijuoti konvertavimą gali viena ar daugiau institucijų, reikia išvardyti tas institucijas. Teikiant informaciją apie kiekvieną iš šių institucijų, reikia nurodyti, ar teisinis pagrindas, kuriuo ta institucija gali inicijuoti konvertavimą, grindžiamas priemonės sutarties sąlygomis (sutartimi pagrįstas metodas), ar tas teisinis pagrindas grindžiamas teisės aktų nustatytomis priemonėmis (teisės aktais pagrįstas metodas).</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konvertuojamoji, ar ji konvertuojama visiškai, ar iš dalies</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priemonė visada konvertuojama visiškai, gali būti konvertuojama visiškai arba iš dalies, ar visada konvertuojama iš dalies.</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[Visada visiškai] [Visiškai arba iš dalies] [Visada iš dalies]</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konvertuojamoji, konvertavimo koeficientas</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Įstaigos nurodo konvertavimo į priemonę, kuria nuostoliai padengiami lengviau, koeficientą.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konvertuojamoji, ar konvertuoti privaloma, ar neprivaloma</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Konvertuojamųjų priemonių atveju įstaigos nurodo, ar konvertuoti privaloma, ar neprivaloma.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[Privalomas] [Neprivalomas] [Netaikoma] ir [Turėtojų nuožiūra] [Emitento nuožiūra] [Ir turėtojų, ir emitento nuožiūra]</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konvertuojamoji, nurodyti priemonės, į kurią ji konvertuojama, rūšį</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Konvertuojamųjų priemonių atveju įstaigos nurodo priemonės, į kurią ji konvertuojama, rūšį. Šie duomenys padeda įvertinti gebėjimą padengti nuostolius.</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[Bendro 1 lygio nuosavo kapitalo] [Papildomo 1 lygio kapitalo] [2 lygio kapitalo] [Kita]</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konvertuojamoji, nurodyti priemonės, į kurią ji konvertuojama, emitentą</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Su nurašymu susijusios savybės</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Įstaigos nurodo, ar yra su nurašymu susijusi savybė.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Jeigu priemonė gali būti nurašyta, įvykis (-</w:t>
            </w:r>
            <w:proofErr w:type="spellStart"/>
            <w:r>
              <w:rPr>
                <w:rFonts w:ascii="Times New Roman" w:hAnsi="Times New Roman"/>
                <w:sz w:val="24"/>
              </w:rPr>
              <w:t>iai</w:t>
            </w:r>
            <w:proofErr w:type="spellEnd"/>
            <w:r>
              <w:rPr>
                <w:rFonts w:ascii="Times New Roman" w:hAnsi="Times New Roman"/>
                <w:sz w:val="24"/>
              </w:rPr>
              <w:t>), kuriam (-</w:t>
            </w:r>
            <w:proofErr w:type="spellStart"/>
            <w:r>
              <w:rPr>
                <w:rFonts w:ascii="Times New Roman" w:hAnsi="Times New Roman"/>
                <w:sz w:val="24"/>
              </w:rPr>
              <w:t>iems</w:t>
            </w:r>
            <w:proofErr w:type="spellEnd"/>
            <w:r>
              <w:rPr>
                <w:rFonts w:ascii="Times New Roman" w:hAnsi="Times New Roman"/>
                <w:sz w:val="24"/>
              </w:rPr>
              <w:t>) įvykus priemonė turi būti nurašyta</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įvykius, kuriems įvykus priemonė turi būti nurašyta, įskaitant gyvybingumo praradimo momentą. Jeigu inicijuoti nurašymą gali viena ar daugiau institucijų, reikia išvardyti tas institucijas. Teikiant informaciją apie kiekvieną iš šių institucijų reikia nurodyti, ar teisinis pagrindas, kuriuo ta institucija gali inicijuoti nurašymą, grindžiamas priemonės sutarties sąlygomis (sutartimi pagrįstas metodas), ar tas teisinis pagrindas grindžiamas teisės aktų nustatytomis priemonėmis (teisės aktais pagrįstas metodas).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gali būti nurašyta, ar ji nurašoma visa, ar iš dalies</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priemonė visais atvejais bus visiškai nurašoma, gali būti nurašyta iš dalies, ar visais atvejais bus nurašoma iš dalies. Šie duomenys padeda įvertinti nuostolių padengimo lygį nurašymo atveju.</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[Visada visiškai] [Visiškai arba iš dalies] [Visada iš dalies]</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priemonė gali būti nurašyta, ar nurašymas nuolatinis, ar laikinas</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 xml:space="preserve">Galimų nurašyti priemonių atveju įstaigos nurodo, ar nurašymas nuolatinis, ar laikinas.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[Nuolatinis] [Laikinas] [Netaikoma]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Jeigu nurašymas laikinas, įrašymo mechanizmo apibūdinimas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aprašo įrašymo mechanizmą.</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Subordinavimo rūšis (tik tinkamų įsipareigojimų atveju)</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Įstaigos nurodo, ar priemonė atitinka kurią nors subordinavimo rūšį, aprašytą KRR 72b straipsnio 2 dalies d punkto i, ii ir iii papunkčiuose.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[Nustatytas sutarčių nuostatomis], jei priemonė atitinka reikalavimus, nustatytus KRR 72b straipsnio 2 dalies d punkto i papunktį;</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[Nustatytas teisės aktais], jei priemonė atitinka reikalavimus, nustatytus KRR 72b straipsnio 2 dalies d punkto ii papunktį;</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[Struktūrinis], jei priemonė atitinka reikalavimus, nustatytus KRR 72b straipsnio 2 dalies d punkto iii papunktį;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[Subordinavimas netaikomas], jei priemonė neatitinka jokių pirmiau išvardytų formų subordinavimo reikalavimų ir įstaigai pagal KRR 72b straipsnio 4 dalį leista nesubordinuotus įsipareigojimus priskirti prie tinkamų įsipareigojimų straipsnių.</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Priemonės eiliškumas pagal įprastinę bankroto procedūrą</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priemonės eiliškumą pagal įprastinę bankroto procedūrą.</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Kaip nurodyta [MREL ataskaitų teikimo TĮS]</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Pozicija subordinacijos hierarchijoje likvidavimo atveju (nurodyti priemonės, kuri </w:t>
            </w:r>
            <w:proofErr w:type="spellStart"/>
            <w:r>
              <w:rPr>
                <w:rFonts w:ascii="Times New Roman" w:hAnsi="Times New Roman"/>
                <w:sz w:val="24"/>
              </w:rPr>
              <w:t>pirmaeiliškumo</w:t>
            </w:r>
            <w:proofErr w:type="spellEnd"/>
            <w:r>
              <w:rPr>
                <w:rFonts w:ascii="Times New Roman" w:hAnsi="Times New Roman"/>
                <w:sz w:val="24"/>
              </w:rPr>
              <w:t xml:space="preserve"> požiūriu yra tiesiogiai viršesnė nei priemonė, rūšį)</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Įstaigos nurodo priemonę, kuri </w:t>
            </w:r>
            <w:proofErr w:type="spellStart"/>
            <w:r>
              <w:rPr>
                <w:rFonts w:ascii="Times New Roman" w:hAnsi="Times New Roman"/>
                <w:sz w:val="24"/>
              </w:rPr>
              <w:t>pirmaeiliškumo</w:t>
            </w:r>
            <w:proofErr w:type="spellEnd"/>
            <w:r>
              <w:rPr>
                <w:rFonts w:ascii="Times New Roman" w:hAnsi="Times New Roman"/>
                <w:sz w:val="24"/>
              </w:rPr>
              <w:t xml:space="preserve"> požiūriu yra tiesiogiai viršesnė nei apibūdinama priemonė. Jeigu taikoma, bankai turi nurodyti užpildytoje pagrindinių savybių lentelėje įrašytų priemonių, kurios pagal subordinaciją yra artimiausio viršesnio lygio nei apibūdinama priemonė, skilties numerius.</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Reikalavimų neatitinkančios pakitusios savybės</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ar yra reikalavimų neatitinkančių savybių.</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Jeigu taip, nurodyti reikalavimų neatitinkančias savybes</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 xml:space="preserve">Jeigu yra reikalavimų neatitinkančių savybių, įstaigos jas nurodo.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Nuoroda į išsamias priemonės sąlygas (nuoroda)</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Įstaigos nurodo hipersaitą, kur galima susipažinti su emisijos prospektu, įskaitant visas priemonės sąlygas.</w:t>
            </w:r>
          </w:p>
        </w:tc>
      </w:tr>
    </w:tbl>
    <w:p w14:paraId="2958B3D7" w14:textId="77777777" w:rsidR="004E3F4D" w:rsidRDefault="004E3F4D"/>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5B6DB" w14:textId="77777777" w:rsidR="00040D83" w:rsidRDefault="00040D83" w:rsidP="00C85971">
      <w:r>
        <w:separator/>
      </w:r>
    </w:p>
  </w:endnote>
  <w:endnote w:type="continuationSeparator" w:id="0">
    <w:p w14:paraId="27984C46" w14:textId="77777777" w:rsidR="00040D83" w:rsidRDefault="00040D83"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w:t>
        </w:r>
        <w:r>
          <w:t>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438AC" w14:textId="77777777" w:rsidR="00040D83" w:rsidRDefault="00040D83" w:rsidP="00C85971">
      <w:r>
        <w:separator/>
      </w:r>
    </w:p>
  </w:footnote>
  <w:footnote w:type="continuationSeparator" w:id="0">
    <w:p w14:paraId="6FBC486C" w14:textId="77777777" w:rsidR="00040D83" w:rsidRDefault="00040D83"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r>
      <w:r>
        <w:rPr>
          <w:sz w:val="18"/>
        </w:rPr>
        <w:tab/>
        <w:t xml:space="preserve">2013 m. birželio 26 d. Europos Parlamento ir Tarybos reglamentas (ES) Nr. 575/2013 dėl riziką ribojančių reikalavimų kredito įstaigoms, kuriuo iš dalies keičiamas Reglamentas (ES) Nr. 648/2012, su pakeitimais, padarytais Reglamentu (ES) 2024/1623, </w:t>
      </w:r>
      <w:r>
        <w:t>(</w:t>
      </w:r>
      <w:hyperlink r:id="rId1" w:history="1">
        <w:r>
          <w:rPr>
            <w:color w:val="800080"/>
            <w:sz w:val="18"/>
            <w:u w:val="single"/>
          </w:rPr>
          <w:t>OL L 176, 2013 6 27, p. 1;</w:t>
        </w:r>
      </w:hyperlink>
      <w:r>
        <w:rPr>
          <w:color w:val="800080"/>
          <w:sz w:val="18"/>
          <w:u w:val="single"/>
        </w:rPr>
        <w:t xml:space="preserve"> </w:t>
      </w:r>
      <w:hyperlink r:id="rId2" w:history="1">
        <w:r>
          <w:rPr>
            <w:rStyle w:val="Hyperlink"/>
            <w:sz w:val="18"/>
          </w:rPr>
          <w:t>Reglamentas - ES - 2024/1623 - LT - EUR-</w:t>
        </w:r>
        <w:proofErr w:type="spellStart"/>
        <w:r>
          <w:rPr>
            <w:rStyle w:val="Hyperlink"/>
            <w:sz w:val="18"/>
          </w:rPr>
          <w:t>Lex</w:t>
        </w:r>
        <w:proofErr w:type="spellEnd"/>
        <w:r>
          <w:rPr>
            <w:rStyle w:val="Hyperlink"/>
            <w:sz w:val="18"/>
          </w:rPr>
          <w:t xml:space="preserve"> (europa.eu)</w:t>
        </w:r>
      </w:hyperlink>
      <w:r>
        <w:rPr>
          <w:color w:val="444444"/>
          <w:sz w:val="18"/>
        </w:rPr>
        <w:t>)</w:t>
      </w:r>
      <w:r>
        <w:rPr>
          <w:sz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r>
      <w:r>
        <w:t xml:space="preserve">2019 m. gegužės 20 d. EUROPOS PARLAMENTO IR TARYBOS DIREKTYVA (ES) 2019/879, kuria dėl kredito įstaigų ir investicinių įmonių nuostolių padengimo ir </w:t>
      </w:r>
      <w:proofErr w:type="spellStart"/>
      <w:r>
        <w:t>rekapitalizavimo</w:t>
      </w:r>
      <w:proofErr w:type="spellEnd"/>
      <w:r>
        <w:t xml:space="preserve"> pajėgumo iš dalies keičiama Direktyva 2014/59/ES ir iš dalies keičiama Direktyva 98/26/EB (OL L 150, 2019 6 7,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040D83"/>
    <w:rsid w:val="00091B1C"/>
    <w:rsid w:val="00147591"/>
    <w:rsid w:val="0023015D"/>
    <w:rsid w:val="004E3F4D"/>
    <w:rsid w:val="0085507F"/>
    <w:rsid w:val="00992165"/>
    <w:rsid w:val="00BF56F1"/>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E0702F-0DA9-4FF0-9528-57F96CF4D22A}"/>
</file>

<file path=customXml/itemProps2.xml><?xml version="1.0" encoding="utf-8"?>
<ds:datastoreItem xmlns:ds="http://schemas.openxmlformats.org/officeDocument/2006/customXml" ds:itemID="{DC23546D-7E88-48CA-8739-0E2714F0CE8E}"/>
</file>

<file path=customXml/itemProps3.xml><?xml version="1.0" encoding="utf-8"?>
<ds:datastoreItem xmlns:ds="http://schemas.openxmlformats.org/officeDocument/2006/customXml" ds:itemID="{AABDACA7-63DF-4B27-8BEA-EAC6435967A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23</Pages>
  <Words>6222</Words>
  <Characters>41259</Characters>
  <Application>Microsoft Office Word</Application>
  <DocSecurity>0</DocSecurity>
  <Lines>1006</Lines>
  <Paragraphs>593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6</cp:revision>
  <dcterms:created xsi:type="dcterms:W3CDTF">2021-03-11T11:52:00Z</dcterms:created>
  <dcterms:modified xsi:type="dcterms:W3CDTF">2024-10-17T14:32:00Z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