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97322F" w:rsidRDefault="0005278F" w:rsidP="0005278F">
      <w:pPr>
        <w:pStyle w:val="Annexetitre"/>
        <w:spacing w:before="0"/>
      </w:pPr>
      <w:r w:rsidRPr="0097322F">
        <w:t>ZAŁĄCZNIK XX – Instrukcje dotyczące ujawniania informacji na temat stosowania metody standardowej oceny ryzyka kredytowego (z wyłączeniem ryzyka kredytowego kontrahenta i pozycji sekurytyzacyjnych)</w:t>
      </w:r>
    </w:p>
    <w:p w14:paraId="137E3944" w14:textId="77777777" w:rsidR="0005278F" w:rsidRPr="0097322F" w:rsidRDefault="0005278F" w:rsidP="0005278F">
      <w:pPr>
        <w:spacing w:after="120"/>
        <w:rPr>
          <w:rFonts w:ascii="Times New Roman" w:hAnsi="Times New Roman" w:cs="Times New Roman"/>
          <w:sz w:val="24"/>
        </w:rPr>
      </w:pPr>
    </w:p>
    <w:p w14:paraId="137E3945" w14:textId="67437BFC" w:rsidR="0005278F" w:rsidRPr="0097322F" w:rsidRDefault="0005278F" w:rsidP="0005278F">
      <w:pPr>
        <w:pStyle w:val="ListParagraph"/>
        <w:numPr>
          <w:ilvl w:val="0"/>
          <w:numId w:val="1"/>
        </w:numPr>
        <w:spacing w:after="120"/>
        <w:ind w:left="425" w:hanging="357"/>
        <w:jc w:val="both"/>
        <w:rPr>
          <w:rFonts w:ascii="Times New Roman" w:hAnsi="Times New Roman"/>
          <w:sz w:val="24"/>
        </w:rPr>
      </w:pPr>
      <w:r w:rsidRPr="0097322F">
        <w:rPr>
          <w:rFonts w:ascii="Times New Roman" w:hAnsi="Times New Roman"/>
          <w:sz w:val="24"/>
        </w:rPr>
        <w:t>Wzorami, do których instrukcje znajdują się w niniejszym załączniku, nie są objęte instrumenty podlegające przepisom części trzeciej tytuł II rozdział 6 rozporządzenia (UE) nr 575/2013</w:t>
      </w:r>
      <w:r w:rsidRPr="0097322F">
        <w:rPr>
          <w:rStyle w:val="FootnoteReference"/>
          <w:rFonts w:ascii="Times New Roman" w:hAnsi="Times New Roman"/>
        </w:rPr>
        <w:footnoteReference w:id="2"/>
      </w:r>
      <w:r w:rsidRPr="0097322F">
        <w:rPr>
          <w:rFonts w:ascii="Times New Roman" w:hAnsi="Times New Roman"/>
          <w:sz w:val="24"/>
        </w:rPr>
        <w:t xml:space="preserve"> („CRR”) (ekspozycje z tytułu CCR), jak również instrumenty, do których mają zastosowanie wymogi części trzeciej tytuł II rozdział 5 rozporządzenia (UE) nr 575/2013 (ekspozycje sekurytyzacyjne).</w:t>
      </w:r>
    </w:p>
    <w:p w14:paraId="137E3946" w14:textId="77777777" w:rsidR="0005278F" w:rsidRPr="0097322F" w:rsidRDefault="0005278F" w:rsidP="0005278F">
      <w:pPr>
        <w:spacing w:after="120"/>
        <w:rPr>
          <w:rFonts w:ascii="Times New Roman" w:hAnsi="Times New Roman" w:cs="Times New Roman"/>
          <w:b/>
          <w:sz w:val="24"/>
        </w:rPr>
      </w:pPr>
      <w:r w:rsidRPr="0097322F">
        <w:rPr>
          <w:rFonts w:ascii="Times New Roman" w:hAnsi="Times New Roman"/>
          <w:b/>
          <w:sz w:val="24"/>
        </w:rPr>
        <w:t xml:space="preserve">Tabela EU CRD – Wymogi dotyczące ujawniania informacji jakościowych na temat metody standardowej. </w:t>
      </w:r>
      <w:r w:rsidRPr="0097322F">
        <w:rPr>
          <w:rFonts w:ascii="Times New Roman" w:hAnsi="Times New Roman"/>
          <w:sz w:val="24"/>
        </w:rPr>
        <w:t>Format elastyczny</w:t>
      </w:r>
    </w:p>
    <w:p w14:paraId="137E3947" w14:textId="5594AA8B" w:rsidR="0005278F" w:rsidRPr="0097322F" w:rsidRDefault="0005278F" w:rsidP="0005278F">
      <w:pPr>
        <w:pStyle w:val="ListParagraph"/>
        <w:numPr>
          <w:ilvl w:val="0"/>
          <w:numId w:val="1"/>
        </w:numPr>
        <w:spacing w:after="120"/>
        <w:ind w:left="425" w:hanging="357"/>
        <w:jc w:val="both"/>
        <w:rPr>
          <w:rFonts w:ascii="Times New Roman" w:hAnsi="Times New Roman"/>
          <w:sz w:val="24"/>
        </w:rPr>
      </w:pPr>
      <w:r w:rsidRPr="0097322F">
        <w:rPr>
          <w:rFonts w:ascii="Times New Roman" w:hAnsi="Times New Roman"/>
          <w:sz w:val="24"/>
        </w:rPr>
        <w:t>W celu wypełnienia tabeli EU CRD zamieszczonej w załączniku XIX do rozwiązań informatycznych EUNB instytucje ujawniają informacje, o których mowa w art. 444 lit. a)–d) rozporządzenia (UE) nr 575/2013, stosując instrukcje zawarte poniżej w niniejszym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97322F"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97322F" w:rsidRDefault="0005278F" w:rsidP="004F3087">
            <w:pPr>
              <w:autoSpaceDE w:val="0"/>
              <w:autoSpaceDN w:val="0"/>
              <w:adjustRightInd w:val="0"/>
              <w:spacing w:after="120"/>
              <w:rPr>
                <w:rFonts w:ascii="Times New Roman" w:hAnsi="Times New Roman" w:cs="Times New Roman"/>
                <w:b/>
                <w:sz w:val="24"/>
              </w:rPr>
            </w:pPr>
            <w:r w:rsidRPr="0097322F">
              <w:rPr>
                <w:rFonts w:ascii="Times New Roman" w:hAnsi="Times New Roman"/>
                <w:b/>
                <w:sz w:val="24"/>
              </w:rPr>
              <w:t>Oznaczenie</w:t>
            </w:r>
          </w:p>
          <w:p w14:paraId="137E3949" w14:textId="77777777" w:rsidR="0005278F" w:rsidRPr="0097322F" w:rsidRDefault="0005278F" w:rsidP="004F3087">
            <w:pPr>
              <w:autoSpaceDE w:val="0"/>
              <w:autoSpaceDN w:val="0"/>
              <w:adjustRightInd w:val="0"/>
              <w:spacing w:after="120"/>
              <w:rPr>
                <w:rFonts w:ascii="Times New Roman" w:hAnsi="Times New Roman" w:cs="Times New Roman"/>
                <w:b/>
                <w:sz w:val="24"/>
              </w:rPr>
            </w:pPr>
            <w:r w:rsidRPr="0097322F">
              <w:rPr>
                <w:rFonts w:ascii="Times New Roman" w:hAnsi="Times New Roman"/>
                <w:b/>
                <w:sz w:val="24"/>
              </w:rPr>
              <w:t>wiersza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97322F" w:rsidRDefault="0005278F" w:rsidP="004F3087">
            <w:pPr>
              <w:spacing w:after="120"/>
              <w:rPr>
                <w:rFonts w:ascii="Times New Roman" w:hAnsi="Times New Roman" w:cs="Times New Roman"/>
                <w:b/>
                <w:sz w:val="24"/>
              </w:rPr>
            </w:pPr>
            <w:r w:rsidRPr="0097322F">
              <w:rPr>
                <w:rFonts w:ascii="Times New Roman" w:hAnsi="Times New Roman"/>
                <w:b/>
                <w:sz w:val="24"/>
              </w:rPr>
              <w:t>Odniesienie prawne i instrukcje</w:t>
            </w:r>
          </w:p>
        </w:tc>
      </w:tr>
      <w:tr w:rsidR="0005278F" w:rsidRPr="0097322F"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97322F"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97322F" w:rsidRDefault="0005278F" w:rsidP="004F3087">
            <w:pPr>
              <w:spacing w:after="120"/>
              <w:rPr>
                <w:rFonts w:ascii="Times New Roman" w:hAnsi="Times New Roman" w:cs="Times New Roman"/>
                <w:b/>
                <w:sz w:val="24"/>
              </w:rPr>
            </w:pPr>
            <w:r w:rsidRPr="0097322F">
              <w:rPr>
                <w:rFonts w:ascii="Times New Roman" w:hAnsi="Times New Roman"/>
                <w:b/>
                <w:sz w:val="24"/>
              </w:rPr>
              <w:t>Wyjaśnienie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97322F"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97322F" w:rsidRDefault="0005278F" w:rsidP="004F3087">
            <w:pPr>
              <w:spacing w:after="120"/>
              <w:jc w:val="center"/>
              <w:rPr>
                <w:rFonts w:ascii="Times New Roman" w:hAnsi="Times New Roman" w:cs="Times New Roman"/>
                <w:sz w:val="24"/>
                <w:lang w:val="pl-PL"/>
              </w:rPr>
            </w:pPr>
            <w:r w:rsidRPr="0097322F">
              <w:rPr>
                <w:rFonts w:ascii="Times New Roman" w:hAnsi="Times New Roman"/>
                <w:lang w:val="pl-PL"/>
              </w:rPr>
              <w:t>a)</w:t>
            </w:r>
          </w:p>
        </w:tc>
        <w:tc>
          <w:tcPr>
            <w:tcW w:w="3118" w:type="dxa"/>
            <w:tcBorders>
              <w:top w:val="single" w:sz="4" w:space="0" w:color="auto"/>
              <w:left w:val="single" w:sz="4" w:space="0" w:color="auto"/>
              <w:right w:val="single" w:sz="4" w:space="0" w:color="auto"/>
            </w:tcBorders>
          </w:tcPr>
          <w:p w14:paraId="137E3950" w14:textId="77777777" w:rsidR="0005278F" w:rsidRPr="0097322F" w:rsidRDefault="0005278F" w:rsidP="004F3087">
            <w:pPr>
              <w:spacing w:after="120"/>
              <w:jc w:val="both"/>
              <w:rPr>
                <w:rFonts w:ascii="Times New Roman" w:hAnsi="Times New Roman" w:cs="Times New Roman"/>
                <w:sz w:val="24"/>
                <w:lang w:val="pl-PL"/>
              </w:rPr>
            </w:pPr>
            <w:r w:rsidRPr="0097322F">
              <w:rPr>
                <w:rFonts w:ascii="Times New Roman" w:hAnsi="Times New Roman"/>
                <w:sz w:val="24"/>
                <w:lang w:val="pl-PL"/>
              </w:rPr>
              <w:t>Art. 444 lit. a) CRR</w:t>
            </w:r>
          </w:p>
        </w:tc>
        <w:tc>
          <w:tcPr>
            <w:tcW w:w="4546" w:type="dxa"/>
            <w:tcBorders>
              <w:top w:val="single" w:sz="4" w:space="0" w:color="auto"/>
              <w:left w:val="single" w:sz="4" w:space="0" w:color="auto"/>
              <w:right w:val="single" w:sz="4" w:space="0" w:color="auto"/>
            </w:tcBorders>
          </w:tcPr>
          <w:p w14:paraId="137E3951" w14:textId="77777777" w:rsidR="0005278F" w:rsidRPr="0097322F" w:rsidRDefault="0005278F" w:rsidP="004F3087">
            <w:pPr>
              <w:spacing w:after="120"/>
              <w:jc w:val="both"/>
              <w:rPr>
                <w:rFonts w:ascii="Times New Roman" w:hAnsi="Times New Roman" w:cs="Times New Roman"/>
                <w:sz w:val="24"/>
                <w:lang w:val="pl-PL"/>
              </w:rPr>
            </w:pPr>
            <w:r w:rsidRPr="0097322F">
              <w:rPr>
                <w:rFonts w:ascii="Times New Roman" w:hAnsi="Times New Roman"/>
                <w:sz w:val="24"/>
                <w:lang w:val="pl-PL"/>
              </w:rPr>
              <w:t xml:space="preserve">Instytucje ujawniają nazwy wyznaczonych zewnętrznych instytucji oceny wiarygodności kredytowej (ECAI) i agencji kredytów eksportowych (ECA), które wykorzystano, oraz przyczyny ewentualnych zmian w tym nazewnictwie dokonanych w okresie, za który informacje podlegają ujawnieniu. </w:t>
            </w:r>
          </w:p>
        </w:tc>
      </w:tr>
      <w:tr w:rsidR="0005278F" w:rsidRPr="0097322F" w14:paraId="137E3956" w14:textId="77777777" w:rsidTr="00FB64CF">
        <w:trPr>
          <w:trHeight w:val="1492"/>
        </w:trPr>
        <w:tc>
          <w:tcPr>
            <w:tcW w:w="1408" w:type="dxa"/>
            <w:vAlign w:val="top"/>
          </w:tcPr>
          <w:p w14:paraId="137E3953" w14:textId="77777777" w:rsidR="0005278F" w:rsidRPr="0097322F" w:rsidRDefault="0005278F" w:rsidP="004F3087">
            <w:pPr>
              <w:spacing w:after="120"/>
              <w:jc w:val="center"/>
              <w:rPr>
                <w:rFonts w:ascii="Times New Roman" w:hAnsi="Times New Roman" w:cs="Times New Roman"/>
                <w:sz w:val="24"/>
                <w:lang w:val="pl-PL"/>
              </w:rPr>
            </w:pPr>
            <w:r w:rsidRPr="0097322F">
              <w:rPr>
                <w:rFonts w:ascii="Times New Roman" w:hAnsi="Times New Roman"/>
                <w:lang w:val="pl-PL"/>
              </w:rPr>
              <w:t>b)</w:t>
            </w:r>
          </w:p>
        </w:tc>
        <w:tc>
          <w:tcPr>
            <w:tcW w:w="3118" w:type="dxa"/>
          </w:tcPr>
          <w:p w14:paraId="137E3954" w14:textId="77777777" w:rsidR="0005278F" w:rsidRPr="0097322F" w:rsidRDefault="0005278F" w:rsidP="004F3087">
            <w:pPr>
              <w:spacing w:after="120"/>
              <w:jc w:val="both"/>
              <w:rPr>
                <w:rFonts w:ascii="Times New Roman" w:hAnsi="Times New Roman" w:cs="Times New Roman"/>
                <w:sz w:val="24"/>
                <w:lang w:val="pl-PL"/>
              </w:rPr>
            </w:pPr>
            <w:r w:rsidRPr="0097322F">
              <w:rPr>
                <w:rFonts w:ascii="Times New Roman" w:hAnsi="Times New Roman"/>
                <w:sz w:val="24"/>
                <w:lang w:val="pl-PL"/>
              </w:rPr>
              <w:t>Art. 444 lit. b) CRR</w:t>
            </w:r>
          </w:p>
        </w:tc>
        <w:tc>
          <w:tcPr>
            <w:tcW w:w="4546" w:type="dxa"/>
          </w:tcPr>
          <w:p w14:paraId="137E3955" w14:textId="116E6D70" w:rsidR="0005278F" w:rsidRPr="0097322F" w:rsidRDefault="0005278F">
            <w:pPr>
              <w:spacing w:after="120"/>
              <w:jc w:val="both"/>
              <w:rPr>
                <w:rFonts w:ascii="Times New Roman" w:hAnsi="Times New Roman" w:cs="Times New Roman"/>
                <w:sz w:val="24"/>
                <w:lang w:val="pl-PL"/>
              </w:rPr>
            </w:pPr>
            <w:r w:rsidRPr="0097322F">
              <w:rPr>
                <w:rFonts w:ascii="Times New Roman" w:hAnsi="Times New Roman"/>
                <w:sz w:val="24"/>
                <w:lang w:val="pl-PL"/>
              </w:rPr>
              <w:t xml:space="preserve">Instytucje ujawniają kategorie ekspozycji określone w art. 112 rozporządzenia (UE) nr 575/2013, w odniesieniu do których instytucje obliczają kwoty ekspozycji ważonych ryzykiem zgodnie z częścią trzecią tytuł II rozdział 2 rozporządzenia (UE) nr 575/2013, wykorzystując ocenę kredytową wyznaczonej ECAI lub ECA. </w:t>
            </w:r>
          </w:p>
        </w:tc>
      </w:tr>
      <w:tr w:rsidR="0005278F" w:rsidRPr="0097322F" w:rsidDel="00915DC9" w14:paraId="137E395A" w14:textId="77777777" w:rsidTr="00FB64CF">
        <w:trPr>
          <w:trHeight w:val="973"/>
        </w:trPr>
        <w:tc>
          <w:tcPr>
            <w:tcW w:w="1408" w:type="dxa"/>
            <w:vAlign w:val="top"/>
          </w:tcPr>
          <w:p w14:paraId="137E3957" w14:textId="6B9106A6" w:rsidR="0005278F" w:rsidRPr="0097322F" w:rsidRDefault="0005278F" w:rsidP="004F3087">
            <w:pPr>
              <w:spacing w:after="120"/>
              <w:jc w:val="center"/>
              <w:rPr>
                <w:rFonts w:ascii="Times New Roman" w:hAnsi="Times New Roman" w:cs="Times New Roman"/>
                <w:sz w:val="24"/>
                <w:lang w:val="pl-PL"/>
              </w:rPr>
            </w:pPr>
            <w:r w:rsidRPr="0097322F">
              <w:rPr>
                <w:rFonts w:ascii="Times New Roman" w:hAnsi="Times New Roman"/>
                <w:lang w:val="pl-PL"/>
              </w:rPr>
              <w:t>c)</w:t>
            </w:r>
          </w:p>
        </w:tc>
        <w:tc>
          <w:tcPr>
            <w:tcW w:w="3118" w:type="dxa"/>
          </w:tcPr>
          <w:p w14:paraId="137E3958" w14:textId="77777777" w:rsidR="0005278F" w:rsidRPr="0097322F" w:rsidRDefault="0005278F" w:rsidP="004F3087">
            <w:pPr>
              <w:spacing w:after="120"/>
              <w:jc w:val="both"/>
              <w:rPr>
                <w:rFonts w:ascii="Times New Roman" w:hAnsi="Times New Roman" w:cs="Times New Roman"/>
                <w:sz w:val="24"/>
                <w:lang w:val="pl-PL"/>
              </w:rPr>
            </w:pPr>
            <w:r w:rsidRPr="0097322F">
              <w:rPr>
                <w:rFonts w:ascii="Times New Roman" w:hAnsi="Times New Roman"/>
                <w:sz w:val="24"/>
                <w:lang w:val="pl-PL"/>
              </w:rPr>
              <w:t>Art. 444 lit. c) CRR</w:t>
            </w:r>
          </w:p>
        </w:tc>
        <w:tc>
          <w:tcPr>
            <w:tcW w:w="4546" w:type="dxa"/>
          </w:tcPr>
          <w:p w14:paraId="137E3959" w14:textId="5469201A" w:rsidR="0005278F" w:rsidRPr="0097322F" w:rsidDel="00915DC9" w:rsidRDefault="0005278F" w:rsidP="004F3087">
            <w:pPr>
              <w:spacing w:after="120"/>
              <w:jc w:val="both"/>
              <w:rPr>
                <w:rFonts w:ascii="Times New Roman" w:hAnsi="Times New Roman" w:cs="Times New Roman"/>
                <w:sz w:val="24"/>
                <w:lang w:val="pl-PL"/>
              </w:rPr>
            </w:pPr>
            <w:r w:rsidRPr="0097322F">
              <w:rPr>
                <w:rFonts w:ascii="Times New Roman" w:hAnsi="Times New Roman"/>
                <w:sz w:val="24"/>
                <w:lang w:val="pl-PL"/>
              </w:rPr>
              <w:t>W przypadku gdy do ustalenia wagi ryzyka, jaką należy przypisać ekspozycji nieuwzględnionej w portfelu handlowym zgodnie z częścią trzecią tytuł II rozdział 2 art. 139 rozporządzenia (UE) nr 575/2013, stosuje się ocenę kredytową emitenta lub emisji, instytucje opisują stosowany proces.</w:t>
            </w:r>
          </w:p>
        </w:tc>
      </w:tr>
      <w:tr w:rsidR="0005278F" w:rsidRPr="0097322F" w14:paraId="137E395E" w14:textId="77777777" w:rsidTr="00FB64CF">
        <w:trPr>
          <w:trHeight w:val="1265"/>
        </w:trPr>
        <w:tc>
          <w:tcPr>
            <w:tcW w:w="1408" w:type="dxa"/>
            <w:vAlign w:val="top"/>
          </w:tcPr>
          <w:p w14:paraId="137E395B" w14:textId="77777777" w:rsidR="0005278F" w:rsidRPr="0097322F" w:rsidRDefault="0005278F" w:rsidP="004F3087">
            <w:pPr>
              <w:spacing w:after="120"/>
              <w:jc w:val="center"/>
              <w:rPr>
                <w:rFonts w:ascii="Times New Roman" w:hAnsi="Times New Roman" w:cs="Times New Roman"/>
                <w:sz w:val="24"/>
                <w:lang w:val="pl-PL"/>
              </w:rPr>
            </w:pPr>
            <w:r w:rsidRPr="0097322F">
              <w:rPr>
                <w:rFonts w:ascii="Times New Roman" w:hAnsi="Times New Roman"/>
                <w:lang w:val="pl-PL"/>
              </w:rPr>
              <w:lastRenderedPageBreak/>
              <w:t>d)</w:t>
            </w:r>
          </w:p>
        </w:tc>
        <w:tc>
          <w:tcPr>
            <w:tcW w:w="3118" w:type="dxa"/>
          </w:tcPr>
          <w:p w14:paraId="137E395C" w14:textId="77777777" w:rsidR="0005278F" w:rsidRPr="0097322F" w:rsidRDefault="0005278F" w:rsidP="004F3087">
            <w:pPr>
              <w:spacing w:after="120"/>
              <w:jc w:val="both"/>
              <w:rPr>
                <w:rFonts w:ascii="Times New Roman" w:hAnsi="Times New Roman" w:cs="Times New Roman"/>
                <w:sz w:val="24"/>
                <w:lang w:val="pl-PL"/>
              </w:rPr>
            </w:pPr>
            <w:r w:rsidRPr="0097322F">
              <w:rPr>
                <w:rFonts w:ascii="Times New Roman" w:hAnsi="Times New Roman"/>
                <w:sz w:val="24"/>
                <w:lang w:val="pl-PL"/>
              </w:rPr>
              <w:t>Art. 444 lit. d) CRR</w:t>
            </w:r>
          </w:p>
        </w:tc>
        <w:tc>
          <w:tcPr>
            <w:tcW w:w="4546" w:type="dxa"/>
          </w:tcPr>
          <w:p w14:paraId="137E395D" w14:textId="60016B0C" w:rsidR="0005278F" w:rsidRPr="0097322F" w:rsidRDefault="0005278F">
            <w:pPr>
              <w:spacing w:after="120"/>
              <w:jc w:val="both"/>
              <w:rPr>
                <w:rFonts w:ascii="Times New Roman" w:hAnsi="Times New Roman" w:cs="Times New Roman"/>
                <w:sz w:val="24"/>
                <w:lang w:val="pl-PL"/>
              </w:rPr>
            </w:pPr>
            <w:r w:rsidRPr="0097322F">
              <w:rPr>
                <w:rFonts w:ascii="Times New Roman" w:hAnsi="Times New Roman"/>
                <w:sz w:val="24"/>
                <w:lang w:val="pl-PL"/>
              </w:rPr>
              <w:t xml:space="preserve">Dla każdej kategorii ekspozycji określonej w art. 112 rozporządzenia (UE) nr 575/2013 instytucje wskazują skalę alfanumeryczną każdej z wyznaczonych ECAI/ECA (o której mowa w wierszu a) niniejszego wzoru) z wagami ryzyka, które odpowiadają stopniom jakości kredytowej określonym w części trzeciej tytuł II rozdział 2 rozporządzenia (UE) nr 575/2013, z wyjątkiem przypadków, gdy instytucje stosują standardowy system przyporządkowywania ocen opublikowany przez EUNB. </w:t>
            </w:r>
          </w:p>
        </w:tc>
      </w:tr>
    </w:tbl>
    <w:p w14:paraId="137E395F" w14:textId="77777777" w:rsidR="0005278F" w:rsidRPr="0097322F" w:rsidRDefault="0005278F" w:rsidP="0005278F">
      <w:pPr>
        <w:spacing w:after="120"/>
        <w:rPr>
          <w:rFonts w:ascii="Times New Roman" w:hAnsi="Times New Roman" w:cs="Times New Roman"/>
          <w:sz w:val="24"/>
        </w:rPr>
      </w:pPr>
    </w:p>
    <w:p w14:paraId="137E3960" w14:textId="77777777" w:rsidR="0005278F" w:rsidRPr="0097322F" w:rsidRDefault="0005278F" w:rsidP="0005278F">
      <w:pPr>
        <w:spacing w:after="120"/>
        <w:rPr>
          <w:rFonts w:ascii="Times New Roman" w:hAnsi="Times New Roman" w:cs="Times New Roman"/>
          <w:sz w:val="24"/>
        </w:rPr>
      </w:pPr>
    </w:p>
    <w:p w14:paraId="137E3961" w14:textId="77777777" w:rsidR="0005278F" w:rsidRPr="0097322F" w:rsidRDefault="0005278F" w:rsidP="0005278F">
      <w:pPr>
        <w:spacing w:after="120"/>
        <w:rPr>
          <w:rFonts w:ascii="Times New Roman" w:hAnsi="Times New Roman" w:cs="Times New Roman"/>
          <w:sz w:val="24"/>
        </w:rPr>
      </w:pPr>
      <w:r w:rsidRPr="0097322F">
        <w:rPr>
          <w:rFonts w:ascii="Times New Roman" w:hAnsi="Times New Roman"/>
          <w:b/>
          <w:sz w:val="24"/>
        </w:rPr>
        <w:t>Wzór EU CR4 – Ekspozycja na ryzyko kredytowe i skutki ograniczania ryzyka kredytowego.</w:t>
      </w:r>
      <w:r w:rsidRPr="0097322F">
        <w:rPr>
          <w:rFonts w:ascii="Times New Roman" w:hAnsi="Times New Roman"/>
          <w:sz w:val="24"/>
        </w:rPr>
        <w:t xml:space="preserve"> Format stały</w:t>
      </w:r>
    </w:p>
    <w:p w14:paraId="137E3962" w14:textId="789BFD53" w:rsidR="0005278F" w:rsidRPr="0097322F" w:rsidRDefault="0005278F" w:rsidP="5A0D947F">
      <w:pPr>
        <w:pStyle w:val="ListParagraph"/>
        <w:numPr>
          <w:ilvl w:val="0"/>
          <w:numId w:val="1"/>
        </w:numPr>
        <w:spacing w:after="120"/>
        <w:ind w:left="425" w:hanging="357"/>
        <w:jc w:val="both"/>
        <w:rPr>
          <w:rFonts w:ascii="Times New Roman" w:hAnsi="Times New Roman"/>
          <w:sz w:val="24"/>
          <w:szCs w:val="24"/>
        </w:rPr>
      </w:pPr>
      <w:r w:rsidRPr="0097322F">
        <w:rPr>
          <w:rFonts w:ascii="Times New Roman" w:hAnsi="Times New Roman"/>
          <w:sz w:val="24"/>
        </w:rPr>
        <w:t>Instytucje obliczające kwoty ekspozycji ważonych ryzykiem w odniesieniu do ryzyka kredytowego zgodnie z częścią trzecią tytuł II rozdział 2 rozporządzenia (UE) nr 575/2013 w celu wypełnienia wzoru EU CR4 zamieszczonego w załączniku XIX do rozwiązań informatycznych EUNB ujawniają informacje, o których mowa w art. 453 lit. g), h) oraz i) rozporządzenia (UE) nr 575/2013 i w art. 444 lit. e) rozporządzenia (UE) nr 575/2013, zgodnie z poniższymi instrukcjami zawartymi w niniejszym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97322F"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97322F" w:rsidRDefault="0005278F" w:rsidP="004F3087">
            <w:pPr>
              <w:autoSpaceDE w:val="0"/>
              <w:autoSpaceDN w:val="0"/>
              <w:adjustRightInd w:val="0"/>
              <w:spacing w:after="120"/>
              <w:rPr>
                <w:rFonts w:ascii="Times New Roman" w:hAnsi="Times New Roman" w:cs="Times New Roman"/>
                <w:b/>
                <w:sz w:val="24"/>
              </w:rPr>
            </w:pPr>
            <w:r w:rsidRPr="0097322F">
              <w:rPr>
                <w:rFonts w:ascii="Times New Roman" w:hAnsi="Times New Roman"/>
                <w:b/>
                <w:sz w:val="24"/>
              </w:rPr>
              <w:t>Oznaczenie kolumny</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97322F" w:rsidRDefault="0005278F" w:rsidP="004F3087">
            <w:pPr>
              <w:spacing w:after="120"/>
              <w:rPr>
                <w:rFonts w:ascii="Times New Roman" w:hAnsi="Times New Roman" w:cs="Times New Roman"/>
                <w:b/>
                <w:sz w:val="24"/>
              </w:rPr>
            </w:pPr>
            <w:r w:rsidRPr="0097322F">
              <w:rPr>
                <w:rFonts w:ascii="Times New Roman" w:hAnsi="Times New Roman"/>
                <w:b/>
                <w:sz w:val="24"/>
              </w:rPr>
              <w:t>Odniesienia prawne i instrukcje</w:t>
            </w:r>
          </w:p>
        </w:tc>
      </w:tr>
      <w:tr w:rsidR="0005278F" w:rsidRPr="0097322F" w14:paraId="137E3968" w14:textId="77777777" w:rsidTr="5A0D947F">
        <w:trPr>
          <w:trHeight w:val="277"/>
        </w:trPr>
        <w:tc>
          <w:tcPr>
            <w:tcW w:w="1413" w:type="dxa"/>
            <w:vMerge/>
          </w:tcPr>
          <w:p w14:paraId="137E3966" w14:textId="77777777" w:rsidR="0005278F" w:rsidRPr="0097322F"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97322F" w:rsidRDefault="0005278F" w:rsidP="004F3087">
            <w:pPr>
              <w:spacing w:after="120"/>
              <w:rPr>
                <w:rFonts w:ascii="Times New Roman" w:hAnsi="Times New Roman" w:cs="Times New Roman"/>
                <w:b/>
                <w:sz w:val="24"/>
              </w:rPr>
            </w:pPr>
            <w:r w:rsidRPr="0097322F">
              <w:rPr>
                <w:rFonts w:ascii="Times New Roman" w:hAnsi="Times New Roman"/>
                <w:b/>
                <w:sz w:val="24"/>
              </w:rPr>
              <w:t>Wyjaśnienie</w:t>
            </w:r>
          </w:p>
        </w:tc>
      </w:tr>
      <w:tr w:rsidR="0005278F" w:rsidRPr="0097322F" w14:paraId="137E396C" w14:textId="77777777" w:rsidTr="5A0D947F">
        <w:trPr>
          <w:trHeight w:val="316"/>
        </w:trPr>
        <w:tc>
          <w:tcPr>
            <w:tcW w:w="1413" w:type="dxa"/>
            <w:vAlign w:val="center"/>
          </w:tcPr>
          <w:p w14:paraId="137E3969" w14:textId="77777777" w:rsidR="0005278F" w:rsidRPr="0097322F" w:rsidRDefault="0005278F"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t>a</w:t>
            </w:r>
          </w:p>
        </w:tc>
        <w:tc>
          <w:tcPr>
            <w:tcW w:w="7654" w:type="dxa"/>
          </w:tcPr>
          <w:p w14:paraId="137E396A"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 xml:space="preserve">Ekspozycje przed zastosowaniem współczynnika konwersji kredytowej i przed ograniczaniem ryzyka kredytowego – Ekspozycje bilansowe: </w:t>
            </w:r>
          </w:p>
          <w:p w14:paraId="137E396B" w14:textId="70539396" w:rsidR="0005278F" w:rsidRPr="0097322F" w:rsidRDefault="0005278F" w:rsidP="0027241B">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color w:val="000000" w:themeColor="text1"/>
                <w:sz w:val="24"/>
              </w:rPr>
              <w:t xml:space="preserve">Instytucje ujawniają wartość ekspozycji bilansowych objętych zakresem konsolidacji ostrożnościowej zgodnie z art. 111 </w:t>
            </w:r>
            <w:r w:rsidRPr="0097322F">
              <w:rPr>
                <w:rFonts w:ascii="Times New Roman" w:hAnsi="Times New Roman"/>
                <w:sz w:val="24"/>
              </w:rPr>
              <w:t xml:space="preserve">rozporządzenia (UE) nr 575/2013 </w:t>
            </w:r>
            <w:r w:rsidRPr="0097322F">
              <w:rPr>
                <w:rFonts w:ascii="Times New Roman" w:hAnsi="Times New Roman"/>
                <w:color w:val="000000" w:themeColor="text1"/>
                <w:sz w:val="24"/>
              </w:rPr>
              <w:t xml:space="preserve">po dokonaniu korekt z tytułu szczególnego ryzyka kredytowego zgodnie z art. 110 rozporządzenia (UE) nr 575/2013, dodatkowych korekt wartości zgodnie z art. 34 i 105 rozporządzenia (UE) nr 575/2013, odliczenia kwot zgodnie z art. 36 ust. 1 lit. m) rozporządzenia (UE) nr 575/2013, innych redukcji funduszy własnych i odpisów (jak określono w mających zastosowanie standardach rachunkowości), ale przed (i) zastosowaniem współczynników konwersji kredytowej określonych w tym samym artykule oraz (ii) zastosowaniem technik ograniczania ryzyka kredytowego określonych w części trzeciej tytuł II rozdział 4 </w:t>
            </w:r>
            <w:r w:rsidRPr="0097322F">
              <w:rPr>
                <w:rFonts w:ascii="Times New Roman" w:hAnsi="Times New Roman"/>
                <w:sz w:val="24"/>
              </w:rPr>
              <w:t>rozporządzenia (UE) nr 575/2013</w:t>
            </w:r>
            <w:r w:rsidRPr="0097322F">
              <w:rPr>
                <w:rFonts w:ascii="Times New Roman" w:hAnsi="Times New Roman"/>
                <w:color w:val="000000" w:themeColor="text1"/>
                <w:sz w:val="24"/>
              </w:rPr>
              <w:t>.</w:t>
            </w:r>
            <w:r w:rsidRPr="0097322F">
              <w:rPr>
                <w:rFonts w:ascii="Times New Roman" w:hAnsi="Times New Roman"/>
                <w:sz w:val="24"/>
              </w:rPr>
              <w:t xml:space="preserve"> Wartości ekspozycji w przypadku leasingu podlegają przepisom art. 134 ust. 7 rozporządzenia (UE) nr 575/2013.</w:t>
            </w:r>
            <w:r w:rsidRPr="0097322F">
              <w:rPr>
                <w:rFonts w:ascii="Times New Roman" w:hAnsi="Times New Roman"/>
                <w:sz w:val="24"/>
                <w:highlight w:val="yellow"/>
              </w:rPr>
              <w:t xml:space="preserve"> </w:t>
            </w:r>
          </w:p>
        </w:tc>
      </w:tr>
      <w:tr w:rsidR="0005278F" w:rsidRPr="0097322F" w14:paraId="137E3970" w14:textId="77777777" w:rsidTr="5A0D947F">
        <w:trPr>
          <w:trHeight w:val="316"/>
        </w:trPr>
        <w:tc>
          <w:tcPr>
            <w:tcW w:w="1413" w:type="dxa"/>
            <w:vAlign w:val="center"/>
          </w:tcPr>
          <w:p w14:paraId="137E396D" w14:textId="77777777" w:rsidR="0005278F" w:rsidRPr="0097322F" w:rsidRDefault="0005278F"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t>b</w:t>
            </w:r>
          </w:p>
        </w:tc>
        <w:tc>
          <w:tcPr>
            <w:tcW w:w="7654" w:type="dxa"/>
          </w:tcPr>
          <w:p w14:paraId="137E396E"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Ekspozycje przed zastosowaniem współczynnika konwersji kredytowej i ograniczania ryzyka kredytowego – Ekspozycje pozabilansowe:</w:t>
            </w:r>
          </w:p>
          <w:p w14:paraId="137E396F" w14:textId="70A24ABD" w:rsidR="0005278F" w:rsidRPr="0097322F" w:rsidRDefault="0005278F" w:rsidP="5A0D947F">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 xml:space="preserve">Instytucje ujawniają wartość ekspozycji bilansowych objętych zakresem konsolidacji ostrożnościowej po pomniejszeniu o korekty z tytułu szczególnego ryzyka kredytowego i odliczenia kwot zgodnie z art. 36 ust. 1 lit. m) rozporządzenia (UE) nr 575/2013, ale przed zastosowaniem </w:t>
            </w:r>
            <w:r w:rsidRPr="0097322F">
              <w:rPr>
                <w:rFonts w:ascii="Times New Roman" w:hAnsi="Times New Roman"/>
                <w:sz w:val="24"/>
              </w:rPr>
              <w:lastRenderedPageBreak/>
              <w:t>współczynników konwersji kredytowej zgodnie z art. 111 rozporządzenia (UE) nr 575/2013 oraz przed uwzględnieniem skutków technik ograniczania ryzyka kredytowego (zgodnie z częścią trzecią tytuł II rozdział 4 rozporządzenia (UE) nr 575/2013).</w:t>
            </w:r>
          </w:p>
        </w:tc>
      </w:tr>
      <w:tr w:rsidR="0005278F" w:rsidRPr="0097322F" w14:paraId="137E3974" w14:textId="77777777" w:rsidTr="5A0D947F">
        <w:trPr>
          <w:trHeight w:val="316"/>
        </w:trPr>
        <w:tc>
          <w:tcPr>
            <w:tcW w:w="1413" w:type="dxa"/>
            <w:vAlign w:val="center"/>
          </w:tcPr>
          <w:p w14:paraId="137E3971" w14:textId="77777777" w:rsidR="0005278F" w:rsidRPr="0097322F" w:rsidRDefault="0005278F"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lastRenderedPageBreak/>
              <w:t>c</w:t>
            </w:r>
          </w:p>
        </w:tc>
        <w:tc>
          <w:tcPr>
            <w:tcW w:w="7654" w:type="dxa"/>
          </w:tcPr>
          <w:p w14:paraId="137E3972"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 xml:space="preserve">Ekspozycje po zastosowaniu współczynnika konwersji kredytowej i technik ograniczania ryzyka kredytowego – Ekspozycje bilansowe: </w:t>
            </w:r>
          </w:p>
          <w:p w14:paraId="137E3973" w14:textId="3965907F" w:rsidR="0005278F" w:rsidRPr="0097322F" w:rsidRDefault="0005278F" w:rsidP="5A0D947F">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Instytucje ujawniają wartość ekspozycji bilansowych objętych zakresem konsolidacji ostrożnościowej (zgodnie z art. 111 rozporządzenia (UE) nr 575/2013) po dokonaniu korekt z tytułu szczególnego ryzyka kredytowego zgodnie z art. 110 rozporządzenia (UE) nr 575/2013, dodatkowych korekt wartości zgodnie z art. 34 i 105 rozporządzenia (UE) nr 575/2013, odliczenia kwot zgodnie z art. 36 ust. 1 lit. m) rozporządzenia (UE) nr 575/2013, innych redukcji funduszy własnych i odpisów, jak określono w mających zastosowanie standardach rachunkowości, po zastosowaniu wszystkich czynników ograniczających ryzyko kredytowe i współczynników konwersji kredytowej. Jest to kwota, do której stosuje się wagi ryzyka (zgodnie z art. 113 rozporządzenia (UE) nr 575/2013 oraz z częścią trzecią tytuł II rozdział 2 sekcja 2 rozporządzenia (UE) nr 575/2013). Jest to kwota równoważna kredytom netto po zastosowaniu technik ograniczania ryzyka kredytowego i współczynnika konwersji kredytowej.</w:t>
            </w:r>
          </w:p>
        </w:tc>
      </w:tr>
      <w:tr w:rsidR="0005278F" w:rsidRPr="0097322F" w14:paraId="137E3978" w14:textId="77777777" w:rsidTr="5A0D947F">
        <w:trPr>
          <w:trHeight w:val="316"/>
        </w:trPr>
        <w:tc>
          <w:tcPr>
            <w:tcW w:w="1413" w:type="dxa"/>
            <w:vAlign w:val="center"/>
          </w:tcPr>
          <w:p w14:paraId="137E3975" w14:textId="77777777" w:rsidR="0005278F" w:rsidRPr="0097322F" w:rsidRDefault="0005278F"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t>d</w:t>
            </w:r>
          </w:p>
        </w:tc>
        <w:tc>
          <w:tcPr>
            <w:tcW w:w="7654" w:type="dxa"/>
          </w:tcPr>
          <w:p w14:paraId="137E3976"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 xml:space="preserve">Ekspozycje po zastosowaniu współczynnika konwersji kredytowej i technik ograniczania ryzyka kredytowego – Ekspozycje bilansowe: </w:t>
            </w:r>
          </w:p>
          <w:p w14:paraId="137E3977" w14:textId="3A31757C" w:rsidR="0005278F" w:rsidRPr="0097322F" w:rsidRDefault="0005278F" w:rsidP="5A0D947F">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Instytucje ujawniają wartość ekspozycji pozabilansowych po dokonaniu korekt z tytułu szczególnego ryzyka kredytowego, jak określono w rozporządzeniu delegowanym Komisji (UE) nr 183/2014</w:t>
            </w:r>
            <w:r w:rsidRPr="0097322F">
              <w:rPr>
                <w:rStyle w:val="FootnoteReference"/>
                <w:rFonts w:ascii="Times New Roman" w:eastAsia="Times New Roman" w:hAnsi="Times New Roman" w:cs="Times New Roman"/>
              </w:rPr>
              <w:footnoteReference w:id="3"/>
            </w:r>
            <w:r w:rsidRPr="0097322F">
              <w:rPr>
                <w:rFonts w:ascii="Times New Roman" w:hAnsi="Times New Roman"/>
                <w:sz w:val="24"/>
              </w:rPr>
              <w:t>, dodatkowych korekt wartości i innych redukcji funduszy własnych, po zastosowaniu wszystkich czynników ograniczających ryzyko kredytowe i współczynników konwersji kredytowej. Jest to kwota, do której stosuje się wagi ryzyka (zgodnie z art. 113 rozporządzenia (UE) nr 575/2013 oraz z częścią trzecią tytuł II rozdział 2 sekcja 2 rozporządzenia (UE) nr 575/2013). Jest to kwota równoważna kredytom netto po zastosowaniu technik ograniczania ryzyka kredytowego i współczynnika konwersji kredytowej.</w:t>
            </w:r>
          </w:p>
        </w:tc>
      </w:tr>
      <w:tr w:rsidR="0005278F" w:rsidRPr="0097322F" w14:paraId="137E397C" w14:textId="77777777" w:rsidTr="5A0D947F">
        <w:trPr>
          <w:trHeight w:val="316"/>
        </w:trPr>
        <w:tc>
          <w:tcPr>
            <w:tcW w:w="1413" w:type="dxa"/>
            <w:vAlign w:val="center"/>
          </w:tcPr>
          <w:p w14:paraId="137E3979" w14:textId="77777777" w:rsidR="0005278F" w:rsidRPr="0097322F" w:rsidRDefault="0005278F"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t>e</w:t>
            </w:r>
          </w:p>
        </w:tc>
        <w:tc>
          <w:tcPr>
            <w:tcW w:w="7654" w:type="dxa"/>
          </w:tcPr>
          <w:p w14:paraId="137E397A"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Kwoty ekspozycji ważonych ryzykiem</w:t>
            </w:r>
          </w:p>
          <w:p w14:paraId="137E397B" w14:textId="1F9983D6" w:rsidR="0005278F" w:rsidRPr="0097322F" w:rsidRDefault="0005278F" w:rsidP="004F3087">
            <w:pPr>
              <w:autoSpaceDE w:val="0"/>
              <w:autoSpaceDN w:val="0"/>
              <w:adjustRightInd w:val="0"/>
              <w:spacing w:after="120"/>
              <w:jc w:val="both"/>
              <w:rPr>
                <w:rFonts w:ascii="Times New Roman" w:eastAsia="Times New Roman" w:hAnsi="Times New Roman" w:cs="Times New Roman"/>
                <w:iCs/>
                <w:sz w:val="24"/>
              </w:rPr>
            </w:pPr>
            <w:r w:rsidRPr="0097322F">
              <w:rPr>
                <w:rFonts w:ascii="Times New Roman" w:hAnsi="Times New Roman"/>
                <w:sz w:val="24"/>
              </w:rPr>
              <w:t>Kwoty ekspozycji ważonych ryzykiem obliczane zgodnie z częścią trzecią tytuł II rozdział 2 sekcja 2 rozporządzenia (UE) nr 575/2013.</w:t>
            </w:r>
          </w:p>
        </w:tc>
      </w:tr>
      <w:tr w:rsidR="0005278F" w:rsidRPr="0097322F" w14:paraId="137E3981" w14:textId="77777777" w:rsidTr="5A0D947F">
        <w:trPr>
          <w:trHeight w:val="316"/>
        </w:trPr>
        <w:tc>
          <w:tcPr>
            <w:tcW w:w="1413" w:type="dxa"/>
            <w:vAlign w:val="center"/>
          </w:tcPr>
          <w:p w14:paraId="137E397D" w14:textId="77777777" w:rsidR="0005278F" w:rsidRPr="0097322F" w:rsidRDefault="0005278F"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t>f</w:t>
            </w:r>
          </w:p>
        </w:tc>
        <w:tc>
          <w:tcPr>
            <w:tcW w:w="7654" w:type="dxa"/>
          </w:tcPr>
          <w:p w14:paraId="137E397E"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Stosunek kwot ekspozycji ważonych ryzykiem do wartości ekspozycji</w:t>
            </w:r>
          </w:p>
          <w:p w14:paraId="137E397F"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iCs/>
                <w:sz w:val="24"/>
              </w:rPr>
            </w:pPr>
            <w:r w:rsidRPr="0097322F">
              <w:rPr>
                <w:rFonts w:ascii="Times New Roman" w:hAnsi="Times New Roman"/>
                <w:sz w:val="24"/>
              </w:rPr>
              <w:t xml:space="preserve">(Kolumna </w:t>
            </w:r>
            <w:r w:rsidRPr="0097322F">
              <w:rPr>
                <w:rFonts w:ascii="Times New Roman" w:hAnsi="Times New Roman"/>
                <w:i/>
                <w:iCs/>
                <w:sz w:val="24"/>
              </w:rPr>
              <w:t>e</w:t>
            </w:r>
            <w:r w:rsidRPr="0097322F">
              <w:rPr>
                <w:rFonts w:ascii="Times New Roman" w:hAnsi="Times New Roman"/>
                <w:sz w:val="24"/>
              </w:rPr>
              <w:t xml:space="preserve">/Kolumny </w:t>
            </w:r>
            <w:r w:rsidRPr="0097322F">
              <w:rPr>
                <w:rFonts w:ascii="Times New Roman" w:hAnsi="Times New Roman"/>
                <w:i/>
                <w:iCs/>
                <w:sz w:val="24"/>
              </w:rPr>
              <w:t>c</w:t>
            </w:r>
            <w:r w:rsidRPr="0097322F">
              <w:rPr>
                <w:rFonts w:ascii="Times New Roman" w:hAnsi="Times New Roman"/>
                <w:sz w:val="24"/>
              </w:rPr>
              <w:t>+</w:t>
            </w:r>
            <w:r w:rsidRPr="0097322F">
              <w:rPr>
                <w:rFonts w:ascii="Times New Roman" w:hAnsi="Times New Roman"/>
                <w:i/>
                <w:iCs/>
                <w:sz w:val="24"/>
              </w:rPr>
              <w:t>d</w:t>
            </w:r>
            <w:r w:rsidRPr="0097322F">
              <w:rPr>
                <w:rFonts w:ascii="Times New Roman" w:hAnsi="Times New Roman"/>
                <w:sz w:val="24"/>
              </w:rPr>
              <w:t xml:space="preserve"> niniejszego wzoru)</w:t>
            </w:r>
          </w:p>
          <w:p w14:paraId="137E3980"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iCs/>
                <w:sz w:val="24"/>
              </w:rPr>
            </w:pPr>
            <w:r w:rsidRPr="0097322F">
              <w:rPr>
                <w:rFonts w:ascii="Times New Roman" w:hAnsi="Times New Roman"/>
                <w:sz w:val="24"/>
              </w:rPr>
              <w:t xml:space="preserve">Wskaźnik ten oblicza się, dzieląc kwoty ekspozycji ważonych ryzykiem odpowiedniej kategorii ekspozycji (kolumna </w:t>
            </w:r>
            <w:r w:rsidRPr="0097322F">
              <w:rPr>
                <w:rFonts w:ascii="Times New Roman" w:hAnsi="Times New Roman"/>
                <w:i/>
                <w:iCs/>
                <w:sz w:val="24"/>
              </w:rPr>
              <w:t>e</w:t>
            </w:r>
            <w:r w:rsidRPr="0097322F">
              <w:rPr>
                <w:rFonts w:ascii="Times New Roman" w:hAnsi="Times New Roman"/>
                <w:sz w:val="24"/>
              </w:rPr>
              <w:t xml:space="preserve"> niniejszego wzoru) przez kwotę odpowiednich ekspozycji po uwzględnieniu wszystkich czynników </w:t>
            </w:r>
            <w:r w:rsidRPr="0097322F">
              <w:rPr>
                <w:rFonts w:ascii="Times New Roman" w:hAnsi="Times New Roman"/>
                <w:sz w:val="24"/>
              </w:rPr>
              <w:lastRenderedPageBreak/>
              <w:t xml:space="preserve">ograniczających ryzyko kredytowe i współczynników konwersji kredytowej (suma kwot z kolumn </w:t>
            </w:r>
            <w:r w:rsidRPr="0097322F">
              <w:rPr>
                <w:rFonts w:ascii="Times New Roman" w:hAnsi="Times New Roman"/>
                <w:i/>
                <w:iCs/>
                <w:sz w:val="24"/>
              </w:rPr>
              <w:t>c</w:t>
            </w:r>
            <w:r w:rsidRPr="0097322F">
              <w:rPr>
                <w:rFonts w:ascii="Times New Roman" w:hAnsi="Times New Roman"/>
                <w:sz w:val="24"/>
              </w:rPr>
              <w:t xml:space="preserve"> i </w:t>
            </w:r>
            <w:r w:rsidRPr="0097322F">
              <w:rPr>
                <w:rFonts w:ascii="Times New Roman" w:hAnsi="Times New Roman"/>
                <w:i/>
                <w:iCs/>
                <w:sz w:val="24"/>
              </w:rPr>
              <w:t>d</w:t>
            </w:r>
            <w:r w:rsidRPr="0097322F">
              <w:rPr>
                <w:rFonts w:ascii="Times New Roman" w:hAnsi="Times New Roman"/>
                <w:sz w:val="24"/>
              </w:rPr>
              <w:t xml:space="preserve"> niniejszego wzoru).</w:t>
            </w:r>
          </w:p>
        </w:tc>
      </w:tr>
    </w:tbl>
    <w:p w14:paraId="137E3982" w14:textId="664BD25D" w:rsidR="0005278F" w:rsidRPr="0097322F"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97322F"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97322F" w:rsidRDefault="005A70FA" w:rsidP="00A518F7">
            <w:pPr>
              <w:spacing w:after="120"/>
              <w:rPr>
                <w:rFonts w:ascii="Times New Roman" w:hAnsi="Times New Roman" w:cs="Times New Roman"/>
                <w:b/>
                <w:sz w:val="24"/>
              </w:rPr>
            </w:pPr>
            <w:r w:rsidRPr="0097322F">
              <w:rPr>
                <w:rFonts w:ascii="Times New Roman" w:hAnsi="Times New Roman"/>
                <w:b/>
                <w:sz w:val="24"/>
              </w:rPr>
              <w:t>Odniesienia prawne i instrukcje</w:t>
            </w:r>
          </w:p>
        </w:tc>
      </w:tr>
      <w:tr w:rsidR="00535F36" w:rsidRPr="0097322F" w14:paraId="15637106" w14:textId="77777777" w:rsidTr="005A70FA">
        <w:trPr>
          <w:trHeight w:val="336"/>
        </w:trPr>
        <w:tc>
          <w:tcPr>
            <w:tcW w:w="1413" w:type="dxa"/>
            <w:shd w:val="clear" w:color="auto" w:fill="D9D9D9" w:themeFill="background1" w:themeFillShade="D9"/>
          </w:tcPr>
          <w:p w14:paraId="0281A12B" w14:textId="001E4619" w:rsidR="00535F36" w:rsidRPr="0097322F" w:rsidRDefault="006E215C" w:rsidP="00A518F7">
            <w:pPr>
              <w:autoSpaceDE w:val="0"/>
              <w:autoSpaceDN w:val="0"/>
              <w:adjustRightInd w:val="0"/>
              <w:spacing w:after="120"/>
              <w:rPr>
                <w:rFonts w:ascii="Times New Roman" w:hAnsi="Times New Roman" w:cs="Times New Roman"/>
                <w:b/>
                <w:sz w:val="24"/>
              </w:rPr>
            </w:pPr>
            <w:r w:rsidRPr="0097322F">
              <w:rPr>
                <w:rFonts w:ascii="Times New Roman" w:hAnsi="Times New Roman"/>
                <w:b/>
                <w:sz w:val="24"/>
              </w:rPr>
              <w:t xml:space="preserve">Oznaczenie </w:t>
            </w:r>
            <w:r w:rsidR="005A70FA" w:rsidRPr="0097322F">
              <w:rPr>
                <w:rFonts w:ascii="Times New Roman" w:hAnsi="Times New Roman"/>
                <w:b/>
                <w:sz w:val="24"/>
              </w:rPr>
              <w:t>wiersza</w:t>
            </w:r>
          </w:p>
        </w:tc>
        <w:tc>
          <w:tcPr>
            <w:tcW w:w="7654" w:type="dxa"/>
            <w:tcBorders>
              <w:left w:val="single" w:sz="4" w:space="0" w:color="auto"/>
            </w:tcBorders>
            <w:shd w:val="clear" w:color="auto" w:fill="D9D9D9" w:themeFill="background1" w:themeFillShade="D9"/>
          </w:tcPr>
          <w:p w14:paraId="4210B102" w14:textId="77777777" w:rsidR="00535F36" w:rsidRPr="0097322F" w:rsidRDefault="00535F36" w:rsidP="00A518F7">
            <w:pPr>
              <w:autoSpaceDE w:val="0"/>
              <w:autoSpaceDN w:val="0"/>
              <w:adjustRightInd w:val="0"/>
              <w:spacing w:after="120"/>
              <w:rPr>
                <w:rFonts w:ascii="Times New Roman" w:hAnsi="Times New Roman" w:cs="Times New Roman"/>
                <w:color w:val="000000"/>
                <w:sz w:val="24"/>
              </w:rPr>
            </w:pPr>
            <w:r w:rsidRPr="0097322F">
              <w:rPr>
                <w:rFonts w:ascii="Times New Roman" w:hAnsi="Times New Roman"/>
                <w:b/>
                <w:sz w:val="24"/>
              </w:rPr>
              <w:t>Wyjaśnienie</w:t>
            </w:r>
          </w:p>
        </w:tc>
      </w:tr>
      <w:tr w:rsidR="00535F36" w:rsidRPr="0097322F" w14:paraId="7FCC92DA" w14:textId="77777777" w:rsidTr="5A0D947F">
        <w:trPr>
          <w:trHeight w:val="699"/>
        </w:trPr>
        <w:tc>
          <w:tcPr>
            <w:tcW w:w="1413" w:type="dxa"/>
            <w:shd w:val="clear" w:color="auto" w:fill="auto"/>
          </w:tcPr>
          <w:p w14:paraId="22F3AEC0" w14:textId="3F00C73A" w:rsidR="00535F36" w:rsidRPr="0097322F" w:rsidRDefault="00926A01" w:rsidP="00FB64CF">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t xml:space="preserve">1, EU 2a, EU2b, 3, EU 3a, 4, 5, 6, EU 7a, EU 7b, 8, 9, 10, EU 10a, EU 10b, EU 10c </w:t>
            </w:r>
          </w:p>
        </w:tc>
        <w:tc>
          <w:tcPr>
            <w:tcW w:w="7654" w:type="dxa"/>
            <w:shd w:val="clear" w:color="auto" w:fill="auto"/>
          </w:tcPr>
          <w:p w14:paraId="7983BEBC" w14:textId="7FFA78E2" w:rsidR="00535F36" w:rsidRPr="0097322F" w:rsidRDefault="00535F36" w:rsidP="00A518F7">
            <w:pPr>
              <w:spacing w:after="120"/>
              <w:jc w:val="both"/>
              <w:rPr>
                <w:rFonts w:ascii="Times New Roman" w:hAnsi="Times New Roman" w:cs="Times New Roman"/>
                <w:sz w:val="24"/>
              </w:rPr>
            </w:pPr>
            <w:r w:rsidRPr="0097322F">
              <w:rPr>
                <w:rFonts w:ascii="Times New Roman" w:hAnsi="Times New Roman"/>
                <w:sz w:val="24"/>
              </w:rPr>
              <w:t xml:space="preserve">Kategorie ekspozycji określone zgodnie z art. 112 rozporządzenia (UE) nr 575/2013. </w:t>
            </w:r>
          </w:p>
          <w:p w14:paraId="4E391AF9" w14:textId="6574451E" w:rsidR="00535F36" w:rsidRPr="0097322F" w:rsidRDefault="5682D6C4" w:rsidP="5A0D947F">
            <w:pPr>
              <w:spacing w:after="120"/>
              <w:jc w:val="both"/>
              <w:rPr>
                <w:rFonts w:ascii="Times New Roman" w:eastAsia="Times New Roman" w:hAnsi="Times New Roman" w:cs="Times New Roman"/>
                <w:sz w:val="24"/>
              </w:rPr>
            </w:pPr>
            <w:r w:rsidRPr="0097322F">
              <w:rPr>
                <w:rFonts w:ascii="Times New Roman" w:hAnsi="Times New Roman"/>
                <w:sz w:val="24"/>
              </w:rPr>
              <w:t>Nie uwzględnia się ekspozycji zaklasyfikowanych do kategorii ekspozycji „pozycje stanowiące pozycje sekurytyzacyjne”, o której mowa w art. 112 lit. m) rozporządzenia (UE) nr 575/2013.</w:t>
            </w:r>
          </w:p>
        </w:tc>
      </w:tr>
      <w:tr w:rsidR="00C337F1" w:rsidRPr="0097322F" w14:paraId="64CF4F9F" w14:textId="77777777" w:rsidTr="5A0D947F">
        <w:trPr>
          <w:trHeight w:val="699"/>
        </w:trPr>
        <w:tc>
          <w:tcPr>
            <w:tcW w:w="1413" w:type="dxa"/>
            <w:shd w:val="clear" w:color="auto" w:fill="auto"/>
          </w:tcPr>
          <w:p w14:paraId="7981A2E1" w14:textId="3F1FF913" w:rsidR="00C337F1" w:rsidRPr="0097322F" w:rsidRDefault="00C337F1"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2</w:t>
            </w:r>
          </w:p>
        </w:tc>
        <w:tc>
          <w:tcPr>
            <w:tcW w:w="7654" w:type="dxa"/>
            <w:shd w:val="clear" w:color="auto" w:fill="auto"/>
          </w:tcPr>
          <w:p w14:paraId="2853DB1C" w14:textId="6EED0555" w:rsidR="00FF5357" w:rsidRPr="0097322F" w:rsidRDefault="002A2B60" w:rsidP="00535F36">
            <w:pPr>
              <w:spacing w:after="120"/>
              <w:jc w:val="both"/>
              <w:rPr>
                <w:rFonts w:ascii="Times New Roman" w:eastAsiaTheme="minorHAnsi" w:hAnsi="Times New Roman" w:cs="Times New Roman"/>
                <w:sz w:val="24"/>
              </w:rPr>
            </w:pPr>
            <w:r w:rsidRPr="0097322F">
              <w:rPr>
                <w:rFonts w:ascii="Times New Roman" w:hAnsi="Times New Roman"/>
                <w:b/>
                <w:sz w:val="24"/>
              </w:rPr>
              <w:t>Ekspozycje wobec niecentralnych pozarządowych podmiotów sektora publicznego</w:t>
            </w:r>
          </w:p>
          <w:p w14:paraId="7D529948" w14:textId="15F28325" w:rsidR="00C337F1" w:rsidRPr="0097322F" w:rsidRDefault="00FF5357" w:rsidP="00535F36">
            <w:pPr>
              <w:spacing w:after="120"/>
              <w:jc w:val="both"/>
              <w:rPr>
                <w:rFonts w:ascii="Times New Roman" w:eastAsiaTheme="minorHAnsi" w:hAnsi="Times New Roman" w:cs="Times New Roman"/>
                <w:sz w:val="24"/>
              </w:rPr>
            </w:pPr>
            <w:r w:rsidRPr="0097322F">
              <w:rPr>
                <w:rFonts w:ascii="Times New Roman" w:hAnsi="Times New Roman"/>
                <w:sz w:val="24"/>
              </w:rPr>
              <w:t>Suma ekspozycji w wierszach EU 2a i EU 2b.</w:t>
            </w:r>
          </w:p>
        </w:tc>
      </w:tr>
      <w:tr w:rsidR="00535F36" w:rsidRPr="0097322F" w14:paraId="3305E816" w14:textId="77777777" w:rsidTr="5A0D947F">
        <w:trPr>
          <w:trHeight w:val="699"/>
        </w:trPr>
        <w:tc>
          <w:tcPr>
            <w:tcW w:w="1413" w:type="dxa"/>
            <w:shd w:val="clear" w:color="auto" w:fill="auto"/>
          </w:tcPr>
          <w:p w14:paraId="2D1E255D" w14:textId="6DDF26D9"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EU 2a</w:t>
            </w:r>
          </w:p>
        </w:tc>
        <w:tc>
          <w:tcPr>
            <w:tcW w:w="7654" w:type="dxa"/>
            <w:shd w:val="clear" w:color="auto" w:fill="auto"/>
          </w:tcPr>
          <w:p w14:paraId="17AB2AE5" w14:textId="139DE043" w:rsidR="00FF5357" w:rsidRPr="0097322F" w:rsidRDefault="5682D6C4" w:rsidP="5A0D947F">
            <w:pPr>
              <w:spacing w:after="120"/>
              <w:jc w:val="both"/>
              <w:rPr>
                <w:rFonts w:ascii="Times New Roman" w:hAnsi="Times New Roman" w:cs="Times New Roman"/>
                <w:b/>
                <w:bCs/>
                <w:sz w:val="24"/>
              </w:rPr>
            </w:pPr>
            <w:r w:rsidRPr="0097322F">
              <w:rPr>
                <w:rFonts w:ascii="Times New Roman" w:hAnsi="Times New Roman"/>
                <w:b/>
                <w:sz w:val="24"/>
              </w:rPr>
              <w:t>Ekspozycje wobec samorządów regionalnych lub władz lokalnych</w:t>
            </w:r>
          </w:p>
          <w:p w14:paraId="788C221F" w14:textId="388C84CA" w:rsidR="00535F36" w:rsidRPr="0097322F" w:rsidRDefault="00FF5357" w:rsidP="5A0D947F">
            <w:pPr>
              <w:spacing w:after="120"/>
              <w:jc w:val="both"/>
              <w:rPr>
                <w:rFonts w:ascii="Times New Roman" w:hAnsi="Times New Roman" w:cs="Times New Roman"/>
                <w:sz w:val="24"/>
              </w:rPr>
            </w:pPr>
            <w:r w:rsidRPr="0097322F">
              <w:rPr>
                <w:rFonts w:ascii="Times New Roman" w:hAnsi="Times New Roman"/>
                <w:sz w:val="24"/>
              </w:rPr>
              <w:t>Ekspozycje zdefiniowane w art. 112 lit. b) rozporządzenia (UE) nr 575/2013 oraz w art. 115 ust. -1, 1, 3, 4 i 5 rozporządzenia (UE) nr 575/2013 w odniesieniu do ekspozycji według metody standardowej.</w:t>
            </w:r>
            <w:r w:rsidRPr="0097322F">
              <w:rPr>
                <w:rFonts w:ascii="Times New Roman" w:hAnsi="Times New Roman"/>
              </w:rPr>
              <w:t xml:space="preserve"> </w:t>
            </w:r>
          </w:p>
        </w:tc>
      </w:tr>
      <w:tr w:rsidR="00535F36" w:rsidRPr="0097322F" w14:paraId="6406D71A" w14:textId="77777777" w:rsidTr="5A0D947F">
        <w:trPr>
          <w:trHeight w:val="699"/>
        </w:trPr>
        <w:tc>
          <w:tcPr>
            <w:tcW w:w="1413" w:type="dxa"/>
            <w:shd w:val="clear" w:color="auto" w:fill="auto"/>
          </w:tcPr>
          <w:p w14:paraId="0C866ADB" w14:textId="153184B7"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EU 2b</w:t>
            </w:r>
          </w:p>
        </w:tc>
        <w:tc>
          <w:tcPr>
            <w:tcW w:w="7654" w:type="dxa"/>
            <w:shd w:val="clear" w:color="auto" w:fill="auto"/>
          </w:tcPr>
          <w:p w14:paraId="0E9CAEB2" w14:textId="076DA4A8" w:rsidR="00FF5357" w:rsidRPr="0097322F" w:rsidRDefault="5682D6C4" w:rsidP="5A0D947F">
            <w:pPr>
              <w:spacing w:after="120"/>
              <w:jc w:val="both"/>
              <w:rPr>
                <w:rFonts w:ascii="Times New Roman" w:hAnsi="Times New Roman" w:cs="Times New Roman"/>
                <w:sz w:val="24"/>
              </w:rPr>
            </w:pPr>
            <w:r w:rsidRPr="0097322F">
              <w:rPr>
                <w:rFonts w:ascii="Times New Roman" w:hAnsi="Times New Roman"/>
                <w:b/>
                <w:sz w:val="24"/>
              </w:rPr>
              <w:t>Ekspozycje wobec podmiotów sektora publicznego</w:t>
            </w:r>
            <w:r w:rsidRPr="0097322F">
              <w:rPr>
                <w:rFonts w:ascii="Times New Roman" w:hAnsi="Times New Roman"/>
                <w:sz w:val="24"/>
              </w:rPr>
              <w:t xml:space="preserve"> </w:t>
            </w:r>
          </w:p>
          <w:p w14:paraId="1BBE065D" w14:textId="524818C4" w:rsidR="00535F36" w:rsidRPr="0097322F" w:rsidRDefault="00FF5357" w:rsidP="5A0D947F">
            <w:pPr>
              <w:spacing w:after="120"/>
              <w:jc w:val="both"/>
              <w:rPr>
                <w:rFonts w:ascii="Times New Roman" w:hAnsi="Times New Roman" w:cs="Times New Roman"/>
                <w:sz w:val="24"/>
              </w:rPr>
            </w:pPr>
            <w:r w:rsidRPr="0097322F">
              <w:rPr>
                <w:rFonts w:ascii="Times New Roman" w:hAnsi="Times New Roman"/>
                <w:sz w:val="24"/>
              </w:rPr>
              <w:t>Ekspozycje zdefiniowane w art. 4 ust. 1 pkt 8 rozporządzenia (UE) nr 575/2013, art. 112 lit. c) oraz art. 116 ust. 1, 2, 3, 4 i 5 rozporządzenia (UE) nr 575/2013 w odniesieniu do ekspozycji według metody standardowej.</w:t>
            </w:r>
          </w:p>
        </w:tc>
      </w:tr>
      <w:tr w:rsidR="00535F36" w:rsidRPr="0097322F" w14:paraId="273E3177" w14:textId="77777777" w:rsidTr="5A0D947F">
        <w:trPr>
          <w:trHeight w:val="699"/>
        </w:trPr>
        <w:tc>
          <w:tcPr>
            <w:tcW w:w="1413" w:type="dxa"/>
            <w:shd w:val="clear" w:color="auto" w:fill="auto"/>
          </w:tcPr>
          <w:p w14:paraId="265F0472" w14:textId="1D4E7D2F"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6</w:t>
            </w:r>
          </w:p>
        </w:tc>
        <w:tc>
          <w:tcPr>
            <w:tcW w:w="7654" w:type="dxa"/>
            <w:shd w:val="clear" w:color="auto" w:fill="auto"/>
          </w:tcPr>
          <w:p w14:paraId="78704303" w14:textId="1DA2D51A" w:rsidR="00FF5357" w:rsidRPr="0097322F" w:rsidRDefault="5682D6C4" w:rsidP="5A0D947F">
            <w:pPr>
              <w:spacing w:after="120"/>
              <w:jc w:val="both"/>
              <w:rPr>
                <w:rFonts w:ascii="Times New Roman" w:hAnsi="Times New Roman" w:cs="Times New Roman"/>
                <w:sz w:val="24"/>
              </w:rPr>
            </w:pPr>
            <w:r w:rsidRPr="0097322F">
              <w:rPr>
                <w:rFonts w:ascii="Times New Roman" w:hAnsi="Times New Roman"/>
                <w:b/>
                <w:sz w:val="24"/>
              </w:rPr>
              <w:t>Ekspozycje wobec przedsiębiorstw</w:t>
            </w:r>
            <w:r w:rsidRPr="0097322F">
              <w:rPr>
                <w:rFonts w:ascii="Times New Roman" w:hAnsi="Times New Roman"/>
                <w:sz w:val="24"/>
              </w:rPr>
              <w:t xml:space="preserve"> </w:t>
            </w:r>
          </w:p>
          <w:p w14:paraId="263A5792" w14:textId="0257AF9A" w:rsidR="00535F36" w:rsidRPr="0097322F" w:rsidRDefault="00FF5357" w:rsidP="5A0D947F">
            <w:pPr>
              <w:spacing w:after="120"/>
              <w:jc w:val="both"/>
              <w:rPr>
                <w:rFonts w:ascii="Times New Roman" w:hAnsi="Times New Roman" w:cs="Times New Roman"/>
                <w:sz w:val="24"/>
              </w:rPr>
            </w:pPr>
            <w:r w:rsidRPr="0097322F">
              <w:rPr>
                <w:rFonts w:ascii="Times New Roman" w:hAnsi="Times New Roman"/>
                <w:sz w:val="24"/>
              </w:rPr>
              <w:t>Ekspozycje zdefiniowane w art. 112 lit. g) i art. 122 rozporządzenia (UE) nr 575/2013.</w:t>
            </w:r>
          </w:p>
        </w:tc>
      </w:tr>
      <w:tr w:rsidR="00535F36" w:rsidRPr="0097322F" w14:paraId="10225A37" w14:textId="77777777" w:rsidTr="5A0D947F">
        <w:trPr>
          <w:trHeight w:val="699"/>
        </w:trPr>
        <w:tc>
          <w:tcPr>
            <w:tcW w:w="1413" w:type="dxa"/>
            <w:shd w:val="clear" w:color="auto" w:fill="auto"/>
          </w:tcPr>
          <w:p w14:paraId="05AFD83A" w14:textId="41C4FD2E"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6.1</w:t>
            </w:r>
          </w:p>
        </w:tc>
        <w:tc>
          <w:tcPr>
            <w:tcW w:w="7654" w:type="dxa"/>
            <w:shd w:val="clear" w:color="auto" w:fill="auto"/>
          </w:tcPr>
          <w:p w14:paraId="520CB388" w14:textId="38E1D245" w:rsidR="00FF5357" w:rsidRPr="0097322F" w:rsidRDefault="00FF5357" w:rsidP="5A0D947F">
            <w:pPr>
              <w:spacing w:after="120"/>
              <w:jc w:val="both"/>
              <w:rPr>
                <w:rFonts w:ascii="Times New Roman" w:hAnsi="Times New Roman" w:cs="Times New Roman"/>
                <w:b/>
                <w:bCs/>
                <w:sz w:val="24"/>
              </w:rPr>
            </w:pPr>
            <w:r w:rsidRPr="0097322F">
              <w:rPr>
                <w:rFonts w:ascii="Times New Roman" w:hAnsi="Times New Roman"/>
                <w:sz w:val="24"/>
              </w:rPr>
              <w:t xml:space="preserve"> </w:t>
            </w:r>
            <w:r w:rsidRPr="0097322F">
              <w:rPr>
                <w:rFonts w:ascii="Times New Roman" w:hAnsi="Times New Roman"/>
                <w:b/>
                <w:sz w:val="24"/>
              </w:rPr>
              <w:t>W tym: Kredytowanie specjalistyczne</w:t>
            </w:r>
          </w:p>
          <w:p w14:paraId="4606DB92" w14:textId="6A3BD835" w:rsidR="00535F36" w:rsidRPr="0097322F" w:rsidRDefault="00FF5357" w:rsidP="5A0D947F">
            <w:pPr>
              <w:spacing w:after="120"/>
              <w:jc w:val="both"/>
              <w:rPr>
                <w:rFonts w:ascii="Times New Roman" w:hAnsi="Times New Roman" w:cs="Times New Roman"/>
                <w:sz w:val="24"/>
              </w:rPr>
            </w:pPr>
            <w:r w:rsidRPr="0097322F">
              <w:rPr>
                <w:rFonts w:ascii="Times New Roman" w:hAnsi="Times New Roman"/>
                <w:sz w:val="24"/>
              </w:rPr>
              <w:t>Ekspozycje zdefiniowane w art. 122a rozporządzenia (UE) nr 575/2013.</w:t>
            </w:r>
          </w:p>
        </w:tc>
      </w:tr>
      <w:tr w:rsidR="00535F36" w:rsidRPr="0097322F" w14:paraId="2FFFC133" w14:textId="77777777" w:rsidTr="5A0D947F">
        <w:trPr>
          <w:trHeight w:val="699"/>
        </w:trPr>
        <w:tc>
          <w:tcPr>
            <w:tcW w:w="1413" w:type="dxa"/>
            <w:shd w:val="clear" w:color="auto" w:fill="auto"/>
          </w:tcPr>
          <w:p w14:paraId="10EBB238" w14:textId="1ADD0383"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7</w:t>
            </w:r>
          </w:p>
        </w:tc>
        <w:tc>
          <w:tcPr>
            <w:tcW w:w="7654" w:type="dxa"/>
            <w:shd w:val="clear" w:color="auto" w:fill="auto"/>
          </w:tcPr>
          <w:p w14:paraId="47E0CC5E" w14:textId="38F4C285" w:rsidR="00FF5357" w:rsidRPr="0097322F" w:rsidRDefault="00535F36" w:rsidP="00535F36">
            <w:pPr>
              <w:spacing w:after="120"/>
              <w:jc w:val="both"/>
              <w:rPr>
                <w:rFonts w:ascii="Times New Roman" w:eastAsiaTheme="minorHAnsi" w:hAnsi="Times New Roman" w:cs="Times New Roman"/>
                <w:b/>
                <w:bCs/>
                <w:sz w:val="24"/>
              </w:rPr>
            </w:pPr>
            <w:r w:rsidRPr="0097322F">
              <w:rPr>
                <w:rFonts w:ascii="Times New Roman" w:hAnsi="Times New Roman"/>
                <w:b/>
                <w:sz w:val="24"/>
              </w:rPr>
              <w:t>Ekspozycje z tytułu długu podporządkowanego i ekspozycje kapitałowe</w:t>
            </w:r>
          </w:p>
          <w:p w14:paraId="3D20D7B3" w14:textId="20D736B2" w:rsidR="00535F36" w:rsidRPr="0097322F" w:rsidRDefault="00FF5357" w:rsidP="00535F36">
            <w:pPr>
              <w:spacing w:after="120"/>
              <w:jc w:val="both"/>
              <w:rPr>
                <w:rFonts w:ascii="Times New Roman" w:eastAsiaTheme="minorHAnsi" w:hAnsi="Times New Roman" w:cs="Times New Roman"/>
                <w:sz w:val="24"/>
              </w:rPr>
            </w:pPr>
            <w:r w:rsidRPr="0097322F">
              <w:rPr>
                <w:rFonts w:ascii="Times New Roman" w:hAnsi="Times New Roman"/>
                <w:sz w:val="24"/>
              </w:rPr>
              <w:t>Suma ekspozycji w wierszach EU 7a i EU 7b.</w:t>
            </w:r>
          </w:p>
        </w:tc>
      </w:tr>
      <w:tr w:rsidR="00535F36" w:rsidRPr="0097322F" w14:paraId="18C3B0E5" w14:textId="77777777" w:rsidTr="5A0D947F">
        <w:trPr>
          <w:trHeight w:val="699"/>
        </w:trPr>
        <w:tc>
          <w:tcPr>
            <w:tcW w:w="1413" w:type="dxa"/>
            <w:shd w:val="clear" w:color="auto" w:fill="auto"/>
          </w:tcPr>
          <w:p w14:paraId="01A38CD6" w14:textId="4158C34A"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EU 7a</w:t>
            </w:r>
          </w:p>
        </w:tc>
        <w:tc>
          <w:tcPr>
            <w:tcW w:w="7654" w:type="dxa"/>
            <w:shd w:val="clear" w:color="auto" w:fill="auto"/>
          </w:tcPr>
          <w:p w14:paraId="235943EF" w14:textId="7B59FDFD" w:rsidR="00FF5357" w:rsidRPr="0097322F" w:rsidRDefault="5682D6C4" w:rsidP="5A0D947F">
            <w:pPr>
              <w:spacing w:after="120"/>
              <w:jc w:val="both"/>
              <w:rPr>
                <w:rFonts w:ascii="Times New Roman" w:hAnsi="Times New Roman" w:cs="Times New Roman"/>
                <w:b/>
                <w:bCs/>
                <w:sz w:val="24"/>
              </w:rPr>
            </w:pPr>
            <w:r w:rsidRPr="0097322F">
              <w:rPr>
                <w:rFonts w:ascii="Times New Roman" w:hAnsi="Times New Roman"/>
                <w:b/>
                <w:sz w:val="24"/>
              </w:rPr>
              <w:t>Ekspozycje z tytułu długu podporządkowanego</w:t>
            </w:r>
          </w:p>
          <w:p w14:paraId="7A5E8FE8" w14:textId="01CEFAA6" w:rsidR="00535F36" w:rsidRPr="0097322F" w:rsidRDefault="00FF5357" w:rsidP="5A0D947F">
            <w:pPr>
              <w:spacing w:after="120"/>
              <w:jc w:val="both"/>
              <w:rPr>
                <w:rFonts w:ascii="Times New Roman" w:hAnsi="Times New Roman" w:cs="Times New Roman"/>
                <w:sz w:val="24"/>
              </w:rPr>
            </w:pPr>
            <w:r w:rsidRPr="0097322F">
              <w:rPr>
                <w:rFonts w:ascii="Times New Roman" w:hAnsi="Times New Roman"/>
                <w:sz w:val="24"/>
              </w:rPr>
              <w:t>Ekspozycje zdefiniowane w art. 112 lit. k) rozporządzenia (UE) nr 575/2013 i art. 128 rozporządzenia (UE) nr 575/2013.</w:t>
            </w:r>
          </w:p>
        </w:tc>
      </w:tr>
      <w:tr w:rsidR="00535F36" w:rsidRPr="0097322F" w14:paraId="66F33C3B" w14:textId="77777777" w:rsidTr="5A0D947F">
        <w:trPr>
          <w:trHeight w:val="699"/>
        </w:trPr>
        <w:tc>
          <w:tcPr>
            <w:tcW w:w="1413" w:type="dxa"/>
            <w:shd w:val="clear" w:color="auto" w:fill="auto"/>
          </w:tcPr>
          <w:p w14:paraId="2665F8B7" w14:textId="5328C121"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EU 7b</w:t>
            </w:r>
          </w:p>
        </w:tc>
        <w:tc>
          <w:tcPr>
            <w:tcW w:w="7654" w:type="dxa"/>
            <w:shd w:val="clear" w:color="auto" w:fill="auto"/>
          </w:tcPr>
          <w:p w14:paraId="3BED8548" w14:textId="18A49974" w:rsidR="00FF5357" w:rsidRPr="0097322F" w:rsidRDefault="5682D6C4" w:rsidP="5A0D947F">
            <w:pPr>
              <w:spacing w:after="120"/>
              <w:jc w:val="both"/>
              <w:rPr>
                <w:rFonts w:ascii="Times New Roman" w:hAnsi="Times New Roman" w:cs="Times New Roman"/>
                <w:b/>
                <w:bCs/>
                <w:sz w:val="24"/>
              </w:rPr>
            </w:pPr>
            <w:r w:rsidRPr="0097322F">
              <w:rPr>
                <w:rFonts w:ascii="Times New Roman" w:hAnsi="Times New Roman"/>
                <w:b/>
                <w:sz w:val="24"/>
              </w:rPr>
              <w:t>Ekspozycje kapitałowe</w:t>
            </w:r>
          </w:p>
          <w:p w14:paraId="31034ED0" w14:textId="7C726DCB" w:rsidR="00535F36" w:rsidRPr="0097322F" w:rsidRDefault="00FF5357" w:rsidP="5A0D947F">
            <w:pPr>
              <w:spacing w:after="120"/>
              <w:jc w:val="both"/>
              <w:rPr>
                <w:rFonts w:ascii="Times New Roman" w:hAnsi="Times New Roman" w:cs="Times New Roman"/>
                <w:sz w:val="24"/>
              </w:rPr>
            </w:pPr>
            <w:r w:rsidRPr="0097322F">
              <w:rPr>
                <w:rFonts w:ascii="Times New Roman" w:hAnsi="Times New Roman"/>
                <w:sz w:val="24"/>
              </w:rPr>
              <w:t>Ekspozycje zdefiniowane w art. 112 lit. p) rozporządzenia (UE) nr 575/2013 i art. 133 ust. 1 rozporządzenia (UE) nr 575/2013.</w:t>
            </w:r>
          </w:p>
        </w:tc>
      </w:tr>
      <w:tr w:rsidR="00535F36" w:rsidRPr="0097322F" w14:paraId="19C205C7" w14:textId="77777777" w:rsidTr="5A0D947F">
        <w:trPr>
          <w:trHeight w:val="699"/>
        </w:trPr>
        <w:tc>
          <w:tcPr>
            <w:tcW w:w="1413" w:type="dxa"/>
            <w:shd w:val="clear" w:color="auto" w:fill="auto"/>
          </w:tcPr>
          <w:p w14:paraId="778DE6F5" w14:textId="772D6892"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w:t>
            </w:r>
          </w:p>
        </w:tc>
        <w:tc>
          <w:tcPr>
            <w:tcW w:w="7654" w:type="dxa"/>
            <w:shd w:val="clear" w:color="auto" w:fill="auto"/>
          </w:tcPr>
          <w:p w14:paraId="1AD83094" w14:textId="3714119C" w:rsidR="007F1438" w:rsidRPr="0097322F" w:rsidRDefault="5682D6C4" w:rsidP="5A0D947F">
            <w:pPr>
              <w:spacing w:after="120"/>
              <w:jc w:val="both"/>
              <w:rPr>
                <w:rFonts w:ascii="Times New Roman" w:hAnsi="Times New Roman" w:cs="Times New Roman"/>
                <w:b/>
                <w:bCs/>
                <w:sz w:val="24"/>
              </w:rPr>
            </w:pPr>
            <w:r w:rsidRPr="0097322F">
              <w:rPr>
                <w:rFonts w:ascii="Times New Roman" w:hAnsi="Times New Roman"/>
                <w:b/>
                <w:sz w:val="24"/>
              </w:rPr>
              <w:t>Ekspozycje zabezpieczone hipotekami na nieruchomościach oraz ekspozycje ADC</w:t>
            </w:r>
          </w:p>
          <w:p w14:paraId="01108BAD" w14:textId="7A881266" w:rsidR="00535F36" w:rsidRPr="0097322F" w:rsidRDefault="007F1438" w:rsidP="5A0D947F">
            <w:pPr>
              <w:spacing w:after="120"/>
              <w:jc w:val="both"/>
              <w:rPr>
                <w:rFonts w:ascii="Times New Roman" w:hAnsi="Times New Roman" w:cs="Times New Roman"/>
                <w:sz w:val="24"/>
              </w:rPr>
            </w:pPr>
            <w:r w:rsidRPr="0097322F">
              <w:rPr>
                <w:rFonts w:ascii="Times New Roman" w:hAnsi="Times New Roman"/>
                <w:sz w:val="24"/>
              </w:rPr>
              <w:lastRenderedPageBreak/>
              <w:t xml:space="preserve">W tej pozycji zgłasza się ekspozycje zabezpieczone nieruchomościami zdefiniowane w art. 4 ust. 1 pkt 75–75f rozporządzenia (UE) nr 575/2013 oraz ekspozycje zdefiniowane w art. 4 ust. 1 pkt 78a rozporządzenia (UE) nr 575/2013. </w:t>
            </w:r>
          </w:p>
          <w:p w14:paraId="19E24D73" w14:textId="6A0F3423" w:rsidR="00D60B05" w:rsidRPr="0097322F" w:rsidRDefault="00D60B05" w:rsidP="00535F36">
            <w:pPr>
              <w:spacing w:after="120"/>
              <w:jc w:val="both"/>
              <w:rPr>
                <w:rFonts w:ascii="Times New Roman" w:eastAsiaTheme="minorHAnsi" w:hAnsi="Times New Roman" w:cs="Times New Roman"/>
                <w:sz w:val="24"/>
              </w:rPr>
            </w:pPr>
            <w:r w:rsidRPr="0097322F">
              <w:rPr>
                <w:rFonts w:ascii="Times New Roman" w:hAnsi="Times New Roman"/>
                <w:sz w:val="24"/>
              </w:rPr>
              <w:t xml:space="preserve">Wiersz ten stanowi sumę wierszy 9.1, 9.2, 9.3, 9.4, 9.5. </w:t>
            </w:r>
          </w:p>
        </w:tc>
      </w:tr>
      <w:tr w:rsidR="00535F36" w:rsidRPr="0097322F" w14:paraId="02ECFA10" w14:textId="77777777" w:rsidTr="5A0D947F">
        <w:trPr>
          <w:trHeight w:val="699"/>
        </w:trPr>
        <w:tc>
          <w:tcPr>
            <w:tcW w:w="1413" w:type="dxa"/>
            <w:shd w:val="clear" w:color="auto" w:fill="auto"/>
          </w:tcPr>
          <w:p w14:paraId="64CD7987" w14:textId="5265FA6A"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lastRenderedPageBreak/>
              <w:t>9.1</w:t>
            </w:r>
          </w:p>
        </w:tc>
        <w:tc>
          <w:tcPr>
            <w:tcW w:w="7654" w:type="dxa"/>
            <w:shd w:val="clear" w:color="auto" w:fill="auto"/>
          </w:tcPr>
          <w:p w14:paraId="767946BA" w14:textId="417EA438" w:rsidR="007F1438" w:rsidRPr="0097322F" w:rsidRDefault="00535F36" w:rsidP="00535F36">
            <w:pPr>
              <w:spacing w:after="120"/>
              <w:jc w:val="both"/>
              <w:rPr>
                <w:rFonts w:ascii="Times New Roman" w:eastAsiaTheme="minorHAnsi" w:hAnsi="Times New Roman" w:cs="Times New Roman"/>
                <w:b/>
                <w:bCs/>
                <w:sz w:val="24"/>
              </w:rPr>
            </w:pPr>
            <w:r w:rsidRPr="0097322F">
              <w:rPr>
                <w:rFonts w:ascii="Times New Roman" w:hAnsi="Times New Roman"/>
                <w:b/>
                <w:sz w:val="24"/>
              </w:rPr>
              <w:t>Ekspozycje zabezpieczone hipotekami na nieruchomościach mieszkalnych niegenerujących dochodu</w:t>
            </w:r>
          </w:p>
          <w:p w14:paraId="4DB2B534" w14:textId="5136C073" w:rsidR="00535F36" w:rsidRPr="0097322F" w:rsidRDefault="007F1438" w:rsidP="00535F36">
            <w:pPr>
              <w:spacing w:after="120"/>
              <w:jc w:val="both"/>
              <w:rPr>
                <w:rFonts w:ascii="Times New Roman" w:hAnsi="Times New Roman" w:cs="Times New Roman"/>
                <w:bCs/>
                <w:sz w:val="24"/>
              </w:rPr>
            </w:pPr>
            <w:r w:rsidRPr="0097322F">
              <w:rPr>
                <w:rFonts w:ascii="Times New Roman" w:hAnsi="Times New Roman"/>
                <w:sz w:val="24"/>
              </w:rPr>
              <w:t>W tej pozycji zgłasza się ekspozycje traktowane zgodnie z art. 125 ust. 1 rozporządzenia (UE) nr 575/2013.</w:t>
            </w:r>
          </w:p>
          <w:p w14:paraId="39BC2BE6" w14:textId="40A39FE4" w:rsidR="00FD6952" w:rsidRPr="0097322F" w:rsidRDefault="00FD6952" w:rsidP="00FB64CF">
            <w:pPr>
              <w:spacing w:after="120"/>
              <w:jc w:val="both"/>
              <w:rPr>
                <w:rFonts w:eastAsiaTheme="minorHAnsi"/>
              </w:rPr>
            </w:pPr>
            <w:r w:rsidRPr="0097322F">
              <w:rPr>
                <w:rFonts w:ascii="Times New Roman" w:hAnsi="Times New Roman"/>
                <w:sz w:val="24"/>
              </w:rPr>
              <w:t>W tym wierszu ujawnia się również: inne ekspozycje zabezpieczone hipotekami na nieruchomościach mieszkalnych niegenerujących dochodu, które nie spełniają warunków określonych w art. 124 ust. 3, lub każdą część ekspozycji niebędącej ekspozycją ADC, która przekracza kwotę nominalną zastawu na nieruchomości, o której to ekspozycji mowa w art. 124 ust. 1 lit. a) rozporządzenia (UE) nr 575/2013.</w:t>
            </w:r>
          </w:p>
        </w:tc>
      </w:tr>
      <w:tr w:rsidR="00535F36" w:rsidRPr="0097322F" w14:paraId="095056BC" w14:textId="77777777" w:rsidTr="5A0D947F">
        <w:trPr>
          <w:trHeight w:val="699"/>
        </w:trPr>
        <w:tc>
          <w:tcPr>
            <w:tcW w:w="1413" w:type="dxa"/>
            <w:shd w:val="clear" w:color="auto" w:fill="auto"/>
          </w:tcPr>
          <w:p w14:paraId="5841F3AE" w14:textId="39B6E246"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9.2</w:t>
            </w:r>
          </w:p>
        </w:tc>
        <w:tc>
          <w:tcPr>
            <w:tcW w:w="7654" w:type="dxa"/>
            <w:shd w:val="clear" w:color="auto" w:fill="auto"/>
          </w:tcPr>
          <w:p w14:paraId="0A4DA91A" w14:textId="6039BA7A" w:rsidR="007F1438" w:rsidRPr="0097322F" w:rsidRDefault="5682D6C4" w:rsidP="5A0D947F">
            <w:pPr>
              <w:spacing w:after="120"/>
              <w:jc w:val="both"/>
              <w:rPr>
                <w:rFonts w:ascii="Times New Roman" w:hAnsi="Times New Roman" w:cs="Times New Roman"/>
                <w:b/>
                <w:bCs/>
                <w:sz w:val="24"/>
              </w:rPr>
            </w:pPr>
            <w:r w:rsidRPr="0097322F">
              <w:rPr>
                <w:rFonts w:ascii="Times New Roman" w:hAnsi="Times New Roman"/>
                <w:b/>
                <w:sz w:val="24"/>
              </w:rPr>
              <w:t>Ekspozycje zabezpieczone hipotekami na nieruchomościach mieszkalnych generujących dochód</w:t>
            </w:r>
          </w:p>
          <w:p w14:paraId="683E626E" w14:textId="03E1AF1F" w:rsidR="00535F36" w:rsidRPr="0097322F" w:rsidRDefault="007F1438" w:rsidP="5A0D947F">
            <w:pPr>
              <w:spacing w:after="120"/>
              <w:jc w:val="both"/>
              <w:rPr>
                <w:rFonts w:ascii="Times New Roman" w:hAnsi="Times New Roman" w:cs="Times New Roman"/>
                <w:sz w:val="24"/>
              </w:rPr>
            </w:pPr>
            <w:r w:rsidRPr="0097322F">
              <w:rPr>
                <w:rFonts w:ascii="Times New Roman" w:hAnsi="Times New Roman"/>
                <w:sz w:val="24"/>
              </w:rPr>
              <w:t>W tej pozycji zgłasza się wyłącznie ekspozycje, które spełniają definicję zawartą w art. 4 ust. 1 pkt 75b rozporządzenia (UE) nr 575/2013, w tym ekspozycje związane z nieruchomością generującą dochód (IPRE) spełniające którykolwiek z warunków określonych w art. 124 ust. 2 lit. a) pkt (ii) ppkt 1–4 rozporządzenia (UE) nr 575/2013; ekspozycje IPRE, w przypadku gdy stosuje się odstępstwo określone w art. 125 ust. 2 rozporządzenia (UE) nr 575/2013.</w:t>
            </w:r>
          </w:p>
          <w:p w14:paraId="752E3912" w14:textId="33220D5C" w:rsidR="00900E99" w:rsidRPr="0097322F" w:rsidRDefault="00900E99" w:rsidP="5A0D947F">
            <w:pPr>
              <w:spacing w:after="120"/>
              <w:jc w:val="both"/>
              <w:rPr>
                <w:rFonts w:ascii="Times New Roman" w:hAnsi="Times New Roman" w:cs="Times New Roman"/>
                <w:sz w:val="24"/>
              </w:rPr>
            </w:pPr>
            <w:r w:rsidRPr="0097322F">
              <w:rPr>
                <w:rFonts w:ascii="Times New Roman" w:hAnsi="Times New Roman"/>
                <w:sz w:val="24"/>
              </w:rPr>
              <w:t>W tym wierszu ujawnia się również inne ekspozycje zabezpieczone hipotekami na nieruchomościach mieszkalnych generujących dochód, które nie spełniają warunków określonych w art. 124 ust. 3, lub każdą część ekspozycji niebędącej ekspozycją ADC, która przekracza kwotę nominalną zastawu na nieruchomości, o której to ekspozycji mowa w art. 124 ust. 1 lit. b) rozporządzenia (UE) nr 575/2013.</w:t>
            </w:r>
          </w:p>
        </w:tc>
      </w:tr>
      <w:tr w:rsidR="00535F36" w:rsidRPr="0097322F" w14:paraId="52BA9448" w14:textId="77777777" w:rsidTr="5A0D947F">
        <w:trPr>
          <w:trHeight w:val="699"/>
        </w:trPr>
        <w:tc>
          <w:tcPr>
            <w:tcW w:w="1413" w:type="dxa"/>
            <w:shd w:val="clear" w:color="auto" w:fill="auto"/>
          </w:tcPr>
          <w:p w14:paraId="6A1C330D" w14:textId="5A3E34A5"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9.3</w:t>
            </w:r>
          </w:p>
        </w:tc>
        <w:tc>
          <w:tcPr>
            <w:tcW w:w="7654" w:type="dxa"/>
            <w:shd w:val="clear" w:color="auto" w:fill="auto"/>
          </w:tcPr>
          <w:p w14:paraId="4E2BB22E" w14:textId="65455CC2" w:rsidR="007F1438" w:rsidRPr="0097322F" w:rsidRDefault="00535F36" w:rsidP="00535F36">
            <w:pPr>
              <w:spacing w:after="120"/>
              <w:jc w:val="both"/>
              <w:rPr>
                <w:rFonts w:ascii="Times New Roman" w:eastAsiaTheme="minorHAnsi" w:hAnsi="Times New Roman" w:cs="Times New Roman"/>
                <w:b/>
                <w:bCs/>
                <w:sz w:val="24"/>
              </w:rPr>
            </w:pPr>
            <w:r w:rsidRPr="0097322F">
              <w:rPr>
                <w:rFonts w:ascii="Times New Roman" w:hAnsi="Times New Roman"/>
                <w:b/>
                <w:sz w:val="24"/>
              </w:rPr>
              <w:t xml:space="preserve">Ekspozycje zabezpieczone hipotekami na nieruchomościach komercyjnych niegenerujących dochodu </w:t>
            </w:r>
          </w:p>
          <w:p w14:paraId="599BA328" w14:textId="126EA28D" w:rsidR="00535F36" w:rsidRPr="0097322F" w:rsidRDefault="007F1438" w:rsidP="00535F36">
            <w:pPr>
              <w:spacing w:after="120"/>
              <w:jc w:val="both"/>
              <w:rPr>
                <w:rFonts w:ascii="Times New Roman" w:hAnsi="Times New Roman" w:cs="Times New Roman"/>
                <w:bCs/>
                <w:sz w:val="24"/>
              </w:rPr>
            </w:pPr>
            <w:r w:rsidRPr="0097322F">
              <w:rPr>
                <w:rFonts w:ascii="Times New Roman" w:hAnsi="Times New Roman"/>
                <w:sz w:val="24"/>
              </w:rPr>
              <w:t>W tej pozycji zgłasza się ekspozycje traktowane zgodnie z art. 126 ust. 1 rozporządzenia (UE) nr 575/2013.</w:t>
            </w:r>
          </w:p>
          <w:p w14:paraId="56DF61DF" w14:textId="3ED6FADA" w:rsidR="00A93447" w:rsidRPr="0097322F" w:rsidRDefault="00A93447" w:rsidP="00900E99">
            <w:pPr>
              <w:spacing w:after="120"/>
              <w:jc w:val="both"/>
              <w:rPr>
                <w:rFonts w:ascii="Times New Roman" w:eastAsiaTheme="minorHAnsi" w:hAnsi="Times New Roman"/>
                <w:sz w:val="24"/>
              </w:rPr>
            </w:pPr>
            <w:r w:rsidRPr="0097322F">
              <w:rPr>
                <w:rFonts w:ascii="Times New Roman" w:hAnsi="Times New Roman"/>
                <w:sz w:val="24"/>
              </w:rPr>
              <w:t>W tym wierszu ujawnia się również: inne ekspozycje zabezpieczone hipotekami na nieruchomościach komercyjnych niegenerujących dochodu, które nie spełniają warunków określonych w art. 124 ust. 3, lub każdą część ekspozycji niebędącej ekspozycją ADC, która przekracza kwotę nominalną zastawu na nieruchomości, o której to ekspozycji mowa w art. 124 ust. 1 lit. a) rozporządzenia (UE) nr 575/2013.</w:t>
            </w:r>
          </w:p>
        </w:tc>
      </w:tr>
      <w:tr w:rsidR="00535F36" w:rsidRPr="0097322F" w14:paraId="134726BE" w14:textId="77777777" w:rsidTr="5A0D947F">
        <w:trPr>
          <w:trHeight w:val="699"/>
        </w:trPr>
        <w:tc>
          <w:tcPr>
            <w:tcW w:w="1413" w:type="dxa"/>
            <w:shd w:val="clear" w:color="auto" w:fill="auto"/>
          </w:tcPr>
          <w:p w14:paraId="5AD77A0D" w14:textId="22AC797D" w:rsidR="00535F36" w:rsidRPr="0097322F" w:rsidRDefault="00535F36"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9.4</w:t>
            </w:r>
          </w:p>
        </w:tc>
        <w:tc>
          <w:tcPr>
            <w:tcW w:w="7654" w:type="dxa"/>
            <w:shd w:val="clear" w:color="auto" w:fill="auto"/>
          </w:tcPr>
          <w:p w14:paraId="606B4A71" w14:textId="586254A3" w:rsidR="00FB4914" w:rsidRPr="0097322F" w:rsidRDefault="5682D6C4" w:rsidP="5A0D947F">
            <w:pPr>
              <w:spacing w:after="120"/>
              <w:jc w:val="both"/>
              <w:rPr>
                <w:rFonts w:ascii="Times New Roman" w:hAnsi="Times New Roman" w:cs="Times New Roman"/>
                <w:b/>
                <w:bCs/>
                <w:sz w:val="24"/>
              </w:rPr>
            </w:pPr>
            <w:r w:rsidRPr="0097322F">
              <w:rPr>
                <w:rFonts w:ascii="Times New Roman" w:hAnsi="Times New Roman"/>
                <w:b/>
                <w:sz w:val="24"/>
              </w:rPr>
              <w:t>Ekspozycje zabezpieczone hipotekami na nieruchomościach komercyjnych generujących dochód</w:t>
            </w:r>
          </w:p>
          <w:p w14:paraId="570AD855" w14:textId="377A4690" w:rsidR="00535F36" w:rsidRPr="0097322F" w:rsidRDefault="00FB4914" w:rsidP="5A0D947F">
            <w:pPr>
              <w:spacing w:after="120"/>
              <w:jc w:val="both"/>
              <w:rPr>
                <w:rFonts w:ascii="Times New Roman" w:hAnsi="Times New Roman" w:cs="Times New Roman"/>
                <w:sz w:val="24"/>
              </w:rPr>
            </w:pPr>
            <w:r w:rsidRPr="0097322F">
              <w:rPr>
                <w:rFonts w:ascii="Times New Roman" w:hAnsi="Times New Roman"/>
                <w:sz w:val="24"/>
              </w:rPr>
              <w:t xml:space="preserve">W tej pozycji zgłasza się ekspozycje, które spełniają definicję zawartą w art. 4 ust. 1 pkt 75b i art. 124 ust. 2 lit. b) pkt (ii) rozporządzenia (UE) nr 575/2013, </w:t>
            </w:r>
            <w:r w:rsidRPr="0097322F">
              <w:rPr>
                <w:rFonts w:ascii="Times New Roman" w:hAnsi="Times New Roman"/>
                <w:sz w:val="24"/>
              </w:rPr>
              <w:lastRenderedPageBreak/>
              <w:t>w tym ekspozycje IPRE, w przypadku gdy stosuje się odstępstwo określone w art. 126 ust. 2 rozporządzenia (UE) nr 575/2013.</w:t>
            </w:r>
          </w:p>
          <w:p w14:paraId="17723425" w14:textId="4CA6C755" w:rsidR="00900E99" w:rsidRPr="0097322F" w:rsidRDefault="00900E99" w:rsidP="5A0D947F">
            <w:pPr>
              <w:spacing w:after="120"/>
              <w:jc w:val="both"/>
              <w:rPr>
                <w:rFonts w:ascii="Times New Roman" w:hAnsi="Times New Roman" w:cs="Times New Roman"/>
                <w:sz w:val="24"/>
              </w:rPr>
            </w:pPr>
            <w:r w:rsidRPr="0097322F">
              <w:rPr>
                <w:rFonts w:ascii="Times New Roman" w:hAnsi="Times New Roman"/>
                <w:sz w:val="24"/>
              </w:rPr>
              <w:t>W tym wierszu ujawnia się również inne ekspozycje zabezpieczone hipotekami na nieruchomościach komercyjnych generujących dochód, które nie spełniają warunków określonych w art. 124 ust. 3, lub każdą część ekspozycji niebędącej ekspozycją ADC, która przekracza kwotę nominalną zastawu na nieruchomości, o której to ekspozycji mowa w art. 124 ust. 1 lit. b) rozporządzenia (UE) nr 575/2013.</w:t>
            </w:r>
          </w:p>
        </w:tc>
      </w:tr>
      <w:tr w:rsidR="00395831" w:rsidRPr="0097322F" w14:paraId="49538D8A" w14:textId="77777777" w:rsidTr="00FB64CF">
        <w:trPr>
          <w:trHeight w:val="699"/>
        </w:trPr>
        <w:tc>
          <w:tcPr>
            <w:tcW w:w="1413" w:type="dxa"/>
            <w:shd w:val="clear" w:color="auto" w:fill="D9D9D9" w:themeFill="background1" w:themeFillShade="D9"/>
          </w:tcPr>
          <w:p w14:paraId="63BD0DD8" w14:textId="72A0B6E9" w:rsidR="00395831" w:rsidRPr="0097322F" w:rsidRDefault="00395831" w:rsidP="00535F3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lastRenderedPageBreak/>
              <w:t>11</w:t>
            </w:r>
          </w:p>
        </w:tc>
        <w:tc>
          <w:tcPr>
            <w:tcW w:w="7654" w:type="dxa"/>
            <w:shd w:val="clear" w:color="auto" w:fill="D9D9D9" w:themeFill="background1" w:themeFillShade="D9"/>
          </w:tcPr>
          <w:p w14:paraId="66C90862" w14:textId="75D35FB5" w:rsidR="00395831" w:rsidRPr="0097322F" w:rsidRDefault="00395831" w:rsidP="5A0D947F">
            <w:pPr>
              <w:spacing w:after="120"/>
              <w:jc w:val="both"/>
              <w:rPr>
                <w:rFonts w:ascii="Times New Roman" w:hAnsi="Times New Roman" w:cs="Times New Roman"/>
                <w:sz w:val="24"/>
              </w:rPr>
            </w:pPr>
            <w:r w:rsidRPr="0097322F">
              <w:rPr>
                <w:rFonts w:ascii="Times New Roman" w:hAnsi="Times New Roman"/>
                <w:sz w:val="24"/>
              </w:rPr>
              <w:t>Nie dotyczy</w:t>
            </w:r>
          </w:p>
        </w:tc>
      </w:tr>
      <w:tr w:rsidR="00395831" w:rsidRPr="0097322F" w14:paraId="55E3893A" w14:textId="77777777" w:rsidTr="5A0D947F">
        <w:trPr>
          <w:trHeight w:val="558"/>
        </w:trPr>
        <w:tc>
          <w:tcPr>
            <w:tcW w:w="1413" w:type="dxa"/>
          </w:tcPr>
          <w:p w14:paraId="662AB193" w14:textId="4746E76F" w:rsidR="00395831" w:rsidRPr="0097322F" w:rsidRDefault="00395831">
            <w:pPr>
              <w:spacing w:after="120"/>
              <w:jc w:val="both"/>
              <w:rPr>
                <w:rFonts w:ascii="Times New Roman" w:eastAsia="Times New Roman" w:hAnsi="Times New Roman" w:cs="Times New Roman"/>
                <w:sz w:val="24"/>
              </w:rPr>
            </w:pPr>
            <w:r w:rsidRPr="0097322F">
              <w:rPr>
                <w:rFonts w:ascii="Times New Roman" w:hAnsi="Times New Roman"/>
                <w:sz w:val="24"/>
              </w:rPr>
              <w:t>12</w:t>
            </w:r>
          </w:p>
        </w:tc>
        <w:tc>
          <w:tcPr>
            <w:tcW w:w="7654" w:type="dxa"/>
          </w:tcPr>
          <w:p w14:paraId="132C0D24" w14:textId="77777777" w:rsidR="00395831" w:rsidRPr="0097322F" w:rsidRDefault="00395831" w:rsidP="00926A01">
            <w:pPr>
              <w:spacing w:after="120"/>
              <w:jc w:val="both"/>
              <w:rPr>
                <w:rFonts w:ascii="Times New Roman" w:hAnsi="Times New Roman" w:cs="Times New Roman"/>
                <w:b/>
                <w:bCs/>
                <w:sz w:val="24"/>
              </w:rPr>
            </w:pPr>
            <w:r w:rsidRPr="0097322F">
              <w:rPr>
                <w:rFonts w:ascii="Times New Roman" w:hAnsi="Times New Roman"/>
                <w:b/>
                <w:sz w:val="24"/>
              </w:rPr>
              <w:t xml:space="preserve">„Ogółem” </w:t>
            </w:r>
          </w:p>
          <w:p w14:paraId="55987C40" w14:textId="74538114" w:rsidR="00395831" w:rsidRPr="0097322F" w:rsidRDefault="00395831" w:rsidP="5A0D947F">
            <w:pPr>
              <w:spacing w:after="120"/>
              <w:jc w:val="both"/>
              <w:rPr>
                <w:rFonts w:ascii="Times New Roman" w:hAnsi="Times New Roman" w:cs="Times New Roman"/>
                <w:sz w:val="24"/>
              </w:rPr>
            </w:pPr>
            <w:r w:rsidRPr="0097322F">
              <w:rPr>
                <w:rFonts w:ascii="Times New Roman" w:hAnsi="Times New Roman"/>
                <w:sz w:val="24"/>
              </w:rPr>
              <w:t>Suma ekspozycji w wierszach 1, 2, 3, EU 3a, 4, 5, 6, 7, 8, 9, 10, EU 10a, EU 10b, EU 10c powyżej.</w:t>
            </w:r>
          </w:p>
        </w:tc>
      </w:tr>
    </w:tbl>
    <w:p w14:paraId="137E3992" w14:textId="77777777" w:rsidR="0005278F" w:rsidRPr="0097322F" w:rsidRDefault="0005278F" w:rsidP="0005278F">
      <w:pPr>
        <w:spacing w:after="120"/>
        <w:rPr>
          <w:rFonts w:ascii="Times New Roman" w:hAnsi="Times New Roman" w:cs="Times New Roman"/>
          <w:sz w:val="24"/>
        </w:rPr>
      </w:pPr>
    </w:p>
    <w:p w14:paraId="137E3993" w14:textId="77777777" w:rsidR="0005278F" w:rsidRPr="0097322F" w:rsidRDefault="0005278F" w:rsidP="0005278F">
      <w:pPr>
        <w:spacing w:after="120"/>
        <w:rPr>
          <w:rFonts w:ascii="Times New Roman" w:hAnsi="Times New Roman" w:cs="Times New Roman"/>
          <w:sz w:val="24"/>
        </w:rPr>
      </w:pPr>
      <w:r w:rsidRPr="0097322F">
        <w:rPr>
          <w:rFonts w:ascii="Times New Roman" w:hAnsi="Times New Roman"/>
          <w:b/>
          <w:sz w:val="24"/>
        </w:rPr>
        <w:t>Wzór EU CR5 – Metoda standardowa</w:t>
      </w:r>
      <w:r w:rsidRPr="0097322F">
        <w:rPr>
          <w:rFonts w:ascii="Times New Roman" w:hAnsi="Times New Roman"/>
          <w:sz w:val="24"/>
        </w:rPr>
        <w:t>. Format stały</w:t>
      </w:r>
    </w:p>
    <w:p w14:paraId="137E3994" w14:textId="0AE68309" w:rsidR="0005278F" w:rsidRPr="0097322F" w:rsidRDefault="0005278F" w:rsidP="5A0D947F">
      <w:pPr>
        <w:pStyle w:val="ListParagraph"/>
        <w:numPr>
          <w:ilvl w:val="0"/>
          <w:numId w:val="1"/>
        </w:numPr>
        <w:spacing w:after="120"/>
        <w:ind w:left="425" w:hanging="357"/>
        <w:jc w:val="both"/>
        <w:rPr>
          <w:rFonts w:ascii="Times New Roman" w:hAnsi="Times New Roman"/>
          <w:sz w:val="24"/>
          <w:szCs w:val="24"/>
        </w:rPr>
      </w:pPr>
      <w:r w:rsidRPr="0097322F">
        <w:rPr>
          <w:rFonts w:ascii="Times New Roman" w:hAnsi="Times New Roman"/>
          <w:sz w:val="24"/>
        </w:rPr>
        <w:t>W celu wypełnienia wzoru EU CR5 zamieszczonego w załączniku XIX do rozwiązań informatycznych EUNB instytucje ujawniają informacje, o których mowa w art. 444 lit. e) rozporządzenia (UE) nr 575/2013, zgodnie z poniższymi instrukcjami zawartymi w niniejszym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97322F"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97322F" w:rsidRDefault="0005278F" w:rsidP="004F3087">
            <w:pPr>
              <w:autoSpaceDE w:val="0"/>
              <w:autoSpaceDN w:val="0"/>
              <w:adjustRightInd w:val="0"/>
              <w:spacing w:after="120"/>
              <w:rPr>
                <w:rFonts w:ascii="Times New Roman" w:hAnsi="Times New Roman" w:cs="Times New Roman"/>
                <w:b/>
                <w:sz w:val="24"/>
              </w:rPr>
            </w:pPr>
            <w:r w:rsidRPr="0097322F">
              <w:rPr>
                <w:rFonts w:ascii="Times New Roman" w:hAnsi="Times New Roman"/>
                <w:b/>
                <w:sz w:val="24"/>
              </w:rPr>
              <w:t>Oznaczenie kolumny</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97322F" w:rsidRDefault="0005278F" w:rsidP="004F3087">
            <w:pPr>
              <w:spacing w:after="120"/>
              <w:rPr>
                <w:rFonts w:ascii="Times New Roman" w:hAnsi="Times New Roman" w:cs="Times New Roman"/>
                <w:b/>
                <w:sz w:val="24"/>
              </w:rPr>
            </w:pPr>
            <w:r w:rsidRPr="0097322F">
              <w:rPr>
                <w:rFonts w:ascii="Times New Roman" w:hAnsi="Times New Roman"/>
                <w:b/>
                <w:sz w:val="24"/>
              </w:rPr>
              <w:t>Odniesienia prawne i instrukcje</w:t>
            </w:r>
          </w:p>
        </w:tc>
      </w:tr>
      <w:tr w:rsidR="0005278F" w:rsidRPr="0097322F" w14:paraId="137E399A" w14:textId="77777777" w:rsidTr="5A0D947F">
        <w:trPr>
          <w:trHeight w:val="277"/>
        </w:trPr>
        <w:tc>
          <w:tcPr>
            <w:tcW w:w="1413" w:type="dxa"/>
            <w:vMerge/>
          </w:tcPr>
          <w:p w14:paraId="137E3998" w14:textId="77777777" w:rsidR="0005278F" w:rsidRPr="0097322F"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97322F" w:rsidRDefault="0005278F" w:rsidP="004F3087">
            <w:pPr>
              <w:spacing w:after="120"/>
              <w:rPr>
                <w:rFonts w:ascii="Times New Roman" w:hAnsi="Times New Roman" w:cs="Times New Roman"/>
                <w:b/>
                <w:sz w:val="24"/>
              </w:rPr>
            </w:pPr>
            <w:r w:rsidRPr="0097322F">
              <w:rPr>
                <w:rFonts w:ascii="Times New Roman" w:hAnsi="Times New Roman"/>
                <w:b/>
                <w:sz w:val="24"/>
              </w:rPr>
              <w:t>Wyjaśnienie</w:t>
            </w:r>
          </w:p>
        </w:tc>
      </w:tr>
      <w:tr w:rsidR="0005278F" w:rsidRPr="0097322F" w14:paraId="137E399E" w14:textId="77777777" w:rsidTr="5A0D947F">
        <w:trPr>
          <w:trHeight w:val="316"/>
        </w:trPr>
        <w:tc>
          <w:tcPr>
            <w:tcW w:w="1413" w:type="dxa"/>
            <w:vAlign w:val="center"/>
          </w:tcPr>
          <w:p w14:paraId="137E399B" w14:textId="22A2BDCD" w:rsidR="0005278F" w:rsidRPr="0097322F" w:rsidRDefault="0005278F"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t>a–y</w:t>
            </w:r>
          </w:p>
        </w:tc>
        <w:tc>
          <w:tcPr>
            <w:tcW w:w="7654" w:type="dxa"/>
          </w:tcPr>
          <w:p w14:paraId="137E399C"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 xml:space="preserve">Waga ryzyka: </w:t>
            </w:r>
          </w:p>
          <w:p w14:paraId="137E399D" w14:textId="6FB71B4F" w:rsidR="0005278F" w:rsidRPr="0097322F" w:rsidRDefault="0005278F" w:rsidP="004F3087">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Instytucje ujawniają informacje na temat przypisania wag ryzyka w ramach danej kategorii ekspozycji zgodnie z częścią trzecią tytuł II rozdział 2 sekcja 2 rozporządzenia (UE) nr 575/2013.</w:t>
            </w:r>
          </w:p>
        </w:tc>
      </w:tr>
      <w:tr w:rsidR="0005278F" w:rsidRPr="0097322F" w14:paraId="137E39A5" w14:textId="77777777" w:rsidTr="5A0D947F">
        <w:trPr>
          <w:trHeight w:val="316"/>
        </w:trPr>
        <w:tc>
          <w:tcPr>
            <w:tcW w:w="1413" w:type="dxa"/>
            <w:vAlign w:val="center"/>
          </w:tcPr>
          <w:p w14:paraId="137E399F" w14:textId="58582E93" w:rsidR="0005278F" w:rsidRPr="0097322F" w:rsidRDefault="00AF4BEA"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t>z</w:t>
            </w:r>
          </w:p>
        </w:tc>
        <w:tc>
          <w:tcPr>
            <w:tcW w:w="7654" w:type="dxa"/>
          </w:tcPr>
          <w:p w14:paraId="137E39A0"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 xml:space="preserve">Ogółem: </w:t>
            </w:r>
          </w:p>
          <w:p w14:paraId="137E39A1"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iCs/>
                <w:sz w:val="24"/>
              </w:rPr>
            </w:pPr>
            <w:r w:rsidRPr="0097322F">
              <w:rPr>
                <w:rFonts w:ascii="Times New Roman" w:hAnsi="Times New Roman"/>
                <w:sz w:val="24"/>
              </w:rPr>
              <w:t xml:space="preserve">Całkowita kwota ekspozycji bilansowych i pozabilansowych objętych zakresem konsolidacji ostrożnościowej: </w:t>
            </w:r>
          </w:p>
          <w:p w14:paraId="137E39A2" w14:textId="6B6AE66E" w:rsidR="0005278F" w:rsidRPr="0097322F" w:rsidRDefault="0005278F" w:rsidP="5A0D947F">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 po dokonaniu korekt z tytułu szczególnego ryzyka kredytowego zgodnie z art. 110 rozporządzenia (UE) nr 575/2013, dodatkowych korekt wartości zgodnie z art. 34 i 105 rozporządzenia (UE) nr 575/2013, odliczenia kwot zgodnie z art. 36 ust. 1 lit. m) rozporządzenia (UE) nr 575/2013, innych redukcji funduszy własnych i odpisów (jak określono w mających zastosowanie standardach rachunkowości) w odniesieniu do ekspozycji bilansowych zgodnie z art. 111 rozporządzenia (UE) nr 575/2013;</w:t>
            </w:r>
          </w:p>
          <w:p w14:paraId="137E39A3" w14:textId="5D0C5323" w:rsidR="0005278F" w:rsidRPr="0097322F" w:rsidRDefault="0005278F" w:rsidP="5A0D947F">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 po pomniejszeniu o korekty z tytułu szczególnego ryzyka kredytowego i odliczenia kwot zgodnie z art. 36 ust. 1 lit. m) rozporządzenia (UE) nr 575/2013 w odniesieniu do ekspozycji pozabilansowych zgodnie z art. 111 rozporządzenia (UE) nr 575/2013;</w:t>
            </w:r>
          </w:p>
          <w:p w14:paraId="137E39A4"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iCs/>
                <w:sz w:val="24"/>
              </w:rPr>
            </w:pPr>
            <w:r w:rsidRPr="0097322F">
              <w:rPr>
                <w:rFonts w:ascii="Times New Roman" w:hAnsi="Times New Roman"/>
                <w:sz w:val="24"/>
              </w:rPr>
              <w:t xml:space="preserve">– po (i) zastosowaniu współczynników konwersji określonych w tym samym artykule oraz (ii) zastosowaniu technik ograniczania ryzyka kredytowego </w:t>
            </w:r>
            <w:r w:rsidRPr="0097322F">
              <w:rPr>
                <w:rFonts w:ascii="Times New Roman" w:hAnsi="Times New Roman"/>
                <w:sz w:val="24"/>
              </w:rPr>
              <w:lastRenderedPageBreak/>
              <w:t>określonych w części trzeciej tytuł II rozdział 4 rozporządzenia (UE) nr 575/2013 w odniesieniu do ekspozycji bilansowych i pozabilansowych.</w:t>
            </w:r>
          </w:p>
        </w:tc>
      </w:tr>
      <w:tr w:rsidR="0005278F" w:rsidRPr="0097322F" w14:paraId="137E39A9" w14:textId="77777777" w:rsidTr="5A0D947F">
        <w:trPr>
          <w:trHeight w:val="316"/>
        </w:trPr>
        <w:tc>
          <w:tcPr>
            <w:tcW w:w="1413" w:type="dxa"/>
            <w:vAlign w:val="center"/>
          </w:tcPr>
          <w:p w14:paraId="137E39A6" w14:textId="0F8A40D0" w:rsidR="0005278F" w:rsidRPr="0097322F" w:rsidRDefault="00AF4BEA" w:rsidP="004F3087">
            <w:pPr>
              <w:autoSpaceDE w:val="0"/>
              <w:autoSpaceDN w:val="0"/>
              <w:adjustRightInd w:val="0"/>
              <w:spacing w:after="120"/>
              <w:rPr>
                <w:rFonts w:ascii="Times New Roman" w:eastAsia="Times New Roman" w:hAnsi="Times New Roman" w:cs="Times New Roman"/>
                <w:sz w:val="24"/>
              </w:rPr>
            </w:pPr>
            <w:r w:rsidRPr="0097322F">
              <w:rPr>
                <w:rFonts w:ascii="Times New Roman" w:hAnsi="Times New Roman"/>
                <w:sz w:val="24"/>
              </w:rPr>
              <w:lastRenderedPageBreak/>
              <w:t>aa</w:t>
            </w:r>
          </w:p>
        </w:tc>
        <w:tc>
          <w:tcPr>
            <w:tcW w:w="7654" w:type="dxa"/>
          </w:tcPr>
          <w:p w14:paraId="137E39A7" w14:textId="77777777" w:rsidR="0005278F" w:rsidRPr="0097322F" w:rsidRDefault="0005278F" w:rsidP="004F3087">
            <w:pPr>
              <w:autoSpaceDE w:val="0"/>
              <w:autoSpaceDN w:val="0"/>
              <w:adjustRightInd w:val="0"/>
              <w:spacing w:after="120"/>
              <w:jc w:val="both"/>
              <w:rPr>
                <w:rFonts w:ascii="Times New Roman" w:eastAsia="Times New Roman" w:hAnsi="Times New Roman" w:cs="Times New Roman"/>
                <w:b/>
                <w:iCs/>
                <w:sz w:val="24"/>
              </w:rPr>
            </w:pPr>
            <w:r w:rsidRPr="0097322F">
              <w:rPr>
                <w:rFonts w:ascii="Times New Roman" w:hAnsi="Times New Roman"/>
                <w:b/>
                <w:sz w:val="24"/>
              </w:rPr>
              <w:t>W tym bez ratingu:</w:t>
            </w:r>
          </w:p>
          <w:p w14:paraId="137E39A8" w14:textId="3CDE48FF" w:rsidR="0005278F" w:rsidRPr="0097322F" w:rsidRDefault="0005278F" w:rsidP="5A0D947F">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Ekspozycje, dla których nie jest dostępna ocena kredytowa wyznaczonej ECAI i którym przypisuje się wagi ryzyka szczególnego w zależności od kategorii ekspozycji, jak określono w art. 113–134 rozporządzenia (UE) nr 575/2013.</w:t>
            </w:r>
          </w:p>
        </w:tc>
      </w:tr>
    </w:tbl>
    <w:p w14:paraId="137E39AA" w14:textId="44CC0DF7" w:rsidR="0005278F" w:rsidRPr="0097322F"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97322F"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2FD80349" w:rsidR="00535F36" w:rsidRPr="0097322F" w:rsidRDefault="006E215C" w:rsidP="00A518F7">
            <w:pPr>
              <w:autoSpaceDE w:val="0"/>
              <w:autoSpaceDN w:val="0"/>
              <w:adjustRightInd w:val="0"/>
              <w:spacing w:after="120"/>
              <w:rPr>
                <w:rFonts w:ascii="Times New Roman" w:hAnsi="Times New Roman" w:cs="Times New Roman"/>
                <w:b/>
                <w:sz w:val="24"/>
              </w:rPr>
            </w:pPr>
            <w:r w:rsidRPr="0097322F">
              <w:rPr>
                <w:rFonts w:ascii="Times New Roman" w:hAnsi="Times New Roman"/>
                <w:b/>
                <w:sz w:val="24"/>
              </w:rPr>
              <w:t xml:space="preserve">Oznaczenie </w:t>
            </w:r>
            <w:r w:rsidR="00535F36" w:rsidRPr="0097322F">
              <w:rPr>
                <w:rFonts w:ascii="Times New Roman" w:hAnsi="Times New Roman"/>
                <w:b/>
                <w:sz w:val="24"/>
              </w:rPr>
              <w:t>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97322F" w:rsidRDefault="00535F36" w:rsidP="00A518F7">
            <w:pPr>
              <w:spacing w:after="120"/>
              <w:rPr>
                <w:rFonts w:ascii="Times New Roman" w:hAnsi="Times New Roman" w:cs="Times New Roman"/>
                <w:b/>
                <w:sz w:val="24"/>
              </w:rPr>
            </w:pPr>
            <w:r w:rsidRPr="0097322F">
              <w:rPr>
                <w:rFonts w:ascii="Times New Roman" w:hAnsi="Times New Roman"/>
                <w:b/>
                <w:sz w:val="24"/>
              </w:rPr>
              <w:t>Odniesienia prawne i instrukcje</w:t>
            </w:r>
          </w:p>
        </w:tc>
      </w:tr>
      <w:tr w:rsidR="00535F36" w:rsidRPr="0097322F" w14:paraId="37948471" w14:textId="77777777" w:rsidTr="5A0D947F">
        <w:trPr>
          <w:trHeight w:val="336"/>
        </w:trPr>
        <w:tc>
          <w:tcPr>
            <w:tcW w:w="1413" w:type="dxa"/>
            <w:vMerge/>
          </w:tcPr>
          <w:p w14:paraId="0D13816F" w14:textId="77777777" w:rsidR="00535F36" w:rsidRPr="0097322F"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97322F" w:rsidRDefault="00535F36" w:rsidP="00A518F7">
            <w:pPr>
              <w:autoSpaceDE w:val="0"/>
              <w:autoSpaceDN w:val="0"/>
              <w:adjustRightInd w:val="0"/>
              <w:spacing w:after="120"/>
              <w:rPr>
                <w:rFonts w:ascii="Times New Roman" w:hAnsi="Times New Roman" w:cs="Times New Roman"/>
                <w:color w:val="000000"/>
                <w:sz w:val="24"/>
              </w:rPr>
            </w:pPr>
            <w:r w:rsidRPr="0097322F">
              <w:rPr>
                <w:rFonts w:ascii="Times New Roman" w:hAnsi="Times New Roman"/>
                <w:b/>
                <w:sz w:val="24"/>
              </w:rPr>
              <w:t>Wyjaśnienie</w:t>
            </w:r>
          </w:p>
        </w:tc>
      </w:tr>
      <w:tr w:rsidR="00B731E6" w:rsidRPr="0097322F" w14:paraId="633F9A94" w14:textId="77777777" w:rsidTr="5A0D947F">
        <w:trPr>
          <w:trHeight w:val="507"/>
        </w:trPr>
        <w:tc>
          <w:tcPr>
            <w:tcW w:w="1413" w:type="dxa"/>
            <w:shd w:val="clear" w:color="auto" w:fill="auto"/>
          </w:tcPr>
          <w:p w14:paraId="57A9AA9B" w14:textId="01045E65"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1, EU2a, EU 2b, 3, EU 3a, 4, 5, 6, EU 7a, EU 7b, 8, 9, 10, EU 10a, EU 10b, EU 10c</w:t>
            </w:r>
          </w:p>
        </w:tc>
        <w:tc>
          <w:tcPr>
            <w:tcW w:w="7654" w:type="dxa"/>
            <w:shd w:val="clear" w:color="auto" w:fill="auto"/>
          </w:tcPr>
          <w:p w14:paraId="2302E80F" w14:textId="03182913" w:rsidR="00B731E6" w:rsidRPr="0097322F" w:rsidRDefault="00B731E6" w:rsidP="00B731E6">
            <w:pPr>
              <w:spacing w:after="120"/>
              <w:jc w:val="both"/>
              <w:rPr>
                <w:rFonts w:ascii="Times New Roman" w:hAnsi="Times New Roman" w:cs="Times New Roman"/>
                <w:sz w:val="24"/>
              </w:rPr>
            </w:pPr>
            <w:r w:rsidRPr="0097322F">
              <w:rPr>
                <w:rFonts w:ascii="Times New Roman" w:hAnsi="Times New Roman"/>
                <w:sz w:val="24"/>
              </w:rPr>
              <w:t xml:space="preserve">Kategorie ekspozycji zgodnie z art. 112 rozporządzenia (UE) nr 575/2013 </w:t>
            </w:r>
          </w:p>
          <w:p w14:paraId="418D4291" w14:textId="757AEF54" w:rsidR="00B731E6" w:rsidRPr="0097322F" w:rsidRDefault="0B701945" w:rsidP="5A0D947F">
            <w:pPr>
              <w:spacing w:after="120"/>
              <w:jc w:val="both"/>
              <w:rPr>
                <w:rFonts w:ascii="Times New Roman" w:hAnsi="Times New Roman" w:cs="Times New Roman"/>
                <w:sz w:val="24"/>
              </w:rPr>
            </w:pPr>
            <w:r w:rsidRPr="0097322F">
              <w:rPr>
                <w:rFonts w:ascii="Times New Roman" w:hAnsi="Times New Roman"/>
                <w:sz w:val="24"/>
              </w:rPr>
              <w:t>Nie uwzględnia się ekspozycji zaklasyfikowanych do kategorii ekspozycji „pozycje stanowiące pozycje sekurytyzacyjne”, o której mowa w art. 112 lit. m) rozporządzenia (UE) nr 575/2013.</w:t>
            </w:r>
          </w:p>
        </w:tc>
      </w:tr>
      <w:tr w:rsidR="00AF5033" w:rsidRPr="0097322F" w14:paraId="685DA180" w14:textId="77777777" w:rsidTr="5A0D947F">
        <w:trPr>
          <w:trHeight w:val="699"/>
        </w:trPr>
        <w:tc>
          <w:tcPr>
            <w:tcW w:w="1413" w:type="dxa"/>
            <w:shd w:val="clear" w:color="auto" w:fill="auto"/>
          </w:tcPr>
          <w:p w14:paraId="1C0D8004" w14:textId="77777777" w:rsidR="00AF5033" w:rsidRPr="0097322F" w:rsidRDefault="00AF5033" w:rsidP="00AB03E9">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2</w:t>
            </w:r>
          </w:p>
        </w:tc>
        <w:tc>
          <w:tcPr>
            <w:tcW w:w="7654" w:type="dxa"/>
            <w:shd w:val="clear" w:color="auto" w:fill="auto"/>
          </w:tcPr>
          <w:p w14:paraId="79E951C7" w14:textId="311E1895" w:rsidR="00F26067" w:rsidRPr="0097322F" w:rsidRDefault="009B6905" w:rsidP="00AB03E9">
            <w:pPr>
              <w:spacing w:after="120"/>
              <w:jc w:val="both"/>
              <w:rPr>
                <w:rFonts w:ascii="Times New Roman" w:eastAsiaTheme="minorHAnsi" w:hAnsi="Times New Roman" w:cs="Times New Roman"/>
                <w:b/>
                <w:bCs/>
                <w:sz w:val="24"/>
              </w:rPr>
            </w:pPr>
            <w:r w:rsidRPr="0097322F">
              <w:rPr>
                <w:rFonts w:ascii="Times New Roman" w:hAnsi="Times New Roman"/>
                <w:b/>
                <w:sz w:val="24"/>
              </w:rPr>
              <w:t xml:space="preserve">Ekspozycje wobec niecentralnych pozarządowych podmiotów sektora publicznego </w:t>
            </w:r>
          </w:p>
          <w:p w14:paraId="4CF4DA0A" w14:textId="6AA1E2BE" w:rsidR="00AF5033" w:rsidRPr="0097322F" w:rsidRDefault="00F26067" w:rsidP="00AB03E9">
            <w:pPr>
              <w:spacing w:after="120"/>
              <w:jc w:val="both"/>
              <w:rPr>
                <w:rFonts w:ascii="Times New Roman" w:eastAsiaTheme="minorHAnsi" w:hAnsi="Times New Roman" w:cs="Times New Roman"/>
                <w:sz w:val="24"/>
              </w:rPr>
            </w:pPr>
            <w:r w:rsidRPr="0097322F">
              <w:rPr>
                <w:rFonts w:ascii="Times New Roman" w:hAnsi="Times New Roman"/>
                <w:sz w:val="24"/>
              </w:rPr>
              <w:t>Suma ekspozycji w wierszach EU 2a i EU 2b.</w:t>
            </w:r>
          </w:p>
        </w:tc>
      </w:tr>
      <w:tr w:rsidR="00B731E6" w:rsidRPr="0097322F" w14:paraId="43E2EF2A" w14:textId="77777777" w:rsidTr="5A0D947F">
        <w:trPr>
          <w:trHeight w:val="507"/>
        </w:trPr>
        <w:tc>
          <w:tcPr>
            <w:tcW w:w="1413" w:type="dxa"/>
            <w:shd w:val="clear" w:color="auto" w:fill="auto"/>
          </w:tcPr>
          <w:p w14:paraId="37172C4D" w14:textId="2D7F1A6B"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EU 2a</w:t>
            </w:r>
          </w:p>
        </w:tc>
        <w:tc>
          <w:tcPr>
            <w:tcW w:w="7654" w:type="dxa"/>
            <w:shd w:val="clear" w:color="auto" w:fill="auto"/>
          </w:tcPr>
          <w:p w14:paraId="6E395D8A" w14:textId="5F849253" w:rsidR="00F2606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wobec samorządów regionalnych lub władz lokalnych</w:t>
            </w:r>
          </w:p>
          <w:p w14:paraId="0F0B69B5" w14:textId="1A951C07"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t>Ekspozycje zdefiniowane w art. 112 lit. b) rozporządzenia (UE) nr 575/2013 i art. 115 ust. -1, 1, 3, 4 i 5 rozporządzenia (UE) nr 575/2013 w odniesieniu do ekspozycji według metody standardowej.</w:t>
            </w:r>
          </w:p>
        </w:tc>
      </w:tr>
      <w:tr w:rsidR="00B731E6" w:rsidRPr="0097322F" w14:paraId="5C5BD0AC" w14:textId="77777777" w:rsidTr="5A0D947F">
        <w:trPr>
          <w:trHeight w:val="507"/>
        </w:trPr>
        <w:tc>
          <w:tcPr>
            <w:tcW w:w="1413" w:type="dxa"/>
            <w:shd w:val="clear" w:color="auto" w:fill="auto"/>
          </w:tcPr>
          <w:p w14:paraId="4E17DAB0" w14:textId="48A8906B"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EU 2b</w:t>
            </w:r>
          </w:p>
        </w:tc>
        <w:tc>
          <w:tcPr>
            <w:tcW w:w="7654" w:type="dxa"/>
            <w:shd w:val="clear" w:color="auto" w:fill="auto"/>
          </w:tcPr>
          <w:p w14:paraId="6B0874A8" w14:textId="7C1E20B6" w:rsidR="00F2606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wobec podmiotów sektora publicznego</w:t>
            </w:r>
          </w:p>
          <w:p w14:paraId="042D63D7" w14:textId="03ACF4BC"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t>Ekspozycje zdefiniowane w art. 4 ust. 1 pkt 8 rozporządzenia (UE) nr 575/2013, art. 112 lit. c) oraz art. 116 ust. 1, 2, 3, 4 i 5 rozporządzenia (UE) nr 575/2013 w odniesieniu do ekspozycji według metody standardowej.</w:t>
            </w:r>
          </w:p>
        </w:tc>
      </w:tr>
      <w:tr w:rsidR="00B731E6" w:rsidRPr="0097322F" w14:paraId="31C58E90" w14:textId="77777777" w:rsidTr="5A0D947F">
        <w:trPr>
          <w:trHeight w:val="507"/>
        </w:trPr>
        <w:tc>
          <w:tcPr>
            <w:tcW w:w="1413" w:type="dxa"/>
            <w:shd w:val="clear" w:color="auto" w:fill="auto"/>
          </w:tcPr>
          <w:p w14:paraId="688254C4" w14:textId="5508F69D"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6</w:t>
            </w:r>
          </w:p>
        </w:tc>
        <w:tc>
          <w:tcPr>
            <w:tcW w:w="7654" w:type="dxa"/>
            <w:shd w:val="clear" w:color="auto" w:fill="auto"/>
          </w:tcPr>
          <w:p w14:paraId="0D63781E" w14:textId="3D73F3E2" w:rsidR="00F2606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wobec przedsiębiorstw</w:t>
            </w:r>
          </w:p>
          <w:p w14:paraId="6AFAC788" w14:textId="55730926"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t>Ekspozycje zdefiniowane w art. 112 lit. g) i art. 122 rozporządzenia (UE) nr 575/2013.</w:t>
            </w:r>
          </w:p>
        </w:tc>
      </w:tr>
      <w:tr w:rsidR="00B731E6" w:rsidRPr="0097322F" w14:paraId="15791A2F" w14:textId="77777777" w:rsidTr="5A0D947F">
        <w:trPr>
          <w:trHeight w:val="507"/>
        </w:trPr>
        <w:tc>
          <w:tcPr>
            <w:tcW w:w="1413" w:type="dxa"/>
            <w:shd w:val="clear" w:color="auto" w:fill="auto"/>
          </w:tcPr>
          <w:p w14:paraId="2C67CA19" w14:textId="46E29F06" w:rsidR="00B731E6" w:rsidRPr="0097322F" w:rsidRDefault="00F9364E"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6.1</w:t>
            </w:r>
          </w:p>
        </w:tc>
        <w:tc>
          <w:tcPr>
            <w:tcW w:w="7654" w:type="dxa"/>
            <w:shd w:val="clear" w:color="auto" w:fill="auto"/>
          </w:tcPr>
          <w:p w14:paraId="7434934B" w14:textId="62424925" w:rsidR="00F26067" w:rsidRPr="0097322F" w:rsidRDefault="00F26067" w:rsidP="5A0D947F">
            <w:pPr>
              <w:spacing w:after="120"/>
              <w:jc w:val="both"/>
              <w:rPr>
                <w:rFonts w:ascii="Times New Roman" w:hAnsi="Times New Roman" w:cs="Times New Roman"/>
                <w:b/>
                <w:bCs/>
                <w:sz w:val="24"/>
              </w:rPr>
            </w:pPr>
            <w:r w:rsidRPr="0097322F">
              <w:rPr>
                <w:rFonts w:ascii="Times New Roman" w:hAnsi="Times New Roman"/>
                <w:sz w:val="24"/>
              </w:rPr>
              <w:t xml:space="preserve"> </w:t>
            </w:r>
            <w:r w:rsidRPr="0097322F">
              <w:rPr>
                <w:rFonts w:ascii="Times New Roman" w:hAnsi="Times New Roman"/>
                <w:b/>
                <w:sz w:val="24"/>
              </w:rPr>
              <w:t>W tym: Kredytowanie specjalistyczne</w:t>
            </w:r>
          </w:p>
          <w:p w14:paraId="24C0DA08" w14:textId="36A32BF7"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t xml:space="preserve">Ekspozycje zdefiniowane w art. 122a rozporządzenia (UE) nr 575/2013. </w:t>
            </w:r>
          </w:p>
        </w:tc>
      </w:tr>
      <w:tr w:rsidR="00B731E6" w:rsidRPr="0097322F" w14:paraId="5C84CA61" w14:textId="77777777" w:rsidTr="5A0D947F">
        <w:trPr>
          <w:trHeight w:val="507"/>
        </w:trPr>
        <w:tc>
          <w:tcPr>
            <w:tcW w:w="1413" w:type="dxa"/>
            <w:shd w:val="clear" w:color="auto" w:fill="auto"/>
          </w:tcPr>
          <w:p w14:paraId="61EE362B" w14:textId="6EA863F3"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7</w:t>
            </w:r>
          </w:p>
        </w:tc>
        <w:tc>
          <w:tcPr>
            <w:tcW w:w="7654" w:type="dxa"/>
            <w:shd w:val="clear" w:color="auto" w:fill="auto"/>
          </w:tcPr>
          <w:p w14:paraId="4D223688" w14:textId="3E9BBE9B" w:rsidR="00F26067" w:rsidRPr="0097322F" w:rsidRDefault="00B731E6" w:rsidP="00B731E6">
            <w:pPr>
              <w:spacing w:after="120"/>
              <w:jc w:val="both"/>
              <w:rPr>
                <w:rFonts w:ascii="Times New Roman" w:eastAsiaTheme="minorHAnsi" w:hAnsi="Times New Roman" w:cs="Times New Roman"/>
                <w:b/>
                <w:bCs/>
                <w:sz w:val="24"/>
              </w:rPr>
            </w:pPr>
            <w:r w:rsidRPr="0097322F">
              <w:rPr>
                <w:rFonts w:ascii="Times New Roman" w:hAnsi="Times New Roman"/>
                <w:b/>
                <w:sz w:val="24"/>
              </w:rPr>
              <w:t>Ekspozycje z tytułu długu podporządkowanego i ekspozycje kapitałowe</w:t>
            </w:r>
          </w:p>
          <w:p w14:paraId="0AA0F933" w14:textId="77EC0BD5" w:rsidR="00B731E6" w:rsidRPr="0097322F" w:rsidRDefault="00F26067" w:rsidP="00B731E6">
            <w:pPr>
              <w:spacing w:after="120"/>
              <w:jc w:val="both"/>
              <w:rPr>
                <w:rFonts w:ascii="Times New Roman" w:eastAsiaTheme="minorHAnsi" w:hAnsi="Times New Roman" w:cs="Times New Roman"/>
                <w:sz w:val="24"/>
              </w:rPr>
            </w:pPr>
            <w:r w:rsidRPr="0097322F">
              <w:rPr>
                <w:rFonts w:ascii="Times New Roman" w:hAnsi="Times New Roman"/>
                <w:sz w:val="24"/>
              </w:rPr>
              <w:t>Jest to suma wierszy zdefiniowanych poniżej (EU 7a i EU 7b).</w:t>
            </w:r>
          </w:p>
        </w:tc>
      </w:tr>
      <w:tr w:rsidR="00B731E6" w:rsidRPr="0097322F" w14:paraId="75520DAB" w14:textId="77777777" w:rsidTr="5A0D947F">
        <w:trPr>
          <w:trHeight w:val="507"/>
        </w:trPr>
        <w:tc>
          <w:tcPr>
            <w:tcW w:w="1413" w:type="dxa"/>
            <w:shd w:val="clear" w:color="auto" w:fill="auto"/>
          </w:tcPr>
          <w:p w14:paraId="6D54D58F" w14:textId="40B5DA6A"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EU 7a</w:t>
            </w:r>
          </w:p>
        </w:tc>
        <w:tc>
          <w:tcPr>
            <w:tcW w:w="7654" w:type="dxa"/>
            <w:shd w:val="clear" w:color="auto" w:fill="auto"/>
          </w:tcPr>
          <w:p w14:paraId="2087D858" w14:textId="358EEE2E" w:rsidR="00F2606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z tytułu długu podporządkowanego</w:t>
            </w:r>
          </w:p>
          <w:p w14:paraId="6A91C57C" w14:textId="5BCEFCB5"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t>Ekspozycje zdefiniowane w art. 112 lit. k) rozporządzenia (UE) nr 575/2013 i art. 128 rozporządzenia (UE) nr 575/2013.</w:t>
            </w:r>
          </w:p>
        </w:tc>
      </w:tr>
      <w:tr w:rsidR="00B731E6" w:rsidRPr="0097322F" w14:paraId="1BA8F816" w14:textId="77777777" w:rsidTr="5A0D947F">
        <w:trPr>
          <w:trHeight w:val="507"/>
        </w:trPr>
        <w:tc>
          <w:tcPr>
            <w:tcW w:w="1413" w:type="dxa"/>
            <w:shd w:val="clear" w:color="auto" w:fill="auto"/>
          </w:tcPr>
          <w:p w14:paraId="67E36157" w14:textId="40601992"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EU 7b</w:t>
            </w:r>
          </w:p>
        </w:tc>
        <w:tc>
          <w:tcPr>
            <w:tcW w:w="7654" w:type="dxa"/>
            <w:shd w:val="clear" w:color="auto" w:fill="auto"/>
          </w:tcPr>
          <w:p w14:paraId="1433F3D8" w14:textId="30F87742" w:rsidR="00F2606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kapitałowe</w:t>
            </w:r>
          </w:p>
          <w:p w14:paraId="191A2924" w14:textId="2CDA6797"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lastRenderedPageBreak/>
              <w:t>Ekspozycje zdefiniowane w art. 112 lit. p) rozporządzenia (UE) nr 575/2013 i art. 133 ust. 1 rozporządzenia (UE) nr 575/2013.</w:t>
            </w:r>
          </w:p>
        </w:tc>
      </w:tr>
      <w:tr w:rsidR="00B731E6" w:rsidRPr="0097322F" w14:paraId="2F5024A7" w14:textId="77777777" w:rsidTr="5A0D947F">
        <w:trPr>
          <w:trHeight w:val="507"/>
        </w:trPr>
        <w:tc>
          <w:tcPr>
            <w:tcW w:w="1413" w:type="dxa"/>
            <w:shd w:val="clear" w:color="auto" w:fill="auto"/>
          </w:tcPr>
          <w:p w14:paraId="6C8D4DD7" w14:textId="53CC0B91"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lastRenderedPageBreak/>
              <w:t>9</w:t>
            </w:r>
          </w:p>
        </w:tc>
        <w:tc>
          <w:tcPr>
            <w:tcW w:w="7654" w:type="dxa"/>
            <w:shd w:val="clear" w:color="auto" w:fill="auto"/>
          </w:tcPr>
          <w:p w14:paraId="6F18D30C" w14:textId="20BDB687" w:rsidR="00F2606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zabezpieczone hipotekami na nieruchomościach oraz ekspozycje ADC</w:t>
            </w:r>
          </w:p>
          <w:p w14:paraId="652029AE" w14:textId="28474DBD"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t>W tej pozycji zgłasza się ekspozycje zabezpieczone nieruchomościami zdefiniowane w art. 4 ust. 1 pkt 75–75f rozporządzenia (UE) nr 575/2013 oraz ekspozycje zdefiniowane w art. 4 ust. 1 pkt 78a rozporządzenia (UE) nr 575/2013.</w:t>
            </w:r>
          </w:p>
          <w:p w14:paraId="03F0288C" w14:textId="5F4104D7" w:rsidR="00324117" w:rsidRPr="0097322F" w:rsidRDefault="00324117" w:rsidP="00B731E6">
            <w:pPr>
              <w:spacing w:after="120"/>
              <w:jc w:val="both"/>
              <w:rPr>
                <w:rFonts w:ascii="Times New Roman" w:eastAsiaTheme="minorHAnsi" w:hAnsi="Times New Roman" w:cs="Times New Roman"/>
                <w:sz w:val="24"/>
              </w:rPr>
            </w:pPr>
            <w:r w:rsidRPr="0097322F">
              <w:rPr>
                <w:rFonts w:ascii="Times New Roman" w:hAnsi="Times New Roman"/>
                <w:sz w:val="24"/>
              </w:rPr>
              <w:t>Wiersz ten stanowi sumę wierszy 9.1, 9.2, 9.3, 9.4, 9.5.</w:t>
            </w:r>
          </w:p>
        </w:tc>
      </w:tr>
      <w:tr w:rsidR="00B731E6" w:rsidRPr="0097322F" w14:paraId="33B98B6E" w14:textId="77777777" w:rsidTr="5A0D947F">
        <w:trPr>
          <w:trHeight w:val="507"/>
        </w:trPr>
        <w:tc>
          <w:tcPr>
            <w:tcW w:w="1413" w:type="dxa"/>
            <w:shd w:val="clear" w:color="auto" w:fill="auto"/>
          </w:tcPr>
          <w:p w14:paraId="309AF170" w14:textId="317795BB"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9.1</w:t>
            </w:r>
          </w:p>
        </w:tc>
        <w:tc>
          <w:tcPr>
            <w:tcW w:w="7654" w:type="dxa"/>
            <w:shd w:val="clear" w:color="auto" w:fill="auto"/>
          </w:tcPr>
          <w:p w14:paraId="0DE2BD5F" w14:textId="7880F40C" w:rsidR="00F26067" w:rsidRPr="0097322F" w:rsidRDefault="00B731E6" w:rsidP="007750BC">
            <w:pPr>
              <w:spacing w:after="120"/>
              <w:jc w:val="both"/>
              <w:rPr>
                <w:rFonts w:ascii="Times New Roman" w:eastAsiaTheme="minorHAnsi" w:hAnsi="Times New Roman" w:cs="Times New Roman"/>
                <w:b/>
                <w:bCs/>
                <w:sz w:val="24"/>
              </w:rPr>
            </w:pPr>
            <w:r w:rsidRPr="0097322F">
              <w:rPr>
                <w:rFonts w:ascii="Times New Roman" w:hAnsi="Times New Roman"/>
                <w:b/>
                <w:sz w:val="24"/>
              </w:rPr>
              <w:t>Ekspozycje zabezpieczone hipotekami na nieruchomościach mieszkalnych niegenerujących dochodu</w:t>
            </w:r>
          </w:p>
          <w:p w14:paraId="1A8747F6" w14:textId="045D4EEB" w:rsidR="00F26067" w:rsidRPr="0097322F" w:rsidRDefault="00F26067" w:rsidP="007750BC">
            <w:pPr>
              <w:spacing w:after="120"/>
              <w:jc w:val="both"/>
              <w:rPr>
                <w:rFonts w:ascii="Times New Roman" w:hAnsi="Times New Roman" w:cs="Times New Roman"/>
                <w:bCs/>
                <w:sz w:val="24"/>
              </w:rPr>
            </w:pPr>
            <w:r w:rsidRPr="0097322F">
              <w:rPr>
                <w:rFonts w:ascii="Times New Roman" w:hAnsi="Times New Roman"/>
                <w:sz w:val="24"/>
              </w:rPr>
              <w:t>W tej pozycji ujawnia się ekspozycje traktowane zgodnie z art. 125 ust. 1 rozporządzenia (UE) nr 575/2013.</w:t>
            </w:r>
          </w:p>
          <w:p w14:paraId="739769BE" w14:textId="77777777" w:rsidR="00FB64CF" w:rsidRPr="0097322F" w:rsidRDefault="007750BC" w:rsidP="007750BC">
            <w:pPr>
              <w:spacing w:after="120"/>
              <w:jc w:val="both"/>
              <w:rPr>
                <w:rFonts w:ascii="Times New Roman" w:eastAsiaTheme="minorHAnsi" w:hAnsi="Times New Roman"/>
                <w:sz w:val="24"/>
              </w:rPr>
            </w:pPr>
            <w:r w:rsidRPr="0097322F">
              <w:t xml:space="preserve"> </w:t>
            </w:r>
            <w:r w:rsidRPr="0097322F">
              <w:br/>
            </w:r>
            <w:r w:rsidRPr="0097322F">
              <w:rPr>
                <w:rFonts w:ascii="Times New Roman" w:hAnsi="Times New Roman"/>
                <w:sz w:val="24"/>
              </w:rPr>
              <w:t>W tym wierszu ujawnia się również: inne ekspozycje zabezpieczone hipotekami na nieruchomościach mieszkalnych niegenerujących dochodu, które nie spełniają warunków określonych w art. 124 ust. 3, lub każdą część ekspozycji niebędącej ekspozycją ADC, która przekracza kwotę nominalną zastawu na nieruchomości, o której to ekspozycji mowa w art. 124 ust. 1 lit. a) rozporządzenia (UE) nr 575/2013.</w:t>
            </w:r>
          </w:p>
          <w:p w14:paraId="432D1633" w14:textId="5C6396A7" w:rsidR="004E3D87" w:rsidRPr="0097322F" w:rsidRDefault="004E3D87" w:rsidP="007750BC">
            <w:pPr>
              <w:spacing w:after="120"/>
              <w:jc w:val="both"/>
              <w:rPr>
                <w:rFonts w:ascii="Times New Roman" w:hAnsi="Times New Roman" w:cs="Times New Roman"/>
                <w:bCs/>
                <w:sz w:val="24"/>
              </w:rPr>
            </w:pPr>
            <w:r w:rsidRPr="0097322F">
              <w:rPr>
                <w:rFonts w:ascii="Times New Roman" w:hAnsi="Times New Roman"/>
                <w:sz w:val="24"/>
              </w:rPr>
              <w:t>Wiersz ten stanowi sumę wierszy 9.1.1, 9.1.2 i 9.1.3.</w:t>
            </w:r>
          </w:p>
        </w:tc>
      </w:tr>
      <w:tr w:rsidR="00B731E6" w:rsidRPr="0097322F" w14:paraId="3757A5E1" w14:textId="77777777" w:rsidTr="5A0D947F">
        <w:trPr>
          <w:trHeight w:val="507"/>
        </w:trPr>
        <w:tc>
          <w:tcPr>
            <w:tcW w:w="1413" w:type="dxa"/>
            <w:shd w:val="clear" w:color="auto" w:fill="auto"/>
          </w:tcPr>
          <w:p w14:paraId="6947CF4E" w14:textId="20DCDB33"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9.1.1</w:t>
            </w:r>
          </w:p>
        </w:tc>
        <w:tc>
          <w:tcPr>
            <w:tcW w:w="7654" w:type="dxa"/>
            <w:shd w:val="clear" w:color="auto" w:fill="auto"/>
          </w:tcPr>
          <w:p w14:paraId="7643D411" w14:textId="53D2093F" w:rsidR="00F26067" w:rsidRPr="0097322F" w:rsidRDefault="00F26067" w:rsidP="00B731E6">
            <w:pPr>
              <w:spacing w:after="120"/>
              <w:jc w:val="both"/>
              <w:rPr>
                <w:rFonts w:ascii="Times New Roman" w:eastAsiaTheme="minorHAnsi" w:hAnsi="Times New Roman" w:cs="Times New Roman"/>
                <w:b/>
                <w:bCs/>
                <w:sz w:val="24"/>
              </w:rPr>
            </w:pPr>
            <w:r w:rsidRPr="0097322F">
              <w:rPr>
                <w:rFonts w:ascii="Times New Roman" w:hAnsi="Times New Roman"/>
                <w:b/>
                <w:sz w:val="24"/>
              </w:rPr>
              <w:t>Nie zastosowano podziału kredytów</w:t>
            </w:r>
          </w:p>
          <w:p w14:paraId="02E8C845" w14:textId="57A0B1B1" w:rsidR="00B731E6" w:rsidRPr="0097322F" w:rsidRDefault="00F26067" w:rsidP="00B731E6">
            <w:pPr>
              <w:spacing w:after="120"/>
              <w:jc w:val="both"/>
              <w:rPr>
                <w:rFonts w:ascii="Times New Roman" w:eastAsiaTheme="minorHAnsi" w:hAnsi="Times New Roman" w:cs="Times New Roman"/>
                <w:sz w:val="24"/>
              </w:rPr>
            </w:pPr>
            <w:r w:rsidRPr="0097322F">
              <w:rPr>
                <w:rFonts w:ascii="Times New Roman" w:hAnsi="Times New Roman"/>
                <w:sz w:val="24"/>
              </w:rPr>
              <w:t xml:space="preserve">Ekspozycje zabezpieczone hipotekami na nieruchomościach mieszkalnych niegenerujących dochodu, do których nie ma zastosowania metoda podziału kredytów opisana w art. 125 ust. 1 rozporządzenia (UE) nr 575/2013. </w:t>
            </w:r>
          </w:p>
        </w:tc>
      </w:tr>
      <w:tr w:rsidR="00B731E6" w:rsidRPr="0097322F" w14:paraId="7102D657" w14:textId="77777777" w:rsidTr="5A0D947F">
        <w:trPr>
          <w:trHeight w:val="507"/>
        </w:trPr>
        <w:tc>
          <w:tcPr>
            <w:tcW w:w="1413" w:type="dxa"/>
            <w:shd w:val="clear" w:color="auto" w:fill="auto"/>
          </w:tcPr>
          <w:p w14:paraId="38838607" w14:textId="5063C525"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9.1.2</w:t>
            </w:r>
          </w:p>
        </w:tc>
        <w:tc>
          <w:tcPr>
            <w:tcW w:w="7654" w:type="dxa"/>
            <w:shd w:val="clear" w:color="auto" w:fill="auto"/>
          </w:tcPr>
          <w:p w14:paraId="0F9D3D69" w14:textId="1E8EFD2D" w:rsidR="00F26067" w:rsidRPr="0097322F" w:rsidRDefault="00F26067" w:rsidP="5A0D947F">
            <w:pPr>
              <w:spacing w:after="120"/>
              <w:jc w:val="both"/>
              <w:rPr>
                <w:rFonts w:ascii="Times New Roman" w:hAnsi="Times New Roman" w:cs="Times New Roman"/>
                <w:b/>
                <w:bCs/>
                <w:sz w:val="24"/>
              </w:rPr>
            </w:pPr>
            <w:r w:rsidRPr="0097322F">
              <w:rPr>
                <w:rFonts w:ascii="Times New Roman" w:hAnsi="Times New Roman"/>
                <w:b/>
                <w:sz w:val="24"/>
              </w:rPr>
              <w:t>Zastosowano podział kredytów (zabezpieczone)</w:t>
            </w:r>
          </w:p>
          <w:p w14:paraId="28B98A7E" w14:textId="6E936DED"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t>Zabezpieczona część ekspozycji zabezpieczonych hipotekami na nieruchomościach mieszkalnych, do której ma zastosowanie metoda podziału kredytów opisana w art. 125 ust. 1 lit. a) rozporządzenia (UE) nr 575/2013.</w:t>
            </w:r>
          </w:p>
        </w:tc>
      </w:tr>
      <w:tr w:rsidR="00B731E6" w:rsidRPr="0097322F" w14:paraId="0CDDB3DF" w14:textId="77777777" w:rsidTr="5A0D947F">
        <w:trPr>
          <w:trHeight w:val="507"/>
        </w:trPr>
        <w:tc>
          <w:tcPr>
            <w:tcW w:w="1413" w:type="dxa"/>
            <w:shd w:val="clear" w:color="auto" w:fill="auto"/>
          </w:tcPr>
          <w:p w14:paraId="14E5CE41" w14:textId="2C251DBD"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9.1.3</w:t>
            </w:r>
          </w:p>
        </w:tc>
        <w:tc>
          <w:tcPr>
            <w:tcW w:w="7654" w:type="dxa"/>
            <w:shd w:val="clear" w:color="auto" w:fill="auto"/>
          </w:tcPr>
          <w:p w14:paraId="276011BB" w14:textId="26F29D4D" w:rsidR="00F26067" w:rsidRPr="0097322F" w:rsidRDefault="00F26067" w:rsidP="5A0D947F">
            <w:pPr>
              <w:spacing w:after="120"/>
              <w:jc w:val="both"/>
              <w:rPr>
                <w:rFonts w:ascii="Times New Roman" w:hAnsi="Times New Roman" w:cs="Times New Roman"/>
                <w:b/>
                <w:bCs/>
                <w:sz w:val="24"/>
              </w:rPr>
            </w:pPr>
            <w:r w:rsidRPr="0097322F">
              <w:rPr>
                <w:rFonts w:ascii="Times New Roman" w:hAnsi="Times New Roman"/>
                <w:b/>
                <w:sz w:val="24"/>
              </w:rPr>
              <w:t>Zastosowano podział kredytów (niezabezpieczone)</w:t>
            </w:r>
          </w:p>
          <w:p w14:paraId="4F2656D3" w14:textId="59CF83C6" w:rsidR="00B731E6" w:rsidRPr="0097322F" w:rsidRDefault="00F26067" w:rsidP="5A0D947F">
            <w:pPr>
              <w:spacing w:after="120"/>
              <w:jc w:val="both"/>
              <w:rPr>
                <w:rFonts w:ascii="Times New Roman" w:hAnsi="Times New Roman" w:cs="Times New Roman"/>
                <w:sz w:val="24"/>
              </w:rPr>
            </w:pPr>
            <w:r w:rsidRPr="0097322F">
              <w:rPr>
                <w:rFonts w:ascii="Times New Roman" w:hAnsi="Times New Roman"/>
                <w:sz w:val="24"/>
              </w:rPr>
              <w:t xml:space="preserve">Pozostała część ekspozycji zabezpieczonych hipotekami na nieruchomościach mieszkalnych, do której ma zastosowanie metoda podziału kredytów opisana w art. 125 ust. 1 rozporządzenia (UE) nr 575/2013. </w:t>
            </w:r>
          </w:p>
        </w:tc>
      </w:tr>
      <w:tr w:rsidR="00B731E6" w:rsidRPr="0097322F" w14:paraId="2B7F44F7" w14:textId="77777777" w:rsidTr="5A0D947F">
        <w:trPr>
          <w:trHeight w:val="507"/>
        </w:trPr>
        <w:tc>
          <w:tcPr>
            <w:tcW w:w="1413" w:type="dxa"/>
            <w:shd w:val="clear" w:color="auto" w:fill="auto"/>
          </w:tcPr>
          <w:p w14:paraId="304A35F9" w14:textId="540EF342"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9.2</w:t>
            </w:r>
          </w:p>
        </w:tc>
        <w:tc>
          <w:tcPr>
            <w:tcW w:w="7654" w:type="dxa"/>
            <w:shd w:val="clear" w:color="auto" w:fill="auto"/>
          </w:tcPr>
          <w:p w14:paraId="70C82B6D" w14:textId="2D504FDB" w:rsidR="00AF565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zabezpieczone hipotekami na nieruchomościach mieszkalnych generujących dochód</w:t>
            </w:r>
          </w:p>
          <w:p w14:paraId="4E83C986" w14:textId="06AEEF5B" w:rsidR="00B731E6" w:rsidRPr="0097322F" w:rsidRDefault="00AF5657" w:rsidP="5A0D947F">
            <w:pPr>
              <w:spacing w:after="120"/>
              <w:jc w:val="both"/>
              <w:rPr>
                <w:rFonts w:ascii="Times New Roman" w:hAnsi="Times New Roman" w:cs="Times New Roman"/>
                <w:sz w:val="24"/>
              </w:rPr>
            </w:pPr>
            <w:r w:rsidRPr="0097322F">
              <w:rPr>
                <w:rFonts w:ascii="Times New Roman" w:hAnsi="Times New Roman"/>
                <w:sz w:val="24"/>
              </w:rPr>
              <w:t>W tej pozycji zgłasza się ekspozycje, które spełniają definicję zawartą w art. 4 ust. 1 pkt 75b rozporządzenia (UE) nr 575/2013.</w:t>
            </w:r>
          </w:p>
          <w:p w14:paraId="46AB10B2" w14:textId="77777777" w:rsidR="008D77B1" w:rsidRPr="0097322F" w:rsidRDefault="00BC2787" w:rsidP="5A0D947F">
            <w:pPr>
              <w:spacing w:after="120"/>
              <w:jc w:val="both"/>
              <w:rPr>
                <w:rFonts w:ascii="Times New Roman" w:hAnsi="Times New Roman" w:cs="Times New Roman"/>
                <w:sz w:val="24"/>
              </w:rPr>
            </w:pPr>
            <w:r w:rsidRPr="0097322F">
              <w:rPr>
                <w:rFonts w:ascii="Times New Roman" w:hAnsi="Times New Roman"/>
                <w:sz w:val="24"/>
              </w:rPr>
              <w:t xml:space="preserve">W tym wierszu ujawnia się również: </w:t>
            </w:r>
          </w:p>
          <w:p w14:paraId="56D10EDE" w14:textId="53C433B5" w:rsidR="008D77B1" w:rsidRPr="0097322F" w:rsidRDefault="008D77B1" w:rsidP="5A0D947F">
            <w:pPr>
              <w:spacing w:after="120"/>
              <w:jc w:val="both"/>
              <w:rPr>
                <w:rFonts w:ascii="Times New Roman" w:eastAsiaTheme="minorHAnsi" w:hAnsi="Times New Roman" w:cs="Times New Roman"/>
                <w:sz w:val="24"/>
              </w:rPr>
            </w:pPr>
            <w:r w:rsidRPr="0097322F">
              <w:rPr>
                <w:rFonts w:ascii="Times New Roman" w:hAnsi="Times New Roman"/>
                <w:sz w:val="24"/>
              </w:rPr>
              <w:t xml:space="preserve">– inne ekspozycje zabezpieczone hipotekami na nieruchomościach mieszkalnych generujących dochód, które nie spełniają warunków określonych w art. 124 ust. 3, lub każdą część ekspozycji niebędącej ekspozycją ADC, która przekracza kwotę nominalną zastawu na </w:t>
            </w:r>
            <w:r w:rsidRPr="0097322F">
              <w:rPr>
                <w:rFonts w:ascii="Times New Roman" w:hAnsi="Times New Roman"/>
                <w:sz w:val="24"/>
              </w:rPr>
              <w:lastRenderedPageBreak/>
              <w:t>nieruchomości, o której to ekspozycji mowa w art. 124 ust. 1 lit. b) rozporządzenia (UE) nr 575/2013;</w:t>
            </w:r>
          </w:p>
          <w:p w14:paraId="54B1CD31" w14:textId="77777777" w:rsidR="00DE1541" w:rsidRPr="0097322F" w:rsidRDefault="008D77B1" w:rsidP="5A0D947F">
            <w:pPr>
              <w:spacing w:after="120"/>
              <w:jc w:val="both"/>
              <w:rPr>
                <w:rFonts w:ascii="Times New Roman" w:hAnsi="Times New Roman" w:cs="Times New Roman"/>
                <w:bCs/>
                <w:sz w:val="24"/>
              </w:rPr>
            </w:pPr>
            <w:r w:rsidRPr="0097322F">
              <w:rPr>
                <w:rFonts w:ascii="Times New Roman" w:hAnsi="Times New Roman"/>
                <w:sz w:val="24"/>
              </w:rPr>
              <w:t xml:space="preserve">– ekspozycje IPRE spełniające którykolwiek z warunków określonych w art. 124 ust. 2 lit. a) pkt (ii) ppkt 1–4 rozporządzenia (UE) nr 575/2013; </w:t>
            </w:r>
          </w:p>
          <w:p w14:paraId="2A0561A2" w14:textId="62F31EDE" w:rsidR="00BC2787" w:rsidRPr="0097322F" w:rsidRDefault="00DE1541" w:rsidP="5A0D947F">
            <w:pPr>
              <w:spacing w:after="120"/>
              <w:jc w:val="both"/>
              <w:rPr>
                <w:rFonts w:ascii="Times New Roman" w:hAnsi="Times New Roman" w:cs="Times New Roman"/>
                <w:sz w:val="24"/>
              </w:rPr>
            </w:pPr>
            <w:r w:rsidRPr="0097322F">
              <w:rPr>
                <w:rFonts w:ascii="Times New Roman" w:hAnsi="Times New Roman"/>
                <w:sz w:val="24"/>
              </w:rPr>
              <w:t>– ekspozycje IPRE, w przypadku gdy stosuje się odstępstwo określone w art. 125 ust. 2 rozporządzenia (UE) nr 575/2013.</w:t>
            </w:r>
          </w:p>
        </w:tc>
      </w:tr>
      <w:tr w:rsidR="00B731E6" w:rsidRPr="0097322F" w14:paraId="755FF524" w14:textId="77777777" w:rsidTr="5A0D947F">
        <w:trPr>
          <w:trHeight w:val="507"/>
        </w:trPr>
        <w:tc>
          <w:tcPr>
            <w:tcW w:w="1413" w:type="dxa"/>
            <w:shd w:val="clear" w:color="auto" w:fill="auto"/>
          </w:tcPr>
          <w:p w14:paraId="4C858BA6" w14:textId="2DD3BA13"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lastRenderedPageBreak/>
              <w:t>9.3</w:t>
            </w:r>
          </w:p>
        </w:tc>
        <w:tc>
          <w:tcPr>
            <w:tcW w:w="7654" w:type="dxa"/>
            <w:shd w:val="clear" w:color="auto" w:fill="auto"/>
          </w:tcPr>
          <w:p w14:paraId="1FB5BC8C" w14:textId="150F29C1" w:rsidR="00AF5657" w:rsidRPr="0097322F" w:rsidRDefault="00B731E6" w:rsidP="00B731E6">
            <w:pPr>
              <w:spacing w:after="120"/>
              <w:jc w:val="both"/>
              <w:rPr>
                <w:rFonts w:ascii="Times New Roman" w:eastAsiaTheme="minorHAnsi" w:hAnsi="Times New Roman" w:cs="Times New Roman"/>
                <w:b/>
                <w:bCs/>
                <w:sz w:val="24"/>
              </w:rPr>
            </w:pPr>
            <w:r w:rsidRPr="0097322F">
              <w:rPr>
                <w:rFonts w:ascii="Times New Roman" w:hAnsi="Times New Roman"/>
                <w:b/>
                <w:sz w:val="24"/>
              </w:rPr>
              <w:t>Ekspozycje zabezpieczone hipotekami na nieruchomościach komercyjnych niegenerujących dochodu</w:t>
            </w:r>
          </w:p>
          <w:p w14:paraId="6D774530" w14:textId="076B20CB" w:rsidR="00B731E6" w:rsidRPr="0097322F" w:rsidRDefault="00AF5657" w:rsidP="00B731E6">
            <w:pPr>
              <w:spacing w:after="120"/>
              <w:jc w:val="both"/>
              <w:rPr>
                <w:rFonts w:ascii="Times New Roman" w:hAnsi="Times New Roman" w:cs="Times New Roman"/>
                <w:bCs/>
                <w:sz w:val="24"/>
              </w:rPr>
            </w:pPr>
            <w:r w:rsidRPr="0097322F">
              <w:rPr>
                <w:rFonts w:ascii="Times New Roman" w:hAnsi="Times New Roman"/>
                <w:sz w:val="24"/>
              </w:rPr>
              <w:t>W tej pozycji ujawnia się ekspozycje traktowane zgodnie z art. 126 ust. 1 rozporządzenia (UE) nr 575/2013.</w:t>
            </w:r>
          </w:p>
          <w:p w14:paraId="7E6B1435" w14:textId="2E512A61" w:rsidR="00DA7EF5" w:rsidRPr="0097322F" w:rsidRDefault="0033556A" w:rsidP="00B731E6">
            <w:pPr>
              <w:spacing w:after="120"/>
              <w:jc w:val="both"/>
              <w:rPr>
                <w:rFonts w:ascii="Times New Roman" w:hAnsi="Times New Roman" w:cs="Times New Roman"/>
                <w:bCs/>
                <w:sz w:val="24"/>
              </w:rPr>
            </w:pPr>
            <w:r w:rsidRPr="0097322F">
              <w:rPr>
                <w:rFonts w:ascii="Times New Roman" w:hAnsi="Times New Roman"/>
                <w:sz w:val="24"/>
              </w:rPr>
              <w:t>W tym wierszu ujawnia się również: inne ekspozycje zabezpieczone hipotekami na nieruchomościach komercyjnych niegenerujących dochodu, które nie spełniają warunków określonych w art. 124 ust. 3, lub każdą część ekspozycji niebędącej ekspozycją ADC, która przekracza kwotę nominalną zastawu na nieruchomości, o której to ekspozycji mowa w art. 124 ust. 1 lit. a) rozporządzenia (UE) nr 575/2013.</w:t>
            </w:r>
          </w:p>
          <w:p w14:paraId="3A4B49EE" w14:textId="21BC011B" w:rsidR="007E0548" w:rsidRPr="0097322F" w:rsidRDefault="007E0548" w:rsidP="00B731E6">
            <w:pPr>
              <w:spacing w:after="120"/>
              <w:jc w:val="both"/>
              <w:rPr>
                <w:rFonts w:ascii="Times New Roman" w:eastAsiaTheme="minorHAnsi" w:hAnsi="Times New Roman" w:cs="Times New Roman"/>
                <w:sz w:val="24"/>
              </w:rPr>
            </w:pPr>
            <w:r w:rsidRPr="0097322F">
              <w:rPr>
                <w:rFonts w:ascii="Times New Roman" w:hAnsi="Times New Roman"/>
                <w:sz w:val="24"/>
              </w:rPr>
              <w:t>Wiersz ten stanowi sumę wierszy 9.3.1, 9.3.2 i 9.3.3.</w:t>
            </w:r>
          </w:p>
        </w:tc>
      </w:tr>
      <w:tr w:rsidR="00B731E6" w:rsidRPr="0097322F" w14:paraId="2A6FA185" w14:textId="77777777" w:rsidTr="5A0D947F">
        <w:trPr>
          <w:trHeight w:val="507"/>
        </w:trPr>
        <w:tc>
          <w:tcPr>
            <w:tcW w:w="1413" w:type="dxa"/>
            <w:shd w:val="clear" w:color="auto" w:fill="auto"/>
          </w:tcPr>
          <w:p w14:paraId="49DC0412" w14:textId="50C2D05B"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9.3.1.</w:t>
            </w:r>
          </w:p>
        </w:tc>
        <w:tc>
          <w:tcPr>
            <w:tcW w:w="7654" w:type="dxa"/>
            <w:shd w:val="clear" w:color="auto" w:fill="auto"/>
          </w:tcPr>
          <w:p w14:paraId="6F533409" w14:textId="44833E01" w:rsidR="00AF5657" w:rsidRPr="0097322F" w:rsidRDefault="00AF5657" w:rsidP="5A0D947F">
            <w:pPr>
              <w:spacing w:after="120"/>
              <w:jc w:val="both"/>
              <w:rPr>
                <w:rFonts w:ascii="Times New Roman" w:hAnsi="Times New Roman" w:cs="Times New Roman"/>
                <w:b/>
                <w:bCs/>
                <w:sz w:val="24"/>
              </w:rPr>
            </w:pPr>
            <w:r w:rsidRPr="0097322F">
              <w:rPr>
                <w:rFonts w:ascii="Times New Roman" w:hAnsi="Times New Roman"/>
                <w:b/>
                <w:sz w:val="24"/>
              </w:rPr>
              <w:t>Nie zastosowano podziału kredytów</w:t>
            </w:r>
          </w:p>
          <w:p w14:paraId="189515BD" w14:textId="4BE4C9FD" w:rsidR="00B731E6" w:rsidRPr="0097322F" w:rsidRDefault="00AF5657" w:rsidP="5A0D947F">
            <w:pPr>
              <w:spacing w:after="120"/>
              <w:jc w:val="both"/>
              <w:rPr>
                <w:rFonts w:ascii="Times New Roman" w:hAnsi="Times New Roman" w:cs="Times New Roman"/>
                <w:sz w:val="24"/>
              </w:rPr>
            </w:pPr>
            <w:r w:rsidRPr="0097322F">
              <w:rPr>
                <w:rFonts w:ascii="Times New Roman" w:hAnsi="Times New Roman"/>
                <w:sz w:val="24"/>
              </w:rPr>
              <w:t>Ekspozycje zabezpieczone hipotekami na nieruchomościach komercyjnych, do których nie ma zastosowania metoda podziału kredytów opisana w art. 126 ust. 1 rozporządzenia (UE) nr 575/2013.</w:t>
            </w:r>
          </w:p>
        </w:tc>
      </w:tr>
      <w:tr w:rsidR="00B731E6" w:rsidRPr="0097322F" w14:paraId="536C5813" w14:textId="77777777" w:rsidTr="5A0D947F">
        <w:trPr>
          <w:trHeight w:val="507"/>
        </w:trPr>
        <w:tc>
          <w:tcPr>
            <w:tcW w:w="1413" w:type="dxa"/>
            <w:shd w:val="clear" w:color="auto" w:fill="auto"/>
          </w:tcPr>
          <w:p w14:paraId="17942517" w14:textId="2325CC59"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9.3.2.</w:t>
            </w:r>
          </w:p>
        </w:tc>
        <w:tc>
          <w:tcPr>
            <w:tcW w:w="7654" w:type="dxa"/>
            <w:shd w:val="clear" w:color="auto" w:fill="auto"/>
          </w:tcPr>
          <w:p w14:paraId="2A4977BE" w14:textId="7C1D3936" w:rsidR="00AF5657" w:rsidRPr="0097322F" w:rsidRDefault="00AF5657" w:rsidP="5A0D947F">
            <w:pPr>
              <w:spacing w:after="120"/>
              <w:jc w:val="both"/>
              <w:rPr>
                <w:rFonts w:ascii="Times New Roman" w:hAnsi="Times New Roman" w:cs="Times New Roman"/>
                <w:b/>
                <w:bCs/>
                <w:sz w:val="24"/>
              </w:rPr>
            </w:pPr>
            <w:r w:rsidRPr="0097322F">
              <w:rPr>
                <w:rFonts w:ascii="Times New Roman" w:hAnsi="Times New Roman"/>
                <w:b/>
                <w:sz w:val="24"/>
              </w:rPr>
              <w:t>Zastosowano podział kredytów (zabezpieczone)</w:t>
            </w:r>
          </w:p>
          <w:p w14:paraId="295F988E" w14:textId="163AC587" w:rsidR="00B731E6" w:rsidRPr="0097322F" w:rsidRDefault="00AF5657" w:rsidP="5A0D947F">
            <w:pPr>
              <w:spacing w:after="120"/>
              <w:jc w:val="both"/>
              <w:rPr>
                <w:rFonts w:ascii="Times New Roman" w:hAnsi="Times New Roman" w:cs="Times New Roman"/>
                <w:sz w:val="24"/>
              </w:rPr>
            </w:pPr>
            <w:r w:rsidRPr="0097322F">
              <w:rPr>
                <w:rFonts w:ascii="Times New Roman" w:hAnsi="Times New Roman"/>
                <w:sz w:val="24"/>
              </w:rPr>
              <w:t>Zabezpieczona część ekspozycji zabezpieczonych hipotekami na nieruchomościach komercyjnych, do której ma zastosowanie metoda podziału kredytów opisana w art. 126 ust. 1 rozporządzenia (UE) nr 575/2013.</w:t>
            </w:r>
          </w:p>
        </w:tc>
      </w:tr>
      <w:tr w:rsidR="00B731E6" w:rsidRPr="0097322F" w14:paraId="32A17F28" w14:textId="77777777" w:rsidTr="5A0D947F">
        <w:trPr>
          <w:trHeight w:val="507"/>
        </w:trPr>
        <w:tc>
          <w:tcPr>
            <w:tcW w:w="1413" w:type="dxa"/>
            <w:shd w:val="clear" w:color="auto" w:fill="auto"/>
          </w:tcPr>
          <w:p w14:paraId="7E7BBE98" w14:textId="308FFA9D"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9.3.3.</w:t>
            </w:r>
          </w:p>
        </w:tc>
        <w:tc>
          <w:tcPr>
            <w:tcW w:w="7654" w:type="dxa"/>
            <w:shd w:val="clear" w:color="auto" w:fill="auto"/>
          </w:tcPr>
          <w:p w14:paraId="4ECB5244" w14:textId="1E8E28D6" w:rsidR="00AF5657" w:rsidRPr="0097322F" w:rsidRDefault="00AF5657" w:rsidP="5A0D947F">
            <w:pPr>
              <w:spacing w:after="120"/>
              <w:jc w:val="both"/>
              <w:rPr>
                <w:rFonts w:ascii="Times New Roman" w:hAnsi="Times New Roman" w:cs="Times New Roman"/>
                <w:b/>
                <w:bCs/>
                <w:sz w:val="24"/>
              </w:rPr>
            </w:pPr>
            <w:r w:rsidRPr="0097322F">
              <w:rPr>
                <w:rFonts w:ascii="Times New Roman" w:hAnsi="Times New Roman"/>
                <w:b/>
                <w:sz w:val="24"/>
              </w:rPr>
              <w:t>Zastosowano podział kredytów (niezabezpieczone)</w:t>
            </w:r>
          </w:p>
          <w:p w14:paraId="6C4BCA6C" w14:textId="42BC1D87" w:rsidR="00B731E6" w:rsidRPr="0097322F" w:rsidRDefault="00AF5657" w:rsidP="5A0D947F">
            <w:pPr>
              <w:spacing w:after="120"/>
              <w:jc w:val="both"/>
              <w:rPr>
                <w:rFonts w:ascii="Times New Roman" w:hAnsi="Times New Roman" w:cs="Times New Roman"/>
                <w:sz w:val="24"/>
              </w:rPr>
            </w:pPr>
            <w:r w:rsidRPr="0097322F">
              <w:rPr>
                <w:rFonts w:ascii="Times New Roman" w:hAnsi="Times New Roman"/>
                <w:sz w:val="24"/>
              </w:rPr>
              <w:t>Pozostała część ekspozycji zabezpieczonych hipotekami na nieruchomościach komercyjnych, do której ma zastosowanie metoda podziału kredytów opisana w art. 126 ust. 1 rozporządzenia (UE) nr 575/2013.</w:t>
            </w:r>
          </w:p>
        </w:tc>
      </w:tr>
      <w:tr w:rsidR="00B731E6" w:rsidRPr="0097322F" w14:paraId="75CE8B5A" w14:textId="77777777" w:rsidTr="5A0D947F">
        <w:trPr>
          <w:trHeight w:val="507"/>
        </w:trPr>
        <w:tc>
          <w:tcPr>
            <w:tcW w:w="1413" w:type="dxa"/>
            <w:shd w:val="clear" w:color="auto" w:fill="auto"/>
          </w:tcPr>
          <w:p w14:paraId="7897E6FD" w14:textId="412E48BE"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9.4</w:t>
            </w:r>
          </w:p>
        </w:tc>
        <w:tc>
          <w:tcPr>
            <w:tcW w:w="7654" w:type="dxa"/>
            <w:shd w:val="clear" w:color="auto" w:fill="auto"/>
          </w:tcPr>
          <w:p w14:paraId="5DC2F5DD" w14:textId="1CB33C48" w:rsidR="00AF565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zabezpieczone hipotekami na nieruchomościach komercyjnych generujących dochód</w:t>
            </w:r>
          </w:p>
          <w:p w14:paraId="6B5C20F3" w14:textId="231C48A9" w:rsidR="00B731E6" w:rsidRPr="0097322F" w:rsidRDefault="00AF5657" w:rsidP="5A0D947F">
            <w:pPr>
              <w:spacing w:after="120"/>
              <w:jc w:val="both"/>
              <w:rPr>
                <w:rFonts w:ascii="Times New Roman" w:hAnsi="Times New Roman" w:cs="Times New Roman"/>
                <w:sz w:val="24"/>
              </w:rPr>
            </w:pPr>
            <w:r w:rsidRPr="0097322F">
              <w:rPr>
                <w:rFonts w:ascii="Times New Roman" w:hAnsi="Times New Roman"/>
                <w:sz w:val="24"/>
              </w:rPr>
              <w:t xml:space="preserve">W tej pozycji zgłasza się wyłącznie ekspozycje, które spełniają definicję zawartą w art. 4 ust. 1 pkt 75b i art. 124 ust. 2 lit. b) pkt (ii) rozporządzenia (UE) nr 575/2013. </w:t>
            </w:r>
          </w:p>
          <w:p w14:paraId="753C2F57" w14:textId="77777777" w:rsidR="008D77B1" w:rsidRPr="0097322F" w:rsidRDefault="00DA7EF5" w:rsidP="5A0D947F">
            <w:pPr>
              <w:spacing w:after="120"/>
              <w:jc w:val="both"/>
              <w:rPr>
                <w:rFonts w:ascii="Times New Roman" w:hAnsi="Times New Roman" w:cs="Times New Roman"/>
                <w:sz w:val="24"/>
              </w:rPr>
            </w:pPr>
            <w:r w:rsidRPr="0097322F">
              <w:rPr>
                <w:rFonts w:ascii="Times New Roman" w:hAnsi="Times New Roman"/>
                <w:sz w:val="24"/>
              </w:rPr>
              <w:t>W tym wierszu ujawnia się również:</w:t>
            </w:r>
          </w:p>
          <w:p w14:paraId="5FECF5F7" w14:textId="5AE5B58A" w:rsidR="008D77B1" w:rsidRPr="0097322F" w:rsidRDefault="008D77B1" w:rsidP="5A0D947F">
            <w:pPr>
              <w:spacing w:after="120"/>
              <w:jc w:val="both"/>
              <w:rPr>
                <w:rFonts w:ascii="Times New Roman" w:eastAsiaTheme="minorHAnsi" w:hAnsi="Times New Roman" w:cs="Times New Roman"/>
                <w:sz w:val="24"/>
              </w:rPr>
            </w:pPr>
            <w:r w:rsidRPr="0097322F">
              <w:rPr>
                <w:rFonts w:ascii="Times New Roman" w:hAnsi="Times New Roman"/>
                <w:sz w:val="24"/>
              </w:rPr>
              <w:t>– inne ekspozycje zabezpieczone hipotekami na nieruchomościach komercyjnych generujących dochód, które nie spełniają warunków określonych w art. 124 ust. 3, lub każdą część ekspozycji niebędącej ekspozycją ADC, która przekracza kwotę nominalną zastawu na nieruchomości, o której to ekspozycji mowa w art. 124 ust. 1 lit. b) rozporządzenia (UE) nr 575/2013;</w:t>
            </w:r>
          </w:p>
          <w:p w14:paraId="7685605B" w14:textId="29DF1160" w:rsidR="00DA7EF5" w:rsidRPr="0097322F" w:rsidRDefault="008D77B1" w:rsidP="5A0D947F">
            <w:pPr>
              <w:spacing w:after="120"/>
              <w:jc w:val="both"/>
              <w:rPr>
                <w:rFonts w:ascii="Times New Roman" w:hAnsi="Times New Roman" w:cs="Times New Roman"/>
                <w:bCs/>
                <w:sz w:val="24"/>
              </w:rPr>
            </w:pPr>
            <w:r w:rsidRPr="0097322F">
              <w:rPr>
                <w:rFonts w:ascii="Times New Roman" w:hAnsi="Times New Roman"/>
                <w:sz w:val="24"/>
              </w:rPr>
              <w:lastRenderedPageBreak/>
              <w:t>– ekspozycje IPRE, w przypadku gdy stosuje się odstępstwo określone w art. 126 ust. 2 rozporządzenia (UE) nr 575/2014.</w:t>
            </w:r>
          </w:p>
        </w:tc>
      </w:tr>
      <w:tr w:rsidR="00B731E6" w:rsidRPr="0097322F" w14:paraId="20764392" w14:textId="77777777" w:rsidTr="5A0D947F">
        <w:trPr>
          <w:trHeight w:val="507"/>
        </w:trPr>
        <w:tc>
          <w:tcPr>
            <w:tcW w:w="1413" w:type="dxa"/>
            <w:shd w:val="clear" w:color="auto" w:fill="auto"/>
          </w:tcPr>
          <w:p w14:paraId="0FC4E51F" w14:textId="36B43C49"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lastRenderedPageBreak/>
              <w:t>9.5</w:t>
            </w:r>
          </w:p>
        </w:tc>
        <w:tc>
          <w:tcPr>
            <w:tcW w:w="7654" w:type="dxa"/>
            <w:shd w:val="clear" w:color="auto" w:fill="auto"/>
          </w:tcPr>
          <w:p w14:paraId="341A3252" w14:textId="49B1967E" w:rsidR="00AF5657" w:rsidRPr="0097322F" w:rsidRDefault="0B701945" w:rsidP="5A0D947F">
            <w:pPr>
              <w:spacing w:after="120"/>
              <w:jc w:val="both"/>
              <w:rPr>
                <w:rFonts w:ascii="Times New Roman" w:hAnsi="Times New Roman" w:cs="Times New Roman"/>
                <w:b/>
                <w:bCs/>
                <w:sz w:val="24"/>
              </w:rPr>
            </w:pPr>
            <w:r w:rsidRPr="0097322F">
              <w:rPr>
                <w:rFonts w:ascii="Times New Roman" w:hAnsi="Times New Roman"/>
                <w:b/>
                <w:sz w:val="24"/>
              </w:rPr>
              <w:t>Ekspozycje z tytułu nabycia, zagospodarowania i zabudowy gruntu (ADC)</w:t>
            </w:r>
          </w:p>
          <w:p w14:paraId="0F969F9F" w14:textId="52C7FD3B" w:rsidR="00B731E6" w:rsidRPr="0097322F" w:rsidRDefault="00AF5657" w:rsidP="5A0D947F">
            <w:pPr>
              <w:spacing w:after="120"/>
              <w:jc w:val="both"/>
              <w:rPr>
                <w:rFonts w:ascii="Times New Roman" w:hAnsi="Times New Roman" w:cs="Times New Roman"/>
                <w:sz w:val="24"/>
              </w:rPr>
            </w:pPr>
            <w:r w:rsidRPr="0097322F">
              <w:rPr>
                <w:rFonts w:ascii="Times New Roman" w:hAnsi="Times New Roman"/>
                <w:sz w:val="24"/>
              </w:rPr>
              <w:t>W tej pozycji zgłasza się wyłącznie ekspozycje, które spełniają definicję zawartą w art. 4 ust. 1 pkt 78a rozporządzenia (UE) nr 575/2013.</w:t>
            </w:r>
          </w:p>
        </w:tc>
      </w:tr>
      <w:tr w:rsidR="00B731E6" w:rsidRPr="0097322F" w14:paraId="55E6C904" w14:textId="77777777" w:rsidTr="5A0D947F">
        <w:trPr>
          <w:trHeight w:val="4791"/>
        </w:trPr>
        <w:tc>
          <w:tcPr>
            <w:tcW w:w="1413" w:type="dxa"/>
          </w:tcPr>
          <w:p w14:paraId="1A19FACE" w14:textId="25B6BF34" w:rsidR="00B731E6" w:rsidRPr="0097322F" w:rsidRDefault="6D7E96F7">
            <w:pPr>
              <w:spacing w:after="120"/>
              <w:jc w:val="both"/>
              <w:rPr>
                <w:rFonts w:ascii="Times New Roman" w:eastAsia="Times New Roman" w:hAnsi="Times New Roman" w:cs="Times New Roman"/>
                <w:sz w:val="24"/>
              </w:rPr>
            </w:pPr>
            <w:r w:rsidRPr="0097322F">
              <w:rPr>
                <w:rFonts w:ascii="Times New Roman" w:hAnsi="Times New Roman"/>
                <w:sz w:val="24"/>
              </w:rPr>
              <w:t>EU 10c</w:t>
            </w:r>
          </w:p>
        </w:tc>
        <w:tc>
          <w:tcPr>
            <w:tcW w:w="7654" w:type="dxa"/>
          </w:tcPr>
          <w:p w14:paraId="44064BA9" w14:textId="08D5F5C0" w:rsidR="00AF5657" w:rsidRPr="0097322F" w:rsidRDefault="00B731E6" w:rsidP="00B731E6">
            <w:pPr>
              <w:spacing w:after="120"/>
              <w:jc w:val="both"/>
              <w:rPr>
                <w:rFonts w:ascii="Times New Roman" w:eastAsiaTheme="minorHAnsi" w:hAnsi="Times New Roman" w:cs="Times New Roman"/>
                <w:b/>
                <w:bCs/>
                <w:sz w:val="24"/>
              </w:rPr>
            </w:pPr>
            <w:r w:rsidRPr="0097322F">
              <w:rPr>
                <w:rFonts w:ascii="Times New Roman" w:hAnsi="Times New Roman"/>
                <w:b/>
                <w:sz w:val="24"/>
              </w:rPr>
              <w:t>Inne pozycje</w:t>
            </w:r>
          </w:p>
          <w:p w14:paraId="71B77EE9" w14:textId="278AF798" w:rsidR="00B731E6" w:rsidRPr="0097322F" w:rsidRDefault="00AF5657" w:rsidP="00B731E6">
            <w:pPr>
              <w:spacing w:after="120"/>
              <w:jc w:val="both"/>
              <w:rPr>
                <w:rFonts w:ascii="Times New Roman" w:eastAsiaTheme="minorHAnsi" w:hAnsi="Times New Roman" w:cs="Times New Roman"/>
                <w:sz w:val="24"/>
              </w:rPr>
            </w:pPr>
            <w:r w:rsidRPr="0097322F">
              <w:rPr>
                <w:rFonts w:ascii="Times New Roman" w:hAnsi="Times New Roman"/>
                <w:sz w:val="24"/>
              </w:rPr>
              <w:t>Ta kategoria ekspozycji odnosi się do:</w:t>
            </w:r>
          </w:p>
          <w:p w14:paraId="278C94D3" w14:textId="1D604FCC" w:rsidR="00B731E6" w:rsidRPr="0097322F" w:rsidRDefault="00B731E6" w:rsidP="00B731E6">
            <w:pPr>
              <w:spacing w:after="120"/>
              <w:jc w:val="both"/>
              <w:rPr>
                <w:rFonts w:ascii="Times New Roman" w:eastAsiaTheme="minorHAnsi" w:hAnsi="Times New Roman" w:cs="Times New Roman"/>
                <w:sz w:val="24"/>
              </w:rPr>
            </w:pPr>
            <w:r w:rsidRPr="0097322F">
              <w:rPr>
                <w:rFonts w:ascii="Times New Roman" w:hAnsi="Times New Roman"/>
                <w:sz w:val="24"/>
              </w:rPr>
              <w:t>– aktywów podlegających określonej wadze ryzyka ustanowionej w części trzeciej tytuł II rozdział 4 art. 134 rozporządzenia (UE) nr 575/2013;</w:t>
            </w:r>
          </w:p>
          <w:p w14:paraId="573636F2" w14:textId="044BB2FD" w:rsidR="00B731E6" w:rsidRPr="0097322F" w:rsidRDefault="0B701945" w:rsidP="5A0D947F">
            <w:pPr>
              <w:spacing w:after="120"/>
              <w:jc w:val="both"/>
              <w:rPr>
                <w:rFonts w:ascii="Times New Roman" w:hAnsi="Times New Roman" w:cs="Times New Roman"/>
                <w:sz w:val="24"/>
              </w:rPr>
            </w:pPr>
            <w:r w:rsidRPr="0097322F">
              <w:rPr>
                <w:rFonts w:ascii="Times New Roman" w:hAnsi="Times New Roman"/>
                <w:sz w:val="24"/>
              </w:rPr>
              <w:t>– aktywów, które nie podlegają odliczeniu zgodnie z art. 39 rozporządzenia (UE) nr 575/2013 (nadpłaty podatku, straty podatkowe przeniesione na poprzednie lata oraz aktywa z tytułu odroczonego podatku dochodowego nieoparte na przyszłej rentowności), art. 41 rozporządzenia (UE) nr 575/2013 (aktywa funduszu emerytalnego ze zdefiniowanymi świadczeniami), art. 46 i 469 rozporządzenia (UE) nr 575/2013 (nieznaczne inwestycje w kapitał podstawowy Tier I podmiotów sektora finansowego), art. 49 i 471 rozporządzenia (UE) nr 575/2013 (udziały w podmiotach ubezpieczeniowych, niezależnie od tego, czy podmioty ubezpieczeniowe są objęte nadzorem zgodnie z przepisami dyrektywy w sprawie konglomeratów, czy też nie), art. 60 i 475 rozporządzenia (UE) nr 575/2013 (nieznaczne i znaczne bezpośrednie, pośrednie i syntetyczne inwestycje w kapitał dodatkowy Tier I podmiotów sektora finansowego), art. 70 i 477 rozporządzenia (UE) nr 575/2013 (nieznaczne i znaczne bezpośrednie, pośrednie i syntetyczne udziały w kapitale Tier II podmiotu sektora finansowego), jeżeli nie przydzielono ich do innych kategorii ekspozycji, oraz do znacznych pakietów akcji poza sektorem finansowym, które nie kwalifikują się do wagi ryzyka równej 1250 % (zgodnie z częścią drugą tytuł I rozdział 1 art. 36 lit. k) rozporządzenia (UE) nr 575/2013).</w:t>
            </w:r>
          </w:p>
        </w:tc>
      </w:tr>
      <w:tr w:rsidR="006D3144" w:rsidRPr="0097322F" w14:paraId="5BD2F47E" w14:textId="77777777" w:rsidTr="00FB64CF">
        <w:trPr>
          <w:trHeight w:val="643"/>
        </w:trPr>
        <w:tc>
          <w:tcPr>
            <w:tcW w:w="1413" w:type="dxa"/>
            <w:shd w:val="clear" w:color="auto" w:fill="D9D9D9" w:themeFill="background1" w:themeFillShade="D9"/>
          </w:tcPr>
          <w:p w14:paraId="264F36FD" w14:textId="11D07211" w:rsidR="006D3144" w:rsidRPr="0097322F" w:rsidRDefault="006D3144">
            <w:pPr>
              <w:spacing w:after="120"/>
              <w:jc w:val="both"/>
              <w:rPr>
                <w:rFonts w:ascii="Times New Roman" w:eastAsia="Times New Roman" w:hAnsi="Times New Roman" w:cs="Times New Roman"/>
                <w:sz w:val="24"/>
              </w:rPr>
            </w:pPr>
            <w:r w:rsidRPr="0097322F">
              <w:rPr>
                <w:rFonts w:ascii="Times New Roman" w:hAnsi="Times New Roman"/>
                <w:sz w:val="24"/>
              </w:rPr>
              <w:t>11</w:t>
            </w:r>
          </w:p>
        </w:tc>
        <w:tc>
          <w:tcPr>
            <w:tcW w:w="7654" w:type="dxa"/>
            <w:shd w:val="clear" w:color="auto" w:fill="D9D9D9" w:themeFill="background1" w:themeFillShade="D9"/>
          </w:tcPr>
          <w:p w14:paraId="47FD4F2B" w14:textId="1FCF9627" w:rsidR="006D3144" w:rsidRPr="0097322F" w:rsidRDefault="006D3144" w:rsidP="00B731E6">
            <w:pPr>
              <w:spacing w:after="120"/>
              <w:jc w:val="both"/>
              <w:rPr>
                <w:rFonts w:ascii="Times New Roman" w:eastAsiaTheme="minorHAnsi" w:hAnsi="Times New Roman" w:cs="Times New Roman"/>
                <w:sz w:val="24"/>
              </w:rPr>
            </w:pPr>
            <w:r w:rsidRPr="0097322F">
              <w:rPr>
                <w:rFonts w:ascii="Times New Roman" w:hAnsi="Times New Roman"/>
                <w:sz w:val="24"/>
              </w:rPr>
              <w:t>Nie dotyczy</w:t>
            </w:r>
          </w:p>
        </w:tc>
      </w:tr>
      <w:tr w:rsidR="00B731E6" w:rsidRPr="0097322F"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97322F" w:rsidRDefault="00B731E6" w:rsidP="00B731E6">
            <w:pPr>
              <w:autoSpaceDE w:val="0"/>
              <w:autoSpaceDN w:val="0"/>
              <w:adjustRightInd w:val="0"/>
              <w:spacing w:after="120"/>
              <w:jc w:val="both"/>
              <w:rPr>
                <w:rFonts w:ascii="Times New Roman" w:eastAsia="Times New Roman" w:hAnsi="Times New Roman" w:cs="Times New Roman"/>
                <w:sz w:val="24"/>
              </w:rPr>
            </w:pPr>
            <w:r w:rsidRPr="0097322F">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97322F" w:rsidRDefault="00B731E6" w:rsidP="00B731E6">
            <w:pPr>
              <w:spacing w:after="120"/>
              <w:jc w:val="both"/>
              <w:rPr>
                <w:rFonts w:ascii="Times New Roman" w:hAnsi="Times New Roman" w:cs="Times New Roman"/>
                <w:b/>
                <w:bCs/>
                <w:sz w:val="24"/>
              </w:rPr>
            </w:pPr>
            <w:r w:rsidRPr="0097322F">
              <w:rPr>
                <w:rFonts w:ascii="Times New Roman" w:hAnsi="Times New Roman"/>
                <w:b/>
                <w:sz w:val="24"/>
              </w:rPr>
              <w:t>Ogółem</w:t>
            </w:r>
          </w:p>
          <w:p w14:paraId="463C4A08" w14:textId="7392B85F" w:rsidR="00B731E6" w:rsidRPr="0097322F" w:rsidRDefault="00AF5657" w:rsidP="00B731E6">
            <w:pPr>
              <w:spacing w:after="120"/>
              <w:jc w:val="both"/>
              <w:rPr>
                <w:rFonts w:ascii="Times New Roman" w:hAnsi="Times New Roman" w:cs="Times New Roman"/>
                <w:sz w:val="24"/>
              </w:rPr>
            </w:pPr>
            <w:r w:rsidRPr="0097322F">
              <w:rPr>
                <w:rFonts w:ascii="Times New Roman" w:hAnsi="Times New Roman"/>
                <w:sz w:val="24"/>
              </w:rPr>
              <w:t>Suma wierszy 1, 2, 3, EU 3a, 4, 5, 6, 7, 8, 9, 10, EU 10a, EU 10b, EU 10c powyżej.</w:t>
            </w:r>
          </w:p>
        </w:tc>
      </w:tr>
    </w:tbl>
    <w:p w14:paraId="63408E1A" w14:textId="77777777" w:rsidR="008B70BD" w:rsidRPr="0097322F" w:rsidRDefault="008B70BD" w:rsidP="0005278F">
      <w:pPr>
        <w:spacing w:after="120"/>
        <w:rPr>
          <w:rFonts w:ascii="Times New Roman" w:hAnsi="Times New Roman" w:cs="Times New Roman"/>
          <w:sz w:val="24"/>
        </w:rPr>
      </w:pPr>
    </w:p>
    <w:p w14:paraId="137E39BA" w14:textId="67FE8595" w:rsidR="00993FC2" w:rsidRPr="0097322F" w:rsidRDefault="00993FC2">
      <w:pPr>
        <w:rPr>
          <w:rFonts w:ascii="Times New Roman" w:hAnsi="Times New Roman" w:cs="Times New Roman"/>
        </w:rPr>
      </w:pPr>
    </w:p>
    <w:sectPr w:rsidR="00993FC2" w:rsidRPr="0097322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Pr="0097322F" w:rsidRDefault="00105833" w:rsidP="0005278F">
      <w:r w:rsidRPr="0097322F">
        <w:separator/>
      </w:r>
    </w:p>
  </w:endnote>
  <w:endnote w:type="continuationSeparator" w:id="0">
    <w:p w14:paraId="57CC355F" w14:textId="77777777" w:rsidR="00105833" w:rsidRPr="0097322F" w:rsidRDefault="00105833" w:rsidP="0005278F">
      <w:r w:rsidRPr="0097322F">
        <w:continuationSeparator/>
      </w:r>
    </w:p>
  </w:endnote>
  <w:endnote w:type="continuationNotice" w:id="1">
    <w:p w14:paraId="3971E96D" w14:textId="77777777" w:rsidR="00105833" w:rsidRPr="0097322F"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sdtContent>
      <w:p w14:paraId="137E39BF" w14:textId="34D5F876" w:rsidR="0005278F" w:rsidRPr="0097322F" w:rsidRDefault="0005278F">
        <w:pPr>
          <w:pStyle w:val="Footer"/>
          <w:jc w:val="right"/>
        </w:pPr>
        <w:r w:rsidRPr="0097322F">
          <w:fldChar w:fldCharType="begin"/>
        </w:r>
        <w:r w:rsidRPr="0097322F">
          <w:instrText xml:space="preserve"> PAGE   \* MERGEFORMAT </w:instrText>
        </w:r>
        <w:r w:rsidRPr="0097322F">
          <w:fldChar w:fldCharType="separate"/>
        </w:r>
        <w:r w:rsidRPr="0097322F">
          <w:t>1</w:t>
        </w:r>
        <w:r w:rsidRPr="0097322F">
          <w:fldChar w:fldCharType="end"/>
        </w:r>
      </w:p>
    </w:sdtContent>
  </w:sdt>
  <w:p w14:paraId="137E39C0" w14:textId="77777777" w:rsidR="0005278F" w:rsidRPr="0097322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Pr="0097322F" w:rsidRDefault="00105833" w:rsidP="0005278F">
      <w:r w:rsidRPr="0097322F">
        <w:separator/>
      </w:r>
    </w:p>
  </w:footnote>
  <w:footnote w:type="continuationSeparator" w:id="0">
    <w:p w14:paraId="74AB3C3E" w14:textId="77777777" w:rsidR="00105833" w:rsidRPr="0097322F" w:rsidRDefault="00105833" w:rsidP="0005278F">
      <w:r w:rsidRPr="0097322F">
        <w:continuationSeparator/>
      </w:r>
    </w:p>
  </w:footnote>
  <w:footnote w:type="continuationNotice" w:id="1">
    <w:p w14:paraId="06CE5F6E" w14:textId="77777777" w:rsidR="00105833" w:rsidRPr="0097322F" w:rsidRDefault="00105833"/>
  </w:footnote>
  <w:footnote w:id="2">
    <w:p w14:paraId="0743D20D" w14:textId="51D365B9" w:rsidR="00166E0C" w:rsidRPr="0097322F" w:rsidRDefault="00166E0C" w:rsidP="00166E0C">
      <w:pPr>
        <w:pStyle w:val="FootnoteText"/>
        <w:rPr>
          <w:rFonts w:cstheme="minorHAnsi"/>
        </w:rPr>
      </w:pPr>
      <w:r w:rsidRPr="0097322F">
        <w:rPr>
          <w:rStyle w:val="FootnoteReference"/>
          <w:rFonts w:cstheme="minorHAnsi"/>
        </w:rPr>
        <w:footnoteRef/>
      </w:r>
      <w:r w:rsidRPr="0097322F">
        <w:tab/>
        <w:t>Rozporządzenie Parlamentu Europejskiego i Rady (UE) nr 575/2013 z dnia 26 czerwca 2013 r. w sprawie wymogów ostrożnościowych dla instytucji kredytowych oraz zmieniające rozporządzenie (UE) nr 648/2012, zmienione rozporządzeniem (UE) 2024/1623 (</w:t>
      </w:r>
      <w:hyperlink r:id="rId1" w:history="1">
        <w:r w:rsidRPr="0097322F">
          <w:rPr>
            <w:rStyle w:val="Hyperlink"/>
            <w:color w:val="800080"/>
          </w:rPr>
          <w:t>Dz.U. L 176 z 27.6.2013, s. 1</w:t>
        </w:r>
      </w:hyperlink>
      <w:r w:rsidRPr="0097322F">
        <w:rPr>
          <w:color w:val="800080"/>
          <w:u w:val="single"/>
        </w:rPr>
        <w:t xml:space="preserve">; </w:t>
      </w:r>
      <w:hyperlink r:id="rId2" w:history="1">
        <w:r w:rsidRPr="0097322F">
          <w:rPr>
            <w:rStyle w:val="Hyperlink"/>
          </w:rPr>
          <w:t>Rozporządzenie - UE - 2024/1623 - PL - EUR-Lex (europa.eu)</w:t>
        </w:r>
      </w:hyperlink>
      <w:r w:rsidRPr="0097322F">
        <w:rPr>
          <w:color w:val="444444"/>
        </w:rPr>
        <w:t>).</w:t>
      </w:r>
    </w:p>
  </w:footnote>
  <w:footnote w:id="3">
    <w:p w14:paraId="137E39C2" w14:textId="77777777" w:rsidR="0005278F" w:rsidRPr="0097322F" w:rsidRDefault="0005278F" w:rsidP="0005278F">
      <w:pPr>
        <w:pStyle w:val="FootnoteText"/>
        <w:rPr>
          <w:rFonts w:cstheme="minorHAnsi"/>
        </w:rPr>
      </w:pPr>
      <w:r w:rsidRPr="0097322F">
        <w:rPr>
          <w:rStyle w:val="FootnoteReference"/>
          <w:rFonts w:cstheme="minorHAnsi"/>
        </w:rPr>
        <w:footnoteRef/>
      </w:r>
      <w:r w:rsidRPr="0097322F">
        <w:tab/>
        <w:t>ROZPORZĄDZENIE DELEGOWANE KOMISJI (UE) nr 183/2014 z dnia 20 grudnia 2013 r. uzupełniające rozporządzenie Parlamentu Europejskiego i Rady (UE) nr 575/2013 w sprawie wymogów ostrożnościowych dla instytucji kredytowych i firm inwestycyjnych w odniesieniu do regulacyjnych standardów technicznych dotyczących określenia sposobu obliczania korekt z tytułu szczególnego i ogólnego ryzyka kredytowego (Dz.U. L 57 z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Pr="0097322F" w:rsidRDefault="00AE1158">
    <w:pPr>
      <w:pStyle w:val="Header"/>
    </w:pPr>
  </w:p>
  <w:p w14:paraId="6F097C03" w14:textId="77777777" w:rsidR="00D21AB6" w:rsidRPr="0097322F"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removePersonalInformation/>
  <w:removeDateAndTime/>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E215C"/>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322F"/>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64EA0"/>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FA500A9D-03FA-498A-A84F-7A055B2414A5}"/>
</file>

<file path=customXml/itemProps3.xml><?xml version="1.0" encoding="utf-8"?>
<ds:datastoreItem xmlns:ds="http://schemas.openxmlformats.org/officeDocument/2006/customXml" ds:itemID="{E0EAC8DE-339E-48A4-9EFC-5EE2B9266806}"/>
</file>

<file path=customXml/itemProps4.xml><?xml version="1.0" encoding="utf-8"?>
<ds:datastoreItem xmlns:ds="http://schemas.openxmlformats.org/officeDocument/2006/customXml" ds:itemID="{9D8A6E82-518E-452B-9E3C-737B75C5A58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3205</Words>
  <Characters>19682</Characters>
  <Application>Microsoft Office Word</Application>
  <DocSecurity>0</DocSecurity>
  <Lines>492</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