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XX PRIEDAS. Standartizuoto kredito rizikos vertinimo metodo taikymo (išskyrus sandorio šalies kredito rizikos ir pakeitimo vertybiniais popieriais pozicijas) atskleidimo nurodymai</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Formos, kurių pildymo nurodymai pateikiami šiame priede, nėra skirtos priemonėms, kurioms taikomas Reglamento (ES) Nr. 575/2013</w:t>
      </w:r>
      <w:r w:rsidR="00166E0C" w:rsidRPr="00BC439A">
        <w:rPr>
          <w:rStyle w:val="FootnoteReference"/>
          <w:rFonts w:ascii="Times New Roman" w:hAnsi="Times New Roman"/>
        </w:rPr>
        <w:footnoteReference w:id="2"/>
      </w:r>
      <w:r>
        <w:rPr>
          <w:rFonts w:ascii="Times New Roman" w:hAnsi="Times New Roman"/>
          <w:sz w:val="24"/>
        </w:rPr>
        <w:t xml:space="preserve"> (toliau – KRR) trečios dalies II antraštinės dalies 6 skyrius (CCR pozicijos), ir priemonėms, kurioms taikomi Reglamento (ES) Nr. 575/2013 trečios dalies II antraštinės dalies 5 skyriuje nustatyti reikalavimai (pakeitimo vertybiniais popieriais pozicijos).</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EU CRD lentelė. Su standartizuotu metodu susiję kokybinės informacijos atskleidimo reikalavimai </w:t>
      </w:r>
      <w:r>
        <w:rPr>
          <w:rFonts w:ascii="Times New Roman" w:hAnsi="Times New Roman"/>
          <w:sz w:val="24"/>
        </w:rPr>
        <w:t>(lankstusis formatas)</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Pildydamos EBI IT sprendimų XIX priede pateiktą EU CRD lentelę įstaigos atskleidžia Reglamento (ES) Nr. 575/2013 444 straipsnio a–d punktuose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Eilutė</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Nuoroda į teisės aktus ir nurodymai</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Paaiškinimas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KRR 444 straipsnio a punktas</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Įstaigos atskleidžia naudojamus paskirtųjų išorinių kredito rizikos vertinimo institucijų (ECAI) ir eksporto kreditų agentūrų (EKA) pavadinimus, taip pat tokių paskyrimų pokyčių informacijos atskleidimo laikotarpiu priežastis.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KRR 444 straipsnio b punktas</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Įstaigos atskleidžia pozicijų klases, nurodytas Reglamento (ES) Nr. 575/2013 112 straipsnyje, kurių pagal riziką įvertintų pozicijų sumas įstaigos apskaičiuoja pagal KRR trečios dalies II antraštinės dalies 2 skyrių, taikydamos pripažintos ECAI arba EKA kredito rizikos vertinimą.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KRR 444 straipsnio c punktas</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Kai emitento arba emisijos kredito rizikos vertinimas yra naudojamas nustatant rizikos koeficientą, priskirtiną pozicijai, kuri nėra įtraukta į prekybos knygą pagal Reglamento (ES) Nr. 575/2013 trečios dalies II antraštinės dalies 2 skyriaus 139 straipsnį, įstaigos aprašo taikytą procesą.</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KRR 444 straipsnio d punktas</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Įstaigos nurodo kiekvienai pozicijų klasei, nurodytai Reglamento (ES) Nr. 575/2013 112 straipsnyje, kiekvienos pripažintos ECAI / EKA (nurodytos šios formos a eilutėje) taikomą raidinę skaitmeninę skalę kartu su rizikos koeficientais, atitinkančiais kredito </w:t>
            </w:r>
            <w:r>
              <w:rPr>
                <w:rFonts w:ascii="Times New Roman" w:hAnsi="Times New Roman"/>
                <w:sz w:val="24"/>
              </w:rPr>
              <w:lastRenderedPageBreak/>
              <w:t xml:space="preserve">kokybės žingsnius, kaip nustatyta Reglamento (ES) Nr. 575/2013 trečios dalies II antraštinės dalies 2 skyriuje, išskyrus atvejus, kai įstaigos naudojama sąsaja atitinka standartinę EBI skelbiamą sąsają. </w:t>
            </w:r>
          </w:p>
        </w:tc>
      </w:tr>
    </w:tbl>
    <w:p w14:paraId="137E395F"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EU CR4 forma. Kredito rizikos pozicija ir KRM poveikis</w:t>
      </w:r>
      <w:r>
        <w:rPr>
          <w:rFonts w:ascii="Times New Roman" w:hAnsi="Times New Roman"/>
          <w:sz w:val="24"/>
        </w:rPr>
        <w:t xml:space="preserve"> (nustatytasis formatas)</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Pildydamos EBI IT sprendimų XIX priede pateiktą EU CR4 formą įstaigos, apskaičiuojančios pagal kredito riziką įvertintų pozicijų sumas pagal Reglamento (ES) Nr. 575/2013 trečios dalies II antraštinės dalies 2 skyrių, atskleidžia Reglamento (ES) Nr. 575/2013 453 straipsnio g, h ir i punktuose ir 444 straipsnio e punkte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Nuorodos į teisės aktus ir nurodymai</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Paaiškinimas</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Pozicijos prieš taikant kredito perskaičiavimo koeficientus ir kredito rizikos mažinimo priemones. Balansinės pozicijos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Įstaigos atskleidžia balansinės pozicijos vertę pagal prudencinio konsolidavimo apimtį pagal KRR 111 straipsnį, pritaikiusios specifinės kredito rizikos koregavimus pagal Reglamento (ES) Nr. 575/2013 110 straipsnį, papildomus vertės koregavimus pagal to reglamento 34 ir 105 straipsnius, atskaitytas sumas pagal to reglamento 36 straipsnio 1 dalies m punktą, kitus nuosavų lėšų mažinimus ir nurašymus (kaip apibrėžta pagal taikytiną apskaitos sistemą), bet prieš taikydamos: i) kredito perskaičiavimo koeficientus, kaip nurodyta tame pačiame straipsnyje, ii) kredito rizikos mažinimo priemones, nurodytas to reglamento trečios dalies II antraštinės dalies 4 skyriuje. Finansinės nuomos pozicijų vertė apskaičiuojama pagal Reglamento (ES) Nr. 575/2013 134 straipsnio 7 dalį.</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Pozicijos prieš taikant kredito perskaičiavimo koeficientus ir kredito rizikos mažinimo priemones. Nebalansinės pozicijos</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Įstaigos atskleidžia nebalansinių pozicijų vertę pagal prudencinio konsolidavimo apimtį, atlikusios sumažinimą specifinės kredito rizikos koregavimais ir atskaitytomis sumomis pagal Reglamento (ES) Nr. 575/2013 36 straipsnio 1 dalies m punktą, bet prieš taikydamos kredito perskaičiavimo koeficientus pagal to reglamento 111 straipsnį ir prieš KRM priemonių poveikį (taikant Reglamento (ES) Nr. 575/2013 trečios dalies II antraštinės dalies 4 skyrių).</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Pozicijos pritaikius kredito perskaičiavimo koeficientus ir KRM priemones. Balansinės pozicijos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Įstaigos atskleidžia balansinės pozicijos vertę pagal prudencinio konsolidavimo apimtį (pagal Reglamento (ES) Nr. 575/2013 111 straipsnį), pritaikiusios specifinės kredito rizikos koregavimus pagal Reglamento (ES) Nr. 575/2013 110 straipsnį, papildomus vertės koregavimus pagal to reglamento 34 ir 105 straipsnius, atskaitytas sumas pagal to reglamento 36 straipsnio 1 dalies m punktą, kitus nuosavų lėšų mažinimus ir nurašymus, kaip apibrėžta pagal taikytiną apskaitos sistemą, pritaikiusios visas kredito rizikos </w:t>
            </w:r>
            <w:r>
              <w:rPr>
                <w:rFonts w:ascii="Times New Roman" w:hAnsi="Times New Roman"/>
                <w:sz w:val="24"/>
              </w:rPr>
              <w:lastRenderedPageBreak/>
              <w:t>mažinimo priemones ir kredito perskaičiavimo koeficientus. Tai suma, kuriai taikomi rizikos koeficientai (pagal Reglamento (ES) Nr. 575/2013 113 straipsnį ir trečios dalies II antraštinės dalies 2 skyriaus 2 skirsnį). Tai grynoji kredito ekvivalento suma, pritaikius KRM priemones ir kredito perskaičiavimo koeficientus.</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Pozicijos pritaikius kredito perskaičiavimo koeficientus ir KRM priemones. Nebalansinės pozicijos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Įstaigos atskleidžia nebalansinės pozicijos vertę, atsižvelgusios į specifinės kredito rizikos koregavimus, kaip apibrėžta Komisijos deleguotajame reglamente (ES) Nr. 183/2014</w:t>
            </w:r>
            <w:r w:rsidRPr="00166E0C">
              <w:rPr>
                <w:rStyle w:val="FootnoteReference"/>
                <w:rFonts w:ascii="Times New Roman" w:eastAsia="Times New Roman" w:hAnsi="Times New Roman" w:cs="Times New Roman"/>
              </w:rPr>
              <w:footnoteReference w:id="3"/>
            </w:r>
            <w:r>
              <w:rPr>
                <w:rFonts w:ascii="Times New Roman" w:hAnsi="Times New Roman"/>
                <w:sz w:val="24"/>
              </w:rPr>
              <w:t>, papildomus vertės koregavimus ir kitus nuosavų lėšų mažinimus, pritaikiusios visas kredito rizikos mažinimo priemones ir kredito perskaičiavimo koeficientus. Tai suma, kuriai taikomi rizikos koeficientai (pagal Reglamento (ES) Nr. 575/2013 113 straipsnį ir trečios dalies II antraštinės dalies 2 skyriaus 2 skirsnį). Tai grynoji kredito ekvivalento suma, pritaikius KRM priemones ir kredito perskaičiavimo koeficientus.</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Pagal riziką įvertintų pozicijų sumos (RWEA), apskaičiuotos pagal Reglamento (ES) Nr. 575/2013 trečios dalies II antraštinės dalies 2 skyriaus 2 skirsnį</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 tankis</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(Šios formos e skiltis / (c+d) skiltys)</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Santykis apskaičiuojamas atitinkamos pozicijų klasės RWEA įverčius (šios formos e skiltis) padalijus iš atitinkamų pozicijų sumos atsižvelgus į visas kredito rizikos mažinimo priemones ir kredito perskaičiavimo koeficientus (šios formos c ir d skilčių verčių suma).</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Nuorodos į teisės aktus ir nurodymai</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Pozicijų klasės, apibrėžtos pagal Reglamento (ES) Nr. 575/2013 112 straipsnį.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Pozicijų klasei „pakeitimo vertybiniais popieriais pozicijos“, nurodytai Reglamento (ES) Nr. 575/2013 112 straipsnio m punkte, priskirtos pozicijos neįtraukiamos.</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Ne centrinės valdžios viešojo sektoriaus subjektų pozicijos</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lastRenderedPageBreak/>
              <w:t>EU 2a ir EU 2b eilutėse nurodytų pozicijų suma</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Regioninės arba vietos valdžios institucijų pozicijos</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rPr>
              <w:t xml:space="preserve">Pozicijos, apibrėžtos Reglamento (ES) Nr. 575/2013 112 straipsnio b punkte ir 115 straipsnio -1, 1, 3, 4 ir 5 dalyse SA pozicijų atveju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Viešojo sektoriaus subjektų pozicijos</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Pozicijos, apibrėžtos Reglamento (ES) Nr. 575/2013 4 straipsnio 1 dalies 8 punkte, 112 straipsnio c punkte ir 116 straipsnio 1, 2, 3, 4 ir 5 dalyse SA pozicijų atveju</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Įmonių pozicijos</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Pozicijos, apibrėžtos Reglamento (ES) Nr. 575/2013 112 straipsnio g punkte ir 122 straipsnyje</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Iš jų: specializuoto skolinimo pozicijos</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Pozicijos, apibrėžtos Reglamento (EB) Nr. 575/2013 122a straipsnyje</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Subordinuotosios skolos ir nuosavybės vertybinių popierių pozicijos</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EU 7a ir EU 7b eilutėse nurodytų pozicijų suma</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Subordinuotosios skolos pozicijos</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Pozicijos, apibrėžtos Reglamento (ES) Nr. 575/2013 112 straipsnio k punkte ir 128 straipsnyje</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Nuosavybės vertybinių popierių pozicijos</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Pozicijos, apibrėžtos Reglamento (ES) Nr. 575/2013 112 straipsnio p punkte ir 133 straipsnio 1 dalyje</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Nekilnojamojo turto hipoteka užtikrintos pozicijos ir ADC pozicijos</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Čia pateikiamos nekilnojamojo turto hipoteka užtikrintos pozicijos, apibrėžtos Reglamento (ES) Nr. 575/2013 4 straipsnio 1 dalies 75–75f punktuose, ir pozicijos, apibrėžtos Reglamento (ES) Nr. 575/2013 4 straipsnio 1 dalies 78a punkte.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Šioje eilutėje įrašoma 9.1; 9.2; 9.3; 9.4 ir 9.5 eilučių verčių suma.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Gyvenamosios paskirties nekilnojamojo turto hipoteka užtikrintos pozicijos (ne IPRE pozicijos)</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Čia pateikiamos pozicijos, vertinamos pagal Reglamento (ES) Nr. 575/2013 125 straipsnio 1 dalį.</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Šioje eilutėje taip pat atskleidžiamos: kitos gyvenamosios paskirties nekilnojamojo turto hipoteka užtikrintos pozicijos (ne IPRE pozicijos), neatitinkančios 124 straipsnio 3 dalies sąlygų, arba bet kokios ne ADC pozicijos dalys, viršijančios turto kreditorinio reikalavimo pirmumo teisės nominaliąją sumą ir nurodomos Reglamento (ES) Nr. 575/2013 124 straipsnio 1 dalies a punkte.</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Gyvenamosios paskirties nekilnojamojo turto hipoteka užtikrintos pozicijos (IPRE pozicijos)</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lastRenderedPageBreak/>
              <w:t>Čia nurodomos tik pozicijos, atitinkančios Reglamento (ES) Nr. 575/2013 4 straipsnio 1 dalies 75b punkto apibrėžtį, įskaitant IPRE pozicijas, atitinkančias bet kurią iš sąlygų, nurodytų Reglamento (ES) Nr. 575/2013 124 straipsnio 2 dalies a punkto ii papunkčio 1–4 dalyse, ir IPRE pozicijas, kai taikoma Reglamento (ES) Nr. 575/2013 125 straipsnio 2 dalyje nustatyta nukrypti leidžianti nuostata.</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Šioje eilutėje taip pat atskleidžiamos: kitos gyvenamosios paskirties nekilnojamojo turto hipoteka užtikrintos pozicijos (IPRE pozicijos), neatitinkančios 124 straipsnio 3 dalies sąlygų, arba bet kokios ne ADC pozicijos dalys, viršijančios turto kreditorinio reikalavimo pirmumo teisės nominaliąją sumą ir nurodomos Reglamento (ES) Nr. 575/2013 124 straipsnio 1 dalies b punkte.</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Komercinės paskirties nekilnojamojo turto hipoteka užtikrintos pozicijos (ne IPRE pozicijos)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Čia pateikiamos pozicijos, vertinamos pagal Reglamento (ES) Nr. 575/2013 126 straipsnio 1 dalį.</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Šioje eilutėje taip pat atskleidžiamos: kitos komercinės paskirties nekilnojamojo turto hipoteka užtikrintos pozicijos (ne IPRE pozicijos), neatitinkančios 124 straipsnio 3 dalies sąlygų, arba bet kokios ne ADC pozicijos dalys, viršijančios turto kreditorinio reikalavimo pirmumo teisės nominaliąją sumą ir nurodomos Reglamento (ES) Nr. 575/2013 124 straipsnio 1 dalies a punkte.</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Komercinės paskirties nekilnojamojo turto hipoteka užtikrintos pozicijos (IPRE pozicijos)</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Čia nurodomos pozicijos, atitinkančios Reglamento (ES) Nr. 575/2013 4 straipsnio 1 dalies 75b punkto apibrėžtį ir 124 straipsnio 2 dalies b punkto ii papunktį, įskaitant IPRE pozicijas, kai taikoma Reglamento (ES) Nr. 575/2013 126 straipsnio 2 dalyje nustatyta nukrypti leidžianti nuostata.</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Šioje eilutėje taip pat atskleidžiamos: kitos komercinės paskirties nekilnojamojo turto hipoteka užtikrintos pozicijos (IPRE pozicijos), neatitinkančios 124 straipsnio 3 dalies sąlygų, arba bet kokios ne ADC pozicijos dalys, viršijančios turto kreditorinio reikalavimo pirmumo teisės nominaliąją sumą ir nurodomos Reglamento (ES) Nr. 575/2013 124 straipsnio 1 dalies b punkte.</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Netaikytina</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Iš viso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1, 2, 3, EU 3a, 4, 5, 6, 7, 8, 9, 10, EU 10a, EU 10b ir EU 10c eilutėse nurodytų pozicijų suma</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EU CR5 forma. Standartizuotas metodas</w:t>
      </w:r>
      <w:r>
        <w:rPr>
          <w:rFonts w:ascii="Times New Roman" w:hAnsi="Times New Roman"/>
          <w:sz w:val="24"/>
        </w:rPr>
        <w:t xml:space="preserve"> (nustatytasis formatas)</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rPr>
        <w:t>Pildydamos EBI IT sprendimų XIX priede pateiktą EU CR5 formą įstaigos atskleidžia Reglamento (ES) Nr. 575/2013 444 straipsnio e punkte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Skilties 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Nuorodos į teisės aktus ir nurodymai</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Paaiškinimas</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Rizikos koeficientas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Įstaigos atskleidžia informaciją apie rizikos koeficientų paskirstymą atitinkamoje pozicijų klasėje pagal Reglamento (ES) Nr. 575/2013 trečios dalies II antraštinės dalies 2 skyriaus 2 skirsnį.</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Iš viso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Visa balansinių ir nebalansinių pozicijų suma pagal prudencinio konsolidavimo apimtį: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pagal Reglamento (ES) Nr. 575/2013 111 straipsnį balansinėms pozicijoms pritaikius specifinės kredito rizikos koregavimus pagal to reglamento 110 straipsnį, papildomus vertės koregavimus pagal to reglamento 34 ir 105 straipsnius, atskaitytas sumas pagal to reglamento 36 straipsnio 1 dalies m punktą, kitus nuosavų lėšų mažinimus ir nurašymus (kaip nustatyta pagal taikytiną apskaitos sistemą);</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pagal Reglamento (ES) Nr. 575/2013 111 straipsnį nebalansinėms pozicijoms pritaikius sumažinimą specifinės kredito rizikos koregavimais ir atskaitytomis sumomis pagal to reglamento 36 straipsnio 1 dalies m punktą;</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tiek balansinėms, tiek nebalansinėms pozicijoms pritaikius: i) tame pačiame straipsnyje nurodytus perskaičiavimo koeficientus ir ii) KRR trečios dalies II antraštinės dalies 4 skyriuje nurodytas KRM priemones.</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Iš jų nereitinguotos</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Pozicijos, kurių atžvilgiu neatliktas pripažintos ECAI kredito rizikos vertinimas ir kurioms taikomi konkretūs rizikos koeficientai, atsižvelgiant į jų klasę, kaip nurodyta Reglamento (ES) Nr. 575/2013 113–134 straipsniuose</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Nuorodos į teisės aktus ir nurodymai</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Pozicijų klasės pagal Reglamento (ES) Nr. 575/2013 112 straipsnį.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Pozicijų klasei „pakeitimo vertybiniais popieriais pozicijos“, nurodytai Reglamento (ES) Nr. 575/2013 112 straipsnio m punkte, priskirtos pozicijos neįtraukiamos.</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Ne centrinės valdžios viešojo sektoriaus subjektų pozicijos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EU 2a ir EU 2b eilutėse nurodytų pozicijų suma</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Regioninės arba vietos valdžios institucijų pozicijos</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rPr>
              <w:t>Pozicijos, apibrėžtos Reglamento (ES) Nr. 575/2013 112 straipsnio b punkte ir 115 straipsnio -1, 1, 3, 4 ir 5 dalyse SA pozicijų atveju</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Viešojo sektoriaus subjektų pozicijos</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Pozicijos, apibrėžtos Reglamento (ES) Nr. 575/2013 4 straipsnio 1 dalies 8 punkte, 112 straipsnio c punkte ir 116 straipsnio 1, 2, 3, 4 ir 5 dalyse SA pozicijų atveju</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Įmonių pozicijos</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Pozicijos, apibrėžtos Reglamento (ES) Nr. 575/2013 112 straipsnio g punkte ir 122 straipsnyje</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Iš jų: specializuoto skolinimo pozicijos</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Pozicijos, apibrėžtos Reglamento (EB) Nr. 575/2013 122a straipsnyje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Subordinuotosios skolos ir nuosavybės vertybinių popierių pozicijos</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Toliau nurodytų EU 7a ir EU 7b eilučių suma</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Subordinuotosios skolos pozicijos</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Pozicijos, apibrėžtos Reglamento (ES) Nr. 575/2013 112 straipsnio k punkte ir 128 straipsnyje</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Nuosavybės vertybinių popierių pozicijos</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Pozicijos, apibrėžtos Reglamento (ES) Nr. 575/2013 112 straipsnio p punkte ir 133 straipsnio 1 dalyje</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Nekilnojamojo turto hipoteka užtikrintos pozicijos ir ADC pozicijos</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Čia pateikiamos nekilnojamojo turto hipoteka užtikrintos pozicijos, apibrėžtos Reglamento (ES) Nr. 575/2013 4 straipsnio 1 dalies 75–75f punktuose, ir pozicijos, apibrėžtos Reglamento (ES) Nr. 575/2013 4 straipsnio 1 dalies 78a punkte.</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Šioje eilutėje įrašoma 9.1; 9.2; 9.3; 9.4 ir 9.5 eilučių verčių suma.</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Gyvenamosios paskirties nekilnojamojo turto hipoteka užtikrintos pozicijos (ne IPRE pozicijos)</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Čia atskleidžiamos pozicijos, vertinamos pagal Reglamento (ES) Nr. 575/2013 125 straipsnio 1 dalį.</w:t>
            </w:r>
          </w:p>
          <w:p w14:paraId="739769BE" w14:textId="77777777" w:rsidR="00FB64CF" w:rsidRDefault="007750BC" w:rsidP="007750BC">
            <w:pPr>
              <w:spacing w:after="120"/>
              <w:jc w:val="both"/>
              <w:rPr>
                <w:rFonts w:ascii="Times New Roman" w:eastAsiaTheme="minorHAnsi" w:hAnsi="Times New Roman"/>
                <w:sz w:val="24"/>
              </w:rPr>
            </w:pPr>
            <w:r>
              <w:rPr>
                <w:rFonts w:ascii="Times New Roman" w:hAnsi="Times New Roman"/>
                <w:sz w:val="24"/>
              </w:rPr>
              <w:br/>
              <w:t>Šioje eilutėje taip pat atskleidžiamos: kitos gyvenamosios paskirties nekilnojamojo turto hipoteka užtikrintos pozicijos (ne IPRE pozicijos), neatitinkančios 124 straipsnio 3 dalies sąlygų, arba bet kokios ne ADC pozicijos dalys, viršijančios turto kreditorinio reikalavimo pirmumo teisės nominaliąją sumą ir nurodomos Reglamento (ES) Nr. 575/2013 124 straipsnio 1 dalies a punkte.</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Šioje eilutėje įrašoma 9.1.1, 9.1.2 ir 9.1.3 eilučių verčių suma.</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Netaikytinas paskolos padalijimo metodas</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Gyvenamosios paskirties nekilnojamojo turto hipoteka užtikrintos pozicijos (ne IPRE pozicijos), kurioms netaikomas Reglamento (ES) Nr. 575/2013 125 straipsnio 1 dalyje aprašytas paskolos padalijimo metodas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Taikytinas paskolos padalijimo metodas (užtikrintos)</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Gyvenamosios paskirties nekilnojamojo turto hipoteka užtikrintų pozicijų užtikrinta dalis, kuriai taikomas Reglamento (ES) Nr. 575/2013 125 straipsnio 1 dalies a punkte aprašytas paskolos padalijimo metodas</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Taikytinas paskolos padalijimo metodas (neužtikrintos)</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Likusi gyvenamosios paskirties nekilnojamojo turto hipoteka užtikrintų pozicijų dalis, kuriai taikomas Reglamento (ES) Nr. 575/2013 125 straipsnio 1 dalyje aprašytas paskolos padalijimo metodas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Gyvenamosios paskirties nekilnojamojo turto hipoteka užtikrintos pozicijos (IPRE pozicijos)</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Čia nurodomos pozicijos, kurios atitinka Reglamento (ES) Nr. 575/2013 4 straipsnio 1 dalies 75b punkte nurodytą apibrėžtį.</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Šioje eilutėje taip pat atskleidžiamos: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kitos gyvenamosios paskirties nekilnojamojo turto hipoteka užtikrintos pozicijos (IPRE pozicijos), neatitinkančios 124 straipsnio 3 dalies sąlygų, arba bet kokios ne ADC pozicijos dalys, viršijančios turto kreditorinio reikalavimo pirmumo teisės nominaliąją sumą ir nurodomos Reglamento (ES) Nr. 575/2013 124 straipsnio 1 dalies b punkte;</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xml:space="preserve">- IPRE pozicijos, atitinkančios bet kurią iš sąlygų, nurodytų Reglamento (ES) Nr. 575/2013 124 straipsnio 2 dalies a punkto ii papunkčio 1–4 dalyse;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IPRE pozicijos, kai taikoma Reglamento (ES) Nr. 575/2013 125 straipsnio 2 dalyje nustatyta nukrypti leidžianti nuostata.</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Komercinės paskirties nekilnojamojo turto hipoteka užtikrintos pozicijos (ne IPRE pozicijos)</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Čia atskleidžiamos pozicijos, vertinamos pagal Reglamento (ES) Nr. 575/2013 126 straipsnio 1 dalį.</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Šioje eilutėje taip pat atskleidžiamos: kitos komercinės paskirties nekilnojamojo turto hipoteka užtikrintos pozicijos (ne IPRE pozicijos), neatitinkančios 124 straipsnio 3 dalies sąlygų, arba bet kokios ne ADC pozicijos dalys, viršijančios turto kreditorinio reikalavimo pirmumo teisės nominaliąją sumą ir nurodomos Reglamento (ES) Nr. 575/2013 124 straipsnio 1 dalies a punkte.</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Šioje eilutėje įrašoma 9.3.1, 9.3.2 ir 9.3.3 eilučių verčių suma.</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Netaikytinas paskolos padalijimo metodas</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Komercinės paskirties nekilnojamojo turto hipoteka užtikrintos pozicijos, kurioms netaikomas Reglamento (ES) Nr. 575/2013 126 straipsnio 1 dalyje aprašytas paskolos padalijimo metodas</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Taikytinas paskolos padalijimo metodas (užtikrintos)</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Komercinės paskirties nekilnojamojo turto hipoteka užtikrintų pozicijų užtikrinta dalis, kuriai taikomas Reglamento (ES) Nr. 575/2013 126 straipsnio 1 dalyje aprašytas paskolos padalijimo metodas</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Taikytinas paskolos padalijimo metodas (neužtikrintos)</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lastRenderedPageBreak/>
              <w:t>Likusi komercinės paskirties nekilnojamojo turto hipoteka užtikrintų pozicijų dalis, kuriai taikomas Reglamento (ES) Nr. 575/2013 126 straipsnio 1 dalyje aprašytas paskolos padalijimo metodas</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Komercinės paskirties nekilnojamojo turto hipoteka užtikrintos pozicijos (IPRE pozicijos)</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Čia nurodomos tik pozicijos, kurios atitinka Reglamento (ES) Nr. 575/2013 4 straipsnio 1 dalies 75b punkte nurodytą apibrėžtį ir 124 straipsnio 2 dalies b punkto ii papunktį.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Šioje eilutėje taip pat atskleidžiamos:</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kitos komercinės paskirties nekilnojamojo turto hipoteka užtikrintos pozicijos (IPRE pozicijos), neatitinkančios 124 straipsnio 3 dalies sąlygų, arba bet kokios ne ADC pozicijos dalys, viršijančios turto kreditorinio reikalavimo pirmumo teisės nominaliąją sumą ir nurodomos Reglamento (ES) Nr. 575/2013 124 straipsnio 1 dalies b punkte;</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IPRE pozicijos, kai taikoma Reglamento (ES) Nr. 575/2014 126 straipsnio 2 dalyje nustatyta nukrypti leidžianti nuostata.</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Įsigijimo, vystymo ir statybos pozicijos (ADC pozicijos)</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Čia nurodomos tik pozicijos, kurios atitinka Reglamento (ES) Nr. 575/2013 4 straipsnio 1 dalies 78a punkte nurodytą apibrėžtį.</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Kitos pozicijos</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Pozicijų klasę sudaro:</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turtas, kuriam taikomas Reglamento (ES) Nr. 575/2013 trečios dalies II antraštinės dalies 4 skyriaus 134 straipsnyje nustatytas konkretus rizikos koeficientas;</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turtas, neatskaitytas taikant Reglamento (ES) Nr. 575/2013 39 straipsnį (mokesčių permokos, į ankstesnius metus perkelti mokestiniai nuostoliai ir atidėtųjų mokesčių turtas, kurie nepriklauso nuo būsimo pelningumo), 41 straipsnį (nustatyto dydžio išmokų pensijų fondo turtas), 46 ir 469 straipsnius (nereikšmingos investicijos į finansų sektoriaus subjektų bendrą 1 lygio nuosavą kapitalą (CET1)), 49 ir 471 straipsnius (dalyvavimas draudimo įmonėse, neatsižvelgiant į tai, ar jos yra prižiūrimos pagal Konglomeratų direktyvą), 60 ir 475 straipsnius (nereikšmingos ir reikšmingos tiesioginės, netiesioginės ir dirbtinės investicijos į finansų sektoriaus subjektų papildomą 1 lygio kapitalą (AT1)), 70 ir 477 straipsnius (nereikšmingas ir reikšmingas tiesiogiai, netiesiogiai ir dirbtinai turimas finansų sektoriaus subjekto 2 lygio kapitalas), jei jis nepriskirtas prie kitų pozicijų klasių ir ne finansų sektoriaus įmonėse turimų kvalifikuotųjų akcijų paketo dalių, jei joms netaikomas 1250 % rizikos koeficientas (taikant Reglamento (ES) Nr. 575/2013 antros dalies I antraštinės dalies 1 skyriaus 36 straipsnio k punktą).</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Netaikoma</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Iš viso</w:t>
            </w:r>
          </w:p>
          <w:p w14:paraId="463C4A08" w14:textId="1AC29111"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lastRenderedPageBreak/>
              <w:t>1, 2, 3, EU 3a, 4, 5, 6, 7, 8, 9, 10, EU 10a, EU 10b, EU 10c eilučių verčių suma</w:t>
            </w:r>
            <w:r w:rsidR="0055162B">
              <w:rPr>
                <w:rFonts w:ascii="Times New Roman" w:hAnsi="Times New Roman"/>
                <w:sz w:val="24"/>
              </w:rPr>
              <w:t>.</w:t>
            </w:r>
          </w:p>
        </w:tc>
      </w:tr>
    </w:tbl>
    <w:p w14:paraId="63408E1A" w14:textId="77777777" w:rsidR="008B70BD" w:rsidRPr="00FB64CF" w:rsidRDefault="008B70BD" w:rsidP="0055162B">
      <w:pPr>
        <w:spacing w:after="120"/>
        <w:rPr>
          <w:rFonts w:ascii="Times New Roman" w:hAnsi="Times New Roman" w:cs="Times New Roman"/>
          <w:sz w:val="24"/>
          <w:lang w:val="fr-FR"/>
        </w:rPr>
      </w:pPr>
    </w:p>
    <w:sectPr w:rsidR="008B70BD"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ab/>
      </w:r>
      <w:r>
        <w:t>2013 m. gruodžio 20 d. KOMISIJOS DELEGUOTASIS REGLAMENTAS (ES) Nr. 183/2014, kuriuo papildomos Europos Parlamento ir Tarybos reglamento (ES) Nr. 575/2013 dėl prudencinių reikalavimų kredito įstaigoms ir investicinėms įmonėms nuostatos, susijusios su specifinės ir bendrosios kredito rizikos koregavimų apskaičiavimo tvarkos techniniais reguliavimo standartais (OL L 57, 2014 2 27,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5162B"/>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0034E"/>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5C409320-8C3D-48A0-8F74-A53835149F3F}"/>
</file>

<file path=customXml/itemProps3.xml><?xml version="1.0" encoding="utf-8"?>
<ds:datastoreItem xmlns:ds="http://schemas.openxmlformats.org/officeDocument/2006/customXml" ds:itemID="{CDCD5303-F885-4BB2-BE06-4AA3DEBE6F2E}"/>
</file>

<file path=customXml/itemProps4.xml><?xml version="1.0" encoding="utf-8"?>
<ds:datastoreItem xmlns:ds="http://schemas.openxmlformats.org/officeDocument/2006/customXml" ds:itemID="{B8DC64F6-F9F8-4B47-9BBB-27F12EF9D16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2799</Words>
  <Characters>18310</Characters>
  <Application>Microsoft Office Word</Application>
  <DocSecurity>0</DocSecurity>
  <Lines>457</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