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B24" w14:textId="0CE5A89A" w:rsidR="0074740A" w:rsidRPr="00232C88" w:rsidRDefault="00C31378" w:rsidP="001F0077">
      <w:pPr>
        <w:pStyle w:val="Annexetitre"/>
        <w:ind w:left="2880" w:firstLine="720"/>
        <w:jc w:val="left"/>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BIJLAGE II</w:t>
      </w:r>
    </w:p>
    <w:p w14:paraId="2C20FD69" w14:textId="77777777" w:rsidR="00B13F6E" w:rsidRPr="00232C88" w:rsidRDefault="00B13F6E" w:rsidP="00B13F6E">
      <w:pPr>
        <w:rPr>
          <w:rFonts w:ascii="Times New Roman" w:hAnsi="Times New Roman" w:cs="Times New Roman"/>
        </w:rPr>
      </w:pPr>
    </w:p>
    <w:p w14:paraId="03FA508D" w14:textId="43AA388F" w:rsidR="00C31378" w:rsidRPr="00232C88" w:rsidRDefault="00C31378" w:rsidP="004077B1">
      <w:pPr>
        <w:pStyle w:val="Annexetitre"/>
        <w:ind w:firstLine="720"/>
      </w:pPr>
      <w:r>
        <w:t>Instructies voor de overzichtsopenbaarmakingstemplates</w:t>
      </w:r>
    </w:p>
    <w:p w14:paraId="161E3440" w14:textId="7BE8C9A0" w:rsidR="00662487" w:rsidRPr="00232C88" w:rsidRDefault="007F5865" w:rsidP="00662487">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Template EU OV1 - Overzicht van het totaal van de risicoposten. </w:t>
      </w:r>
      <w:r>
        <w:rPr>
          <w:rFonts w:ascii="Times New Roman" w:hAnsi="Times New Roman"/>
          <w:color w:val="auto"/>
          <w:sz w:val="24"/>
        </w:rPr>
        <w:t>Vaste opmaak.</w:t>
      </w:r>
    </w:p>
    <w:p w14:paraId="1FC729B5" w14:textId="1B5E08A3" w:rsidR="007E14C6" w:rsidRPr="00232C88" w:rsidRDefault="00501BEB" w:rsidP="00F96224">
      <w:pPr>
        <w:pStyle w:val="Titlelevel2"/>
        <w:numPr>
          <w:ilvl w:val="0"/>
          <w:numId w:val="14"/>
        </w:numPr>
        <w:spacing w:before="120" w:after="120"/>
        <w:ind w:left="426"/>
        <w:jc w:val="both"/>
        <w:rPr>
          <w:rFonts w:ascii="Times New Roman" w:eastAsiaTheme="minorEastAsia" w:hAnsi="Times New Roman" w:cs="Times New Roman"/>
          <w:bCs w:val="0"/>
          <w:color w:val="auto"/>
          <w:sz w:val="24"/>
        </w:rPr>
      </w:pPr>
      <w:r>
        <w:rPr>
          <w:rFonts w:ascii="Times New Roman" w:hAnsi="Times New Roman"/>
          <w:color w:val="auto"/>
          <w:sz w:val="24"/>
        </w:rPr>
        <w:t>Instellingen volgen de onderstaande instructies voor het invullen van de template EU OV1, die in bijlage I bij de IT-oplossingen van de EBA is opgenomen, bij toepassing van artikel 438, punt d), van Verordening (EU) nr. 575/2013</w:t>
      </w:r>
      <w:r w:rsidR="006C0184" w:rsidRPr="00232C88">
        <w:rPr>
          <w:rStyle w:val="FootnoteReference"/>
          <w:rFonts w:ascii="Times New Roman" w:eastAsiaTheme="minorEastAsia" w:hAnsi="Times New Roman" w:cs="Times New Roman"/>
          <w:bCs w:val="0"/>
          <w:color w:val="auto"/>
          <w:lang w:val="en-GB"/>
        </w:rPr>
        <w:footnoteReference w:id="2"/>
      </w:r>
      <w:r>
        <w:rPr>
          <w:rFonts w:ascii="Times New Roman" w:hAnsi="Times New Roman"/>
          <w:color w:val="auto"/>
          <w:sz w:val="24"/>
        </w:rPr>
        <w:t>.</w:t>
      </w:r>
    </w:p>
    <w:p w14:paraId="790FD83C" w14:textId="45C15C09" w:rsidR="00C31378" w:rsidRPr="00232C88" w:rsidRDefault="00720050" w:rsidP="00AD7048">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Instellingen leggen, in voorkomend geval, in de toelichting bij de template de gevolgen voor de berekening van het eigen vermogen en de risicoposten uit die voortvloeien uit de toepassing van kapitaalvloeren en het niet in mindering brengen van bestanddelen op het eigen vermogen.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435"/>
        <w:gridCol w:w="7604"/>
      </w:tblGrid>
      <w:tr w:rsidR="00232C88" w:rsidRPr="00232C88"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232C88" w:rsidRDefault="007F5865" w:rsidP="00F3523C">
            <w:pPr>
              <w:rPr>
                <w:rFonts w:ascii="Times New Roman" w:hAnsi="Times New Roman" w:cs="Times New Roman"/>
                <w:b/>
                <w:sz w:val="24"/>
              </w:rPr>
            </w:pPr>
            <w:r>
              <w:rPr>
                <w:rFonts w:ascii="Times New Roman" w:hAnsi="Times New Roman"/>
                <w:b/>
                <w:sz w:val="24"/>
              </w:rPr>
              <w:t>Verwijzingen naar wetgeving en instructies</w:t>
            </w:r>
          </w:p>
        </w:tc>
      </w:tr>
      <w:tr w:rsidR="00232C88" w:rsidRPr="00232C88" w14:paraId="602AE0E8" w14:textId="77777777" w:rsidTr="00842C88">
        <w:trPr>
          <w:trHeight w:val="238"/>
        </w:trPr>
        <w:tc>
          <w:tcPr>
            <w:tcW w:w="1435" w:type="dxa"/>
            <w:shd w:val="clear" w:color="auto" w:fill="D9D9D9" w:themeFill="background1" w:themeFillShade="D9"/>
          </w:tcPr>
          <w:p w14:paraId="18BE2C6B" w14:textId="77777777" w:rsidR="007F5865" w:rsidRPr="00232C8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Nummer kolom</w:t>
            </w:r>
          </w:p>
        </w:tc>
        <w:tc>
          <w:tcPr>
            <w:tcW w:w="7604" w:type="dxa"/>
            <w:shd w:val="clear" w:color="auto" w:fill="D9D9D9" w:themeFill="background1" w:themeFillShade="D9"/>
          </w:tcPr>
          <w:p w14:paraId="52BAB7D2" w14:textId="77777777" w:rsidR="007F5865" w:rsidRPr="00232C88" w:rsidRDefault="007F5865" w:rsidP="00F3523C">
            <w:pPr>
              <w:autoSpaceDE w:val="0"/>
              <w:autoSpaceDN w:val="0"/>
              <w:adjustRightInd w:val="0"/>
              <w:rPr>
                <w:rFonts w:ascii="Times New Roman" w:hAnsi="Times New Roman" w:cs="Times New Roman"/>
                <w:sz w:val="24"/>
              </w:rPr>
            </w:pPr>
            <w:r>
              <w:rPr>
                <w:rFonts w:ascii="Times New Roman" w:hAnsi="Times New Roman"/>
                <w:b/>
                <w:sz w:val="24"/>
              </w:rPr>
              <w:t>Toelichting</w:t>
            </w:r>
          </w:p>
        </w:tc>
      </w:tr>
      <w:tr w:rsidR="00232C88" w:rsidRPr="00232C88" w14:paraId="7E4C270D" w14:textId="77777777" w:rsidTr="00842C88">
        <w:trPr>
          <w:trHeight w:val="680"/>
        </w:trPr>
        <w:tc>
          <w:tcPr>
            <w:tcW w:w="1435" w:type="dxa"/>
          </w:tcPr>
          <w:p w14:paraId="68031A84" w14:textId="77777777" w:rsidR="007F5865" w:rsidRPr="00232C88" w:rsidRDefault="007F5865" w:rsidP="007F5865">
            <w:pPr>
              <w:pStyle w:val="Applicationdirecte"/>
              <w:spacing w:before="60"/>
              <w:jc w:val="center"/>
            </w:pPr>
            <w:r>
              <w:t>a</w:t>
            </w:r>
          </w:p>
        </w:tc>
        <w:tc>
          <w:tcPr>
            <w:tcW w:w="7604" w:type="dxa"/>
            <w:vAlign w:val="center"/>
          </w:tcPr>
          <w:p w14:paraId="5A1D2BEB" w14:textId="501B155B" w:rsidR="00677CC7" w:rsidRPr="00232C8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Totaal van de risicoposten </w:t>
            </w:r>
          </w:p>
          <w:p w14:paraId="2C2ABAC7" w14:textId="79B1D280" w:rsidR="007F5865" w:rsidRPr="00232C88" w:rsidRDefault="00476E72" w:rsidP="00476E72">
            <w:pPr>
              <w:spacing w:before="60" w:after="120"/>
              <w:jc w:val="both"/>
              <w:rPr>
                <w:rFonts w:ascii="Times New Roman" w:hAnsi="Times New Roman" w:cs="Times New Roman"/>
                <w:sz w:val="24"/>
              </w:rPr>
            </w:pPr>
            <w:r>
              <w:rPr>
                <w:rFonts w:ascii="Times New Roman" w:hAnsi="Times New Roman"/>
                <w:sz w:val="24"/>
              </w:rPr>
              <w:t>Het totaal van de risicoposten berekend overeenkomstig artikel 92, lid 4, van Verordening (EU) nr. 575/2013 voor de rijen 1 tot en met 28, artikel 92, lid 3, van die verordening voor rij 29 en de artikelen 95, 96 en 98 van Verordening (EU) nr. 575/2013.</w:t>
            </w:r>
          </w:p>
        </w:tc>
      </w:tr>
      <w:tr w:rsidR="00232C88" w:rsidRPr="00232C88" w14:paraId="51DC6C96" w14:textId="77777777" w:rsidTr="00842C88">
        <w:trPr>
          <w:trHeight w:val="323"/>
        </w:trPr>
        <w:tc>
          <w:tcPr>
            <w:tcW w:w="1435" w:type="dxa"/>
          </w:tcPr>
          <w:p w14:paraId="4A8317DB" w14:textId="77777777" w:rsidR="00720050" w:rsidRPr="00232C88" w:rsidRDefault="00720050" w:rsidP="00B2180A">
            <w:pPr>
              <w:pStyle w:val="Applicationdirecte"/>
              <w:spacing w:before="60"/>
              <w:jc w:val="center"/>
            </w:pPr>
            <w:r>
              <w:t>b</w:t>
            </w:r>
          </w:p>
        </w:tc>
        <w:tc>
          <w:tcPr>
            <w:tcW w:w="7604" w:type="dxa"/>
          </w:tcPr>
          <w:p w14:paraId="22370966" w14:textId="4C946B1E" w:rsidR="00677CC7" w:rsidRPr="00232C8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Totaal van de risicoposten (T-1) </w:t>
            </w:r>
          </w:p>
          <w:p w14:paraId="3470438E" w14:textId="65A77898" w:rsidR="00720050" w:rsidRPr="00232C8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Het totaal van de risicoposten zoals openbaargemaakt in de vorige openbaarmakingsperiode.</w:t>
            </w:r>
          </w:p>
        </w:tc>
      </w:tr>
      <w:tr w:rsidR="00232C88" w:rsidRPr="00232C88" w14:paraId="0EA18E63" w14:textId="77777777" w:rsidTr="00842C88">
        <w:trPr>
          <w:trHeight w:val="323"/>
        </w:trPr>
        <w:tc>
          <w:tcPr>
            <w:tcW w:w="1435" w:type="dxa"/>
          </w:tcPr>
          <w:p w14:paraId="103E93B5" w14:textId="77777777" w:rsidR="007F5865" w:rsidRPr="00232C88" w:rsidRDefault="00720050" w:rsidP="00720050">
            <w:pPr>
              <w:pStyle w:val="Applicationdirecte"/>
              <w:spacing w:before="60"/>
              <w:jc w:val="center"/>
            </w:pPr>
            <w:r>
              <w:t>c</w:t>
            </w:r>
          </w:p>
        </w:tc>
        <w:tc>
          <w:tcPr>
            <w:tcW w:w="7604" w:type="dxa"/>
          </w:tcPr>
          <w:p w14:paraId="4BB538BB" w14:textId="77777777" w:rsidR="007F5865" w:rsidRPr="00232C88" w:rsidRDefault="00720050" w:rsidP="004606A7">
            <w:pPr>
              <w:spacing w:before="60" w:after="120"/>
              <w:jc w:val="both"/>
              <w:rPr>
                <w:rFonts w:ascii="Times New Roman" w:hAnsi="Times New Roman" w:cs="Times New Roman"/>
                <w:b/>
                <w:sz w:val="24"/>
              </w:rPr>
            </w:pPr>
            <w:r>
              <w:rPr>
                <w:rFonts w:ascii="Times New Roman" w:hAnsi="Times New Roman"/>
                <w:b/>
                <w:sz w:val="24"/>
              </w:rPr>
              <w:t>Totaal van de eigenvermogensvereisten</w:t>
            </w:r>
          </w:p>
          <w:p w14:paraId="024E3DB2" w14:textId="6D4564E6" w:rsidR="00720050" w:rsidRPr="00232C8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De eigenvermogensvereisten die overeenkomen met het totaal van de risicoposten voor de verschillende risicocategorieën.</w:t>
            </w:r>
          </w:p>
        </w:tc>
      </w:tr>
      <w:tr w:rsidR="00232C88" w:rsidRPr="00232C88"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232C88" w:rsidRDefault="001A0C8D" w:rsidP="00810F8E">
            <w:pPr>
              <w:rPr>
                <w:rFonts w:ascii="Times New Roman" w:hAnsi="Times New Roman" w:cs="Times New Roman"/>
                <w:b/>
                <w:sz w:val="24"/>
              </w:rPr>
            </w:pPr>
            <w:r>
              <w:rPr>
                <w:rFonts w:ascii="Times New Roman" w:hAnsi="Times New Roman"/>
                <w:b/>
                <w:sz w:val="24"/>
              </w:rPr>
              <w:t>Verwijzingen naar wetgeving en instructies</w:t>
            </w:r>
          </w:p>
        </w:tc>
      </w:tr>
      <w:tr w:rsidR="00232C88" w:rsidRPr="00232C88" w14:paraId="2490D509" w14:textId="77777777" w:rsidTr="00842C88">
        <w:trPr>
          <w:trHeight w:val="238"/>
        </w:trPr>
        <w:tc>
          <w:tcPr>
            <w:tcW w:w="1435" w:type="dxa"/>
            <w:shd w:val="clear" w:color="auto" w:fill="D9D9D9" w:themeFill="background1" w:themeFillShade="D9"/>
          </w:tcPr>
          <w:p w14:paraId="75756FCA" w14:textId="77777777" w:rsidR="001A0C8D" w:rsidRPr="00232C8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354EA15A" w14:textId="77777777" w:rsidR="001A0C8D" w:rsidRPr="00232C88" w:rsidRDefault="001A0C8D" w:rsidP="00810F8E">
            <w:pPr>
              <w:autoSpaceDE w:val="0"/>
              <w:autoSpaceDN w:val="0"/>
              <w:adjustRightInd w:val="0"/>
              <w:rPr>
                <w:rFonts w:ascii="Times New Roman" w:hAnsi="Times New Roman" w:cs="Times New Roman"/>
                <w:sz w:val="24"/>
              </w:rPr>
            </w:pPr>
            <w:r>
              <w:rPr>
                <w:rFonts w:ascii="Times New Roman" w:hAnsi="Times New Roman"/>
                <w:b/>
                <w:sz w:val="24"/>
              </w:rPr>
              <w:t>Toelichting</w:t>
            </w:r>
          </w:p>
        </w:tc>
      </w:tr>
      <w:tr w:rsidR="00232C88" w:rsidRPr="00232C88" w14:paraId="51DDF3ED" w14:textId="77777777" w:rsidTr="00842C88">
        <w:trPr>
          <w:trHeight w:val="680"/>
        </w:trPr>
        <w:tc>
          <w:tcPr>
            <w:tcW w:w="1435" w:type="dxa"/>
          </w:tcPr>
          <w:p w14:paraId="63497DDA" w14:textId="77777777" w:rsidR="001A0C8D" w:rsidRPr="00232C88" w:rsidRDefault="001A0C8D" w:rsidP="00260404">
            <w:pPr>
              <w:pStyle w:val="Applicationdirecte"/>
              <w:spacing w:before="60"/>
              <w:jc w:val="center"/>
            </w:pPr>
            <w:r>
              <w:t>1</w:t>
            </w:r>
          </w:p>
        </w:tc>
        <w:tc>
          <w:tcPr>
            <w:tcW w:w="7604" w:type="dxa"/>
            <w:vAlign w:val="center"/>
          </w:tcPr>
          <w:p w14:paraId="156E0E42" w14:textId="77777777" w:rsidR="004606A7" w:rsidRPr="00232C88" w:rsidRDefault="004606A7" w:rsidP="00260404">
            <w:pPr>
              <w:spacing w:before="60" w:after="120"/>
              <w:jc w:val="both"/>
              <w:rPr>
                <w:rFonts w:ascii="Times New Roman" w:hAnsi="Times New Roman" w:cs="Times New Roman"/>
                <w:b/>
                <w:sz w:val="24"/>
              </w:rPr>
            </w:pPr>
            <w:r>
              <w:rPr>
                <w:rFonts w:ascii="Times New Roman" w:hAnsi="Times New Roman"/>
                <w:b/>
                <w:sz w:val="24"/>
              </w:rPr>
              <w:t>Kredietrisico (met uitsluiting van tegenpartijkredietrisico)</w:t>
            </w:r>
          </w:p>
          <w:p w14:paraId="3A25A955" w14:textId="4673C726" w:rsidR="001A0C8D" w:rsidRPr="00232C88" w:rsidRDefault="000A4A93" w:rsidP="00A25707">
            <w:pPr>
              <w:spacing w:before="60" w:after="120"/>
              <w:jc w:val="both"/>
              <w:rPr>
                <w:rFonts w:ascii="Times New Roman" w:hAnsi="Times New Roman" w:cs="Times New Roman"/>
                <w:sz w:val="24"/>
              </w:rPr>
            </w:pPr>
            <w:r>
              <w:rPr>
                <w:rFonts w:ascii="Times New Roman" w:hAnsi="Times New Roman"/>
                <w:sz w:val="24"/>
              </w:rPr>
              <w:t>De risicogewogen posten en de eigenvermogensvereisten berekend overeenkomstig deel drie, titel II, hoofdstukken 1 tot en met 4, en artikel 379 van Verordening (EU) nr. 575/2013. De risicogewogen posten voor tegenpartijkredietrisico (Verordening (EU) nr. 575/2013) en voor securitisatieblootstellingen in de niet-handelsportefeuille worden uitgesloten en openbaar gemaakt in de rijen 6 en 16 van deze template. De instellingen nemen in het in deze rij openbaar gemaakte bedrag risicogewogen posten en eigenvermogensvereisten voor het risico van niet-afgewikkelde transacties op, berekend overeenkomstig artikel 379 van Verordening (EU) nr. 575/2013.</w:t>
            </w:r>
          </w:p>
        </w:tc>
      </w:tr>
      <w:tr w:rsidR="00232C88" w:rsidRPr="00232C88" w14:paraId="287E598B" w14:textId="77777777" w:rsidTr="00842C88">
        <w:trPr>
          <w:trHeight w:val="680"/>
        </w:trPr>
        <w:tc>
          <w:tcPr>
            <w:tcW w:w="1435" w:type="dxa"/>
          </w:tcPr>
          <w:p w14:paraId="4AE3A0F7" w14:textId="77777777" w:rsidR="004A5BCD" w:rsidRPr="00232C88" w:rsidRDefault="004A5BCD" w:rsidP="00260404">
            <w:pPr>
              <w:pStyle w:val="Applicationdirecte"/>
              <w:spacing w:before="60"/>
              <w:jc w:val="center"/>
            </w:pPr>
            <w:r>
              <w:lastRenderedPageBreak/>
              <w:t>2</w:t>
            </w:r>
          </w:p>
        </w:tc>
        <w:tc>
          <w:tcPr>
            <w:tcW w:w="7604" w:type="dxa"/>
          </w:tcPr>
          <w:p w14:paraId="19A303B7" w14:textId="77777777"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Kredietrisico (met uitsluiting van tegenpartijkredietrisico) - Waarvan standaardbenadering</w:t>
            </w:r>
          </w:p>
          <w:p w14:paraId="1DD2511C" w14:textId="7328A2B3" w:rsidR="004A5BCD" w:rsidRPr="00232C8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De risicogewogen posten en eigenvermogensvereisten berekend overeenkomstig de standaardbenadering voor kredietrisico (deel drie, titel II, hoofdstuk 2, en artikel 379 van Verordening (EU) nr. 575/2013).</w:t>
            </w:r>
          </w:p>
        </w:tc>
      </w:tr>
      <w:tr w:rsidR="00232C88" w:rsidRPr="00232C88" w14:paraId="1C43F82C" w14:textId="77777777" w:rsidTr="00842C88">
        <w:trPr>
          <w:trHeight w:val="436"/>
        </w:trPr>
        <w:tc>
          <w:tcPr>
            <w:tcW w:w="1435" w:type="dxa"/>
          </w:tcPr>
          <w:p w14:paraId="123DF015" w14:textId="77777777" w:rsidR="008B269B" w:rsidRPr="00232C88" w:rsidRDefault="008B269B" w:rsidP="008B269B">
            <w:pPr>
              <w:pStyle w:val="Applicationdirecte"/>
              <w:spacing w:before="60"/>
              <w:jc w:val="center"/>
            </w:pPr>
            <w:r>
              <w:t>3</w:t>
            </w:r>
          </w:p>
        </w:tc>
        <w:tc>
          <w:tcPr>
            <w:tcW w:w="7604" w:type="dxa"/>
          </w:tcPr>
          <w:p w14:paraId="6D300D26" w14:textId="2612B8E7"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Kredietrisico (met uitsluiting van tegenpartijkredietrisico) - Waarvan elementaire interneratingbenadering </w:t>
            </w:r>
          </w:p>
          <w:p w14:paraId="67755B7F" w14:textId="6B3A98C3" w:rsidR="008B269B"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t>De risicogewogen posten en eigenvermogensvereisten berekend volgens de elementaire interneratingbenadering voor kredietrisico (deel drie, titel II, hoofdstuk 3, van Verordening (EU) Nr. 575/2013), met uitsluiting van de risicogewogen posten die in rij 4 openbaar worden gemaakt voor blootstellingen uit hoofde van gespecialiseerde kredietverlening die aan de benadering voor onderbrenging onderworpen is, en de risicogewogen posten die in rij EU 4a openbaar worden gemaakt voor aandelen volgens de eenvoudige risicogewichtbenadering, en met inbegrip van de overeenkomstig artikel 379 van Verordening (EU) Nr. 575/2013 berekende risicogewogen posten en eigenvermogensvereisten.</w:t>
            </w:r>
          </w:p>
        </w:tc>
      </w:tr>
      <w:tr w:rsidR="00232C88" w:rsidRPr="00232C88" w14:paraId="12544419" w14:textId="77777777" w:rsidTr="00842C88">
        <w:trPr>
          <w:trHeight w:val="557"/>
        </w:trPr>
        <w:tc>
          <w:tcPr>
            <w:tcW w:w="1435" w:type="dxa"/>
            <w:vAlign w:val="center"/>
          </w:tcPr>
          <w:p w14:paraId="76946C13" w14:textId="77777777" w:rsidR="00FA1376" w:rsidRPr="00232C88" w:rsidRDefault="00460FF6" w:rsidP="00FA1376">
            <w:pPr>
              <w:pStyle w:val="Applicationdirecte"/>
              <w:spacing w:before="60"/>
              <w:jc w:val="center"/>
            </w:pPr>
            <w:r>
              <w:t>4</w:t>
            </w:r>
          </w:p>
        </w:tc>
        <w:tc>
          <w:tcPr>
            <w:tcW w:w="7604" w:type="dxa"/>
          </w:tcPr>
          <w:p w14:paraId="370308AB" w14:textId="0FFC281F"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Kredietrisico (met uitsluiting van tegenpartijkredietrisico) - Waarvan benadering voor onderbrenging</w:t>
            </w:r>
          </w:p>
          <w:p w14:paraId="0A705407" w14:textId="42036DAC"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De risicogewogen posten en eigenvermogensvereisten voor blootstellingen uit hoofde van gespecialiseerde kredietverlening die aan de benadering voor onderbrenging onderworpen is, berekend overeenkomstig artikel 153, lid 5, van Verordening (EU) Nr. 575/2013.</w:t>
            </w:r>
          </w:p>
        </w:tc>
      </w:tr>
      <w:tr w:rsidR="00232C88" w:rsidRPr="00232C88" w14:paraId="003EB127" w14:textId="77777777" w:rsidTr="00842C88">
        <w:trPr>
          <w:trHeight w:val="557"/>
        </w:trPr>
        <w:tc>
          <w:tcPr>
            <w:tcW w:w="1435" w:type="dxa"/>
            <w:vAlign w:val="center"/>
          </w:tcPr>
          <w:p w14:paraId="45C5255C" w14:textId="77777777" w:rsidR="00FA1376" w:rsidRPr="00232C88" w:rsidRDefault="00FA1376" w:rsidP="00FA1376">
            <w:pPr>
              <w:pStyle w:val="Applicationdirecte"/>
              <w:spacing w:before="60"/>
              <w:jc w:val="center"/>
            </w:pPr>
            <w:r>
              <w:t>EU 4a</w:t>
            </w:r>
          </w:p>
        </w:tc>
        <w:tc>
          <w:tcPr>
            <w:tcW w:w="7604" w:type="dxa"/>
          </w:tcPr>
          <w:p w14:paraId="37370FB1"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Kredietrisico (met uitsluiting van tegenpartijkredietrisico) - Waarvan aandelen volgens de eenvoudige risicogewichtbenadering</w:t>
            </w:r>
          </w:p>
          <w:p w14:paraId="5661C7E6" w14:textId="45F15349" w:rsidR="00FA1376" w:rsidRPr="00232C8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De risicogewogen posten en eigenvermogensvereisten voor blootstellingen aan aandelen als de overgangsbepalingen van artikel 495, lid 1, punt b), van Verordening (EU) nr. 575/2013 van toepassing zijn.</w:t>
            </w:r>
          </w:p>
        </w:tc>
      </w:tr>
      <w:tr w:rsidR="00232C88" w:rsidRPr="00232C88" w14:paraId="69AF17D3" w14:textId="77777777" w:rsidTr="00842C88">
        <w:trPr>
          <w:trHeight w:val="557"/>
        </w:trPr>
        <w:tc>
          <w:tcPr>
            <w:tcW w:w="1435" w:type="dxa"/>
            <w:vAlign w:val="center"/>
          </w:tcPr>
          <w:p w14:paraId="001EDC8B" w14:textId="77777777" w:rsidR="00460FF6" w:rsidRPr="00232C88" w:rsidRDefault="00460FF6" w:rsidP="00B2180A">
            <w:pPr>
              <w:pStyle w:val="Applicationdirecte"/>
              <w:spacing w:before="60"/>
              <w:jc w:val="center"/>
            </w:pPr>
            <w:r>
              <w:t>5</w:t>
            </w:r>
          </w:p>
        </w:tc>
        <w:tc>
          <w:tcPr>
            <w:tcW w:w="7604" w:type="dxa"/>
          </w:tcPr>
          <w:p w14:paraId="3AFF7CE4" w14:textId="27FE8FDF" w:rsidR="00460FF6" w:rsidRPr="00232C88" w:rsidRDefault="00460FF6" w:rsidP="00B2180A">
            <w:pPr>
              <w:spacing w:before="60" w:after="120"/>
              <w:jc w:val="both"/>
              <w:rPr>
                <w:rFonts w:ascii="Times New Roman" w:hAnsi="Times New Roman" w:cs="Times New Roman"/>
                <w:b/>
                <w:sz w:val="24"/>
              </w:rPr>
            </w:pPr>
            <w:r>
              <w:rPr>
                <w:rFonts w:ascii="Times New Roman" w:hAnsi="Times New Roman"/>
                <w:b/>
                <w:sz w:val="24"/>
              </w:rPr>
              <w:t>Kredietrisico (met uitsluiting van tegenpartijkredietrisico) - Waarvan geavanceerde interneratingbenadering</w:t>
            </w:r>
          </w:p>
          <w:p w14:paraId="7667081C" w14:textId="5A6E8BF3" w:rsidR="00460FF6" w:rsidRPr="00232C88" w:rsidRDefault="00460FF6" w:rsidP="4D769726">
            <w:pPr>
              <w:spacing w:before="60" w:after="120"/>
              <w:jc w:val="both"/>
              <w:rPr>
                <w:rFonts w:ascii="Times New Roman" w:eastAsia="Times New Roman" w:hAnsi="Times New Roman" w:cs="Times New Roman"/>
                <w:sz w:val="24"/>
              </w:rPr>
            </w:pPr>
            <w:r>
              <w:rPr>
                <w:rFonts w:ascii="Times New Roman" w:hAnsi="Times New Roman"/>
                <w:sz w:val="24"/>
              </w:rPr>
              <w:t>De risicogewogen posten en eigenvermogensvereisten berekend volgens de geavanceerde interneratingbenadering voor kredietrisico (deel drie, titel II, hoofdstuk 3, van Verordening (EU) Nr. 575/2013), met uitsluiting van de risicogewogen posten die in rij 4 openbaar worden gemaakt voor blootstellingen uit hoofde van gespecialiseerde kredietverlening die aan de benadering voor onderbrenging onderworpen is, en de risicogewogen posten die in rij EU 4a openbaar worden gemaakt voor aandelen volgens de eenvoudige risicogewichtbenadering, en met inbegrip van de overeenkomstig artikel 379 van Verordening (EU) Nr. 575/2013 berekende risicogewogen posten en eigenvermogensvereisten.</w:t>
            </w:r>
          </w:p>
        </w:tc>
      </w:tr>
      <w:tr w:rsidR="00232C88" w:rsidRPr="00232C88" w14:paraId="79D52CCD" w14:textId="77777777" w:rsidTr="00842C88">
        <w:trPr>
          <w:trHeight w:val="557"/>
        </w:trPr>
        <w:tc>
          <w:tcPr>
            <w:tcW w:w="1435" w:type="dxa"/>
            <w:vAlign w:val="center"/>
          </w:tcPr>
          <w:p w14:paraId="7D31EB04" w14:textId="77777777" w:rsidR="00FA1376" w:rsidRPr="00232C88" w:rsidRDefault="004D588F" w:rsidP="004D588F">
            <w:pPr>
              <w:pStyle w:val="Applicationdirecte"/>
              <w:spacing w:before="60"/>
              <w:jc w:val="center"/>
            </w:pPr>
            <w:r>
              <w:t>6</w:t>
            </w:r>
          </w:p>
        </w:tc>
        <w:tc>
          <w:tcPr>
            <w:tcW w:w="7604" w:type="dxa"/>
          </w:tcPr>
          <w:p w14:paraId="7F11F1D5"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Tegenpartijkredietrisico </w:t>
            </w:r>
          </w:p>
          <w:p w14:paraId="6E778278" w14:textId="12E427A1" w:rsidR="00FA1376"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lastRenderedPageBreak/>
              <w:t>De risicogewogen posten en eigenvermogensvereisten berekend overeenkomstig deel drie, titel II, hoofdstuk 6, van Verordening (EU) nr. 575/2013 voor tegenpartijkredietrisico.</w:t>
            </w:r>
          </w:p>
        </w:tc>
      </w:tr>
      <w:tr w:rsidR="00232C88" w:rsidRPr="00232C88" w14:paraId="75B82B0F" w14:textId="77777777" w:rsidTr="00842C88">
        <w:trPr>
          <w:trHeight w:val="557"/>
        </w:trPr>
        <w:tc>
          <w:tcPr>
            <w:tcW w:w="1435" w:type="dxa"/>
            <w:vAlign w:val="center"/>
          </w:tcPr>
          <w:p w14:paraId="0224B461" w14:textId="77777777" w:rsidR="00FA1376" w:rsidRPr="00232C88" w:rsidRDefault="004D588F" w:rsidP="00FA1376">
            <w:pPr>
              <w:pStyle w:val="Applicationdirecte"/>
              <w:spacing w:before="60"/>
              <w:jc w:val="center"/>
            </w:pPr>
            <w:r>
              <w:lastRenderedPageBreak/>
              <w:t>7</w:t>
            </w:r>
          </w:p>
        </w:tc>
        <w:tc>
          <w:tcPr>
            <w:tcW w:w="7604" w:type="dxa"/>
          </w:tcPr>
          <w:p w14:paraId="5528A31C" w14:textId="62213072"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Tegenpartijkredietrisico - Waarvan standaardbenadering </w:t>
            </w:r>
          </w:p>
          <w:p w14:paraId="13065A05" w14:textId="21562698"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De risicogewogen posten en eigenvermogensvereisten berekend overeenkomstig deel drie, titel II, hoofdstuk 6, afdeling 3, van Verordening (EU) nr. 575/2013.</w:t>
            </w:r>
          </w:p>
        </w:tc>
      </w:tr>
      <w:tr w:rsidR="00232C88" w:rsidRPr="00232C88" w14:paraId="16331F3C" w14:textId="77777777" w:rsidTr="00842C88">
        <w:trPr>
          <w:trHeight w:val="557"/>
        </w:trPr>
        <w:tc>
          <w:tcPr>
            <w:tcW w:w="1435" w:type="dxa"/>
            <w:vAlign w:val="center"/>
          </w:tcPr>
          <w:p w14:paraId="3558D5F6" w14:textId="77777777" w:rsidR="00FA1376" w:rsidRPr="00232C88" w:rsidRDefault="004D588F" w:rsidP="00FA1376">
            <w:pPr>
              <w:pStyle w:val="Applicationdirecte"/>
              <w:spacing w:before="60"/>
              <w:jc w:val="center"/>
            </w:pPr>
            <w:r>
              <w:t>8</w:t>
            </w:r>
          </w:p>
        </w:tc>
        <w:tc>
          <w:tcPr>
            <w:tcW w:w="7604" w:type="dxa"/>
          </w:tcPr>
          <w:p w14:paraId="2C150D6B"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Tegenpartijkredietrisico - Waarvan internemodellenmethode </w:t>
            </w:r>
          </w:p>
          <w:p w14:paraId="3EB08D8D" w14:textId="01135F8D" w:rsidR="00FA1376" w:rsidRPr="00232C88" w:rsidRDefault="009A4635" w:rsidP="002635C4">
            <w:pPr>
              <w:spacing w:before="60" w:after="120"/>
              <w:jc w:val="both"/>
              <w:rPr>
                <w:rFonts w:ascii="Times New Roman" w:hAnsi="Times New Roman" w:cs="Times New Roman"/>
                <w:sz w:val="24"/>
              </w:rPr>
            </w:pPr>
            <w:r>
              <w:rPr>
                <w:rFonts w:ascii="Times New Roman" w:hAnsi="Times New Roman"/>
                <w:sz w:val="24"/>
              </w:rPr>
              <w:t>De risicogewogen posten en eigenvermogensvereisten berekend overeenkomstig artikel 283 van Verordening (EU) nr. 575/2013.</w:t>
            </w:r>
          </w:p>
        </w:tc>
      </w:tr>
      <w:tr w:rsidR="00232C88" w:rsidRPr="00232C88" w14:paraId="58D7FF91" w14:textId="77777777" w:rsidTr="00842C88">
        <w:trPr>
          <w:trHeight w:val="557"/>
        </w:trPr>
        <w:tc>
          <w:tcPr>
            <w:tcW w:w="1435" w:type="dxa"/>
          </w:tcPr>
          <w:p w14:paraId="4241FF70" w14:textId="77777777" w:rsidR="004D588F" w:rsidRPr="00232C88" w:rsidRDefault="004D588F" w:rsidP="004D588F">
            <w:pPr>
              <w:pStyle w:val="Applicationdirecte"/>
              <w:spacing w:before="60"/>
              <w:jc w:val="center"/>
            </w:pPr>
            <w:r>
              <w:t>EU 8 a</w:t>
            </w:r>
          </w:p>
        </w:tc>
        <w:tc>
          <w:tcPr>
            <w:tcW w:w="7604" w:type="dxa"/>
          </w:tcPr>
          <w:p w14:paraId="78F13FD4"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Tegenpartijkredietrisico - Waarvan blootstellingen met betrekking tot een centrale tegenpartij</w:t>
            </w:r>
          </w:p>
          <w:p w14:paraId="316A5F55" w14:textId="5F455EE4" w:rsidR="00194611" w:rsidRPr="00232C88" w:rsidRDefault="004D588F" w:rsidP="4D769726">
            <w:pPr>
              <w:spacing w:before="60" w:after="120"/>
              <w:jc w:val="both"/>
              <w:rPr>
                <w:rFonts w:ascii="Times New Roman" w:hAnsi="Times New Roman" w:cs="Times New Roman"/>
                <w:sz w:val="24"/>
              </w:rPr>
            </w:pPr>
            <w:r>
              <w:rPr>
                <w:rFonts w:ascii="Times New Roman" w:hAnsi="Times New Roman"/>
                <w:sz w:val="24"/>
              </w:rPr>
              <w:t>De risicogewogen posten en eigenvermogensvereisten berekend overeenkomstig deel drie, titel II, hoofdstuk 6, afdeling 9, van Verordening (EU) nr. 575/2013.</w:t>
            </w:r>
          </w:p>
        </w:tc>
      </w:tr>
      <w:tr w:rsidR="00232C88" w:rsidRPr="00232C88" w14:paraId="25F8E9B4" w14:textId="77777777" w:rsidTr="00842C88">
        <w:trPr>
          <w:trHeight w:val="557"/>
        </w:trPr>
        <w:tc>
          <w:tcPr>
            <w:tcW w:w="1435" w:type="dxa"/>
          </w:tcPr>
          <w:p w14:paraId="4FF5AE00" w14:textId="77777777" w:rsidR="004D588F" w:rsidRPr="00232C88" w:rsidRDefault="004D588F" w:rsidP="004D588F">
            <w:pPr>
              <w:pStyle w:val="Applicationdirecte"/>
              <w:spacing w:before="60"/>
              <w:jc w:val="center"/>
            </w:pPr>
            <w:r>
              <w:t>9</w:t>
            </w:r>
          </w:p>
        </w:tc>
        <w:tc>
          <w:tcPr>
            <w:tcW w:w="7604" w:type="dxa"/>
          </w:tcPr>
          <w:p w14:paraId="1F211550"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Tegenpartijkredietrisico - Waarvan ander tegenpartijkredietrisico</w:t>
            </w:r>
          </w:p>
          <w:p w14:paraId="533B5356" w14:textId="2A949FC3" w:rsidR="004D588F" w:rsidRPr="00232C88" w:rsidRDefault="48604EBF" w:rsidP="7A5B4152">
            <w:pPr>
              <w:spacing w:before="60" w:after="120"/>
              <w:jc w:val="both"/>
              <w:rPr>
                <w:rFonts w:ascii="Times New Roman" w:hAnsi="Times New Roman" w:cs="Times New Roman"/>
                <w:sz w:val="24"/>
              </w:rPr>
            </w:pPr>
            <w:r>
              <w:rPr>
                <w:rFonts w:ascii="Times New Roman" w:hAnsi="Times New Roman"/>
                <w:sz w:val="24"/>
              </w:rPr>
              <w:t>De risicogewogen posten en eigenvermogensvereisten voor tegenpartijkredietrisico die niet in de rijen 7, 8 en EU 8a openbaar zijn gemaakt.</w:t>
            </w:r>
          </w:p>
        </w:tc>
      </w:tr>
      <w:tr w:rsidR="00232C88" w:rsidRPr="00232C88" w14:paraId="76E49737" w14:textId="77777777" w:rsidTr="00842C88">
        <w:trPr>
          <w:trHeight w:val="557"/>
        </w:trPr>
        <w:tc>
          <w:tcPr>
            <w:tcW w:w="1435" w:type="dxa"/>
          </w:tcPr>
          <w:p w14:paraId="592A619A" w14:textId="77777777" w:rsidR="004D588F" w:rsidRPr="00232C88" w:rsidRDefault="004D588F" w:rsidP="004D588F">
            <w:pPr>
              <w:pStyle w:val="Applicationdirecte"/>
              <w:spacing w:before="60"/>
              <w:jc w:val="center"/>
            </w:pPr>
            <w:r>
              <w:t>10</w:t>
            </w:r>
          </w:p>
        </w:tc>
        <w:tc>
          <w:tcPr>
            <w:tcW w:w="7604" w:type="dxa"/>
          </w:tcPr>
          <w:p w14:paraId="6FBF49C6" w14:textId="22C1CF03" w:rsidR="004D588F" w:rsidRPr="00232C88" w:rsidRDefault="6B84787B" w:rsidP="7A5B4152">
            <w:pPr>
              <w:spacing w:before="60" w:after="120" w:line="259" w:lineRule="auto"/>
              <w:jc w:val="both"/>
              <w:rPr>
                <w:rFonts w:ascii="Times New Roman" w:hAnsi="Times New Roman" w:cs="Times New Roman"/>
                <w:b/>
                <w:bCs/>
                <w:sz w:val="24"/>
              </w:rPr>
            </w:pPr>
            <w:r>
              <w:rPr>
                <w:rFonts w:ascii="Times New Roman" w:hAnsi="Times New Roman"/>
                <w:b/>
                <w:sz w:val="24"/>
              </w:rPr>
              <w:t>Risico van aanpassing van de kredietwaardering — CVA-risico</w:t>
            </w:r>
          </w:p>
          <w:p w14:paraId="49EF2829" w14:textId="6B25E794" w:rsidR="004D588F" w:rsidRPr="00232C88" w:rsidRDefault="7031397C" w:rsidP="4D769726">
            <w:pPr>
              <w:spacing w:before="60" w:after="120" w:line="259" w:lineRule="auto"/>
              <w:jc w:val="both"/>
              <w:rPr>
                <w:rFonts w:ascii="Times New Roman" w:hAnsi="Times New Roman" w:cs="Times New Roman"/>
                <w:sz w:val="24"/>
              </w:rPr>
            </w:pPr>
            <w:r>
              <w:rPr>
                <w:rFonts w:ascii="Times New Roman" w:hAnsi="Times New Roman"/>
                <w:sz w:val="24"/>
              </w:rPr>
              <w:t>De risicogewogen posten en eigenvermogensvereisten berekend overeenkomstig deel drie, titel VI van Verordening (EU) nr. 575/2013.</w:t>
            </w:r>
          </w:p>
        </w:tc>
      </w:tr>
      <w:tr w:rsidR="00232C88" w:rsidRPr="00232C88" w14:paraId="1A547643" w14:textId="77777777" w:rsidTr="00842C88">
        <w:trPr>
          <w:trHeight w:val="557"/>
        </w:trPr>
        <w:tc>
          <w:tcPr>
            <w:tcW w:w="1435" w:type="dxa"/>
          </w:tcPr>
          <w:p w14:paraId="3C94C191" w14:textId="4A298BE2" w:rsidR="6B84787B" w:rsidRPr="00232C88" w:rsidRDefault="6B84787B" w:rsidP="00254EDB">
            <w:pPr>
              <w:pStyle w:val="Applicationdirecte"/>
              <w:spacing w:before="60" w:line="259" w:lineRule="auto"/>
              <w:jc w:val="center"/>
            </w:pPr>
            <w:r>
              <w:t>EU 10a</w:t>
            </w:r>
          </w:p>
        </w:tc>
        <w:tc>
          <w:tcPr>
            <w:tcW w:w="7604" w:type="dxa"/>
          </w:tcPr>
          <w:p w14:paraId="6CC156C7" w14:textId="4E5A33FC" w:rsidR="6B84787B" w:rsidRPr="00232C88" w:rsidRDefault="6B84787B" w:rsidP="00254EDB">
            <w:pPr>
              <w:spacing w:before="60" w:after="120" w:line="259" w:lineRule="auto"/>
              <w:jc w:val="both"/>
              <w:rPr>
                <w:rFonts w:ascii="Times New Roman" w:hAnsi="Times New Roman" w:cs="Times New Roman"/>
                <w:b/>
                <w:bCs/>
                <w:sz w:val="24"/>
              </w:rPr>
            </w:pPr>
            <w:r>
              <w:rPr>
                <w:rFonts w:ascii="Times New Roman" w:hAnsi="Times New Roman"/>
                <w:b/>
                <w:sz w:val="24"/>
              </w:rPr>
              <w:t>CVA-risico - Waarvan standaardbenadering (SA)</w:t>
            </w:r>
          </w:p>
          <w:p w14:paraId="1299BEF8" w14:textId="002F7166" w:rsidR="15A479FF" w:rsidRPr="00232C88" w:rsidRDefault="15A479FF" w:rsidP="00254EDB">
            <w:pPr>
              <w:spacing w:before="60" w:after="120" w:line="259" w:lineRule="auto"/>
              <w:jc w:val="both"/>
              <w:rPr>
                <w:rFonts w:ascii="Times New Roman" w:hAnsi="Times New Roman" w:cs="Times New Roman"/>
                <w:sz w:val="24"/>
              </w:rPr>
            </w:pPr>
            <w:r>
              <w:rPr>
                <w:rFonts w:ascii="Times New Roman" w:hAnsi="Times New Roman"/>
                <w:sz w:val="24"/>
              </w:rPr>
              <w:t>De risicogewogen posten en eigenvermogensvereisten berekend overeenkomstig artikel 383 van Verordening (EU) nr. 575/2013.</w:t>
            </w:r>
          </w:p>
        </w:tc>
      </w:tr>
      <w:tr w:rsidR="00232C88" w:rsidRPr="00232C88" w14:paraId="02EE7C20" w14:textId="77777777" w:rsidTr="00842C88">
        <w:trPr>
          <w:trHeight w:val="557"/>
        </w:trPr>
        <w:tc>
          <w:tcPr>
            <w:tcW w:w="1435" w:type="dxa"/>
          </w:tcPr>
          <w:p w14:paraId="18681198" w14:textId="4CC5C33F" w:rsidR="6B84787B" w:rsidRPr="00232C88" w:rsidRDefault="6B84787B" w:rsidP="00254EDB">
            <w:pPr>
              <w:pStyle w:val="Applicationdirecte"/>
              <w:spacing w:before="60" w:line="259" w:lineRule="auto"/>
              <w:jc w:val="center"/>
            </w:pPr>
            <w:r>
              <w:t>EU 10b</w:t>
            </w:r>
          </w:p>
        </w:tc>
        <w:tc>
          <w:tcPr>
            <w:tcW w:w="7604" w:type="dxa"/>
          </w:tcPr>
          <w:p w14:paraId="1888B262" w14:textId="387A46E5" w:rsidR="2B63221F" w:rsidRPr="00232C88" w:rsidRDefault="2B63221F" w:rsidP="00254EDB">
            <w:pPr>
              <w:spacing w:line="259" w:lineRule="auto"/>
              <w:rPr>
                <w:rFonts w:ascii="Times New Roman" w:hAnsi="Times New Roman" w:cs="Times New Roman"/>
                <w:b/>
                <w:bCs/>
                <w:sz w:val="24"/>
              </w:rPr>
            </w:pPr>
            <w:r>
              <w:rPr>
                <w:rFonts w:ascii="Times New Roman" w:hAnsi="Times New Roman"/>
                <w:b/>
                <w:sz w:val="24"/>
              </w:rPr>
              <w:t>CVA-risico - Waarvan basisbenadering (F-BA en R-BA)</w:t>
            </w:r>
          </w:p>
          <w:p w14:paraId="08A9D4FC" w14:textId="371DF839" w:rsidR="5E3E7C8C" w:rsidRPr="00232C88" w:rsidRDefault="5E3E7C8C" w:rsidP="00254EDB">
            <w:pPr>
              <w:spacing w:before="60" w:after="120" w:line="259" w:lineRule="auto"/>
              <w:jc w:val="both"/>
              <w:rPr>
                <w:rFonts w:ascii="Times New Roman" w:hAnsi="Times New Roman" w:cs="Times New Roman"/>
                <w:sz w:val="24"/>
              </w:rPr>
            </w:pPr>
            <w:r>
              <w:rPr>
                <w:rFonts w:ascii="Times New Roman" w:hAnsi="Times New Roman"/>
                <w:sz w:val="24"/>
              </w:rPr>
              <w:t>De risicogewogen posten en eigenvermogensvereisten berekend overeenkomstig artikel 384 van Verordening (EU) nr. 575/2013.</w:t>
            </w:r>
          </w:p>
        </w:tc>
      </w:tr>
      <w:tr w:rsidR="00232C88" w:rsidRPr="00232C88" w14:paraId="2C8F98A0" w14:textId="77777777" w:rsidTr="00842C88">
        <w:trPr>
          <w:trHeight w:val="557"/>
        </w:trPr>
        <w:tc>
          <w:tcPr>
            <w:tcW w:w="1435" w:type="dxa"/>
          </w:tcPr>
          <w:p w14:paraId="763506ED" w14:textId="63E42586" w:rsidR="6B84787B" w:rsidRPr="00232C88" w:rsidRDefault="6B84787B" w:rsidP="00254EDB">
            <w:pPr>
              <w:pStyle w:val="Applicationdirecte"/>
              <w:spacing w:before="60" w:line="259" w:lineRule="auto"/>
              <w:jc w:val="center"/>
            </w:pPr>
            <w:r>
              <w:t>EU 10c</w:t>
            </w:r>
          </w:p>
        </w:tc>
        <w:tc>
          <w:tcPr>
            <w:tcW w:w="7604" w:type="dxa"/>
          </w:tcPr>
          <w:p w14:paraId="1606F92D" w14:textId="3DD380FC" w:rsidR="3812DD51" w:rsidRPr="00232C88" w:rsidRDefault="3812DD51" w:rsidP="00254EDB">
            <w:pPr>
              <w:spacing w:line="259" w:lineRule="auto"/>
              <w:rPr>
                <w:rFonts w:ascii="Times New Roman" w:hAnsi="Times New Roman" w:cs="Times New Roman"/>
                <w:b/>
                <w:bCs/>
                <w:sz w:val="24"/>
              </w:rPr>
            </w:pPr>
            <w:r>
              <w:rPr>
                <w:rFonts w:ascii="Times New Roman" w:hAnsi="Times New Roman"/>
                <w:b/>
                <w:sz w:val="24"/>
              </w:rPr>
              <w:t>CVA-risico - Waarvan vereenvoudigde benadering</w:t>
            </w:r>
          </w:p>
          <w:p w14:paraId="07A5F206" w14:textId="5A791739" w:rsidR="27833950" w:rsidRPr="00232C88" w:rsidRDefault="27833950" w:rsidP="00254EDB">
            <w:pPr>
              <w:spacing w:before="60" w:after="120" w:line="259" w:lineRule="auto"/>
              <w:jc w:val="both"/>
              <w:rPr>
                <w:rFonts w:ascii="Times New Roman" w:hAnsi="Times New Roman" w:cs="Times New Roman"/>
                <w:sz w:val="24"/>
              </w:rPr>
            </w:pPr>
            <w:r>
              <w:rPr>
                <w:rFonts w:ascii="Times New Roman" w:hAnsi="Times New Roman"/>
                <w:sz w:val="24"/>
              </w:rPr>
              <w:t>De risicogewogen posten en eigenvermogensvereisten berekend overeenkomstig artikel 385 van Verordening (EU) nr. 575/2013.</w:t>
            </w:r>
          </w:p>
        </w:tc>
      </w:tr>
      <w:tr w:rsidR="00232C88" w:rsidRPr="00232C88" w14:paraId="6475699F" w14:textId="77777777" w:rsidTr="00842C88">
        <w:trPr>
          <w:trHeight w:val="557"/>
        </w:trPr>
        <w:tc>
          <w:tcPr>
            <w:tcW w:w="1435" w:type="dxa"/>
            <w:shd w:val="clear" w:color="auto" w:fill="BFBFBF" w:themeFill="background1" w:themeFillShade="BF"/>
          </w:tcPr>
          <w:p w14:paraId="3A8A0F85" w14:textId="77777777" w:rsidR="004D588F" w:rsidRPr="00232C88" w:rsidRDefault="004D588F" w:rsidP="004D588F">
            <w:pPr>
              <w:pStyle w:val="Applicationdirecte"/>
              <w:spacing w:before="60"/>
              <w:jc w:val="center"/>
            </w:pPr>
            <w:r>
              <w:t>11</w:t>
            </w:r>
          </w:p>
        </w:tc>
        <w:tc>
          <w:tcPr>
            <w:tcW w:w="7604" w:type="dxa"/>
            <w:shd w:val="clear" w:color="auto" w:fill="BFBFBF" w:themeFill="background1" w:themeFillShade="BF"/>
          </w:tcPr>
          <w:p w14:paraId="5D822294" w14:textId="1188E96F" w:rsidR="004D588F" w:rsidRPr="0019189B" w:rsidRDefault="00476E72" w:rsidP="00CE6D3F">
            <w:pPr>
              <w:spacing w:before="60" w:after="120"/>
              <w:jc w:val="both"/>
              <w:rPr>
                <w:rFonts w:ascii="Times New Roman" w:hAnsi="Times New Roman" w:cs="Times New Roman"/>
                <w:sz w:val="24"/>
              </w:rPr>
            </w:pPr>
            <w:r w:rsidRPr="0019189B">
              <w:rPr>
                <w:rFonts w:ascii="Times New Roman" w:hAnsi="Times New Roman"/>
                <w:sz w:val="24"/>
              </w:rPr>
              <w:t>Niet van toepassing</w:t>
            </w:r>
          </w:p>
        </w:tc>
      </w:tr>
      <w:tr w:rsidR="00232C88" w:rsidRPr="00232C88" w14:paraId="185FC154" w14:textId="77777777" w:rsidTr="00842C88">
        <w:trPr>
          <w:trHeight w:val="557"/>
        </w:trPr>
        <w:tc>
          <w:tcPr>
            <w:tcW w:w="1435" w:type="dxa"/>
            <w:shd w:val="clear" w:color="auto" w:fill="BFBFBF" w:themeFill="background1" w:themeFillShade="BF"/>
          </w:tcPr>
          <w:p w14:paraId="0761DB25" w14:textId="77777777" w:rsidR="004D588F" w:rsidRPr="00232C88" w:rsidRDefault="004D588F" w:rsidP="004D588F">
            <w:pPr>
              <w:pStyle w:val="Applicationdirecte"/>
              <w:spacing w:before="60"/>
              <w:jc w:val="center"/>
            </w:pPr>
            <w:r>
              <w:t>12</w:t>
            </w:r>
          </w:p>
        </w:tc>
        <w:tc>
          <w:tcPr>
            <w:tcW w:w="7604" w:type="dxa"/>
            <w:shd w:val="clear" w:color="auto" w:fill="BFBFBF" w:themeFill="background1" w:themeFillShade="BF"/>
          </w:tcPr>
          <w:p w14:paraId="5020E0E0" w14:textId="0575BF04" w:rsidR="004D588F" w:rsidRPr="0019189B" w:rsidRDefault="00476E72" w:rsidP="004D588F">
            <w:pPr>
              <w:spacing w:before="60" w:after="120"/>
              <w:jc w:val="both"/>
              <w:rPr>
                <w:rFonts w:ascii="Times New Roman" w:hAnsi="Times New Roman" w:cs="Times New Roman"/>
                <w:sz w:val="24"/>
              </w:rPr>
            </w:pPr>
            <w:r w:rsidRPr="0019189B">
              <w:rPr>
                <w:rFonts w:ascii="Times New Roman" w:hAnsi="Times New Roman"/>
                <w:sz w:val="24"/>
              </w:rPr>
              <w:t>Niet van toepassing</w:t>
            </w:r>
          </w:p>
        </w:tc>
      </w:tr>
      <w:tr w:rsidR="00232C88" w:rsidRPr="00232C88" w14:paraId="05CAD0EA" w14:textId="77777777" w:rsidTr="00842C88">
        <w:trPr>
          <w:trHeight w:val="557"/>
        </w:trPr>
        <w:tc>
          <w:tcPr>
            <w:tcW w:w="1435" w:type="dxa"/>
            <w:shd w:val="clear" w:color="auto" w:fill="BFBFBF" w:themeFill="background1" w:themeFillShade="BF"/>
          </w:tcPr>
          <w:p w14:paraId="2C885FBA" w14:textId="77777777" w:rsidR="00476E72" w:rsidRPr="00232C88" w:rsidRDefault="00476E72" w:rsidP="00476E72">
            <w:pPr>
              <w:pStyle w:val="Applicationdirecte"/>
              <w:spacing w:before="60"/>
              <w:jc w:val="center"/>
            </w:pPr>
            <w:r>
              <w:t>13</w:t>
            </w:r>
          </w:p>
        </w:tc>
        <w:tc>
          <w:tcPr>
            <w:tcW w:w="7604" w:type="dxa"/>
            <w:shd w:val="clear" w:color="auto" w:fill="BFBFBF" w:themeFill="background1" w:themeFillShade="BF"/>
          </w:tcPr>
          <w:p w14:paraId="06CD1C7E" w14:textId="6F75CEAB" w:rsidR="00476E72" w:rsidRPr="0019189B" w:rsidRDefault="00476E72" w:rsidP="00476E72">
            <w:pPr>
              <w:spacing w:before="60" w:after="120"/>
              <w:jc w:val="both"/>
              <w:rPr>
                <w:rFonts w:ascii="Times New Roman" w:hAnsi="Times New Roman" w:cs="Times New Roman"/>
                <w:sz w:val="24"/>
              </w:rPr>
            </w:pPr>
            <w:r w:rsidRPr="0019189B">
              <w:rPr>
                <w:rFonts w:ascii="Times New Roman" w:hAnsi="Times New Roman"/>
                <w:sz w:val="24"/>
              </w:rPr>
              <w:t>Niet van toepassing</w:t>
            </w:r>
          </w:p>
        </w:tc>
      </w:tr>
      <w:tr w:rsidR="00232C88" w:rsidRPr="00232C88" w14:paraId="532A7C3A" w14:textId="77777777" w:rsidTr="00842C88">
        <w:trPr>
          <w:trHeight w:val="557"/>
        </w:trPr>
        <w:tc>
          <w:tcPr>
            <w:tcW w:w="1435" w:type="dxa"/>
            <w:shd w:val="clear" w:color="auto" w:fill="BFBFBF" w:themeFill="background1" w:themeFillShade="BF"/>
          </w:tcPr>
          <w:p w14:paraId="50BD4AE4" w14:textId="77777777" w:rsidR="00476E72" w:rsidRPr="00232C88" w:rsidRDefault="00476E72" w:rsidP="00476E72">
            <w:pPr>
              <w:pStyle w:val="Applicationdirecte"/>
              <w:spacing w:before="60"/>
              <w:jc w:val="center"/>
            </w:pPr>
            <w:r>
              <w:lastRenderedPageBreak/>
              <w:t>14</w:t>
            </w:r>
          </w:p>
        </w:tc>
        <w:tc>
          <w:tcPr>
            <w:tcW w:w="7604" w:type="dxa"/>
            <w:shd w:val="clear" w:color="auto" w:fill="BFBFBF" w:themeFill="background1" w:themeFillShade="BF"/>
          </w:tcPr>
          <w:p w14:paraId="08EEFB47" w14:textId="4D34AB73" w:rsidR="00476E72" w:rsidRPr="0019189B" w:rsidRDefault="00476E72" w:rsidP="00476E72">
            <w:pPr>
              <w:spacing w:before="60" w:after="120"/>
              <w:jc w:val="both"/>
              <w:rPr>
                <w:rFonts w:ascii="Times New Roman" w:hAnsi="Times New Roman" w:cs="Times New Roman"/>
                <w:sz w:val="24"/>
              </w:rPr>
            </w:pPr>
            <w:r w:rsidRPr="0019189B">
              <w:rPr>
                <w:rFonts w:ascii="Times New Roman" w:hAnsi="Times New Roman"/>
                <w:sz w:val="24"/>
              </w:rPr>
              <w:t>Niet van toepassing</w:t>
            </w:r>
          </w:p>
        </w:tc>
      </w:tr>
      <w:tr w:rsidR="00232C88" w:rsidRPr="00232C88" w14:paraId="0D00F496" w14:textId="77777777" w:rsidTr="00842C88">
        <w:trPr>
          <w:trHeight w:val="557"/>
        </w:trPr>
        <w:tc>
          <w:tcPr>
            <w:tcW w:w="1435" w:type="dxa"/>
            <w:vAlign w:val="center"/>
          </w:tcPr>
          <w:p w14:paraId="1FECA812" w14:textId="77777777" w:rsidR="00FA1376" w:rsidRPr="00232C88" w:rsidRDefault="00FA1376" w:rsidP="004D588F">
            <w:pPr>
              <w:pStyle w:val="Applicationdirecte"/>
              <w:spacing w:before="60"/>
              <w:jc w:val="center"/>
            </w:pPr>
            <w:r>
              <w:t>15</w:t>
            </w:r>
          </w:p>
        </w:tc>
        <w:tc>
          <w:tcPr>
            <w:tcW w:w="7604" w:type="dxa"/>
          </w:tcPr>
          <w:p w14:paraId="54F87CB3"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Afwikkelingsrisico </w:t>
            </w:r>
          </w:p>
          <w:p w14:paraId="5BD4C7C7" w14:textId="7789299C" w:rsidR="00FA1376" w:rsidRPr="00232C88" w:rsidRDefault="76C231EB" w:rsidP="7A5B4152">
            <w:pPr>
              <w:spacing w:before="60" w:after="120"/>
              <w:jc w:val="both"/>
              <w:rPr>
                <w:rFonts w:ascii="Times New Roman" w:hAnsi="Times New Roman" w:cs="Times New Roman"/>
                <w:sz w:val="24"/>
              </w:rPr>
            </w:pPr>
            <w:r>
              <w:rPr>
                <w:rFonts w:ascii="Times New Roman" w:hAnsi="Times New Roman"/>
                <w:sz w:val="24"/>
              </w:rPr>
              <w:t>De risicogewogen posten en eigenvermogensvereisten berekend voor afwikkelings-/leveringsrisico overeenkomstig artikel 378 van Verordening (EU) nr. 575/2013.</w:t>
            </w:r>
          </w:p>
        </w:tc>
      </w:tr>
      <w:tr w:rsidR="00232C88" w:rsidRPr="00232C88" w14:paraId="657304C7" w14:textId="77777777" w:rsidTr="00842C88">
        <w:trPr>
          <w:trHeight w:val="557"/>
        </w:trPr>
        <w:tc>
          <w:tcPr>
            <w:tcW w:w="1435" w:type="dxa"/>
            <w:vAlign w:val="center"/>
          </w:tcPr>
          <w:p w14:paraId="78B3E96B" w14:textId="77777777" w:rsidR="00FA1376" w:rsidRPr="00232C88" w:rsidRDefault="00FA1376" w:rsidP="00FA1376">
            <w:pPr>
              <w:pStyle w:val="Applicationdirecte"/>
              <w:spacing w:before="60"/>
              <w:jc w:val="center"/>
            </w:pPr>
            <w:r>
              <w:t>16</w:t>
            </w:r>
          </w:p>
        </w:tc>
        <w:tc>
          <w:tcPr>
            <w:tcW w:w="7604" w:type="dxa"/>
          </w:tcPr>
          <w:p w14:paraId="290EA04A"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Securitisatieblootstellingen in de niet-handelsportefeuille (na de begrenzing)</w:t>
            </w:r>
          </w:p>
          <w:p w14:paraId="3127F872" w14:textId="727CB966"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De risicogewogen posten en eigenvermogensvereisten berekend overeenkomstig deel drie, titel II, hoofdstuk 5, van Verordening (EU) nr. 575/2013.</w:t>
            </w:r>
          </w:p>
        </w:tc>
      </w:tr>
      <w:tr w:rsidR="00232C88" w:rsidRPr="00232C88" w14:paraId="010C9E97" w14:textId="77777777" w:rsidTr="00842C88">
        <w:trPr>
          <w:trHeight w:val="557"/>
        </w:trPr>
        <w:tc>
          <w:tcPr>
            <w:tcW w:w="1435" w:type="dxa"/>
            <w:vAlign w:val="center"/>
          </w:tcPr>
          <w:p w14:paraId="088B3E8E" w14:textId="77777777" w:rsidR="00FA1376" w:rsidRPr="00232C88" w:rsidRDefault="00FA1376" w:rsidP="00FA1376">
            <w:pPr>
              <w:pStyle w:val="Applicationdirecte"/>
              <w:spacing w:before="60"/>
              <w:jc w:val="center"/>
            </w:pPr>
            <w:r>
              <w:t>17</w:t>
            </w:r>
          </w:p>
        </w:tc>
        <w:tc>
          <w:tcPr>
            <w:tcW w:w="7604" w:type="dxa"/>
          </w:tcPr>
          <w:p w14:paraId="60EB9584"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Securitisatie - Waarvan SEC-IRBA </w:t>
            </w:r>
          </w:p>
          <w:p w14:paraId="48D3D12E" w14:textId="321099B2" w:rsidR="00FA1376" w:rsidRPr="00232C88" w:rsidRDefault="009A4635" w:rsidP="0097538A">
            <w:pPr>
              <w:spacing w:before="60" w:after="120"/>
              <w:jc w:val="both"/>
              <w:rPr>
                <w:rFonts w:ascii="Times New Roman" w:hAnsi="Times New Roman" w:cs="Times New Roman"/>
                <w:sz w:val="24"/>
              </w:rPr>
            </w:pPr>
            <w:r>
              <w:rPr>
                <w:rFonts w:ascii="Times New Roman" w:hAnsi="Times New Roman"/>
                <w:sz w:val="24"/>
              </w:rPr>
              <w:t>De risicogewogen posten en eigenvermogensvereisten berekend volgens de in de regelgeving opgenomen benadering SEC-IRBA, gebruikt in overeenstemming met de in artikel 254 van Verordening (EU) nr. 575/2013 vastgestelde rangorde van benaderingen.</w:t>
            </w:r>
          </w:p>
        </w:tc>
      </w:tr>
      <w:tr w:rsidR="00232C88" w:rsidRPr="00232C88" w14:paraId="0BD85931" w14:textId="77777777" w:rsidTr="00842C88">
        <w:trPr>
          <w:trHeight w:val="557"/>
        </w:trPr>
        <w:tc>
          <w:tcPr>
            <w:tcW w:w="1435" w:type="dxa"/>
            <w:vAlign w:val="center"/>
          </w:tcPr>
          <w:p w14:paraId="5C2CC844" w14:textId="77777777" w:rsidR="004D588F" w:rsidRPr="00232C88" w:rsidRDefault="004D588F" w:rsidP="00B2180A">
            <w:pPr>
              <w:pStyle w:val="Applicationdirecte"/>
              <w:spacing w:before="60"/>
              <w:jc w:val="center"/>
            </w:pPr>
            <w:r>
              <w:t>18</w:t>
            </w:r>
          </w:p>
        </w:tc>
        <w:tc>
          <w:tcPr>
            <w:tcW w:w="7604" w:type="dxa"/>
          </w:tcPr>
          <w:p w14:paraId="3D0BC87F" w14:textId="77777777" w:rsidR="004D588F" w:rsidRPr="00232C88" w:rsidRDefault="004D588F" w:rsidP="00B2180A">
            <w:pPr>
              <w:spacing w:before="60" w:after="120"/>
              <w:jc w:val="both"/>
              <w:rPr>
                <w:rFonts w:ascii="Times New Roman" w:hAnsi="Times New Roman" w:cs="Times New Roman"/>
                <w:b/>
                <w:sz w:val="24"/>
              </w:rPr>
            </w:pPr>
            <w:r>
              <w:rPr>
                <w:rFonts w:ascii="Times New Roman" w:hAnsi="Times New Roman"/>
                <w:b/>
                <w:sz w:val="24"/>
              </w:rPr>
              <w:t>Securitisatie - Waarvan SEC-ERBA (met inbegrip van de internebeoordelingsbenadering)</w:t>
            </w:r>
          </w:p>
          <w:p w14:paraId="081795BE" w14:textId="41E5125D" w:rsidR="004D588F" w:rsidRPr="00232C88" w:rsidRDefault="004D588F" w:rsidP="0077689B">
            <w:pPr>
              <w:spacing w:before="60" w:after="120"/>
              <w:jc w:val="both"/>
              <w:rPr>
                <w:rFonts w:ascii="Times New Roman" w:hAnsi="Times New Roman" w:cs="Times New Roman"/>
                <w:sz w:val="24"/>
              </w:rPr>
            </w:pPr>
            <w:r>
              <w:rPr>
                <w:rFonts w:ascii="Times New Roman" w:hAnsi="Times New Roman"/>
                <w:sz w:val="24"/>
              </w:rPr>
              <w:t>De risicogewogen posten en eigenvermogensvereisten berekend volgens de in de regelgeving opgenomen benadering SEC- ERBA (inclusief IAA), gebruikt in overeenstemming met de in artikel 254 van Verordening (EU) nr. 575/2013 vastgestelde rangorde van benaderingen.</w:t>
            </w:r>
          </w:p>
        </w:tc>
      </w:tr>
      <w:tr w:rsidR="00232C88" w:rsidRPr="00232C88" w14:paraId="4D1D51C3" w14:textId="77777777" w:rsidTr="00842C88">
        <w:trPr>
          <w:trHeight w:val="557"/>
        </w:trPr>
        <w:tc>
          <w:tcPr>
            <w:tcW w:w="1435" w:type="dxa"/>
            <w:vAlign w:val="center"/>
          </w:tcPr>
          <w:p w14:paraId="05E26500" w14:textId="77777777" w:rsidR="00FA1376" w:rsidRPr="00232C88" w:rsidRDefault="00FA1376" w:rsidP="00FA1376">
            <w:pPr>
              <w:pStyle w:val="Applicationdirecte"/>
              <w:spacing w:before="60"/>
              <w:jc w:val="center"/>
            </w:pPr>
            <w:r>
              <w:t>19</w:t>
            </w:r>
          </w:p>
        </w:tc>
        <w:tc>
          <w:tcPr>
            <w:tcW w:w="7604" w:type="dxa"/>
          </w:tcPr>
          <w:p w14:paraId="59496D51"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Securitisatie - Waarvan SEC-SA </w:t>
            </w:r>
          </w:p>
          <w:p w14:paraId="70F39EBB" w14:textId="0BFE4551"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De risicogewogen posten en eigenvermogensvereisten berekend volgens de in de regelgeving opgenomen benadering SEC-SA, gebruikt in overeenstemming met de in artikel 254 van Verordening (EU) nr. 575/2013 vastgestelde rangorde van benaderingen.</w:t>
            </w:r>
          </w:p>
        </w:tc>
      </w:tr>
      <w:tr w:rsidR="00232C88" w:rsidRPr="00232C88" w14:paraId="2FE59A55" w14:textId="77777777" w:rsidTr="00842C88">
        <w:trPr>
          <w:trHeight w:val="557"/>
        </w:trPr>
        <w:tc>
          <w:tcPr>
            <w:tcW w:w="1435" w:type="dxa"/>
            <w:vAlign w:val="center"/>
          </w:tcPr>
          <w:p w14:paraId="78D679FB" w14:textId="77777777" w:rsidR="00FA1376" w:rsidRPr="00232C88" w:rsidRDefault="004D588F" w:rsidP="00FA1376">
            <w:pPr>
              <w:pStyle w:val="Applicationdirecte"/>
              <w:spacing w:before="60"/>
              <w:jc w:val="center"/>
            </w:pPr>
            <w:r>
              <w:t>EU 19a</w:t>
            </w:r>
          </w:p>
        </w:tc>
        <w:tc>
          <w:tcPr>
            <w:tcW w:w="7604" w:type="dxa"/>
          </w:tcPr>
          <w:p w14:paraId="571291B6" w14:textId="4C543ECF"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Securitisatie - Waarvan 1250 % / aftrek</w:t>
            </w:r>
          </w:p>
          <w:p w14:paraId="7E6CD2F2" w14:textId="35E17A23"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De risicogewogen posten en eigenvermogensvereisten voor securitisatieblootstellingen in de niet-handelsportefeuille krijgen een risicogewicht op 1250 % of worden in mindering gebracht op het eigen vermogen overeenkomstig deel drie, titel II, hoofdstuk 5, van Verordening (EU) nr. 575/2013.</w:t>
            </w:r>
          </w:p>
        </w:tc>
      </w:tr>
      <w:tr w:rsidR="00232C88" w:rsidRPr="00232C88" w14:paraId="78AD28BD" w14:textId="77777777" w:rsidTr="00842C88">
        <w:trPr>
          <w:trHeight w:val="557"/>
        </w:trPr>
        <w:tc>
          <w:tcPr>
            <w:tcW w:w="1435" w:type="dxa"/>
          </w:tcPr>
          <w:p w14:paraId="165E71A5" w14:textId="77777777" w:rsidR="004D588F" w:rsidRPr="00232C88" w:rsidRDefault="004D588F" w:rsidP="004D588F">
            <w:pPr>
              <w:pStyle w:val="Applicationdirecte"/>
              <w:spacing w:before="60"/>
              <w:jc w:val="center"/>
            </w:pPr>
            <w:r>
              <w:t>20</w:t>
            </w:r>
          </w:p>
        </w:tc>
        <w:tc>
          <w:tcPr>
            <w:tcW w:w="7604" w:type="dxa"/>
          </w:tcPr>
          <w:p w14:paraId="403A7459"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Positierisico, wisselkoersrisico en grondstoffenrisico (marktrisico)</w:t>
            </w:r>
          </w:p>
          <w:p w14:paraId="1D8E5705" w14:textId="261762C3" w:rsidR="001F53F8" w:rsidRPr="00232C88" w:rsidRDefault="004D588F" w:rsidP="4D769726">
            <w:pPr>
              <w:spacing w:before="60" w:after="120"/>
              <w:jc w:val="both"/>
              <w:rPr>
                <w:rFonts w:ascii="Times New Roman" w:hAnsi="Times New Roman" w:cs="Times New Roman"/>
                <w:sz w:val="24"/>
              </w:rPr>
            </w:pPr>
            <w:r>
              <w:rPr>
                <w:rFonts w:ascii="Times New Roman" w:hAnsi="Times New Roman"/>
                <w:sz w:val="24"/>
              </w:rPr>
              <w:t xml:space="preserve">De risicogewogen posten en eigenvermogensvereisten berekend overeenkomstig deel drie, titel IV van Verordening (EU) nr. 575/2013. </w:t>
            </w:r>
          </w:p>
        </w:tc>
      </w:tr>
      <w:tr w:rsidR="00232C88" w:rsidRPr="00232C88" w14:paraId="4F4C8A13" w14:textId="77777777" w:rsidTr="00842C88">
        <w:trPr>
          <w:trHeight w:val="557"/>
        </w:trPr>
        <w:tc>
          <w:tcPr>
            <w:tcW w:w="1435" w:type="dxa"/>
          </w:tcPr>
          <w:p w14:paraId="2600D745" w14:textId="73C8EE70" w:rsidR="004D588F" w:rsidRPr="00232C88" w:rsidRDefault="48604EBF" w:rsidP="004D588F">
            <w:pPr>
              <w:pStyle w:val="Applicationdirecte"/>
              <w:spacing w:before="60"/>
              <w:jc w:val="center"/>
            </w:pPr>
            <w:r>
              <w:t>21</w:t>
            </w:r>
          </w:p>
        </w:tc>
        <w:tc>
          <w:tcPr>
            <w:tcW w:w="7604" w:type="dxa"/>
            <w:shd w:val="clear" w:color="auto" w:fill="auto"/>
          </w:tcPr>
          <w:p w14:paraId="094F283E" w14:textId="6A34A8B5"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Marktrisico - Waarvan alternatieve standaardbenadering (A-SA)</w:t>
            </w:r>
          </w:p>
          <w:p w14:paraId="25FE8E42" w14:textId="0F3ACDAD" w:rsidR="004D588F" w:rsidRPr="00232C88" w:rsidRDefault="65F46E0C" w:rsidP="7A5B4152">
            <w:pPr>
              <w:spacing w:before="60" w:after="120"/>
              <w:jc w:val="both"/>
              <w:rPr>
                <w:rFonts w:ascii="Times New Roman" w:hAnsi="Times New Roman" w:cs="Times New Roman"/>
                <w:sz w:val="24"/>
              </w:rPr>
            </w:pPr>
            <w:r>
              <w:rPr>
                <w:rFonts w:ascii="Times New Roman" w:hAnsi="Times New Roman"/>
                <w:sz w:val="24"/>
              </w:rPr>
              <w:lastRenderedPageBreak/>
              <w:t>De risicogewogen posten en eigenvermogensvereisten berekend overeenkomstig deel drie, titel IV, hoofdstuk 1 bis, van Verordening (EU) nr. 575/2013.</w:t>
            </w:r>
          </w:p>
          <w:p w14:paraId="3CC79283" w14:textId="7D88AFDB" w:rsidR="001F53F8" w:rsidRPr="00232C88" w:rsidRDefault="001F53F8" w:rsidP="7A5B4152">
            <w:pPr>
              <w:spacing w:before="60" w:after="120"/>
              <w:jc w:val="both"/>
              <w:rPr>
                <w:rFonts w:ascii="Times New Roman" w:hAnsi="Times New Roman" w:cs="Times New Roman"/>
                <w:sz w:val="24"/>
              </w:rPr>
            </w:pPr>
            <w:r>
              <w:rPr>
                <w:rFonts w:ascii="Times New Roman" w:hAnsi="Times New Roman"/>
                <w:sz w:val="24"/>
              </w:rPr>
              <w:t xml:space="preserve">Tot de datum van toepassing van het gebruik van de alternatieve benaderingen van deel drie, titel IV, hoofdstukken 1 bis en 1 ter, van Verordening (EU) nr. 575/2013 voor de daadwerkelijke berekening van de eigenvermogensvereisten als bedoeld in artikel 92, lid 4, punt b), i) en c), en artikel 92, lid 5, punten b) en c), van die verordening, is deze rij niet van toepassing. </w:t>
            </w:r>
          </w:p>
        </w:tc>
      </w:tr>
      <w:tr w:rsidR="00232C88" w:rsidRPr="00232C88" w14:paraId="403B156C" w14:textId="77777777" w:rsidTr="00842C88">
        <w:trPr>
          <w:trHeight w:val="557"/>
        </w:trPr>
        <w:tc>
          <w:tcPr>
            <w:tcW w:w="1435" w:type="dxa"/>
          </w:tcPr>
          <w:p w14:paraId="7E3A811B" w14:textId="5AA202B4" w:rsidR="7CB62396" w:rsidRPr="00232C88" w:rsidRDefault="7CB62396" w:rsidP="00AD7048">
            <w:pPr>
              <w:pStyle w:val="Applicationdirecte"/>
              <w:jc w:val="center"/>
            </w:pPr>
            <w:r>
              <w:lastRenderedPageBreak/>
              <w:t>EU 21a</w:t>
            </w:r>
          </w:p>
        </w:tc>
        <w:tc>
          <w:tcPr>
            <w:tcW w:w="7604" w:type="dxa"/>
          </w:tcPr>
          <w:p w14:paraId="511B7362" w14:textId="68D54C08" w:rsidR="7CB62396" w:rsidRPr="00232C88" w:rsidRDefault="7CB62396" w:rsidP="233ACBB4">
            <w:pPr>
              <w:jc w:val="both"/>
              <w:rPr>
                <w:rFonts w:ascii="Times New Roman" w:hAnsi="Times New Roman" w:cs="Times New Roman"/>
                <w:b/>
                <w:bCs/>
                <w:sz w:val="24"/>
              </w:rPr>
            </w:pPr>
            <w:r>
              <w:rPr>
                <w:rFonts w:ascii="Times New Roman" w:hAnsi="Times New Roman"/>
                <w:b/>
                <w:sz w:val="24"/>
              </w:rPr>
              <w:t>Marktrisico - Waarvan vereenvoudigde standaardbenadering (S-SA)</w:t>
            </w:r>
          </w:p>
          <w:p w14:paraId="405FFF8B" w14:textId="77777777" w:rsidR="7CB62396" w:rsidRPr="00232C88" w:rsidRDefault="7CB62396" w:rsidP="233ACBB4">
            <w:pPr>
              <w:jc w:val="both"/>
              <w:rPr>
                <w:rFonts w:ascii="Times New Roman" w:hAnsi="Times New Roman" w:cs="Times New Roman"/>
                <w:sz w:val="24"/>
              </w:rPr>
            </w:pPr>
            <w:r>
              <w:rPr>
                <w:rFonts w:ascii="Times New Roman" w:hAnsi="Times New Roman"/>
                <w:sz w:val="24"/>
              </w:rPr>
              <w:t>De risicogewogen posten en eigenvermogensvereisten berekend overeenkomstig artikel 325 bis van Verordening (EU) nr. 575/2013.</w:t>
            </w:r>
          </w:p>
          <w:p w14:paraId="65A060B1" w14:textId="77777777" w:rsidR="001F53F8" w:rsidRPr="00232C88" w:rsidRDefault="001F53F8" w:rsidP="233ACBB4">
            <w:pPr>
              <w:jc w:val="both"/>
              <w:rPr>
                <w:rFonts w:ascii="Times New Roman" w:hAnsi="Times New Roman" w:cs="Times New Roman"/>
                <w:sz w:val="24"/>
              </w:rPr>
            </w:pPr>
          </w:p>
          <w:p w14:paraId="579662F3" w14:textId="66DD24B7" w:rsidR="001F53F8" w:rsidRPr="00232C88" w:rsidRDefault="001F53F8" w:rsidP="233ACBB4">
            <w:pPr>
              <w:jc w:val="both"/>
              <w:rPr>
                <w:rFonts w:ascii="Times New Roman" w:hAnsi="Times New Roman" w:cs="Times New Roman"/>
                <w:sz w:val="24"/>
              </w:rPr>
            </w:pPr>
            <w:r>
              <w:rPr>
                <w:rFonts w:ascii="Times New Roman" w:hAnsi="Times New Roman"/>
                <w:sz w:val="24"/>
              </w:rPr>
              <w:t xml:space="preserve">Tot de datum van toepassing van het gebruik van de alternatieve benaderingen van deel drie, titel IV, hoofdstukken 1 bis en 1 ter, van Verordening (EU) nr. 575/2013 voor de daadwerkelijke berekening van de eigenvermogensvereisten als bedoeld in artikel 92, lid 4, punt b), i) en c), en artikel 92, lid 5, punten b) en c), van die verordening, is deze rij niet van toepassing. </w:t>
            </w:r>
          </w:p>
        </w:tc>
      </w:tr>
      <w:tr w:rsidR="00232C88" w:rsidRPr="00232C88" w14:paraId="7730A887" w14:textId="77777777" w:rsidTr="00842C88">
        <w:trPr>
          <w:trHeight w:val="557"/>
        </w:trPr>
        <w:tc>
          <w:tcPr>
            <w:tcW w:w="1435" w:type="dxa"/>
          </w:tcPr>
          <w:p w14:paraId="4659D69D" w14:textId="77777777" w:rsidR="004D588F" w:rsidRPr="00232C88" w:rsidRDefault="004D588F" w:rsidP="004D588F">
            <w:pPr>
              <w:pStyle w:val="Applicationdirecte"/>
              <w:spacing w:before="60"/>
              <w:jc w:val="center"/>
            </w:pPr>
            <w:r>
              <w:t>22</w:t>
            </w:r>
          </w:p>
        </w:tc>
        <w:tc>
          <w:tcPr>
            <w:tcW w:w="7604" w:type="dxa"/>
          </w:tcPr>
          <w:p w14:paraId="7F8B2B75" w14:textId="1EA83C77"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Marktrisico - Waarvan alternatieve internemodellenbenadering (A-IM)</w:t>
            </w:r>
          </w:p>
          <w:p w14:paraId="115A7DEC" w14:textId="013907BE" w:rsidR="004D588F" w:rsidRPr="00232C88" w:rsidRDefault="48604EBF" w:rsidP="4D769726">
            <w:pPr>
              <w:spacing w:before="60" w:after="120"/>
              <w:jc w:val="both"/>
              <w:rPr>
                <w:rFonts w:ascii="Times New Roman" w:hAnsi="Times New Roman" w:cs="Times New Roman"/>
                <w:sz w:val="24"/>
              </w:rPr>
            </w:pPr>
            <w:r>
              <w:rPr>
                <w:rFonts w:ascii="Times New Roman" w:hAnsi="Times New Roman"/>
                <w:sz w:val="24"/>
              </w:rPr>
              <w:t>De risicogewogen posten en eigenvermogensvereisten berekend overeenkomstig deel drie, titel IV, hoofdstuk 1 ter, van Verordening (EU) nr. 575/2013.</w:t>
            </w:r>
          </w:p>
          <w:p w14:paraId="190F3353" w14:textId="2AF57C1F" w:rsidR="001F53F8" w:rsidRPr="00232C88" w:rsidRDefault="001F53F8" w:rsidP="4D769726">
            <w:pPr>
              <w:spacing w:before="60" w:after="120"/>
              <w:jc w:val="both"/>
              <w:rPr>
                <w:rFonts w:ascii="Times New Roman" w:hAnsi="Times New Roman" w:cs="Times New Roman"/>
                <w:sz w:val="24"/>
              </w:rPr>
            </w:pPr>
            <w:r>
              <w:rPr>
                <w:rFonts w:ascii="Times New Roman" w:hAnsi="Times New Roman"/>
                <w:sz w:val="24"/>
              </w:rPr>
              <w:t xml:space="preserve">Tot de datum van toepassing van het gebruik van de alternatieve benaderingen van deel drie, titel IV, hoofdstukken 1 bis en 1 ter, van Verordening (EU) nr. 575/2013 voor de daadwerkelijke berekening van de eigenvermogensvereisten als bedoeld in artikel 92, lid 4, punt b), i) en c), en artikel 92, lid 5, punten b) en c), van die verordening, is deze rij niet van toepassing. </w:t>
            </w:r>
          </w:p>
        </w:tc>
      </w:tr>
      <w:tr w:rsidR="00232C88" w:rsidRPr="00232C88" w14:paraId="634BA896" w14:textId="77777777" w:rsidTr="00842C88">
        <w:trPr>
          <w:trHeight w:val="557"/>
        </w:trPr>
        <w:tc>
          <w:tcPr>
            <w:tcW w:w="1435" w:type="dxa"/>
            <w:vAlign w:val="center"/>
          </w:tcPr>
          <w:p w14:paraId="20BE37C9" w14:textId="77777777" w:rsidR="00FA1376" w:rsidRPr="00232C88" w:rsidRDefault="004D588F" w:rsidP="00FA1376">
            <w:pPr>
              <w:pStyle w:val="Applicationdirecte"/>
              <w:spacing w:before="60"/>
              <w:jc w:val="center"/>
            </w:pPr>
            <w:r>
              <w:t>EU 22a</w:t>
            </w:r>
          </w:p>
        </w:tc>
        <w:tc>
          <w:tcPr>
            <w:tcW w:w="7604" w:type="dxa"/>
          </w:tcPr>
          <w:p w14:paraId="3C6ECD7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Grote blootstellingen</w:t>
            </w:r>
          </w:p>
          <w:p w14:paraId="01CE52D0" w14:textId="03EAAB4A" w:rsidR="00FA1376" w:rsidRPr="00232C88" w:rsidRDefault="43EB62D7" w:rsidP="7A5B4152">
            <w:pPr>
              <w:spacing w:before="60" w:after="120"/>
              <w:jc w:val="both"/>
              <w:rPr>
                <w:rFonts w:ascii="Times New Roman" w:hAnsi="Times New Roman" w:cs="Times New Roman"/>
                <w:sz w:val="24"/>
              </w:rPr>
            </w:pPr>
            <w:r>
              <w:rPr>
                <w:rFonts w:ascii="Times New Roman" w:hAnsi="Times New Roman"/>
                <w:sz w:val="24"/>
              </w:rPr>
              <w:t>De risicogewogen posten en eigenvermogensvereisten berekend overeenkomstig artikel 92, lid 4, punt b), ii), van Verordening (EU) nr. 575/2013.</w:t>
            </w:r>
          </w:p>
        </w:tc>
      </w:tr>
      <w:tr w:rsidR="00232C88" w:rsidRPr="00232C88" w14:paraId="7755F368" w14:textId="77777777" w:rsidTr="00842C88">
        <w:trPr>
          <w:trHeight w:val="557"/>
        </w:trPr>
        <w:tc>
          <w:tcPr>
            <w:tcW w:w="1435" w:type="dxa"/>
          </w:tcPr>
          <w:p w14:paraId="4869443B" w14:textId="0E73FF9F" w:rsidR="0BEB4DB1" w:rsidRPr="00232C88" w:rsidRDefault="0BEB4DB1" w:rsidP="00254EDB">
            <w:pPr>
              <w:pStyle w:val="Applicationdirecte"/>
              <w:spacing w:before="60" w:line="259" w:lineRule="auto"/>
              <w:jc w:val="center"/>
            </w:pPr>
            <w:r>
              <w:t>23</w:t>
            </w:r>
          </w:p>
        </w:tc>
        <w:tc>
          <w:tcPr>
            <w:tcW w:w="7604" w:type="dxa"/>
          </w:tcPr>
          <w:p w14:paraId="3A8A51A2" w14:textId="640E347D" w:rsidR="008D0CBA" w:rsidRDefault="00886EA4" w:rsidP="00310C93">
            <w:pPr>
              <w:spacing w:before="60" w:after="120"/>
              <w:jc w:val="both"/>
              <w:rPr>
                <w:rFonts w:ascii="Times New Roman" w:hAnsi="Times New Roman" w:cs="Times New Roman"/>
                <w:b/>
                <w:sz w:val="24"/>
              </w:rPr>
            </w:pPr>
            <w:r>
              <w:rPr>
                <w:rFonts w:ascii="Times New Roman" w:hAnsi="Times New Roman"/>
                <w:b/>
                <w:sz w:val="24"/>
              </w:rPr>
              <w:t xml:space="preserve">Herindelingen tussen de handelsportefeuille en de niet-handelsportefeuille </w:t>
            </w:r>
          </w:p>
          <w:p w14:paraId="37B20D25" w14:textId="4A79B7BB" w:rsidR="7A5B4152" w:rsidRPr="00232C88" w:rsidRDefault="00310C93" w:rsidP="00310C93">
            <w:pPr>
              <w:spacing w:before="60" w:after="120"/>
              <w:jc w:val="both"/>
              <w:rPr>
                <w:rFonts w:ascii="Times New Roman" w:hAnsi="Times New Roman" w:cs="Times New Roman"/>
                <w:bCs/>
                <w:sz w:val="24"/>
              </w:rPr>
            </w:pPr>
            <w:r>
              <w:rPr>
                <w:rFonts w:ascii="Times New Roman" w:hAnsi="Times New Roman"/>
                <w:sz w:val="24"/>
              </w:rPr>
              <w:t>De risicogewogen posten en eigenvermogensvereisten berekend overeenkomstig artikel 104 bis, leden 3, 4 en 6, van Verordening (EU) nr. 575/2013.</w:t>
            </w:r>
          </w:p>
        </w:tc>
      </w:tr>
      <w:tr w:rsidR="00232C88" w:rsidRPr="00232C88" w14:paraId="4F084615" w14:textId="77777777" w:rsidTr="00842C88">
        <w:trPr>
          <w:trHeight w:val="557"/>
        </w:trPr>
        <w:tc>
          <w:tcPr>
            <w:tcW w:w="1435" w:type="dxa"/>
          </w:tcPr>
          <w:p w14:paraId="688F7715" w14:textId="7983AB02" w:rsidR="004D588F" w:rsidRPr="00232C88" w:rsidRDefault="48604EBF" w:rsidP="004D588F">
            <w:pPr>
              <w:pStyle w:val="Applicationdirecte"/>
              <w:spacing w:before="60"/>
              <w:jc w:val="center"/>
            </w:pPr>
            <w:r>
              <w:t>24</w:t>
            </w:r>
          </w:p>
        </w:tc>
        <w:tc>
          <w:tcPr>
            <w:tcW w:w="7604" w:type="dxa"/>
          </w:tcPr>
          <w:p w14:paraId="62D84362" w14:textId="77777777" w:rsidR="00064A87" w:rsidRPr="00232C88"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Operationeel risico </w:t>
            </w:r>
          </w:p>
          <w:p w14:paraId="1D9DEFE1" w14:textId="10009221" w:rsidR="004D588F" w:rsidRPr="00232C88" w:rsidRDefault="1346BE8D" w:rsidP="4D769726">
            <w:pPr>
              <w:spacing w:before="60" w:after="120"/>
              <w:jc w:val="both"/>
              <w:rPr>
                <w:rFonts w:ascii="Times New Roman" w:hAnsi="Times New Roman" w:cs="Times New Roman"/>
                <w:i/>
                <w:iCs/>
                <w:sz w:val="24"/>
              </w:rPr>
            </w:pPr>
            <w:r>
              <w:rPr>
                <w:rFonts w:ascii="Times New Roman" w:hAnsi="Times New Roman"/>
                <w:sz w:val="24"/>
              </w:rPr>
              <w:t>De risicogewogen posten en eigenvermogensvereisten berekend overeenkomstig deel drie, titel III, van Verordening (EU) nr. 575/2013.</w:t>
            </w:r>
          </w:p>
        </w:tc>
      </w:tr>
      <w:tr w:rsidR="00232C88" w:rsidRPr="00232C88" w14:paraId="19C94D76" w14:textId="77777777" w:rsidTr="00842C88">
        <w:trPr>
          <w:trHeight w:val="557"/>
        </w:trPr>
        <w:tc>
          <w:tcPr>
            <w:tcW w:w="1435" w:type="dxa"/>
          </w:tcPr>
          <w:p w14:paraId="0A5E81F6" w14:textId="1552A1E9" w:rsidR="00797C68" w:rsidRPr="00232C88" w:rsidRDefault="00797C68" w:rsidP="001C2D18">
            <w:pPr>
              <w:pStyle w:val="Applicationdirecte"/>
              <w:spacing w:before="60"/>
              <w:jc w:val="center"/>
            </w:pPr>
            <w:r>
              <w:lastRenderedPageBreak/>
              <w:t>EU 24a</w:t>
            </w:r>
          </w:p>
        </w:tc>
        <w:tc>
          <w:tcPr>
            <w:tcW w:w="7604" w:type="dxa"/>
          </w:tcPr>
          <w:p w14:paraId="13B64018" w14:textId="77777777" w:rsidR="00797C68" w:rsidRPr="00232C88" w:rsidRDefault="00797C68" w:rsidP="001C2D18">
            <w:pPr>
              <w:spacing w:before="60" w:after="120"/>
              <w:jc w:val="both"/>
              <w:rPr>
                <w:rFonts w:ascii="Times New Roman" w:hAnsi="Times New Roman" w:cs="Times New Roman"/>
                <w:b/>
                <w:sz w:val="24"/>
              </w:rPr>
            </w:pPr>
            <w:r>
              <w:rPr>
                <w:rFonts w:ascii="Times New Roman" w:hAnsi="Times New Roman"/>
                <w:b/>
                <w:sz w:val="24"/>
              </w:rPr>
              <w:t xml:space="preserve">Blootstellingen met betrekking tot cryptoactiva </w:t>
            </w:r>
          </w:p>
          <w:p w14:paraId="66AC7A81" w14:textId="4CE1C0D1" w:rsidR="00797C68" w:rsidRPr="00232C88" w:rsidRDefault="00797C68" w:rsidP="001C2D18">
            <w:pPr>
              <w:spacing w:before="60" w:after="120"/>
              <w:jc w:val="both"/>
              <w:rPr>
                <w:rFonts w:ascii="Times New Roman" w:hAnsi="Times New Roman" w:cs="Times New Roman"/>
                <w:bCs/>
                <w:sz w:val="24"/>
              </w:rPr>
            </w:pPr>
            <w:r>
              <w:rPr>
                <w:rFonts w:ascii="Times New Roman" w:hAnsi="Times New Roman"/>
                <w:sz w:val="24"/>
              </w:rPr>
              <w:t>De risicogewogen posten en eigenvermogensvereisten berekend overeenkomstig de in artikel 501 quinquies, lid 2, van Verordening (EU) nr. 575/2013 genoemde prudentiële behandeling in de overgangsperiode.</w:t>
            </w:r>
          </w:p>
        </w:tc>
      </w:tr>
      <w:tr w:rsidR="00232C88" w:rsidRPr="00232C88" w14:paraId="76248997" w14:textId="77777777" w:rsidTr="00842C88">
        <w:trPr>
          <w:trHeight w:val="557"/>
        </w:trPr>
        <w:tc>
          <w:tcPr>
            <w:tcW w:w="1435" w:type="dxa"/>
          </w:tcPr>
          <w:p w14:paraId="0E30EA32" w14:textId="421765FE" w:rsidR="00355D90" w:rsidRPr="00232C88" w:rsidRDefault="69048C70" w:rsidP="001C2D18">
            <w:pPr>
              <w:pStyle w:val="Applicationdirecte"/>
              <w:spacing w:before="60"/>
              <w:jc w:val="center"/>
            </w:pPr>
            <w:r>
              <w:t>25</w:t>
            </w:r>
          </w:p>
        </w:tc>
        <w:tc>
          <w:tcPr>
            <w:tcW w:w="7604" w:type="dxa"/>
          </w:tcPr>
          <w:p w14:paraId="46C5B971" w14:textId="03E962D8" w:rsidR="00355D90" w:rsidRPr="00232C8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Bedrag onder de drempels voor aftrek (onderworpen aan een risicogewicht van 250 %) </w:t>
            </w:r>
          </w:p>
          <w:p w14:paraId="2A67FBCB" w14:textId="71D73BE9" w:rsidR="00355D90" w:rsidRPr="00232C88" w:rsidRDefault="00355D90" w:rsidP="001C2D18">
            <w:pPr>
              <w:spacing w:before="60" w:after="120"/>
              <w:jc w:val="both"/>
              <w:rPr>
                <w:rFonts w:ascii="Times New Roman" w:hAnsi="Times New Roman" w:cs="Times New Roman"/>
                <w:sz w:val="24"/>
              </w:rPr>
            </w:pPr>
            <w:r>
              <w:rPr>
                <w:rFonts w:ascii="Times New Roman" w:hAnsi="Times New Roman"/>
                <w:sz w:val="24"/>
              </w:rPr>
              <w:t>Het bedrag stemt overeen met de som van de bedragen van de bestanddelen die onderworpen zijn aan een risicogewicht van 250 % bedoeld in artikel 48, lid 4, van Verordening (EU) nr. 575/2013 na toepassing van het risicogewicht van 250 %. Die bedragen omvatten:</w:t>
            </w:r>
          </w:p>
          <w:p w14:paraId="7233691E" w14:textId="63D2831D" w:rsidR="00355D90" w:rsidRPr="00232C88" w:rsidRDefault="00355D90" w:rsidP="00E70D84">
            <w:pPr>
              <w:pStyle w:val="ListParagraph"/>
              <w:numPr>
                <w:ilvl w:val="0"/>
                <w:numId w:val="16"/>
              </w:numPr>
              <w:spacing w:before="60" w:after="120"/>
              <w:jc w:val="both"/>
              <w:rPr>
                <w:rFonts w:ascii="Times New Roman" w:hAnsi="Times New Roman"/>
                <w:sz w:val="24"/>
              </w:rPr>
            </w:pPr>
            <w:r>
              <w:rPr>
                <w:rFonts w:ascii="Times New Roman" w:hAnsi="Times New Roman"/>
                <w:sz w:val="24"/>
              </w:rPr>
              <w:t>uitgestelde belastingvorderingen die afhankelijk zijn van toekomstige winstgevendheid en voortvloeien uit tijdelijke verschillen, en in totaal gelijk zijn aan of minder bedragen dan 10 % van de tier 1-kernkapitaalbestanddelen van de instelling, berekend overeenkomstig artikel 48, lid 1, punt a), van Verordening (EU) nr. 575/2013;</w:t>
            </w:r>
          </w:p>
          <w:p w14:paraId="3954A3F4" w14:textId="09EAE9D4" w:rsidR="00355D90" w:rsidRPr="009260D6" w:rsidRDefault="00355D90" w:rsidP="000A2CE0">
            <w:pPr>
              <w:pStyle w:val="ListParagraph"/>
              <w:numPr>
                <w:ilvl w:val="0"/>
                <w:numId w:val="16"/>
              </w:numPr>
              <w:spacing w:before="60" w:after="120"/>
              <w:jc w:val="both"/>
              <w:rPr>
                <w:rFonts w:ascii="Times New Roman" w:hAnsi="Times New Roman"/>
                <w:sz w:val="24"/>
              </w:rPr>
            </w:pPr>
            <w:r>
              <w:rPr>
                <w:rFonts w:ascii="Times New Roman" w:hAnsi="Times New Roman"/>
                <w:sz w:val="24"/>
              </w:rPr>
              <w:t>aanzienlijke deelnemingen in een entiteit uit de financiële sector, het direct, indirect en synthetisch bezit door de instelling van tier 1-kernkapitaalinstrumenten van die entiteiten die in totaal gelijk zijn aan of minder bedragen dan 10 % van de tier 1-kernkapitaalbestanddelen van de instelling, berekend overeenkomstig artikel 48, lid 1, punt b), van Verordening (EU) nr. 575/2013.</w:t>
            </w:r>
          </w:p>
          <w:p w14:paraId="6B4CA360" w14:textId="138451FC" w:rsidR="00355D90" w:rsidRPr="00232C88" w:rsidRDefault="00355D90" w:rsidP="00544FF5">
            <w:pPr>
              <w:spacing w:before="60" w:after="120"/>
              <w:jc w:val="both"/>
              <w:rPr>
                <w:rFonts w:ascii="Times New Roman" w:hAnsi="Times New Roman" w:cs="Times New Roman"/>
                <w:sz w:val="24"/>
              </w:rPr>
            </w:pPr>
            <w:r>
              <w:rPr>
                <w:rFonts w:ascii="Times New Roman" w:hAnsi="Times New Roman"/>
                <w:sz w:val="24"/>
              </w:rPr>
              <w:t>De informatie in deze rij wordt alleen ter informatie openbaar gemaakt, aangezien het hier opgenomen bedrag ook opgenomen is in rij 1, waarin instellingen wordt gevraagd informatie over het kredietrisico openbaar te maken.</w:t>
            </w:r>
          </w:p>
        </w:tc>
      </w:tr>
      <w:tr w:rsidR="00232C88" w:rsidRPr="00232C88" w14:paraId="7B789CB1" w14:textId="77777777" w:rsidTr="00842C88">
        <w:trPr>
          <w:trHeight w:val="557"/>
        </w:trPr>
        <w:tc>
          <w:tcPr>
            <w:tcW w:w="1435" w:type="dxa"/>
          </w:tcPr>
          <w:p w14:paraId="3A10A9D0" w14:textId="77777777" w:rsidR="00601608" w:rsidRPr="00232C88" w:rsidRDefault="00601608" w:rsidP="00601608">
            <w:pPr>
              <w:pStyle w:val="Applicationdirecte"/>
              <w:spacing w:before="60"/>
              <w:jc w:val="center"/>
            </w:pPr>
            <w:r>
              <w:t>26</w:t>
            </w:r>
          </w:p>
        </w:tc>
        <w:tc>
          <w:tcPr>
            <w:tcW w:w="7604" w:type="dxa"/>
          </w:tcPr>
          <w:p w14:paraId="1BEF8E20" w14:textId="773DF94B" w:rsidR="00601608" w:rsidRPr="00232C88" w:rsidRDefault="0F81387E" w:rsidP="7A5B4152">
            <w:pPr>
              <w:spacing w:before="60" w:after="120"/>
              <w:jc w:val="both"/>
              <w:rPr>
                <w:rFonts w:ascii="Times New Roman" w:hAnsi="Times New Roman" w:cs="Times New Roman"/>
                <w:b/>
                <w:bCs/>
                <w:sz w:val="24"/>
              </w:rPr>
            </w:pPr>
            <w:r>
              <w:rPr>
                <w:rFonts w:ascii="Times New Roman" w:hAnsi="Times New Roman"/>
                <w:b/>
                <w:sz w:val="24"/>
              </w:rPr>
              <w:t>Toegepaste output floor (%)</w:t>
            </w:r>
          </w:p>
          <w:p w14:paraId="73B26D34" w14:textId="7D1A3BF4" w:rsidR="00601608" w:rsidRPr="00232C88" w:rsidRDefault="157A8E5C" w:rsidP="00254EDB">
            <w:pPr>
              <w:spacing w:before="60"/>
              <w:rPr>
                <w:rFonts w:ascii="Times New Roman" w:hAnsi="Times New Roman" w:cs="Times New Roman"/>
                <w:sz w:val="24"/>
              </w:rPr>
            </w:pPr>
            <w:r>
              <w:rPr>
                <w:rFonts w:ascii="Times New Roman" w:hAnsi="Times New Roman"/>
                <w:sz w:val="24"/>
              </w:rPr>
              <w:t>De output floor, uitgedrukt als percentage, toegepast door de instelling bij</w:t>
            </w:r>
          </w:p>
          <w:p w14:paraId="0351E143" w14:textId="729E0684" w:rsidR="00601608" w:rsidRPr="00232C88" w:rsidRDefault="157A8E5C" w:rsidP="5C82E46C">
            <w:pPr>
              <w:spacing w:before="60" w:after="120"/>
              <w:jc w:val="both"/>
              <w:rPr>
                <w:rFonts w:ascii="Times New Roman" w:hAnsi="Times New Roman" w:cs="Times New Roman"/>
              </w:rPr>
            </w:pPr>
            <w:r>
              <w:rPr>
                <w:rFonts w:ascii="Times New Roman" w:hAnsi="Times New Roman"/>
                <w:sz w:val="24"/>
              </w:rPr>
              <w:t>de berekening van de aanpassingswaarde van de floor in de rijen 27 en 28: de factor “x” overeenkomstig artikel 92, lid 3, en artikel 465, lid 1, van Verordening (EU) nr. 575/2013.</w:t>
            </w:r>
          </w:p>
          <w:p w14:paraId="2C4F5B91" w14:textId="6FC0CE3A" w:rsidR="00601608" w:rsidRPr="00232C88" w:rsidRDefault="00D92B8D" w:rsidP="00254EDB">
            <w:pPr>
              <w:spacing w:before="60" w:after="120"/>
              <w:jc w:val="both"/>
              <w:rPr>
                <w:rFonts w:ascii="Times New Roman" w:hAnsi="Times New Roman" w:cs="Times New Roman"/>
                <w:sz w:val="24"/>
              </w:rPr>
            </w:pPr>
            <w:r>
              <w:rPr>
                <w:rFonts w:ascii="Times New Roman" w:hAnsi="Times New Roman"/>
                <w:sz w:val="24"/>
              </w:rPr>
              <w:t>Deze rij is niet van toepassing op instellingen die onder de vrijstelling van artikel 92, lid 3, tweede alinea, van Verordening (EU) nr. 575/2013 vallen.</w:t>
            </w:r>
          </w:p>
        </w:tc>
      </w:tr>
      <w:tr w:rsidR="00232C88" w:rsidRPr="00232C88" w14:paraId="48F5EA99" w14:textId="77777777" w:rsidTr="00842C88">
        <w:trPr>
          <w:trHeight w:val="557"/>
        </w:trPr>
        <w:tc>
          <w:tcPr>
            <w:tcW w:w="1435" w:type="dxa"/>
          </w:tcPr>
          <w:p w14:paraId="5D203C64" w14:textId="77777777" w:rsidR="00601608" w:rsidRPr="00232C88" w:rsidRDefault="00601608" w:rsidP="00601608">
            <w:pPr>
              <w:pStyle w:val="Applicationdirecte"/>
              <w:spacing w:before="60"/>
              <w:jc w:val="center"/>
            </w:pPr>
            <w:r>
              <w:t>27</w:t>
            </w:r>
          </w:p>
        </w:tc>
        <w:tc>
          <w:tcPr>
            <w:tcW w:w="7604" w:type="dxa"/>
          </w:tcPr>
          <w:p w14:paraId="038223EE" w14:textId="6A6326D3" w:rsidR="00601608" w:rsidRPr="00232C88" w:rsidRDefault="4856FF09" w:rsidP="7A5B4152">
            <w:pPr>
              <w:spacing w:before="60" w:after="120"/>
              <w:jc w:val="both"/>
              <w:rPr>
                <w:rFonts w:ascii="Times New Roman" w:hAnsi="Times New Roman" w:cs="Times New Roman"/>
                <w:b/>
                <w:bCs/>
                <w:sz w:val="24"/>
              </w:rPr>
            </w:pPr>
            <w:r>
              <w:rPr>
                <w:rFonts w:ascii="Times New Roman" w:hAnsi="Times New Roman"/>
                <w:b/>
                <w:sz w:val="24"/>
              </w:rPr>
              <w:t>Aanpassing van de floor (vóór toepassing van de overgangsniveaus)</w:t>
            </w:r>
          </w:p>
          <w:p w14:paraId="771706A8" w14:textId="5435A532" w:rsidR="00601608" w:rsidRPr="00232C88" w:rsidRDefault="00010D29" w:rsidP="7A5B4152">
            <w:pPr>
              <w:spacing w:before="60" w:after="120"/>
              <w:jc w:val="both"/>
              <w:rPr>
                <w:rFonts w:ascii="Times New Roman" w:hAnsi="Times New Roman" w:cs="Times New Roman"/>
                <w:sz w:val="24"/>
              </w:rPr>
            </w:pPr>
            <w:r>
              <w:rPr>
                <w:rFonts w:ascii="Times New Roman" w:hAnsi="Times New Roman"/>
                <w:sz w:val="24"/>
              </w:rPr>
              <w:t>Voor instellingen die onderworpen zijn aan de output floor overeenkomstig artikel 92, lid 3, punt a), van Verordening (EU) nr. 575/2013, is de verhoging van het totaal van de risicoposten, op basis van de in rij 26 toegepaste output floor, zonder toepassing van de in artikel 465, lid 2, van Verordening (EU) nr. 575/2013 bedoelde overgangsniveaus.</w:t>
            </w:r>
          </w:p>
          <w:p w14:paraId="38B9BF8A" w14:textId="52B47A9C"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Deze rij is niet van toepassing op instellingen die onder de vrijstelling van artikel 92, lid 3, tweede alinea, van Verordening (EU) nr. 575/2013 vallen.</w:t>
            </w:r>
          </w:p>
        </w:tc>
      </w:tr>
      <w:tr w:rsidR="00232C88" w:rsidRPr="00232C88" w14:paraId="294AC974" w14:textId="77777777" w:rsidTr="00842C88">
        <w:trPr>
          <w:trHeight w:val="557"/>
        </w:trPr>
        <w:tc>
          <w:tcPr>
            <w:tcW w:w="1435" w:type="dxa"/>
          </w:tcPr>
          <w:p w14:paraId="1D35C4C7" w14:textId="77777777" w:rsidR="00601608" w:rsidRPr="00232C88" w:rsidRDefault="00601608" w:rsidP="00601608">
            <w:pPr>
              <w:pStyle w:val="Applicationdirecte"/>
              <w:spacing w:before="60"/>
              <w:jc w:val="center"/>
            </w:pPr>
            <w:r>
              <w:lastRenderedPageBreak/>
              <w:t>28</w:t>
            </w:r>
          </w:p>
        </w:tc>
        <w:tc>
          <w:tcPr>
            <w:tcW w:w="7604" w:type="dxa"/>
          </w:tcPr>
          <w:p w14:paraId="10893528" w14:textId="1056E6F0" w:rsidR="00601608" w:rsidRPr="00232C88" w:rsidRDefault="3853AA5F" w:rsidP="7A5B4152">
            <w:pPr>
              <w:spacing w:before="60" w:after="120"/>
              <w:jc w:val="both"/>
              <w:rPr>
                <w:rFonts w:ascii="Times New Roman" w:hAnsi="Times New Roman" w:cs="Times New Roman"/>
                <w:sz w:val="24"/>
              </w:rPr>
            </w:pPr>
            <w:r>
              <w:rPr>
                <w:rFonts w:ascii="Times New Roman" w:hAnsi="Times New Roman"/>
                <w:b/>
                <w:sz w:val="24"/>
              </w:rPr>
              <w:t>Aanpassing van de floor (na toepassing van de overgangsniveaus)</w:t>
            </w:r>
            <w:r>
              <w:rPr>
                <w:rFonts w:ascii="Times New Roman" w:hAnsi="Times New Roman"/>
                <w:sz w:val="24"/>
              </w:rPr>
              <w:t xml:space="preserve"> </w:t>
            </w:r>
          </w:p>
          <w:p w14:paraId="3461108E" w14:textId="499B5D53" w:rsidR="00601608" w:rsidRPr="00232C88" w:rsidRDefault="119238F7" w:rsidP="7A5B4152">
            <w:pPr>
              <w:spacing w:before="60" w:after="120"/>
              <w:jc w:val="both"/>
              <w:rPr>
                <w:rFonts w:ascii="Times New Roman" w:hAnsi="Times New Roman" w:cs="Times New Roman"/>
                <w:sz w:val="24"/>
              </w:rPr>
            </w:pPr>
            <w:r>
              <w:rPr>
                <w:rFonts w:ascii="Times New Roman" w:hAnsi="Times New Roman"/>
                <w:sz w:val="24"/>
              </w:rPr>
              <w:t>Voor instellingen die onderworpen zijn aan de output floor overeenkomstig artikel 92, lid 3, punt a), van Verordening (EU) nr. 575/2013, is de verhoging van het totaal van de risicoposten, op basis van de in rij 26 toegepaste output floor, na toepassing van de in artikel 465, lid 2, van Verordening (EU) nr. 575/2013 bedoelde overgangsniveaus.</w:t>
            </w:r>
          </w:p>
          <w:p w14:paraId="32CACDED" w14:textId="70D0901B"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Deze rij is niet van toepassing op instellingen die onder de vrijstelling van artikel 92, lid 3, tweede alinea, van Verordening (EU) nr. 575/2013 vallen.</w:t>
            </w:r>
          </w:p>
        </w:tc>
      </w:tr>
      <w:tr w:rsidR="00FA1376" w:rsidRPr="00232C88" w14:paraId="1FD0EA38" w14:textId="77777777" w:rsidTr="00842C88">
        <w:trPr>
          <w:trHeight w:val="557"/>
        </w:trPr>
        <w:tc>
          <w:tcPr>
            <w:tcW w:w="1435" w:type="dxa"/>
            <w:vAlign w:val="center"/>
          </w:tcPr>
          <w:p w14:paraId="351F1E24" w14:textId="77777777" w:rsidR="00FA1376" w:rsidRPr="00232C88" w:rsidRDefault="00FA1376" w:rsidP="00FA1376">
            <w:pPr>
              <w:pStyle w:val="Applicationdirecte"/>
              <w:spacing w:before="60"/>
              <w:jc w:val="center"/>
            </w:pPr>
            <w:r>
              <w:t>29</w:t>
            </w:r>
          </w:p>
        </w:tc>
        <w:tc>
          <w:tcPr>
            <w:tcW w:w="7604" w:type="dxa"/>
          </w:tcPr>
          <w:p w14:paraId="05D40AF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Totaal</w:t>
            </w:r>
          </w:p>
          <w:p w14:paraId="4DE2E57F" w14:textId="77777777" w:rsidR="008D0CBA" w:rsidRDefault="00FA1376" w:rsidP="00601608">
            <w:pPr>
              <w:spacing w:before="60" w:after="120"/>
              <w:jc w:val="both"/>
              <w:rPr>
                <w:rFonts w:ascii="Times New Roman" w:hAnsi="Times New Roman" w:cs="Times New Roman"/>
                <w:sz w:val="24"/>
              </w:rPr>
            </w:pPr>
            <w:r>
              <w:rPr>
                <w:rFonts w:ascii="Times New Roman" w:hAnsi="Times New Roman"/>
                <w:sz w:val="24"/>
              </w:rPr>
              <w:t xml:space="preserve">Het totaal van de risicoposten berekend overeenkomstig artikel 92, lid 3, en de artikelen 95, 96 en 98 van Verordening (EU) nr. 575/2013. </w:t>
            </w:r>
          </w:p>
          <w:p w14:paraId="32B689CA" w14:textId="0C35490F" w:rsidR="00FA1376" w:rsidRPr="00232C88" w:rsidRDefault="00D072CD" w:rsidP="00601608">
            <w:pPr>
              <w:spacing w:before="60" w:after="120"/>
              <w:jc w:val="both"/>
              <w:rPr>
                <w:rFonts w:ascii="Times New Roman" w:hAnsi="Times New Roman" w:cs="Times New Roman"/>
                <w:sz w:val="24"/>
              </w:rPr>
            </w:pPr>
            <w:r>
              <w:rPr>
                <w:rFonts w:ascii="Times New Roman" w:hAnsi="Times New Roman"/>
                <w:sz w:val="24"/>
              </w:rPr>
              <w:t>Deze rij is gelijk aan de som van de volgende rijen: 1, 6, 10, 15, 16, 20, EU22a, 23, 24, EU 24a, 28.</w:t>
            </w:r>
          </w:p>
        </w:tc>
      </w:tr>
    </w:tbl>
    <w:p w14:paraId="2CB62609" w14:textId="77777777" w:rsidR="00C41C25" w:rsidRPr="00842C88" w:rsidRDefault="00C41C25" w:rsidP="00501CEC">
      <w:pPr>
        <w:pStyle w:val="Titlelevel2"/>
        <w:spacing w:before="120" w:after="120"/>
        <w:rPr>
          <w:rFonts w:ascii="Times New Roman" w:hAnsi="Times New Roman" w:cs="Times New Roman"/>
          <w:b/>
          <w:color w:val="auto"/>
          <w:sz w:val="24"/>
        </w:rPr>
      </w:pPr>
    </w:p>
    <w:p w14:paraId="62DDE9E1" w14:textId="413A13B5" w:rsidR="00501CEC" w:rsidRPr="00232C88" w:rsidRDefault="00BD36EC" w:rsidP="00501CEC">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Template EU KM1 - Kernmaatstaven. </w:t>
      </w:r>
      <w:r>
        <w:rPr>
          <w:rFonts w:ascii="Times New Roman" w:hAnsi="Times New Roman"/>
          <w:color w:val="auto"/>
          <w:sz w:val="24"/>
        </w:rPr>
        <w:t>Vaste opmaak.</w:t>
      </w:r>
    </w:p>
    <w:p w14:paraId="3394DDC1" w14:textId="250762C7" w:rsidR="00A919FB" w:rsidRPr="00232C88" w:rsidRDefault="00C41C25" w:rsidP="00254EDB">
      <w:pPr>
        <w:pStyle w:val="Titlelevel2"/>
        <w:numPr>
          <w:ilvl w:val="0"/>
          <w:numId w:val="14"/>
        </w:numPr>
        <w:spacing w:before="120" w:after="120"/>
        <w:jc w:val="both"/>
        <w:rPr>
          <w:rFonts w:ascii="Times New Roman" w:hAnsi="Times New Roman" w:cs="Times New Roman"/>
          <w:b/>
          <w:color w:val="auto"/>
          <w:sz w:val="24"/>
        </w:rPr>
      </w:pPr>
      <w:r>
        <w:rPr>
          <w:rFonts w:ascii="Times New Roman" w:hAnsi="Times New Roman"/>
          <w:color w:val="auto"/>
          <w:sz w:val="24"/>
        </w:rPr>
        <w:t>Instellingen volgen de onderstaande instructies in deze bijlage voor het invullen van template EU KM1, die in bijlage I bij de IT-oplossingen van de EBA is opgenomen, bij toepassing van artikel 447, punten a) tot en met g), en van artikel 438, punt b), van Verordening (EU) nr. 575/2013.</w:t>
      </w:r>
      <w:r>
        <w:rPr>
          <w:rFonts w:ascii="Times New Roman" w:hAnsi="Times New Roman"/>
          <w:b/>
          <w:color w:val="auto"/>
          <w:sz w:val="24"/>
        </w:rPr>
        <w:t xml:space="preserve"> </w:t>
      </w:r>
    </w:p>
    <w:p w14:paraId="61B6BC46" w14:textId="4370DEB2" w:rsidR="0CF4BDBF" w:rsidRPr="00842C88"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232C88" w:rsidRPr="00232C88" w14:paraId="74C38E09"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232C88" w:rsidRDefault="00A919FB" w:rsidP="00B2180A">
            <w:pPr>
              <w:rPr>
                <w:rFonts w:ascii="Times New Roman" w:hAnsi="Times New Roman" w:cs="Times New Roman"/>
                <w:b/>
                <w:sz w:val="24"/>
              </w:rPr>
            </w:pPr>
            <w:r>
              <w:rPr>
                <w:rFonts w:ascii="Times New Roman" w:hAnsi="Times New Roman"/>
                <w:b/>
                <w:sz w:val="24"/>
              </w:rPr>
              <w:t>Verwijzingen naar wetgeving en instructies</w:t>
            </w:r>
          </w:p>
        </w:tc>
      </w:tr>
      <w:tr w:rsidR="00232C88" w:rsidRPr="00232C88" w14:paraId="00B30D91" w14:textId="77777777" w:rsidTr="00842C88">
        <w:trPr>
          <w:trHeight w:val="238"/>
        </w:trPr>
        <w:tc>
          <w:tcPr>
            <w:tcW w:w="1555" w:type="dxa"/>
            <w:shd w:val="clear" w:color="auto" w:fill="D9D9D9" w:themeFill="background1" w:themeFillShade="D9"/>
          </w:tcPr>
          <w:p w14:paraId="0D2CF0F9" w14:textId="77777777" w:rsidR="00A919FB" w:rsidRPr="00232C8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Nummer kolom</w:t>
            </w:r>
          </w:p>
        </w:tc>
        <w:tc>
          <w:tcPr>
            <w:tcW w:w="7484" w:type="dxa"/>
            <w:shd w:val="clear" w:color="auto" w:fill="D9D9D9" w:themeFill="background1" w:themeFillShade="D9"/>
          </w:tcPr>
          <w:p w14:paraId="1025441F"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Toelichting</w:t>
            </w:r>
          </w:p>
        </w:tc>
      </w:tr>
      <w:tr w:rsidR="00232C88" w:rsidRPr="00232C88" w14:paraId="3B18CFED" w14:textId="77777777" w:rsidTr="00842C88">
        <w:trPr>
          <w:trHeight w:val="680"/>
        </w:trPr>
        <w:tc>
          <w:tcPr>
            <w:tcW w:w="1555" w:type="dxa"/>
          </w:tcPr>
          <w:p w14:paraId="701C1EE8" w14:textId="77777777" w:rsidR="00A919FB" w:rsidRPr="00232C88" w:rsidRDefault="00003BF5" w:rsidP="00B2180A">
            <w:pPr>
              <w:pStyle w:val="Applicationdirecte"/>
              <w:spacing w:before="60"/>
              <w:jc w:val="center"/>
            </w:pPr>
            <w:r>
              <w:t>a - e</w:t>
            </w:r>
          </w:p>
        </w:tc>
        <w:tc>
          <w:tcPr>
            <w:tcW w:w="7484" w:type="dxa"/>
            <w:vAlign w:val="center"/>
          </w:tcPr>
          <w:p w14:paraId="01DAA312" w14:textId="53CA3AA7" w:rsidR="00A919FB" w:rsidRPr="00232C88" w:rsidRDefault="00187C4B" w:rsidP="00A919FB">
            <w:pPr>
              <w:spacing w:before="60" w:after="120"/>
              <w:jc w:val="both"/>
              <w:rPr>
                <w:rFonts w:ascii="Times New Roman" w:hAnsi="Times New Roman" w:cs="Times New Roman"/>
                <w:sz w:val="24"/>
              </w:rPr>
            </w:pPr>
            <w:r>
              <w:rPr>
                <w:rFonts w:ascii="Times New Roman" w:hAnsi="Times New Roman"/>
                <w:sz w:val="24"/>
              </w:rPr>
              <w:t>De openbaarmakingsperioden T, T-1, T-2, T-3 en T-4 worden gedefinieerd als kwartalen en worden ingevuld afhankelijk van de frequentie die in de artikelen 433, 433 bis, 433 ter en 433 quater van Verordening (EU) nr. 575/2013 is vastgesteld.</w:t>
            </w:r>
          </w:p>
          <w:p w14:paraId="3BAEA110" w14:textId="7DE115C7"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Instellingen die de informatie in deze template op kwartaalbasis openbaar maken, verstrekken gegevens voor de perioden T, T-1, T-2, T-3 en T-4; instellingen die de informatie in deze template op halfjaarlijkse basis openbaar maken, verstrekken gegevens voor de perioden T, T-2 en T-4; en instellingen die de informatie in deze template op jaarlijkse basis openbaar maken, verstrekken gegevens voor de perioden T en T-4.</w:t>
            </w:r>
          </w:p>
          <w:p w14:paraId="3565AD25" w14:textId="00DB4F0F"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Instellingen maken de met de openbaarmakingsperioden overeenstemmende data openbaar.</w:t>
            </w:r>
          </w:p>
          <w:p w14:paraId="18B0361E" w14:textId="77777777" w:rsidR="00A919FB" w:rsidRPr="00232C88" w:rsidRDefault="00A919FB" w:rsidP="00C0296F">
            <w:pPr>
              <w:spacing w:before="60" w:after="120"/>
              <w:jc w:val="both"/>
              <w:rPr>
                <w:rFonts w:ascii="Times New Roman" w:hAnsi="Times New Roman" w:cs="Times New Roman"/>
                <w:sz w:val="24"/>
              </w:rPr>
            </w:pPr>
            <w:r>
              <w:rPr>
                <w:rFonts w:ascii="Times New Roman" w:hAnsi="Times New Roman"/>
                <w:sz w:val="24"/>
              </w:rPr>
              <w:t xml:space="preserve">De openbaarmaking van gegevens over voorgaande perioden is niet vereist wanneer gegevens voor het eerst openbaar worden gemaakt. </w:t>
            </w:r>
          </w:p>
        </w:tc>
      </w:tr>
      <w:tr w:rsidR="00232C88" w:rsidRPr="00232C88" w14:paraId="50208CE7"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232C88" w:rsidRDefault="00A919FB" w:rsidP="00842C88">
            <w:pPr>
              <w:pageBreakBefore/>
              <w:rPr>
                <w:rFonts w:ascii="Times New Roman" w:hAnsi="Times New Roman" w:cs="Times New Roman"/>
                <w:b/>
                <w:sz w:val="24"/>
              </w:rPr>
            </w:pPr>
            <w:r>
              <w:rPr>
                <w:rFonts w:ascii="Times New Roman" w:hAnsi="Times New Roman"/>
                <w:b/>
                <w:sz w:val="24"/>
              </w:rPr>
              <w:lastRenderedPageBreak/>
              <w:t>Verwijzingen naar wetgeving en instructies</w:t>
            </w:r>
          </w:p>
        </w:tc>
      </w:tr>
      <w:tr w:rsidR="00232C88" w:rsidRPr="00232C88" w14:paraId="1B35CC72" w14:textId="77777777" w:rsidTr="00842C88">
        <w:trPr>
          <w:trHeight w:val="238"/>
        </w:trPr>
        <w:tc>
          <w:tcPr>
            <w:tcW w:w="1555" w:type="dxa"/>
            <w:shd w:val="clear" w:color="auto" w:fill="D9D9D9" w:themeFill="background1" w:themeFillShade="D9"/>
          </w:tcPr>
          <w:p w14:paraId="0BCA6C43" w14:textId="77777777" w:rsidR="00A919FB" w:rsidRPr="00232C8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Rijnummer</w:t>
            </w:r>
          </w:p>
        </w:tc>
        <w:tc>
          <w:tcPr>
            <w:tcW w:w="7484" w:type="dxa"/>
            <w:shd w:val="clear" w:color="auto" w:fill="D9D9D9" w:themeFill="background1" w:themeFillShade="D9"/>
          </w:tcPr>
          <w:p w14:paraId="6FA800DB"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Toelichting</w:t>
            </w:r>
          </w:p>
        </w:tc>
      </w:tr>
      <w:tr w:rsidR="00232C88" w:rsidRPr="00232C88" w14:paraId="09F40871" w14:textId="77777777" w:rsidTr="00842C88">
        <w:trPr>
          <w:trHeight w:val="680"/>
        </w:trPr>
        <w:tc>
          <w:tcPr>
            <w:tcW w:w="1555" w:type="dxa"/>
          </w:tcPr>
          <w:p w14:paraId="79F0E0B1" w14:textId="77777777" w:rsidR="00EC3DC7" w:rsidRPr="00232C88" w:rsidRDefault="00EC3DC7" w:rsidP="00EC3DC7">
            <w:pPr>
              <w:pStyle w:val="Applicationdirecte"/>
              <w:spacing w:before="60"/>
              <w:jc w:val="center"/>
            </w:pPr>
            <w:r>
              <w:t>1</w:t>
            </w:r>
          </w:p>
        </w:tc>
        <w:tc>
          <w:tcPr>
            <w:tcW w:w="7484" w:type="dxa"/>
          </w:tcPr>
          <w:p w14:paraId="28E8D7BE"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Tier 1-kernkapitaal</w:t>
            </w:r>
          </w:p>
          <w:p w14:paraId="07A96E2A" w14:textId="537329F0" w:rsidR="00EC3DC7" w:rsidRPr="00232C88" w:rsidRDefault="00EC3DC7" w:rsidP="00BD5160">
            <w:pPr>
              <w:spacing w:before="60" w:after="120"/>
              <w:jc w:val="both"/>
              <w:rPr>
                <w:rFonts w:ascii="Times New Roman" w:hAnsi="Times New Roman" w:cs="Times New Roman"/>
                <w:sz w:val="24"/>
              </w:rPr>
            </w:pPr>
            <w:r>
              <w:rPr>
                <w:rFonts w:ascii="Times New Roman" w:hAnsi="Times New Roman"/>
                <w:sz w:val="24"/>
              </w:rPr>
              <w:t>Het bedrag van het tier 1-kernkapitaal is het bedrag dat door instellingen in bijlage VII bij deze IT-oplossingen openbaar wordt gemaakt (rij 29 van template EU CC1 Samenstelling van het wettelijke eigen vermogen).</w:t>
            </w:r>
          </w:p>
        </w:tc>
      </w:tr>
      <w:tr w:rsidR="00232C88" w:rsidRPr="00232C88" w14:paraId="4CB4023A" w14:textId="77777777" w:rsidTr="00842C88">
        <w:trPr>
          <w:trHeight w:val="436"/>
        </w:trPr>
        <w:tc>
          <w:tcPr>
            <w:tcW w:w="1555" w:type="dxa"/>
          </w:tcPr>
          <w:p w14:paraId="71F49FF4" w14:textId="77777777" w:rsidR="00EC3DC7" w:rsidRPr="00232C88" w:rsidRDefault="00EC3DC7" w:rsidP="00EC3DC7">
            <w:pPr>
              <w:pStyle w:val="Applicationdirecte"/>
              <w:spacing w:before="60"/>
              <w:jc w:val="center"/>
            </w:pPr>
            <w:r>
              <w:t>2</w:t>
            </w:r>
          </w:p>
        </w:tc>
        <w:tc>
          <w:tcPr>
            <w:tcW w:w="7484" w:type="dxa"/>
          </w:tcPr>
          <w:p w14:paraId="50A949BA"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Tier 1-kapitaal</w:t>
            </w:r>
          </w:p>
          <w:p w14:paraId="097E489A" w14:textId="1AD80C12" w:rsidR="00EC3DC7" w:rsidRPr="00232C8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Het bedrag van het tier 1-kernkapitaal is het bedrag dat door instellingen in bijlage VII bij de IT-oplossingen van de EBA openbaar wordt gemaakt (rij 45 van template EU CC1 Samenstelling van het wettelijke eigen vermogen).</w:t>
            </w:r>
          </w:p>
        </w:tc>
      </w:tr>
      <w:tr w:rsidR="00232C88" w:rsidRPr="00232C88" w14:paraId="67C2637C" w14:textId="77777777" w:rsidTr="00842C88">
        <w:trPr>
          <w:trHeight w:val="557"/>
        </w:trPr>
        <w:tc>
          <w:tcPr>
            <w:tcW w:w="1555" w:type="dxa"/>
          </w:tcPr>
          <w:p w14:paraId="30C65372" w14:textId="77777777" w:rsidR="00EC3DC7" w:rsidRPr="00232C88" w:rsidRDefault="009D2A94" w:rsidP="00EC3DC7">
            <w:pPr>
              <w:pStyle w:val="Applicationdirecte"/>
              <w:spacing w:before="60"/>
              <w:jc w:val="center"/>
            </w:pPr>
            <w:r>
              <w:t>3</w:t>
            </w:r>
          </w:p>
        </w:tc>
        <w:tc>
          <w:tcPr>
            <w:tcW w:w="7484" w:type="dxa"/>
          </w:tcPr>
          <w:p w14:paraId="437C173A" w14:textId="77777777" w:rsidR="009D2A94" w:rsidRPr="00232C88" w:rsidRDefault="009D2A94" w:rsidP="00EC3DC7">
            <w:pPr>
              <w:spacing w:before="60" w:after="120"/>
              <w:jc w:val="both"/>
              <w:rPr>
                <w:rFonts w:ascii="Times New Roman" w:hAnsi="Times New Roman" w:cs="Times New Roman"/>
                <w:b/>
                <w:sz w:val="24"/>
              </w:rPr>
            </w:pPr>
            <w:r>
              <w:rPr>
                <w:rFonts w:ascii="Times New Roman" w:hAnsi="Times New Roman"/>
                <w:b/>
                <w:sz w:val="24"/>
              </w:rPr>
              <w:t>Totaal kapitaal</w:t>
            </w:r>
          </w:p>
          <w:p w14:paraId="0A93EB9C" w14:textId="0DED50A4"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Het bedrag van het totale kapitaal is het bedrag dat door instellingen in bijlage VII bij de IT-oplossingen van de EBA openbaar wordt gemaakt (rij 59 van template EU CC1 Samenstelling van het wettelijke eigen vermogen).</w:t>
            </w:r>
          </w:p>
        </w:tc>
      </w:tr>
      <w:tr w:rsidR="00232C88" w:rsidRPr="00232C88" w14:paraId="30D8C6AD" w14:textId="77777777" w:rsidTr="00842C88">
        <w:trPr>
          <w:trHeight w:val="557"/>
        </w:trPr>
        <w:tc>
          <w:tcPr>
            <w:tcW w:w="1555" w:type="dxa"/>
          </w:tcPr>
          <w:p w14:paraId="276F8582" w14:textId="77777777" w:rsidR="00EC3DC7" w:rsidRPr="00232C88" w:rsidRDefault="009D2A94" w:rsidP="00EC3DC7">
            <w:pPr>
              <w:pStyle w:val="Applicationdirecte"/>
              <w:spacing w:before="60"/>
              <w:jc w:val="center"/>
            </w:pPr>
            <w:r>
              <w:t>4</w:t>
            </w:r>
          </w:p>
        </w:tc>
        <w:tc>
          <w:tcPr>
            <w:tcW w:w="7484" w:type="dxa"/>
          </w:tcPr>
          <w:p w14:paraId="7C61908F" w14:textId="1295D816" w:rsidR="009D2A94" w:rsidRPr="00232C88" w:rsidRDefault="009D2A94" w:rsidP="009D2A94">
            <w:pPr>
              <w:spacing w:before="60" w:after="120"/>
              <w:jc w:val="both"/>
              <w:rPr>
                <w:rFonts w:ascii="Times New Roman" w:hAnsi="Times New Roman" w:cs="Times New Roman"/>
                <w:b/>
                <w:sz w:val="24"/>
              </w:rPr>
            </w:pPr>
            <w:r>
              <w:rPr>
                <w:rFonts w:ascii="Times New Roman" w:hAnsi="Times New Roman"/>
                <w:b/>
                <w:sz w:val="24"/>
              </w:rPr>
              <w:t>Totaal van de risicoposten</w:t>
            </w:r>
          </w:p>
          <w:p w14:paraId="45F3B0F7" w14:textId="72865B99" w:rsidR="00EC3DC7" w:rsidRPr="00232C88" w:rsidRDefault="00EC3DC7" w:rsidP="00402F34">
            <w:pPr>
              <w:spacing w:before="60" w:after="120"/>
              <w:jc w:val="both"/>
              <w:rPr>
                <w:rFonts w:ascii="Times New Roman" w:hAnsi="Times New Roman" w:cs="Times New Roman"/>
                <w:sz w:val="24"/>
              </w:rPr>
            </w:pPr>
            <w:r>
              <w:rPr>
                <w:rFonts w:ascii="Times New Roman" w:hAnsi="Times New Roman"/>
                <w:sz w:val="24"/>
              </w:rPr>
              <w:t>Het bedrag van het totaal van de risicoposten is het bedrag dat door instellingen in bijlage VII bij de IT-oplossingen van EBA openbaar wordt gemaakt (rij 60 van template EU CC1 Samenstelling van het wettelijke eigen vermogen).</w:t>
            </w:r>
          </w:p>
        </w:tc>
      </w:tr>
      <w:tr w:rsidR="00232C88" w:rsidRPr="00232C88" w14:paraId="65D7DB43" w14:textId="77777777" w:rsidTr="00842C88">
        <w:trPr>
          <w:trHeight w:val="557"/>
        </w:trPr>
        <w:tc>
          <w:tcPr>
            <w:tcW w:w="1555" w:type="dxa"/>
          </w:tcPr>
          <w:p w14:paraId="658ACA13" w14:textId="232BF598" w:rsidR="00C77B80" w:rsidRPr="00232C88" w:rsidRDefault="00C77B80" w:rsidP="00EC3DC7">
            <w:pPr>
              <w:pStyle w:val="Applicationdirecte"/>
              <w:spacing w:before="60"/>
              <w:jc w:val="center"/>
            </w:pPr>
            <w:r>
              <w:t>4a</w:t>
            </w:r>
          </w:p>
        </w:tc>
        <w:tc>
          <w:tcPr>
            <w:tcW w:w="7484" w:type="dxa"/>
          </w:tcPr>
          <w:p w14:paraId="0936DD42" w14:textId="45382108" w:rsidR="00C77B80" w:rsidRPr="00232C88" w:rsidRDefault="00C77B80" w:rsidP="00475381">
            <w:pPr>
              <w:spacing w:before="60" w:after="120"/>
              <w:jc w:val="both"/>
              <w:rPr>
                <w:rFonts w:ascii="Times New Roman" w:hAnsi="Times New Roman" w:cs="Times New Roman"/>
                <w:b/>
                <w:sz w:val="24"/>
              </w:rPr>
            </w:pPr>
            <w:r>
              <w:rPr>
                <w:rFonts w:ascii="Times New Roman" w:hAnsi="Times New Roman"/>
                <w:b/>
                <w:sz w:val="24"/>
              </w:rPr>
              <w:t>Totaal van de risicoposten vóór de floor</w:t>
            </w:r>
          </w:p>
          <w:p w14:paraId="5D48E490" w14:textId="041CBAFA"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 xml:space="preserve">Voor instellingen die onderworpen zijn aan de output floor overeenkomstig artikel 92, lid 3, van Verordening (EU) nr. 575/2013, is de verhoging van het totaal van de risicoposten vóór de floor in de zin van artikel 92, lid 4, van Verordening (EU) nr. 575/2013. </w:t>
            </w:r>
          </w:p>
          <w:p w14:paraId="18771BA3" w14:textId="288ABF45"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Voor het totaal van de risicoposten vóór de floor moet het openbaargemaakte bedrag enige aanpassing aan het totaal van de risicoposten uitsluiten van de toepassing van de output floor.</w:t>
            </w:r>
          </w:p>
        </w:tc>
      </w:tr>
      <w:tr w:rsidR="00232C88" w:rsidRPr="00232C88" w14:paraId="057C7AF3" w14:textId="77777777" w:rsidTr="00842C88">
        <w:trPr>
          <w:trHeight w:val="557"/>
        </w:trPr>
        <w:tc>
          <w:tcPr>
            <w:tcW w:w="1555" w:type="dxa"/>
          </w:tcPr>
          <w:p w14:paraId="074AB79D" w14:textId="77777777" w:rsidR="00EC3DC7" w:rsidRPr="00232C88" w:rsidRDefault="00475381" w:rsidP="00EC3DC7">
            <w:pPr>
              <w:pStyle w:val="Applicationdirecte"/>
              <w:spacing w:before="60"/>
              <w:jc w:val="center"/>
            </w:pPr>
            <w:r>
              <w:t>5</w:t>
            </w:r>
          </w:p>
        </w:tc>
        <w:tc>
          <w:tcPr>
            <w:tcW w:w="7484" w:type="dxa"/>
          </w:tcPr>
          <w:p w14:paraId="5872B091"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Tier 1-kernkapitaalratio (%)</w:t>
            </w:r>
          </w:p>
          <w:p w14:paraId="42EC7CCC" w14:textId="2AD941C5"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De tier 1-kernkapitaalratio is de waarde die door instellingen in bijlage VII bij de IT-oplossingen openbaar wordt gemaakt (rij 61 van template EU CC1 Samenstelling van het wettelijke eigen vermogen).</w:t>
            </w:r>
          </w:p>
        </w:tc>
      </w:tr>
      <w:tr w:rsidR="00232C88" w:rsidRPr="00232C88" w14:paraId="268CA2C6" w14:textId="77777777" w:rsidTr="00842C88">
        <w:trPr>
          <w:trHeight w:val="557"/>
        </w:trPr>
        <w:tc>
          <w:tcPr>
            <w:tcW w:w="1555" w:type="dxa"/>
            <w:shd w:val="clear" w:color="auto" w:fill="D9D9D9" w:themeFill="background1" w:themeFillShade="D9"/>
          </w:tcPr>
          <w:p w14:paraId="53CDC94A" w14:textId="04453DC9" w:rsidR="00C77B80" w:rsidRPr="00232C88" w:rsidRDefault="00C77B80" w:rsidP="00EC3DC7">
            <w:pPr>
              <w:pStyle w:val="Applicationdirecte"/>
              <w:spacing w:before="60"/>
              <w:jc w:val="center"/>
            </w:pPr>
            <w:r>
              <w:t>5a</w:t>
            </w:r>
          </w:p>
        </w:tc>
        <w:tc>
          <w:tcPr>
            <w:tcW w:w="7484" w:type="dxa"/>
            <w:shd w:val="clear" w:color="auto" w:fill="D9D9D9" w:themeFill="background1" w:themeFillShade="D9"/>
          </w:tcPr>
          <w:p w14:paraId="18B00FA6" w14:textId="7901F06D" w:rsidR="00C77B80" w:rsidRPr="0019189B" w:rsidRDefault="00C77B80" w:rsidP="00475381">
            <w:pPr>
              <w:spacing w:before="60" w:after="120"/>
              <w:jc w:val="both"/>
              <w:rPr>
                <w:rFonts w:ascii="Times New Roman" w:hAnsi="Times New Roman" w:cs="Times New Roman"/>
                <w:b/>
                <w:sz w:val="24"/>
              </w:rPr>
            </w:pPr>
            <w:r w:rsidRPr="0019189B">
              <w:rPr>
                <w:rFonts w:ascii="Times New Roman" w:hAnsi="Times New Roman"/>
                <w:sz w:val="24"/>
              </w:rPr>
              <w:t>Niet van toepassing</w:t>
            </w:r>
          </w:p>
        </w:tc>
      </w:tr>
      <w:tr w:rsidR="00232C88" w:rsidRPr="00232C88" w14:paraId="0ED2B537" w14:textId="77777777" w:rsidTr="00842C88">
        <w:trPr>
          <w:trHeight w:val="557"/>
        </w:trPr>
        <w:tc>
          <w:tcPr>
            <w:tcW w:w="1555" w:type="dxa"/>
          </w:tcPr>
          <w:p w14:paraId="356C5555" w14:textId="4C703E43" w:rsidR="00C77B80" w:rsidRPr="00232C88" w:rsidRDefault="00C77B80" w:rsidP="00EC3DC7">
            <w:pPr>
              <w:pStyle w:val="Applicationdirecte"/>
              <w:spacing w:before="60"/>
              <w:jc w:val="center"/>
            </w:pPr>
            <w:r>
              <w:t>5b</w:t>
            </w:r>
          </w:p>
        </w:tc>
        <w:tc>
          <w:tcPr>
            <w:tcW w:w="7484" w:type="dxa"/>
          </w:tcPr>
          <w:p w14:paraId="74894655" w14:textId="1A88B999" w:rsidR="0082753B" w:rsidRPr="00232C88" w:rsidRDefault="0082753B" w:rsidP="00475381">
            <w:pPr>
              <w:spacing w:before="60" w:after="120"/>
              <w:jc w:val="both"/>
              <w:rPr>
                <w:rFonts w:ascii="Times New Roman" w:hAnsi="Times New Roman" w:cs="Times New Roman"/>
                <w:b/>
                <w:sz w:val="24"/>
              </w:rPr>
            </w:pPr>
            <w:r>
              <w:rPr>
                <w:rFonts w:ascii="Times New Roman" w:hAnsi="Times New Roman"/>
                <w:b/>
                <w:sz w:val="24"/>
              </w:rPr>
              <w:t>Tier 1-kernkapitaalratio met inachtneming van het totaal van de risicoposten zonder floor (%)</w:t>
            </w:r>
          </w:p>
          <w:p w14:paraId="18127CE4" w14:textId="61371E95" w:rsidR="00C77B80" w:rsidRPr="00232C88" w:rsidRDefault="0082753B" w:rsidP="00BD5160">
            <w:pPr>
              <w:spacing w:before="60" w:after="120"/>
              <w:jc w:val="both"/>
              <w:rPr>
                <w:rFonts w:ascii="Times New Roman" w:hAnsi="Times New Roman" w:cs="Times New Roman"/>
                <w:sz w:val="24"/>
              </w:rPr>
            </w:pPr>
            <w:r>
              <w:rPr>
                <w:rFonts w:ascii="Times New Roman" w:hAnsi="Times New Roman"/>
                <w:sz w:val="24"/>
              </w:rPr>
              <w:t>Tier 1-kernkapitaalratio in de zin van artikel 92, lid 2, punt a), van Verordening (EU) nr. 575/2013, uitgedrukt als percentage van het totaal van de risicoposten berekend door het effect van de output floor uit te sluiten overeenkomstig artikel 92, lid 4, van Verordening (EU) nr. 575/2013.</w:t>
            </w:r>
          </w:p>
        </w:tc>
      </w:tr>
      <w:tr w:rsidR="00232C88" w:rsidRPr="00232C88" w14:paraId="7836A7D8" w14:textId="77777777" w:rsidTr="00842C88">
        <w:trPr>
          <w:trHeight w:val="557"/>
        </w:trPr>
        <w:tc>
          <w:tcPr>
            <w:tcW w:w="1555" w:type="dxa"/>
          </w:tcPr>
          <w:p w14:paraId="138571C7" w14:textId="77777777" w:rsidR="00EC3DC7" w:rsidRPr="00232C88" w:rsidRDefault="00475381" w:rsidP="00EC3DC7">
            <w:pPr>
              <w:pStyle w:val="Applicationdirecte"/>
              <w:spacing w:before="60"/>
              <w:jc w:val="center"/>
            </w:pPr>
            <w:r>
              <w:lastRenderedPageBreak/>
              <w:t>6</w:t>
            </w:r>
          </w:p>
        </w:tc>
        <w:tc>
          <w:tcPr>
            <w:tcW w:w="7484" w:type="dxa"/>
          </w:tcPr>
          <w:p w14:paraId="016AAD4C" w14:textId="77777777" w:rsidR="00475381" w:rsidRPr="00232C88" w:rsidRDefault="00475381" w:rsidP="00EC3DC7">
            <w:pPr>
              <w:spacing w:before="60" w:after="120"/>
              <w:jc w:val="both"/>
              <w:rPr>
                <w:rFonts w:ascii="Times New Roman" w:hAnsi="Times New Roman" w:cs="Times New Roman"/>
                <w:b/>
                <w:sz w:val="24"/>
              </w:rPr>
            </w:pPr>
            <w:r>
              <w:rPr>
                <w:rFonts w:ascii="Times New Roman" w:hAnsi="Times New Roman"/>
                <w:b/>
                <w:sz w:val="24"/>
              </w:rPr>
              <w:t>Tier 1-kapitaalratio (%)</w:t>
            </w:r>
          </w:p>
          <w:p w14:paraId="7486F374" w14:textId="0901D9FC"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De tier 1-kapitaalratio is de waarde die door instellingen in bijlage VII bij de IT-oplossingen openbaar wordt gemaakt (rij 62 van template EU CC1 Samenstelling van het wettelijke eigen vermogen).</w:t>
            </w:r>
          </w:p>
        </w:tc>
      </w:tr>
      <w:tr w:rsidR="00232C88" w:rsidRPr="00232C88" w14:paraId="51663248" w14:textId="77777777" w:rsidTr="00842C88">
        <w:trPr>
          <w:trHeight w:val="557"/>
        </w:trPr>
        <w:tc>
          <w:tcPr>
            <w:tcW w:w="1555" w:type="dxa"/>
            <w:shd w:val="clear" w:color="auto" w:fill="D9D9D9" w:themeFill="background1" w:themeFillShade="D9"/>
          </w:tcPr>
          <w:p w14:paraId="0A767DCA" w14:textId="3ED65D39" w:rsidR="00C77B80" w:rsidRPr="00232C88" w:rsidRDefault="00C77B80" w:rsidP="00EC3DC7">
            <w:pPr>
              <w:pStyle w:val="Applicationdirecte"/>
              <w:spacing w:before="60"/>
              <w:jc w:val="center"/>
            </w:pPr>
            <w:r>
              <w:t>6a</w:t>
            </w:r>
          </w:p>
        </w:tc>
        <w:tc>
          <w:tcPr>
            <w:tcW w:w="7484" w:type="dxa"/>
            <w:shd w:val="clear" w:color="auto" w:fill="D9D9D9" w:themeFill="background1" w:themeFillShade="D9"/>
          </w:tcPr>
          <w:p w14:paraId="7EC47051" w14:textId="58A40805" w:rsidR="00C77B80" w:rsidRPr="0019189B" w:rsidRDefault="00C77B80" w:rsidP="00EC3DC7">
            <w:pPr>
              <w:spacing w:before="60" w:after="120"/>
              <w:jc w:val="both"/>
              <w:rPr>
                <w:rFonts w:ascii="Times New Roman" w:hAnsi="Times New Roman" w:cs="Times New Roman"/>
                <w:b/>
                <w:sz w:val="24"/>
              </w:rPr>
            </w:pPr>
            <w:r w:rsidRPr="0019189B">
              <w:rPr>
                <w:rFonts w:ascii="Times New Roman" w:hAnsi="Times New Roman"/>
                <w:sz w:val="24"/>
              </w:rPr>
              <w:t>Niet van toepassing</w:t>
            </w:r>
          </w:p>
        </w:tc>
      </w:tr>
      <w:tr w:rsidR="00232C88" w:rsidRPr="00232C88" w14:paraId="65A04AA6" w14:textId="77777777" w:rsidTr="00842C88">
        <w:trPr>
          <w:trHeight w:val="557"/>
        </w:trPr>
        <w:tc>
          <w:tcPr>
            <w:tcW w:w="1555" w:type="dxa"/>
          </w:tcPr>
          <w:p w14:paraId="693ACA6E" w14:textId="07A6683D" w:rsidR="00C77B80" w:rsidRPr="00232C88" w:rsidRDefault="00C77B80" w:rsidP="00EC3DC7">
            <w:pPr>
              <w:pStyle w:val="Applicationdirecte"/>
              <w:spacing w:before="60"/>
              <w:jc w:val="center"/>
            </w:pPr>
            <w:r>
              <w:t>6b</w:t>
            </w:r>
          </w:p>
        </w:tc>
        <w:tc>
          <w:tcPr>
            <w:tcW w:w="7484" w:type="dxa"/>
          </w:tcPr>
          <w:p w14:paraId="2E9727DE" w14:textId="57531F92" w:rsidR="0082753B" w:rsidRPr="00232C88" w:rsidRDefault="0082753B" w:rsidP="00EC3DC7">
            <w:pPr>
              <w:spacing w:before="60" w:after="120"/>
              <w:jc w:val="both"/>
              <w:rPr>
                <w:rFonts w:ascii="Times New Roman" w:hAnsi="Times New Roman" w:cs="Times New Roman"/>
                <w:b/>
                <w:sz w:val="24"/>
              </w:rPr>
            </w:pPr>
            <w:r>
              <w:rPr>
                <w:rFonts w:ascii="Times New Roman" w:hAnsi="Times New Roman"/>
                <w:b/>
                <w:sz w:val="24"/>
              </w:rPr>
              <w:t>Tier 1-kapitaalratio met inachtneming van het totaal van de risicoposten zonder floor (%)</w:t>
            </w:r>
          </w:p>
          <w:p w14:paraId="0F74D0FB" w14:textId="424C6FBD"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Tier 1-kernkapitaalratio in de zin van artikel 92, lid 2, punt b), van Verordening (EU) nr. 575/2013, uitgedrukt als percentage van het totaal van de risicoposten berekend door het effect van de output floor uit te sluiten overeenkomstig artikel 92, lid 4, van Verordening (EU) nr. 575/2013.</w:t>
            </w:r>
          </w:p>
        </w:tc>
      </w:tr>
      <w:tr w:rsidR="00232C88" w:rsidRPr="00232C88" w14:paraId="43011D7B" w14:textId="77777777" w:rsidTr="00842C88">
        <w:trPr>
          <w:trHeight w:val="557"/>
        </w:trPr>
        <w:tc>
          <w:tcPr>
            <w:tcW w:w="1555" w:type="dxa"/>
          </w:tcPr>
          <w:p w14:paraId="63D1F4D7" w14:textId="77777777" w:rsidR="00EC3DC7" w:rsidRPr="00232C88" w:rsidRDefault="00475381" w:rsidP="00475381">
            <w:pPr>
              <w:pStyle w:val="Applicationdirecte"/>
              <w:spacing w:before="60"/>
              <w:jc w:val="center"/>
            </w:pPr>
            <w:r>
              <w:t>7</w:t>
            </w:r>
          </w:p>
        </w:tc>
        <w:tc>
          <w:tcPr>
            <w:tcW w:w="7484" w:type="dxa"/>
          </w:tcPr>
          <w:p w14:paraId="08AAC130"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Totale kapitaalratio (%)</w:t>
            </w:r>
          </w:p>
          <w:p w14:paraId="19C20331" w14:textId="00E3DB52"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Totale kapitaalratio is de waarde die door instellingen in bijlage VII bij de IT-oplossingen openbaar wordt gemaakt (rij 63 van template EU CC1 Samenstelling van het wettelijke eigen vermogen).</w:t>
            </w:r>
          </w:p>
        </w:tc>
      </w:tr>
      <w:tr w:rsidR="00232C88" w:rsidRPr="00232C88" w14:paraId="3497F846" w14:textId="77777777" w:rsidTr="00842C88">
        <w:trPr>
          <w:trHeight w:val="557"/>
        </w:trPr>
        <w:tc>
          <w:tcPr>
            <w:tcW w:w="1555" w:type="dxa"/>
            <w:shd w:val="clear" w:color="auto" w:fill="D9D9D9" w:themeFill="background1" w:themeFillShade="D9"/>
          </w:tcPr>
          <w:p w14:paraId="6067F97B" w14:textId="60A7DA66" w:rsidR="00C77B80" w:rsidRPr="00232C88" w:rsidRDefault="00C77B80" w:rsidP="00475381">
            <w:pPr>
              <w:pStyle w:val="Applicationdirecte"/>
              <w:spacing w:before="60"/>
              <w:jc w:val="center"/>
            </w:pPr>
            <w:r>
              <w:t>7a</w:t>
            </w:r>
          </w:p>
        </w:tc>
        <w:tc>
          <w:tcPr>
            <w:tcW w:w="7484" w:type="dxa"/>
            <w:shd w:val="clear" w:color="auto" w:fill="D9D9D9" w:themeFill="background1" w:themeFillShade="D9"/>
          </w:tcPr>
          <w:p w14:paraId="0FDAD115" w14:textId="5A4CF36D" w:rsidR="00C77B80" w:rsidRPr="0019189B" w:rsidRDefault="00C77B80" w:rsidP="00475381">
            <w:pPr>
              <w:spacing w:before="60" w:after="120"/>
              <w:jc w:val="both"/>
              <w:rPr>
                <w:rFonts w:ascii="Times New Roman" w:hAnsi="Times New Roman" w:cs="Times New Roman"/>
                <w:b/>
                <w:sz w:val="24"/>
              </w:rPr>
            </w:pPr>
            <w:r w:rsidRPr="0019189B">
              <w:rPr>
                <w:rFonts w:ascii="Times New Roman" w:hAnsi="Times New Roman"/>
                <w:sz w:val="24"/>
              </w:rPr>
              <w:t>Niet van toepassing</w:t>
            </w:r>
          </w:p>
        </w:tc>
      </w:tr>
      <w:tr w:rsidR="00232C88" w:rsidRPr="00232C88" w14:paraId="4795BFC4" w14:textId="77777777" w:rsidTr="00842C88">
        <w:trPr>
          <w:trHeight w:val="557"/>
        </w:trPr>
        <w:tc>
          <w:tcPr>
            <w:tcW w:w="1555" w:type="dxa"/>
          </w:tcPr>
          <w:p w14:paraId="65A910C1" w14:textId="24F06232" w:rsidR="00C77B80" w:rsidRPr="00232C88" w:rsidRDefault="0082753B" w:rsidP="00475381">
            <w:pPr>
              <w:pStyle w:val="Applicationdirecte"/>
              <w:spacing w:before="60"/>
              <w:jc w:val="center"/>
            </w:pPr>
            <w:r>
              <w:t>7b</w:t>
            </w:r>
          </w:p>
        </w:tc>
        <w:tc>
          <w:tcPr>
            <w:tcW w:w="7484" w:type="dxa"/>
          </w:tcPr>
          <w:p w14:paraId="14B57CE4" w14:textId="77777777" w:rsidR="006D6654" w:rsidRPr="00232C88" w:rsidRDefault="006D6654" w:rsidP="00475381">
            <w:pPr>
              <w:spacing w:before="60" w:after="120"/>
              <w:jc w:val="both"/>
              <w:rPr>
                <w:rFonts w:ascii="Times New Roman" w:hAnsi="Times New Roman" w:cs="Times New Roman"/>
                <w:b/>
                <w:sz w:val="24"/>
              </w:rPr>
            </w:pPr>
            <w:r>
              <w:rPr>
                <w:rFonts w:ascii="Times New Roman" w:hAnsi="Times New Roman"/>
                <w:b/>
                <w:sz w:val="24"/>
              </w:rPr>
              <w:t>Totale kapitaalratio met inachtneming van het totaal van de risicoposten zonder floor (%)</w:t>
            </w:r>
          </w:p>
          <w:p w14:paraId="21F4A0BE" w14:textId="255C233C"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Totale kapitaalratio in de zin van artikel 92, lid 2, punt c), van Verordening (EU) nr. 575/2013, uitgedrukt als percentage van het totaal van de risicoposten berekend door het effect van de output floor uit te sluiten overeenkomstig artikel 92, lid 4, van Verordening (EU) nr. 575/2013.</w:t>
            </w:r>
          </w:p>
        </w:tc>
      </w:tr>
      <w:tr w:rsidR="00232C88" w:rsidRPr="00232C88" w14:paraId="3536040C" w14:textId="77777777" w:rsidTr="00842C88">
        <w:trPr>
          <w:trHeight w:val="557"/>
        </w:trPr>
        <w:tc>
          <w:tcPr>
            <w:tcW w:w="1555" w:type="dxa"/>
          </w:tcPr>
          <w:p w14:paraId="1CD4D7BE" w14:textId="5AC0868B" w:rsidR="002D5755" w:rsidRPr="00232C88" w:rsidRDefault="002F1302" w:rsidP="002D5755">
            <w:pPr>
              <w:pStyle w:val="Applicationdirecte"/>
              <w:spacing w:before="60"/>
              <w:jc w:val="center"/>
            </w:pPr>
            <w:r>
              <w:t>EU 7d</w:t>
            </w:r>
          </w:p>
        </w:tc>
        <w:tc>
          <w:tcPr>
            <w:tcW w:w="7484" w:type="dxa"/>
          </w:tcPr>
          <w:p w14:paraId="2C65689E" w14:textId="168A8882" w:rsidR="002D5755" w:rsidRPr="00232C88" w:rsidRDefault="00974607" w:rsidP="002D5755">
            <w:pPr>
              <w:spacing w:before="60" w:after="120"/>
              <w:jc w:val="both"/>
              <w:rPr>
                <w:rFonts w:ascii="Times New Roman" w:hAnsi="Times New Roman" w:cs="Times New Roman"/>
                <w:b/>
                <w:sz w:val="24"/>
              </w:rPr>
            </w:pPr>
            <w:r>
              <w:rPr>
                <w:rFonts w:ascii="Times New Roman" w:hAnsi="Times New Roman"/>
                <w:b/>
                <w:sz w:val="24"/>
              </w:rPr>
              <w:t>Vereisten inzake aanvullend eigen vermogen om andere risico’s dan het risico van buitensporige hefboomwerking aan te pakken (%)</w:t>
            </w:r>
          </w:p>
          <w:p w14:paraId="496B5202" w14:textId="406185AC" w:rsidR="002D5755" w:rsidRPr="00232C88" w:rsidRDefault="6A3DBE6D" w:rsidP="4D769726">
            <w:pPr>
              <w:spacing w:before="60" w:after="120"/>
              <w:jc w:val="both"/>
              <w:rPr>
                <w:rFonts w:ascii="Times New Roman" w:hAnsi="Times New Roman" w:cs="Times New Roman"/>
                <w:sz w:val="24"/>
              </w:rPr>
            </w:pPr>
            <w:r>
              <w:rPr>
                <w:rFonts w:ascii="Times New Roman" w:hAnsi="Times New Roman"/>
                <w:sz w:val="24"/>
              </w:rPr>
              <w:t>De vereisten inzake aanvullend eigen vermogen om andere risico’s dan het risico van buitensporige hefboomwerking aan te pakken, die op grond van artikel 104, lid 1, punt a), van Richtlijn 2013/36/EU door de bevoegde autoriteit zijn opgelegd, uitgedrukt als percentage van het totaal van de risicoposten.</w:t>
            </w:r>
          </w:p>
        </w:tc>
      </w:tr>
      <w:tr w:rsidR="00232C88" w:rsidRPr="00232C88" w14:paraId="7325A7E2" w14:textId="77777777" w:rsidTr="00842C88">
        <w:trPr>
          <w:trHeight w:val="557"/>
        </w:trPr>
        <w:tc>
          <w:tcPr>
            <w:tcW w:w="1555" w:type="dxa"/>
          </w:tcPr>
          <w:p w14:paraId="74461AB8" w14:textId="5B8686E2" w:rsidR="002D5755" w:rsidRPr="00232C88" w:rsidRDefault="002F1302" w:rsidP="002D5755">
            <w:pPr>
              <w:pStyle w:val="Applicationdirecte"/>
              <w:spacing w:before="60"/>
              <w:jc w:val="center"/>
            </w:pPr>
            <w:r>
              <w:t>EU 7e</w:t>
            </w:r>
          </w:p>
        </w:tc>
        <w:tc>
          <w:tcPr>
            <w:tcW w:w="7484" w:type="dxa"/>
          </w:tcPr>
          <w:p w14:paraId="407C074B" w14:textId="466990AF"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waarvan: op te bouwen uit tier 1-kernkapitaal (procentpunten)</w:t>
            </w:r>
          </w:p>
          <w:p w14:paraId="7130AB39" w14:textId="7851E9C1" w:rsidR="003F72E2" w:rsidRPr="00232C88" w:rsidRDefault="37B2E115" w:rsidP="4D769726">
            <w:pPr>
              <w:spacing w:before="60" w:after="120"/>
              <w:jc w:val="both"/>
              <w:rPr>
                <w:rFonts w:ascii="Times New Roman" w:hAnsi="Times New Roman" w:cs="Times New Roman"/>
                <w:sz w:val="24"/>
              </w:rPr>
            </w:pPr>
            <w:r>
              <w:rPr>
                <w:rFonts w:ascii="Times New Roman" w:hAnsi="Times New Roman"/>
                <w:sz w:val="24"/>
              </w:rPr>
              <w:t>op te bouwen uit tier 1-kernkapitaal (procentpunten) Het deel van de vereisten inzake aanvullend eigen vermogen om andere risico’s dan het risico van buitensporige hefboomwerking aan te pakken, die op grond van artikel 104, lid 1, punt a), van Richtlijn 2013/36/EU door de bevoegde autoriteit zijn opgelegd, dat overeenkomstig artikel 104 bis, lid 4, eerste en derde alinea, met tier 1-kernkapitaal moet worden voldaan.</w:t>
            </w:r>
          </w:p>
        </w:tc>
      </w:tr>
      <w:tr w:rsidR="00232C88" w:rsidRPr="00232C88" w14:paraId="0E6077DA" w14:textId="77777777" w:rsidTr="00842C88">
        <w:trPr>
          <w:trHeight w:val="557"/>
        </w:trPr>
        <w:tc>
          <w:tcPr>
            <w:tcW w:w="1555" w:type="dxa"/>
          </w:tcPr>
          <w:p w14:paraId="06A684D0" w14:textId="0E73557C" w:rsidR="002D5755" w:rsidRPr="00232C88" w:rsidRDefault="002F1302" w:rsidP="002D5755">
            <w:pPr>
              <w:pStyle w:val="Applicationdirecte"/>
              <w:spacing w:before="60"/>
              <w:jc w:val="center"/>
            </w:pPr>
            <w:r>
              <w:t>EU 7f</w:t>
            </w:r>
          </w:p>
        </w:tc>
        <w:tc>
          <w:tcPr>
            <w:tcW w:w="7484" w:type="dxa"/>
          </w:tcPr>
          <w:p w14:paraId="3D41CED8" w14:textId="5A42D7CA"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waarvan: op te bouwen uit tier 1-kapitaal (procentpunten)</w:t>
            </w:r>
          </w:p>
          <w:p w14:paraId="20A8FF8D" w14:textId="79818759" w:rsidR="003F72E2" w:rsidRPr="00232C88" w:rsidRDefault="6A3DBE6D" w:rsidP="4D769726">
            <w:pPr>
              <w:spacing w:before="60" w:after="120"/>
              <w:jc w:val="both"/>
              <w:rPr>
                <w:rFonts w:ascii="Times New Roman" w:hAnsi="Times New Roman" w:cs="Times New Roman"/>
                <w:sz w:val="24"/>
              </w:rPr>
            </w:pPr>
            <w:r>
              <w:rPr>
                <w:rFonts w:ascii="Times New Roman" w:hAnsi="Times New Roman"/>
                <w:sz w:val="24"/>
              </w:rPr>
              <w:t xml:space="preserve">op te bouwen uit tier 1-kernkapitaal (procentpunten) Het deel van de vereisten inzake aanvullend eigen vermogen om andere risico’s dan het </w:t>
            </w:r>
            <w:r>
              <w:rPr>
                <w:rFonts w:ascii="Times New Roman" w:hAnsi="Times New Roman"/>
                <w:sz w:val="24"/>
              </w:rPr>
              <w:lastRenderedPageBreak/>
              <w:t>risico van buitensporige hefboomwerking aan te pakken, die op grond van artikel 104, lid 1, punt a), van Richtlijn 2013/36/EU door de bevoegde autoriteit zijn opgelegd, dat overeenkomstig artikel 104 bis, lid 4, eerste en derde alinea, met tier 1-kapitaal moet worden voldaan.</w:t>
            </w:r>
          </w:p>
        </w:tc>
      </w:tr>
      <w:tr w:rsidR="00232C88" w:rsidRPr="00232C88" w14:paraId="4D2E0DD8" w14:textId="77777777" w:rsidTr="00842C88">
        <w:trPr>
          <w:trHeight w:val="557"/>
        </w:trPr>
        <w:tc>
          <w:tcPr>
            <w:tcW w:w="1555" w:type="dxa"/>
          </w:tcPr>
          <w:p w14:paraId="25E29F71" w14:textId="185B7F00" w:rsidR="002D5755" w:rsidRPr="00232C88" w:rsidRDefault="002F1302" w:rsidP="002D5755">
            <w:pPr>
              <w:pStyle w:val="Applicationdirecte"/>
              <w:spacing w:before="60"/>
              <w:jc w:val="center"/>
            </w:pPr>
            <w:r>
              <w:lastRenderedPageBreak/>
              <w:t>EU 7g</w:t>
            </w:r>
          </w:p>
        </w:tc>
        <w:tc>
          <w:tcPr>
            <w:tcW w:w="7484" w:type="dxa"/>
          </w:tcPr>
          <w:p w14:paraId="020B8334" w14:textId="77777777" w:rsidR="002D5755" w:rsidRPr="00232C88" w:rsidRDefault="002D5755" w:rsidP="002D5755">
            <w:pPr>
              <w:spacing w:before="60" w:after="120"/>
              <w:jc w:val="both"/>
              <w:rPr>
                <w:rFonts w:ascii="Times New Roman" w:hAnsi="Times New Roman" w:cs="Times New Roman"/>
                <w:b/>
                <w:sz w:val="24"/>
              </w:rPr>
            </w:pPr>
            <w:r>
              <w:rPr>
                <w:rFonts w:ascii="Times New Roman" w:hAnsi="Times New Roman"/>
                <w:b/>
                <w:sz w:val="24"/>
              </w:rPr>
              <w:t>Totale SREP-eigenvermogensvereisten (TSCR-ratio) (%)</w:t>
            </w:r>
          </w:p>
          <w:p w14:paraId="0EB50A81" w14:textId="77CE0E9A" w:rsidR="003F72E2" w:rsidRPr="00677BB2" w:rsidRDefault="003F72E2" w:rsidP="00677BB2">
            <w:pPr>
              <w:pStyle w:val="InstructionsText"/>
            </w:pPr>
            <w:r>
              <w:t>De som van de waarden bepaald op grond van de punten i) en ii) als volgt:</w:t>
            </w:r>
          </w:p>
          <w:p w14:paraId="5260BB93" w14:textId="1D865CC9" w:rsidR="003F72E2" w:rsidRPr="00677BB2" w:rsidRDefault="003F72E2" w:rsidP="00677BB2">
            <w:pPr>
              <w:pStyle w:val="InstructionsText"/>
              <w:numPr>
                <w:ilvl w:val="0"/>
                <w:numId w:val="12"/>
              </w:numPr>
            </w:pPr>
            <w:r>
              <w:t xml:space="preserve">de totale kapitaalratio (8 %) als genoemd in artikel 92, lid 1, punt c), van Verordening (EU) nr. 575/2013; </w:t>
            </w:r>
          </w:p>
          <w:p w14:paraId="6408D689" w14:textId="2B5BF350" w:rsidR="003F72E2" w:rsidRPr="00677BB2" w:rsidRDefault="77E19EAF" w:rsidP="00677BB2">
            <w:pPr>
              <w:pStyle w:val="InstructionsText"/>
              <w:numPr>
                <w:ilvl w:val="0"/>
                <w:numId w:val="12"/>
              </w:numPr>
            </w:pPr>
            <w:r>
              <w:t>de vereisten inzake aanvullend eigen vermogen om andere risico’s dan het risico van buitensporige hefboomwerking aan te pakken (pijler 2-vereisten - P2R) die op grond van artikel 104, lid 1, punt a), van Richtlijn 2013/36/EU door de bevoegde autoriteit zijn opgelegd en zijn bepaald in overeenstemming met de criteria die zijn vastgesteld in de Richtsnoeren EBA/GL/2018/03</w:t>
            </w:r>
            <w:r w:rsidR="00D35D87" w:rsidRPr="00DB3BA4">
              <w:rPr>
                <w:rStyle w:val="FootnoteReference"/>
                <w:rFonts w:ascii="Times New Roman" w:hAnsi="Times New Roman"/>
                <w:b w:val="0"/>
                <w:bCs w:val="0"/>
                <w:i/>
              </w:rPr>
              <w:footnoteReference w:id="3"/>
            </w:r>
            <w:r>
              <w:t xml:space="preserve"> (“de EBA SREP GL”), uitgedrukt als percentage van het totaal van de risicogewogen posten.</w:t>
            </w:r>
          </w:p>
          <w:p w14:paraId="421B2155" w14:textId="458E132C" w:rsidR="003F72E2" w:rsidRPr="00677BB2" w:rsidRDefault="003F72E2" w:rsidP="00677BB2">
            <w:pPr>
              <w:pStyle w:val="InstructionsText"/>
            </w:pPr>
            <w:r>
              <w:t>Deze post geeft de totale SREP-kapitaalvereiste-ratio (“TSCR-ratio”) weer die door de bevoegde autoriteit aan de instelling is meegedeeld. De TSCR wordt bepaald in de afdelingen 7.4 en 7.5 EBA SREP GL.</w:t>
            </w:r>
          </w:p>
          <w:p w14:paraId="16E68C5B" w14:textId="77777777" w:rsidR="009E1F4E" w:rsidRPr="00677BB2" w:rsidRDefault="009E1F4E" w:rsidP="00677BB2">
            <w:pPr>
              <w:pStyle w:val="InstructionsText"/>
            </w:pPr>
            <w:r>
              <w:t>Indien de instelling aan de output floor is gebonden, vertegenwoordigen de gerapporteerde gegevens de TSCR die vereist is om op de rapportagedatum aan de vereisten te voldoen, met inachtneming van artikel 104 bis, lid 6, van Richtlijn 2013/36/EU.</w:t>
            </w:r>
          </w:p>
          <w:p w14:paraId="25DA925F" w14:textId="2F58FE29" w:rsidR="003F72E2" w:rsidRPr="00232C88" w:rsidRDefault="00704085" w:rsidP="00A239F6">
            <w:pPr>
              <w:spacing w:before="60" w:after="120"/>
              <w:jc w:val="both"/>
              <w:rPr>
                <w:rFonts w:ascii="Times New Roman" w:hAnsi="Times New Roman" w:cs="Times New Roman"/>
                <w:sz w:val="24"/>
              </w:rPr>
            </w:pPr>
            <w:r>
              <w:rPr>
                <w:rFonts w:ascii="Times New Roman" w:hAnsi="Times New Roman"/>
                <w:sz w:val="24"/>
              </w:rPr>
              <w:t>Indien door de bevoegde autoriteit geen vereisten inzake aanvullend eigen vermogen zijn opgelegd om andere risico’s dan het risico van buitensporige hefboomwerking aan te pakken, wordt alleen punt i) openbaar gemaakt.</w:t>
            </w:r>
          </w:p>
        </w:tc>
      </w:tr>
      <w:tr w:rsidR="00232C88" w:rsidRPr="00232C88" w14:paraId="7516E1D9" w14:textId="77777777" w:rsidTr="00842C88">
        <w:trPr>
          <w:trHeight w:val="557"/>
        </w:trPr>
        <w:tc>
          <w:tcPr>
            <w:tcW w:w="1555" w:type="dxa"/>
          </w:tcPr>
          <w:p w14:paraId="7AD5EE4F" w14:textId="77777777" w:rsidR="00475381" w:rsidRPr="00232C88" w:rsidRDefault="00475381" w:rsidP="00475381">
            <w:pPr>
              <w:pStyle w:val="Applicationdirecte"/>
              <w:spacing w:before="60"/>
              <w:jc w:val="center"/>
            </w:pPr>
            <w:r>
              <w:t>8</w:t>
            </w:r>
          </w:p>
        </w:tc>
        <w:tc>
          <w:tcPr>
            <w:tcW w:w="7484" w:type="dxa"/>
          </w:tcPr>
          <w:p w14:paraId="7C243A8A" w14:textId="77777777" w:rsidR="009D0637"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Kapitaalconserveringsbuffer (%)</w:t>
            </w:r>
          </w:p>
          <w:p w14:paraId="14E6CB6D" w14:textId="08A78286" w:rsidR="009D0637" w:rsidRPr="00232C88" w:rsidRDefault="3FBF28E0" w:rsidP="4D769726">
            <w:pPr>
              <w:spacing w:before="60" w:after="120"/>
              <w:jc w:val="both"/>
              <w:rPr>
                <w:rFonts w:ascii="Times New Roman" w:hAnsi="Times New Roman" w:cs="Times New Roman"/>
                <w:sz w:val="24"/>
              </w:rPr>
            </w:pPr>
            <w:r>
              <w:rPr>
                <w:rFonts w:ascii="Times New Roman" w:hAnsi="Times New Roman"/>
                <w:sz w:val="24"/>
              </w:rPr>
              <w:t>Het bedrag aan eigen vermogen dat instellingen moeten aanhouden overeenkomstig artikel 128, punt 1, en artikel 129 van Richtlijn 2013/36/EU, uitgedrukt als percentage van het totaal van de risicogewogen posten.</w:t>
            </w:r>
          </w:p>
        </w:tc>
      </w:tr>
      <w:tr w:rsidR="00232C88" w:rsidRPr="00232C88" w14:paraId="7AFB85EC" w14:textId="77777777" w:rsidTr="00842C88">
        <w:trPr>
          <w:trHeight w:val="557"/>
        </w:trPr>
        <w:tc>
          <w:tcPr>
            <w:tcW w:w="1555" w:type="dxa"/>
          </w:tcPr>
          <w:p w14:paraId="09E32617" w14:textId="77777777" w:rsidR="00475381" w:rsidRPr="00232C88" w:rsidRDefault="002F1302" w:rsidP="00475381">
            <w:pPr>
              <w:pStyle w:val="Applicationdirecte"/>
              <w:spacing w:before="60"/>
              <w:jc w:val="center"/>
            </w:pPr>
            <w:r>
              <w:t>EU 8 a</w:t>
            </w:r>
          </w:p>
        </w:tc>
        <w:tc>
          <w:tcPr>
            <w:tcW w:w="7484" w:type="dxa"/>
          </w:tcPr>
          <w:p w14:paraId="6A38F55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Conserveringsbuffer als gevolg van macroprudentieel of systeemrisico onderkend op het niveau van een lidstaat (%)</w:t>
            </w:r>
          </w:p>
          <w:p w14:paraId="26288177" w14:textId="7E210F32" w:rsidR="009D0637" w:rsidRPr="00232C88" w:rsidRDefault="009D0637" w:rsidP="0097538A">
            <w:pPr>
              <w:spacing w:before="60" w:after="120"/>
              <w:jc w:val="both"/>
              <w:rPr>
                <w:rFonts w:ascii="Times New Roman" w:hAnsi="Times New Roman" w:cs="Times New Roman"/>
                <w:sz w:val="24"/>
              </w:rPr>
            </w:pPr>
            <w:r>
              <w:rPr>
                <w:rFonts w:ascii="Times New Roman" w:hAnsi="Times New Roman"/>
                <w:sz w:val="24"/>
              </w:rPr>
              <w:t>Het bedrag van de conserveringsbuffer die overeenkomstig artikel 458 van Verordening (EU) nr. 575/2013 in aanvulling op de kapitaalconserveringsbuffer kan worden verlangd als gevolg van een op het niveau van een lidstaat onderkend macroprudentieel of systeemrisico, uitgedrukt als percentage van het totaal van de risicogewogen posten.</w:t>
            </w:r>
          </w:p>
        </w:tc>
      </w:tr>
      <w:tr w:rsidR="00232C88" w:rsidRPr="00232C88" w14:paraId="08946B6B" w14:textId="77777777" w:rsidTr="00842C88">
        <w:trPr>
          <w:trHeight w:val="557"/>
        </w:trPr>
        <w:tc>
          <w:tcPr>
            <w:tcW w:w="1555" w:type="dxa"/>
          </w:tcPr>
          <w:p w14:paraId="1E4DAAD1" w14:textId="77777777" w:rsidR="00475381" w:rsidRPr="00232C88" w:rsidRDefault="00475381" w:rsidP="00475381">
            <w:pPr>
              <w:pStyle w:val="Applicationdirecte"/>
              <w:spacing w:before="60"/>
              <w:jc w:val="center"/>
            </w:pPr>
            <w:r>
              <w:lastRenderedPageBreak/>
              <w:t>9</w:t>
            </w:r>
          </w:p>
        </w:tc>
        <w:tc>
          <w:tcPr>
            <w:tcW w:w="7484" w:type="dxa"/>
          </w:tcPr>
          <w:p w14:paraId="249EE5F9"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Instellingsspecifieke contracyclische kapitaalbuffer (%)</w:t>
            </w:r>
          </w:p>
          <w:p w14:paraId="7EE95752" w14:textId="048F4470" w:rsidR="008C672C" w:rsidRPr="00677BB2" w:rsidRDefault="59C8E997" w:rsidP="00677BB2">
            <w:pPr>
              <w:pStyle w:val="InstructionsText"/>
            </w:pPr>
            <w:r>
              <w:t>Het bedrag aan eigen vermogen dat instellingen moeten aanhouden overeenkomstig artikel 128, punt 2, artikel 130 en de artikelen 135 tot en met 140 van Richtlijn 2013/36/EU, uitgedrukt als percentage van het totaal van de risicogewogen posten.</w:t>
            </w:r>
          </w:p>
          <w:p w14:paraId="58C7EB22" w14:textId="2947DC9F"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Het percentage geeft het bedrag aan eigen vermogen weer dat nodig is om te voldoen aan de respectieve kapitaalbuffervereisten op de openbaarmakingsdatum.</w:t>
            </w:r>
          </w:p>
        </w:tc>
      </w:tr>
      <w:tr w:rsidR="00232C88" w:rsidRPr="00232C88" w14:paraId="5668949F" w14:textId="77777777" w:rsidTr="00842C88">
        <w:trPr>
          <w:trHeight w:val="557"/>
        </w:trPr>
        <w:tc>
          <w:tcPr>
            <w:tcW w:w="1555" w:type="dxa"/>
          </w:tcPr>
          <w:p w14:paraId="40E9A935" w14:textId="77777777" w:rsidR="00475381" w:rsidRPr="00232C88" w:rsidRDefault="002F1302" w:rsidP="00475381">
            <w:pPr>
              <w:pStyle w:val="Applicationdirecte"/>
              <w:spacing w:before="60"/>
              <w:jc w:val="center"/>
            </w:pPr>
            <w:r>
              <w:t>EU 9a</w:t>
            </w:r>
          </w:p>
        </w:tc>
        <w:tc>
          <w:tcPr>
            <w:tcW w:w="7484" w:type="dxa"/>
          </w:tcPr>
          <w:p w14:paraId="5F0D3F1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Systeemrisicobuffer (%)</w:t>
            </w:r>
          </w:p>
          <w:p w14:paraId="1A39C087" w14:textId="523BD954" w:rsidR="008C672C" w:rsidRPr="00677BB2" w:rsidRDefault="59C8E997" w:rsidP="00677BB2">
            <w:pPr>
              <w:pStyle w:val="InstructionsText"/>
            </w:pPr>
            <w:r>
              <w:t>Het bedrag aan eigen vermogen dat instellingen moeten aanhouden overeenkomstig artikel 128, punt 5, en de artikelen 133 en 134 van Richtlijn 2013/36/EU, uitgedrukt als percentage van het totaal van de risicogewogen posten.</w:t>
            </w:r>
          </w:p>
          <w:p w14:paraId="349BC1DA" w14:textId="39EEC453"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Het percentage geeft het bedrag aan eigen vermogen weer dat nodig is om te voldoen aan de respectieve kapitaalbuffervereisten op de openbaarmakingsdatum.</w:t>
            </w:r>
          </w:p>
        </w:tc>
      </w:tr>
      <w:tr w:rsidR="00232C88" w:rsidRPr="00232C88" w14:paraId="7ED5CB15" w14:textId="77777777" w:rsidTr="00842C88">
        <w:trPr>
          <w:trHeight w:val="557"/>
        </w:trPr>
        <w:tc>
          <w:tcPr>
            <w:tcW w:w="1555" w:type="dxa"/>
          </w:tcPr>
          <w:p w14:paraId="051A7C18" w14:textId="77777777" w:rsidR="00475381" w:rsidRPr="00232C88" w:rsidRDefault="00475381" w:rsidP="00475381">
            <w:pPr>
              <w:pStyle w:val="Applicationdirecte"/>
              <w:spacing w:before="60"/>
              <w:jc w:val="center"/>
            </w:pPr>
            <w:r>
              <w:t>10</w:t>
            </w:r>
          </w:p>
        </w:tc>
        <w:tc>
          <w:tcPr>
            <w:tcW w:w="7484" w:type="dxa"/>
          </w:tcPr>
          <w:p w14:paraId="64176082"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Buffer voor mondiaal systeemrelevante instellingen (%)</w:t>
            </w:r>
          </w:p>
          <w:p w14:paraId="6FDE597A" w14:textId="5D0D3EC2" w:rsidR="00F16314" w:rsidRPr="00677BB2" w:rsidRDefault="564F8672" w:rsidP="00677BB2">
            <w:pPr>
              <w:pStyle w:val="InstructionsText"/>
            </w:pPr>
            <w:r>
              <w:t>Het bedrag aan eigen vermogen dat instellingen moeten aanhouden overeenkomstig artikel 128, punt 3, en artikel 131 van Richtlijn 2013/36/EU, uitgedrukt als percentage van het totaal van de risicogewogen posten.</w:t>
            </w:r>
          </w:p>
          <w:p w14:paraId="401B9FFF" w14:textId="0D3B761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Het percentage geeft het bedrag aan eigen vermogen weer dat nodig is om te voldoen aan de respectieve kapitaalbuffervereisten op de openbaarmakingsdatum.</w:t>
            </w:r>
          </w:p>
        </w:tc>
      </w:tr>
      <w:tr w:rsidR="00232C88" w:rsidRPr="00232C88" w14:paraId="4FAC19E0" w14:textId="77777777" w:rsidTr="00842C88">
        <w:trPr>
          <w:trHeight w:val="557"/>
        </w:trPr>
        <w:tc>
          <w:tcPr>
            <w:tcW w:w="1555" w:type="dxa"/>
          </w:tcPr>
          <w:p w14:paraId="6ADCCF79" w14:textId="77777777" w:rsidR="00BB2F0A" w:rsidRPr="00232C88" w:rsidRDefault="002F1302" w:rsidP="00BB2F0A">
            <w:pPr>
              <w:pStyle w:val="Applicationdirecte"/>
              <w:spacing w:before="60"/>
              <w:jc w:val="center"/>
            </w:pPr>
            <w:r>
              <w:t>EU 10a</w:t>
            </w:r>
          </w:p>
        </w:tc>
        <w:tc>
          <w:tcPr>
            <w:tcW w:w="7484" w:type="dxa"/>
          </w:tcPr>
          <w:p w14:paraId="3410560F"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Buffer voor andere systeemrelevante instellingen (%)</w:t>
            </w:r>
          </w:p>
          <w:p w14:paraId="71C25616" w14:textId="2C80B82C" w:rsidR="00F16314" w:rsidRPr="00232C88" w:rsidRDefault="564F8672" w:rsidP="4D769726">
            <w:pPr>
              <w:spacing w:before="60" w:after="120"/>
              <w:jc w:val="both"/>
              <w:rPr>
                <w:rFonts w:ascii="Times New Roman" w:hAnsi="Times New Roman" w:cs="Times New Roman"/>
                <w:sz w:val="24"/>
              </w:rPr>
            </w:pPr>
            <w:r>
              <w:rPr>
                <w:rFonts w:ascii="Times New Roman" w:hAnsi="Times New Roman"/>
                <w:sz w:val="24"/>
              </w:rPr>
              <w:t>Het bedrag aan eigen vermogen dat instellingen moeten aanhouden overeenkomstig artikel 128, punt 4, en artikel 131 van Richtlijn 2013/36/EU, uitgedrukt als percentage van het totaal van de risicogewogen posten.</w:t>
            </w:r>
          </w:p>
          <w:p w14:paraId="476D85A0" w14:textId="40C0116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Het percentage geeft het bedrag aan eigen vermogen weer dat nodig is om te voldoen aan de respectieve kapitaalbuffervereisten op de openbaarmakingsdatum.</w:t>
            </w:r>
          </w:p>
        </w:tc>
      </w:tr>
      <w:tr w:rsidR="00232C88" w:rsidRPr="00232C88" w14:paraId="5C215ABD" w14:textId="77777777" w:rsidTr="00842C88">
        <w:trPr>
          <w:trHeight w:val="557"/>
        </w:trPr>
        <w:tc>
          <w:tcPr>
            <w:tcW w:w="1555" w:type="dxa"/>
          </w:tcPr>
          <w:p w14:paraId="18697C8C" w14:textId="77777777" w:rsidR="00BB2F0A" w:rsidRPr="00232C88" w:rsidRDefault="00BB2F0A" w:rsidP="00BB2F0A">
            <w:pPr>
              <w:pStyle w:val="Applicationdirecte"/>
              <w:spacing w:before="60"/>
              <w:jc w:val="center"/>
            </w:pPr>
            <w:r>
              <w:t>11</w:t>
            </w:r>
          </w:p>
        </w:tc>
        <w:tc>
          <w:tcPr>
            <w:tcW w:w="7484" w:type="dxa"/>
          </w:tcPr>
          <w:p w14:paraId="21DBB5F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Gecombineerd buffervereiste (%)</w:t>
            </w:r>
          </w:p>
          <w:p w14:paraId="04E18E6B" w14:textId="612637D7" w:rsidR="00F16314" w:rsidRPr="00232C88" w:rsidRDefault="009D10AD" w:rsidP="4D769726">
            <w:pPr>
              <w:spacing w:before="60" w:after="120"/>
              <w:jc w:val="both"/>
              <w:rPr>
                <w:rFonts w:ascii="Times New Roman" w:hAnsi="Times New Roman" w:cs="Times New Roman"/>
                <w:sz w:val="24"/>
              </w:rPr>
            </w:pPr>
            <w:r>
              <w:rPr>
                <w:rFonts w:ascii="Times New Roman" w:hAnsi="Times New Roman"/>
                <w:sz w:val="24"/>
              </w:rPr>
              <w:t>Overeenkomstig artikel 128, punt 6, van Richtlijn 2013/36/EU, uitgedrukt als percentage van het totaal van de risicogewogen posten.</w:t>
            </w:r>
          </w:p>
        </w:tc>
      </w:tr>
      <w:tr w:rsidR="00232C88" w:rsidRPr="00232C88" w14:paraId="699D0388" w14:textId="77777777" w:rsidTr="00842C88">
        <w:trPr>
          <w:trHeight w:val="557"/>
        </w:trPr>
        <w:tc>
          <w:tcPr>
            <w:tcW w:w="1555" w:type="dxa"/>
          </w:tcPr>
          <w:p w14:paraId="06A2E386" w14:textId="77777777" w:rsidR="00BB2F0A" w:rsidRPr="00232C88" w:rsidRDefault="002F1302" w:rsidP="00BB2F0A">
            <w:pPr>
              <w:pStyle w:val="Applicationdirecte"/>
              <w:spacing w:before="60"/>
              <w:jc w:val="center"/>
            </w:pPr>
            <w:r>
              <w:t>EU 11a</w:t>
            </w:r>
          </w:p>
        </w:tc>
        <w:tc>
          <w:tcPr>
            <w:tcW w:w="7484" w:type="dxa"/>
          </w:tcPr>
          <w:p w14:paraId="31FF3D82"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Totale kapitaalvereisten (OCR) (%)</w:t>
            </w:r>
          </w:p>
          <w:p w14:paraId="27E7760D" w14:textId="77777777" w:rsidR="003F72E2" w:rsidRPr="00677BB2" w:rsidRDefault="003F72E2" w:rsidP="00677BB2">
            <w:pPr>
              <w:pStyle w:val="InstructionsText"/>
            </w:pPr>
            <w:r>
              <w:t>De som van i) en ii) als volgt:</w:t>
            </w:r>
          </w:p>
          <w:p w14:paraId="75A891AF" w14:textId="77777777" w:rsidR="003F72E2" w:rsidRPr="00677BB2" w:rsidRDefault="003F72E2" w:rsidP="00677BB2">
            <w:pPr>
              <w:pStyle w:val="InstructionsText"/>
              <w:numPr>
                <w:ilvl w:val="0"/>
                <w:numId w:val="13"/>
              </w:numPr>
            </w:pPr>
            <w:r>
              <w:t>de in rij EU 7d bedoelde TSCR-ratio;</w:t>
            </w:r>
          </w:p>
          <w:p w14:paraId="5EE9D2EB" w14:textId="1239145E" w:rsidR="003F72E2" w:rsidRPr="00677BB2" w:rsidRDefault="77E19EAF" w:rsidP="00677BB2">
            <w:pPr>
              <w:pStyle w:val="InstructionsText"/>
              <w:numPr>
                <w:ilvl w:val="0"/>
                <w:numId w:val="13"/>
              </w:numPr>
            </w:pPr>
            <w:r>
              <w:lastRenderedPageBreak/>
              <w:t>voor zover juridisch van toepassing, de in artikel 128, punt 6, van Richtlijn 2013/36/EU genoemde gecombineerdebuffervereistenratio.</w:t>
            </w:r>
          </w:p>
          <w:p w14:paraId="4B4D7463" w14:textId="52E60BF7" w:rsidR="003F72E2" w:rsidRPr="00677BB2" w:rsidRDefault="003F72E2" w:rsidP="00677BB2">
            <w:pPr>
              <w:pStyle w:val="InstructionsText"/>
            </w:pPr>
            <w:r>
              <w:t>Deze post geeft de totale kapitaalvereiste (OCR)-ratio weer zoals omschreven in afdeling 1.2 van de EBA SREP GL.</w:t>
            </w:r>
          </w:p>
          <w:p w14:paraId="7576CCD5" w14:textId="5E65E58F" w:rsidR="003F72E2" w:rsidRPr="00232C88" w:rsidRDefault="00704085" w:rsidP="003F72E2">
            <w:pPr>
              <w:spacing w:before="60" w:after="120"/>
              <w:jc w:val="both"/>
              <w:rPr>
                <w:rFonts w:ascii="Times New Roman" w:hAnsi="Times New Roman" w:cs="Times New Roman"/>
                <w:sz w:val="24"/>
              </w:rPr>
            </w:pPr>
            <w:r>
              <w:rPr>
                <w:rFonts w:ascii="Times New Roman" w:hAnsi="Times New Roman"/>
                <w:sz w:val="24"/>
              </w:rPr>
              <w:t>Indien geen buffervereiste van toepassing is, wordt alleen punt i) openbaar gemaakt.</w:t>
            </w:r>
          </w:p>
        </w:tc>
      </w:tr>
      <w:tr w:rsidR="00232C88" w:rsidRPr="00232C88" w14:paraId="0C274874" w14:textId="77777777" w:rsidTr="00842C88">
        <w:trPr>
          <w:trHeight w:val="557"/>
        </w:trPr>
        <w:tc>
          <w:tcPr>
            <w:tcW w:w="1555" w:type="dxa"/>
          </w:tcPr>
          <w:p w14:paraId="479D77DC" w14:textId="77777777" w:rsidR="00BB2F0A" w:rsidRPr="00232C88" w:rsidRDefault="00BB2F0A" w:rsidP="00BB2F0A">
            <w:pPr>
              <w:pStyle w:val="Applicationdirecte"/>
              <w:spacing w:before="60"/>
              <w:jc w:val="center"/>
            </w:pPr>
            <w:r>
              <w:lastRenderedPageBreak/>
              <w:t>12</w:t>
            </w:r>
          </w:p>
        </w:tc>
        <w:tc>
          <w:tcPr>
            <w:tcW w:w="7484" w:type="dxa"/>
          </w:tcPr>
          <w:p w14:paraId="7F0C0BA2" w14:textId="77777777" w:rsidR="009947D6"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Beschikbaar tier 1-kernkapitaal nadat aan de totale SREP-eigenvermogensvereisten is voldaan (%)</w:t>
            </w:r>
          </w:p>
        </w:tc>
      </w:tr>
      <w:tr w:rsidR="00232C88" w:rsidRPr="00232C88" w14:paraId="49BB5E23" w14:textId="77777777" w:rsidTr="00842C88">
        <w:trPr>
          <w:trHeight w:val="557"/>
        </w:trPr>
        <w:tc>
          <w:tcPr>
            <w:tcW w:w="1555" w:type="dxa"/>
          </w:tcPr>
          <w:p w14:paraId="5A1354B1" w14:textId="77777777" w:rsidR="00BB2F0A" w:rsidRPr="00232C88" w:rsidRDefault="00BB2F0A" w:rsidP="00BB2F0A">
            <w:pPr>
              <w:pStyle w:val="Applicationdirecte"/>
              <w:spacing w:before="60"/>
              <w:jc w:val="center"/>
            </w:pPr>
            <w:r>
              <w:t>13</w:t>
            </w:r>
          </w:p>
        </w:tc>
        <w:tc>
          <w:tcPr>
            <w:tcW w:w="7484" w:type="dxa"/>
          </w:tcPr>
          <w:p w14:paraId="32A5003D" w14:textId="06248F32" w:rsidR="00BB2F0A" w:rsidRPr="00232C88" w:rsidRDefault="002E24A1" w:rsidP="00BB2F0A">
            <w:pPr>
              <w:spacing w:before="60" w:after="120"/>
              <w:jc w:val="both"/>
              <w:rPr>
                <w:rFonts w:ascii="Times New Roman" w:hAnsi="Times New Roman" w:cs="Times New Roman"/>
                <w:b/>
                <w:sz w:val="24"/>
              </w:rPr>
            </w:pPr>
            <w:r>
              <w:rPr>
                <w:rFonts w:ascii="Times New Roman" w:hAnsi="Times New Roman"/>
                <w:b/>
                <w:sz w:val="24"/>
              </w:rPr>
              <w:t>Maatstaf totale blootstelling (TEM)</w:t>
            </w:r>
          </w:p>
          <w:p w14:paraId="7F06FA40" w14:textId="4B87FF94" w:rsidR="00BB2F0A" w:rsidRPr="00232C88" w:rsidRDefault="00A239F6" w:rsidP="00A239F6">
            <w:pPr>
              <w:spacing w:before="60" w:after="120"/>
              <w:jc w:val="both"/>
              <w:rPr>
                <w:rFonts w:ascii="Times New Roman" w:hAnsi="Times New Roman" w:cs="Times New Roman"/>
                <w:sz w:val="24"/>
              </w:rPr>
            </w:pPr>
            <w:r>
              <w:rPr>
                <w:rFonts w:ascii="Times New Roman" w:hAnsi="Times New Roman"/>
                <w:sz w:val="24"/>
              </w:rPr>
              <w:t>De maatstaf van totale blootstelling overeenkomstig het bedrag dat door instellingen in bijlage XI bij de IT-oplossingen van de EBA openbaar is gemaakt (rij 24 van template EU LR2 - LRCom: gewone openbaarmaking van de hefboomratio).</w:t>
            </w:r>
          </w:p>
        </w:tc>
      </w:tr>
      <w:tr w:rsidR="00232C88" w:rsidRPr="00232C88" w14:paraId="196409C3" w14:textId="77777777" w:rsidTr="00842C88">
        <w:trPr>
          <w:trHeight w:val="557"/>
        </w:trPr>
        <w:tc>
          <w:tcPr>
            <w:tcW w:w="1555" w:type="dxa"/>
          </w:tcPr>
          <w:p w14:paraId="34174C57" w14:textId="77777777" w:rsidR="00BB2F0A" w:rsidRPr="00232C88" w:rsidRDefault="00BB2F0A" w:rsidP="00BB2F0A">
            <w:pPr>
              <w:pStyle w:val="Applicationdirecte"/>
              <w:spacing w:before="60"/>
              <w:jc w:val="center"/>
            </w:pPr>
            <w:r>
              <w:t>14</w:t>
            </w:r>
          </w:p>
        </w:tc>
        <w:tc>
          <w:tcPr>
            <w:tcW w:w="7484" w:type="dxa"/>
          </w:tcPr>
          <w:p w14:paraId="7CD88775"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Hefboomratio (%)</w:t>
            </w:r>
          </w:p>
          <w:p w14:paraId="19D19C40" w14:textId="760F6920" w:rsidR="00BB2F0A" w:rsidRPr="00842C88" w:rsidRDefault="00BB2F0A" w:rsidP="00416DAD">
            <w:pPr>
              <w:spacing w:before="60" w:after="120"/>
              <w:jc w:val="both"/>
              <w:rPr>
                <w:rFonts w:ascii="Times New Roman" w:hAnsi="Times New Roman" w:cs="Times New Roman"/>
                <w:sz w:val="24"/>
              </w:rPr>
            </w:pPr>
            <w:r w:rsidRPr="00842C88">
              <w:rPr>
                <w:rFonts w:ascii="Times New Roman" w:hAnsi="Times New Roman" w:cs="Times New Roman"/>
                <w:sz w:val="24"/>
              </w:rPr>
              <w:t>De hefboomratio overeenkomstig de waarde die door instellingen in bijlage XI bij de IT-oplossingen van de EBA openbaar is gemaakt (rij 25 van template EU LR2 - LRCom:</w:t>
            </w:r>
            <w:bookmarkStart w:id="10" w:name="_Hlk169692988"/>
            <w:bookmarkEnd w:id="10"/>
            <w:r w:rsidRPr="00842C88">
              <w:rPr>
                <w:rFonts w:ascii="Times New Roman" w:hAnsi="Times New Roman" w:cs="Times New Roman"/>
                <w:sz w:val="24"/>
              </w:rPr>
              <w:t xml:space="preserve"> gewone openbaarmaking van de hefboomratio).</w:t>
            </w:r>
          </w:p>
        </w:tc>
      </w:tr>
      <w:tr w:rsidR="00232C88" w:rsidRPr="00232C88" w14:paraId="4B0B4246" w14:textId="77777777" w:rsidTr="00842C88">
        <w:trPr>
          <w:trHeight w:val="557"/>
        </w:trPr>
        <w:tc>
          <w:tcPr>
            <w:tcW w:w="1555" w:type="dxa"/>
          </w:tcPr>
          <w:p w14:paraId="2DD72E65" w14:textId="373D5569" w:rsidR="00505188" w:rsidRPr="00232C88" w:rsidRDefault="00505188" w:rsidP="00275B5E">
            <w:pPr>
              <w:pStyle w:val="Applicationdirecte"/>
              <w:spacing w:before="60"/>
              <w:jc w:val="center"/>
            </w:pPr>
            <w:r>
              <w:t>EU 14a</w:t>
            </w:r>
          </w:p>
        </w:tc>
        <w:tc>
          <w:tcPr>
            <w:tcW w:w="7484" w:type="dxa"/>
          </w:tcPr>
          <w:p w14:paraId="331BA724" w14:textId="344E5468"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Vereisten inzake aanvullend eigen vermogen om het risico van buitensporige hefboomwerking aan te pakken (%) </w:t>
            </w:r>
          </w:p>
          <w:p w14:paraId="4884A9B8" w14:textId="32CF04C9"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rPr>
              <w:t>De vereisten inzake aanvullend eigen vermogen om het risico van buitensporige hefboomwerking aan te pakken, die op grond van artikel 104, lid 1, punt a), van Richtlijn 2013/36/EU door de bevoegde autoriteit zijn opgelegd, uitgedrukt als percentage van de maatstaf van totale blootstelling.</w:t>
            </w:r>
            <w:r>
              <w:rPr>
                <w:rFonts w:ascii="Times New Roman" w:hAnsi="Times New Roman"/>
                <w:sz w:val="24"/>
                <w:shd w:val="clear" w:color="auto" w:fill="FFFFFF"/>
              </w:rPr>
              <w:t xml:space="preserve"> </w:t>
            </w:r>
          </w:p>
          <w:p w14:paraId="46E7F0BC" w14:textId="2D154485" w:rsidR="000C1BEC" w:rsidRPr="00232C88" w:rsidRDefault="00597D20" w:rsidP="00597D20">
            <w:pPr>
              <w:spacing w:before="60" w:after="120"/>
              <w:jc w:val="both"/>
              <w:rPr>
                <w:rFonts w:ascii="Times New Roman" w:hAnsi="Times New Roman" w:cs="Times New Roman"/>
                <w:sz w:val="24"/>
              </w:rPr>
            </w:pPr>
            <w:r>
              <w:rPr>
                <w:rFonts w:ascii="Times New Roman" w:hAnsi="Times New Roman"/>
                <w:sz w:val="24"/>
              </w:rPr>
              <w:t>Vereisten inzake aanvullend eigen vermogen overeenkomstig de waarde die door instellingen in bijlage XI bij de IT-oplossingen van de EBA openbaar zijn gemaakt (rij EU-26a van template EU LR2 - LRCom: gewone openbaarmaking van de hefboomratio).</w:t>
            </w:r>
          </w:p>
        </w:tc>
      </w:tr>
      <w:tr w:rsidR="00232C88" w:rsidRPr="00232C88" w14:paraId="36EBE00D" w14:textId="77777777" w:rsidTr="00842C88">
        <w:trPr>
          <w:trHeight w:val="557"/>
        </w:trPr>
        <w:tc>
          <w:tcPr>
            <w:tcW w:w="1555" w:type="dxa"/>
          </w:tcPr>
          <w:p w14:paraId="09FA5971" w14:textId="32273074" w:rsidR="00505188" w:rsidRPr="00232C88" w:rsidRDefault="00505188" w:rsidP="00597D20">
            <w:pPr>
              <w:pStyle w:val="Applicationdirecte"/>
              <w:spacing w:before="60"/>
              <w:jc w:val="center"/>
            </w:pPr>
            <w:r>
              <w:t>EU 14b</w:t>
            </w:r>
          </w:p>
        </w:tc>
        <w:tc>
          <w:tcPr>
            <w:tcW w:w="7484" w:type="dxa"/>
          </w:tcPr>
          <w:p w14:paraId="2B7D35CB" w14:textId="5C222559" w:rsidR="00381E59" w:rsidRPr="00232C88"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waarvan: op te bouwen uit tier 1-kernkapitaal (procentpunten)</w:t>
            </w:r>
          </w:p>
          <w:p w14:paraId="4E1932EC" w14:textId="4AF7540F"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rPr>
              <w:t>Het deel van de vereisten inzake aanvullend eigen vermogen om het risico van buitensporige hefboomwerking aan te pakken, die op grond van artikel 104, lid 1, punt a), van Richtlijn 2013/36/EU door de bevoegde autoriteit zijn opgelegd, dat overeenkomstig artikel 104 bis, lid 4, derde alinea, met tier 1-kernkapitaal moet worden voldaan.</w:t>
            </w:r>
            <w:r>
              <w:rPr>
                <w:rFonts w:ascii="Times New Roman" w:hAnsi="Times New Roman"/>
                <w:sz w:val="24"/>
                <w:shd w:val="clear" w:color="auto" w:fill="FFFFFF"/>
              </w:rPr>
              <w:t xml:space="preserve"> </w:t>
            </w:r>
          </w:p>
          <w:p w14:paraId="68D46321" w14:textId="250E24AF" w:rsidR="000C1BEC" w:rsidRPr="00232C88" w:rsidRDefault="00597D20" w:rsidP="000C1BEC">
            <w:pPr>
              <w:spacing w:before="60" w:after="120"/>
              <w:jc w:val="both"/>
              <w:rPr>
                <w:rFonts w:ascii="Times New Roman" w:hAnsi="Times New Roman" w:cs="Times New Roman"/>
                <w:sz w:val="24"/>
              </w:rPr>
            </w:pPr>
            <w:r>
              <w:rPr>
                <w:rFonts w:ascii="Times New Roman" w:hAnsi="Times New Roman"/>
                <w:sz w:val="24"/>
              </w:rPr>
              <w:t>Vereisten inzake aanvullend eigen vermogen overeenkomstig de waarde die door instellingen in bijlage XI bij de IT-oplossingen van de EBA openbaar zijn gemaakt (rij EU-26b van template EU LR2 - LRCom: gewone openbaarmaking van de hefboomratio).</w:t>
            </w:r>
          </w:p>
        </w:tc>
      </w:tr>
      <w:tr w:rsidR="00232C88" w:rsidRPr="00232C88" w14:paraId="2D7EE809" w14:textId="77777777" w:rsidTr="00842C88">
        <w:trPr>
          <w:trHeight w:val="557"/>
        </w:trPr>
        <w:tc>
          <w:tcPr>
            <w:tcW w:w="1555" w:type="dxa"/>
          </w:tcPr>
          <w:p w14:paraId="649507C9" w14:textId="0BF1E1F1" w:rsidR="00505188" w:rsidRPr="00232C88" w:rsidRDefault="00505188" w:rsidP="00597D20">
            <w:pPr>
              <w:pStyle w:val="Applicationdirecte"/>
              <w:spacing w:before="60"/>
              <w:jc w:val="center"/>
            </w:pPr>
            <w:r>
              <w:t>EU 14c</w:t>
            </w:r>
          </w:p>
        </w:tc>
        <w:tc>
          <w:tcPr>
            <w:tcW w:w="7484" w:type="dxa"/>
          </w:tcPr>
          <w:p w14:paraId="4458837C" w14:textId="180D2C07"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Totaal SREP-hefboomratiovereisten (%)</w:t>
            </w:r>
          </w:p>
          <w:p w14:paraId="12B9013E" w14:textId="77777777" w:rsidR="00505188" w:rsidRPr="00677BB2" w:rsidRDefault="00505188" w:rsidP="00677BB2">
            <w:pPr>
              <w:pStyle w:val="InstructionsText"/>
            </w:pPr>
            <w:r>
              <w:t>De som van i) en ii) als volgt:</w:t>
            </w:r>
          </w:p>
          <w:p w14:paraId="5E716F27" w14:textId="0373DF56" w:rsidR="00505188" w:rsidRPr="00677BB2" w:rsidRDefault="00D96782" w:rsidP="00677BB2">
            <w:pPr>
              <w:pStyle w:val="InstructionsText"/>
            </w:pPr>
            <w:r>
              <w:lastRenderedPageBreak/>
              <w:t xml:space="preserve">i) het minimale hefboomratiovereiste als gespecificeerd in artikel 92, lid 1, punt d), van Verordening (EU) nr. 575/2013 of het aangepaste hefboomratiovereiste berekend overeenkomstig artikel 429 bis, lid 7, van Verordening (EU) nr. 575/2013, naargelang van het geval; </w:t>
            </w:r>
          </w:p>
          <w:p w14:paraId="40C21DE2" w14:textId="09C7D200" w:rsidR="00505188" w:rsidRPr="00677BB2" w:rsidRDefault="00D96782" w:rsidP="00677BB2">
            <w:pPr>
              <w:pStyle w:val="InstructionsText"/>
            </w:pPr>
            <w:r>
              <w:t>ii) de vereisten inzake aanvullend eigen vermogen om het risico van buitensporige hefboomwerking aan te pakken (pijler 2-vereisten - P2R), die op grond van artikel 104, lid 1, punt a), van Richtlijn 2013/36/EU door de bevoegde autoriteit zijn opgelegd, uitgedrukt als percentage van de maatstaf van totale blootstelling.</w:t>
            </w:r>
          </w:p>
          <w:p w14:paraId="72014476" w14:textId="72428B13" w:rsidR="00505188" w:rsidRPr="00677BB2" w:rsidRDefault="00505188" w:rsidP="00677BB2">
            <w:pPr>
              <w:pStyle w:val="InstructionsText"/>
            </w:pPr>
            <w:r>
              <w:t>Deze post geeft het totale SREP-hefboomratiovereiste (TSLRR) weer zoals door de bevoegde autoriteit aan de instelling meegedeeld.</w:t>
            </w:r>
          </w:p>
          <w:p w14:paraId="35AC4925" w14:textId="264DA7C5" w:rsidR="00505188" w:rsidRPr="00232C88" w:rsidRDefault="00505188" w:rsidP="00A44A20">
            <w:pPr>
              <w:spacing w:before="60" w:after="120"/>
              <w:jc w:val="both"/>
              <w:rPr>
                <w:rFonts w:ascii="Times New Roman" w:hAnsi="Times New Roman" w:cs="Times New Roman"/>
                <w:sz w:val="24"/>
              </w:rPr>
            </w:pPr>
            <w:r>
              <w:rPr>
                <w:rFonts w:ascii="Times New Roman" w:hAnsi="Times New Roman"/>
                <w:sz w:val="24"/>
              </w:rPr>
              <w:t>Indien door de bevoegde autoriteit geen vereisten inzake aanvullend eigen vermogen zijn opgelegd om het risico van buitensporige hefboomwerking aan te pakken, wordt alleen punt i) openbaar gemaakt.</w:t>
            </w:r>
          </w:p>
        </w:tc>
      </w:tr>
      <w:tr w:rsidR="00232C88" w:rsidRPr="00232C88" w14:paraId="3B5E2E48" w14:textId="77777777" w:rsidTr="00842C88">
        <w:trPr>
          <w:trHeight w:val="557"/>
        </w:trPr>
        <w:tc>
          <w:tcPr>
            <w:tcW w:w="1555" w:type="dxa"/>
          </w:tcPr>
          <w:p w14:paraId="789861B4" w14:textId="0838E1F8" w:rsidR="00505188" w:rsidRPr="00232C88" w:rsidRDefault="00505188" w:rsidP="00597D20">
            <w:pPr>
              <w:pStyle w:val="Applicationdirecte"/>
              <w:spacing w:before="60"/>
              <w:jc w:val="center"/>
            </w:pPr>
            <w:r>
              <w:lastRenderedPageBreak/>
              <w:t>EU 14d</w:t>
            </w:r>
          </w:p>
        </w:tc>
        <w:tc>
          <w:tcPr>
            <w:tcW w:w="7484" w:type="dxa"/>
          </w:tcPr>
          <w:p w14:paraId="08E93EB0" w14:textId="1CAE83B8" w:rsidR="00505188" w:rsidRPr="00232C88" w:rsidRDefault="00BB3630" w:rsidP="00677BB2">
            <w:pPr>
              <w:pStyle w:val="InstructionsText"/>
            </w:pPr>
            <w:r>
              <w:t>Vereiste inzake hefboomratiobuffer (%)</w:t>
            </w:r>
          </w:p>
          <w:p w14:paraId="0A30AE70" w14:textId="646BA176" w:rsidR="00641F64" w:rsidRPr="00232C88" w:rsidRDefault="00641F64" w:rsidP="004A2B2B">
            <w:pPr>
              <w:spacing w:before="60" w:after="120"/>
              <w:jc w:val="both"/>
              <w:rPr>
                <w:rFonts w:ascii="Times New Roman" w:hAnsi="Times New Roman" w:cs="Times New Roman"/>
                <w:sz w:val="24"/>
              </w:rPr>
            </w:pPr>
            <w:r>
              <w:rPr>
                <w:rFonts w:ascii="Times New Roman" w:hAnsi="Times New Roman"/>
                <w:sz w:val="24"/>
              </w:rPr>
              <w:t>Artikel 92, lid 1, punt a), van Verordening (EU) nr. 575/2013</w:t>
            </w:r>
          </w:p>
          <w:p w14:paraId="7716A8FF" w14:textId="2792D8EB" w:rsidR="00505188" w:rsidRPr="00232C88" w:rsidRDefault="00505188" w:rsidP="004A2B2B">
            <w:pPr>
              <w:spacing w:before="60" w:after="120"/>
              <w:jc w:val="both"/>
              <w:rPr>
                <w:rFonts w:ascii="Times New Roman" w:hAnsi="Times New Roman" w:cs="Times New Roman"/>
                <w:sz w:val="24"/>
              </w:rPr>
            </w:pPr>
            <w:r>
              <w:rPr>
                <w:rFonts w:ascii="Times New Roman" w:hAnsi="Times New Roman"/>
                <w:sz w:val="24"/>
              </w:rPr>
              <w:t>De toepasselijke hefboomratiobuffer overeenkomstig de waarde die door instellingen in bijlage XI bij de IT-oplossingen van de EBA openbaar is gemaakt (rij 27 van template EU LR2 - LRCom: gewone openbaarmaking van de hefboomratio).</w:t>
            </w:r>
          </w:p>
        </w:tc>
      </w:tr>
      <w:tr w:rsidR="00232C88" w:rsidRPr="00232C88" w14:paraId="3FACD115" w14:textId="77777777" w:rsidTr="00842C88">
        <w:trPr>
          <w:trHeight w:val="557"/>
        </w:trPr>
        <w:tc>
          <w:tcPr>
            <w:tcW w:w="1555" w:type="dxa"/>
          </w:tcPr>
          <w:p w14:paraId="27224C83" w14:textId="4B369FBD" w:rsidR="00505188" w:rsidRPr="00232C88" w:rsidRDefault="00505188" w:rsidP="00597D20">
            <w:pPr>
              <w:pStyle w:val="Applicationdirecte"/>
              <w:spacing w:before="60"/>
              <w:jc w:val="center"/>
            </w:pPr>
            <w:r>
              <w:t>EU 14e</w:t>
            </w:r>
          </w:p>
        </w:tc>
        <w:tc>
          <w:tcPr>
            <w:tcW w:w="7484" w:type="dxa"/>
          </w:tcPr>
          <w:p w14:paraId="69DDF496" w14:textId="1D586C01"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Totaal hefboomratiovereiste (%)</w:t>
            </w:r>
          </w:p>
          <w:p w14:paraId="02FD04C6" w14:textId="7E32495C" w:rsidR="00505188" w:rsidRPr="00232C88" w:rsidRDefault="00505188" w:rsidP="00597D20">
            <w:pPr>
              <w:spacing w:before="60" w:after="120"/>
              <w:jc w:val="both"/>
              <w:rPr>
                <w:rFonts w:ascii="Times New Roman" w:hAnsi="Times New Roman" w:cs="Times New Roman"/>
                <w:sz w:val="24"/>
              </w:rPr>
            </w:pPr>
            <w:r>
              <w:rPr>
                <w:rFonts w:ascii="Times New Roman" w:hAnsi="Times New Roman"/>
                <w:sz w:val="24"/>
              </w:rPr>
              <w:t>De som van de rijen EU 14c en EU 14d.</w:t>
            </w:r>
          </w:p>
        </w:tc>
      </w:tr>
      <w:tr w:rsidR="00232C88" w:rsidRPr="00232C88" w14:paraId="7772A699" w14:textId="77777777" w:rsidTr="00842C88">
        <w:trPr>
          <w:trHeight w:val="557"/>
        </w:trPr>
        <w:tc>
          <w:tcPr>
            <w:tcW w:w="1555" w:type="dxa"/>
          </w:tcPr>
          <w:p w14:paraId="63DDF276" w14:textId="77777777" w:rsidR="00BB2F0A" w:rsidRPr="00232C88" w:rsidRDefault="00BB2F0A" w:rsidP="00BB2F0A">
            <w:pPr>
              <w:pStyle w:val="Applicationdirecte"/>
              <w:spacing w:before="60"/>
              <w:jc w:val="center"/>
            </w:pPr>
            <w:r>
              <w:t>15</w:t>
            </w:r>
          </w:p>
        </w:tc>
        <w:tc>
          <w:tcPr>
            <w:tcW w:w="7484" w:type="dxa"/>
          </w:tcPr>
          <w:p w14:paraId="54AB95EC" w14:textId="77777777" w:rsidR="00BB2F0A" w:rsidRPr="00232C88" w:rsidRDefault="00BB2F0A" w:rsidP="00BB2F0A">
            <w:pPr>
              <w:spacing w:before="60" w:after="120"/>
              <w:jc w:val="both"/>
              <w:rPr>
                <w:rFonts w:ascii="Times New Roman" w:hAnsi="Times New Roman" w:cs="Times New Roman"/>
                <w:b/>
                <w:sz w:val="24"/>
              </w:rPr>
            </w:pPr>
            <w:bookmarkStart w:id="11" w:name="OLE_LINK1"/>
            <w:r>
              <w:rPr>
                <w:rFonts w:ascii="Times New Roman" w:hAnsi="Times New Roman"/>
                <w:b/>
                <w:sz w:val="24"/>
              </w:rPr>
              <w:t>Totale liquide activa van hoge kwaliteit (HQLA) (gewogen waarde - gemiddelde)</w:t>
            </w:r>
          </w:p>
          <w:bookmarkEnd w:id="11"/>
          <w:p w14:paraId="55A35EA4" w14:textId="793083C0" w:rsidR="00910181" w:rsidRPr="00232C88" w:rsidRDefault="00910181" w:rsidP="002635C4">
            <w:pPr>
              <w:spacing w:before="60" w:after="120"/>
              <w:jc w:val="both"/>
              <w:rPr>
                <w:rFonts w:ascii="Times New Roman" w:hAnsi="Times New Roman" w:cs="Times New Roman"/>
                <w:sz w:val="24"/>
              </w:rPr>
            </w:pPr>
            <w:r>
              <w:rPr>
                <w:rFonts w:ascii="Times New Roman" w:hAnsi="Times New Roman"/>
                <w:sz w:val="24"/>
              </w:rPr>
              <w:t>Instellingen maken als de gewogen waarde de waarde openbaar van de liquide activa overeenkomstig artikel 9 van Gedelegeerde Verordening (EU) 2015/61</w:t>
            </w:r>
            <w:r w:rsidR="00704085" w:rsidRPr="00232C88">
              <w:rPr>
                <w:rStyle w:val="FootnoteReference"/>
                <w:rFonts w:ascii="Times New Roman" w:hAnsi="Times New Roman" w:cs="Times New Roman"/>
              </w:rPr>
              <w:footnoteReference w:id="4"/>
            </w:r>
            <w:r>
              <w:rPr>
                <w:rFonts w:ascii="Times New Roman" w:hAnsi="Times New Roman"/>
                <w:sz w:val="24"/>
              </w:rPr>
              <w:t xml:space="preserve"> van de Commissie vóór toepassing van het correctiemechanisme dat in artikel 17, lid 2, van Gedelegeerde Verordening (EU) 2015/61 is vastgesteld.</w:t>
            </w:r>
          </w:p>
        </w:tc>
      </w:tr>
      <w:tr w:rsidR="00232C88" w:rsidRPr="00232C88" w14:paraId="6672E84C" w14:textId="77777777" w:rsidTr="00842C88">
        <w:trPr>
          <w:trHeight w:val="557"/>
        </w:trPr>
        <w:tc>
          <w:tcPr>
            <w:tcW w:w="1555" w:type="dxa"/>
          </w:tcPr>
          <w:p w14:paraId="046E2071" w14:textId="77777777" w:rsidR="009008FD" w:rsidRPr="00232C88" w:rsidRDefault="009008FD" w:rsidP="009008FD">
            <w:pPr>
              <w:pStyle w:val="Applicationdirecte"/>
              <w:spacing w:before="60"/>
              <w:jc w:val="center"/>
            </w:pPr>
            <w:r>
              <w:t>EU 16a</w:t>
            </w:r>
          </w:p>
        </w:tc>
        <w:tc>
          <w:tcPr>
            <w:tcW w:w="7484" w:type="dxa"/>
          </w:tcPr>
          <w:p w14:paraId="0FDF2F0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Uitstromen van kasmiddelen - Totale gewogen waarde </w:t>
            </w:r>
          </w:p>
          <w:p w14:paraId="001CA858" w14:textId="412A239E"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Instellingen maken de som openbaar van de gewogen waarde van hun uitstromen van kasmiddelen, zoals openbaar gemaakt in bijlage XIII (rij 16 van template EU LIQ1 - Kwantitatieve informatie over de liquiditeitsdekkingsratio).</w:t>
            </w:r>
          </w:p>
        </w:tc>
      </w:tr>
      <w:tr w:rsidR="00232C88" w:rsidRPr="00232C88" w14:paraId="768D7A46" w14:textId="77777777" w:rsidTr="00842C88">
        <w:trPr>
          <w:trHeight w:val="557"/>
        </w:trPr>
        <w:tc>
          <w:tcPr>
            <w:tcW w:w="1555" w:type="dxa"/>
          </w:tcPr>
          <w:p w14:paraId="61468B84" w14:textId="77777777" w:rsidR="009008FD" w:rsidRPr="00232C88" w:rsidRDefault="009008FD" w:rsidP="009008FD">
            <w:pPr>
              <w:pStyle w:val="Applicationdirecte"/>
              <w:spacing w:before="60"/>
              <w:jc w:val="center"/>
            </w:pPr>
            <w:r>
              <w:t>EU 16b</w:t>
            </w:r>
          </w:p>
        </w:tc>
        <w:tc>
          <w:tcPr>
            <w:tcW w:w="7484" w:type="dxa"/>
          </w:tcPr>
          <w:p w14:paraId="6A63425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Instromen van kasmiddelen - Totale gewogen waarde </w:t>
            </w:r>
          </w:p>
          <w:p w14:paraId="7CF5A37A" w14:textId="29FD5A91"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 xml:space="preserve">Instellingen maken de som openbaar van de gewogen waarde van hun instromen van kasmiddelen, zoals openbaar gemaakt in bijlage XIII (rij 20 </w:t>
            </w:r>
            <w:r>
              <w:rPr>
                <w:rFonts w:ascii="Times New Roman" w:hAnsi="Times New Roman"/>
                <w:sz w:val="24"/>
              </w:rPr>
              <w:lastRenderedPageBreak/>
              <w:t>van template EU LIQ1 - Kwantitatieve informatie over de liquiditeitsdekkingsratio).</w:t>
            </w:r>
          </w:p>
        </w:tc>
      </w:tr>
      <w:tr w:rsidR="00232C88" w:rsidRPr="00232C88" w14:paraId="3D802B5C" w14:textId="77777777" w:rsidTr="00842C88">
        <w:trPr>
          <w:trHeight w:val="557"/>
        </w:trPr>
        <w:tc>
          <w:tcPr>
            <w:tcW w:w="1555" w:type="dxa"/>
          </w:tcPr>
          <w:p w14:paraId="2C98D27B" w14:textId="77777777" w:rsidR="00BB2F0A" w:rsidRPr="00232C88" w:rsidRDefault="00BB2F0A" w:rsidP="00BB2F0A">
            <w:pPr>
              <w:pStyle w:val="Applicationdirecte"/>
              <w:spacing w:before="60"/>
              <w:jc w:val="center"/>
            </w:pPr>
            <w:r>
              <w:lastRenderedPageBreak/>
              <w:t>16</w:t>
            </w:r>
          </w:p>
        </w:tc>
        <w:tc>
          <w:tcPr>
            <w:tcW w:w="7484" w:type="dxa"/>
          </w:tcPr>
          <w:p w14:paraId="7DCF86A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Totale netto-uitstromen van kasmiddelen (aangepaste waarde)</w:t>
            </w:r>
          </w:p>
          <w:p w14:paraId="1D6EC4CA"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Instellingen vermelden hier als de aangepaste waarde de netto liquiditeitsuitstroom, zijnde de totale uitstromen min de reductie voor volledig vrijgestelde instromen min de reductie voor instromen met begrenzing tot 90 % min de reductie voor instromen met begrenzing tot 75 %. </w:t>
            </w:r>
          </w:p>
        </w:tc>
      </w:tr>
      <w:tr w:rsidR="00232C88" w:rsidRPr="00232C88" w14:paraId="55C376D8" w14:textId="77777777" w:rsidTr="00842C88">
        <w:trPr>
          <w:trHeight w:val="557"/>
        </w:trPr>
        <w:tc>
          <w:tcPr>
            <w:tcW w:w="1555" w:type="dxa"/>
          </w:tcPr>
          <w:p w14:paraId="790C482D" w14:textId="77777777" w:rsidR="00BB2F0A" w:rsidRPr="00232C88" w:rsidRDefault="00BB2F0A" w:rsidP="00BB2F0A">
            <w:pPr>
              <w:pStyle w:val="Applicationdirecte"/>
              <w:spacing w:before="60"/>
              <w:jc w:val="center"/>
            </w:pPr>
            <w:r>
              <w:t>17</w:t>
            </w:r>
          </w:p>
        </w:tc>
        <w:tc>
          <w:tcPr>
            <w:tcW w:w="7484" w:type="dxa"/>
          </w:tcPr>
          <w:p w14:paraId="6739EBCB"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Liquiditeitsdekkingsratio (%)</w:t>
            </w:r>
          </w:p>
          <w:p w14:paraId="3417B7EB" w14:textId="101E0602" w:rsidR="00910181" w:rsidRPr="00232C8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Instellingen maken als de aangepaste waarde het percentage openbaar van de post “Liquiditeitsdekkingsratio %” als bepaald in artikel 4, lid 1, van Gedelegeerde Verordening (EU) 2015/61.</w:t>
            </w:r>
          </w:p>
          <w:p w14:paraId="0CF77ECD" w14:textId="77777777" w:rsidR="00910181" w:rsidRPr="00232C8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De liquiditeitsdekkingsratio is gelijk aan de verhouding tussen de liquiditeitsbuffer van een kredietinstelling en de netto liquiditeitsuitstromen van deze instelling gedurende een stressperiode van 30 kalenderdagen, en wordt uitgedrukt in procenten. </w:t>
            </w:r>
          </w:p>
        </w:tc>
      </w:tr>
      <w:tr w:rsidR="00232C88" w:rsidRPr="00232C88" w14:paraId="62773DDF" w14:textId="77777777" w:rsidTr="00842C88">
        <w:trPr>
          <w:trHeight w:val="557"/>
        </w:trPr>
        <w:tc>
          <w:tcPr>
            <w:tcW w:w="1555" w:type="dxa"/>
          </w:tcPr>
          <w:p w14:paraId="46B3145C" w14:textId="77777777" w:rsidR="00BB2F0A" w:rsidRPr="00232C88" w:rsidRDefault="00BB2F0A" w:rsidP="00BB2F0A">
            <w:pPr>
              <w:pStyle w:val="Applicationdirecte"/>
              <w:spacing w:before="60"/>
              <w:jc w:val="center"/>
            </w:pPr>
            <w:r>
              <w:t>18</w:t>
            </w:r>
          </w:p>
        </w:tc>
        <w:tc>
          <w:tcPr>
            <w:tcW w:w="7484" w:type="dxa"/>
          </w:tcPr>
          <w:p w14:paraId="5F20E9BB" w14:textId="77777777" w:rsidR="00BB2F0A" w:rsidRPr="00232C88" w:rsidRDefault="009501D6" w:rsidP="00BB2F0A">
            <w:pPr>
              <w:spacing w:before="60" w:after="120"/>
              <w:jc w:val="both"/>
              <w:rPr>
                <w:rFonts w:ascii="Times New Roman" w:hAnsi="Times New Roman" w:cs="Times New Roman"/>
                <w:b/>
                <w:sz w:val="24"/>
              </w:rPr>
            </w:pPr>
            <w:r>
              <w:rPr>
                <w:rFonts w:ascii="Times New Roman" w:hAnsi="Times New Roman"/>
                <w:b/>
                <w:sz w:val="24"/>
              </w:rPr>
              <w:t>Totale beschikbare stabiele financiering</w:t>
            </w:r>
          </w:p>
          <w:p w14:paraId="0CB3A2BF" w14:textId="5072E411" w:rsidR="009501D6" w:rsidRPr="00232C88" w:rsidRDefault="009501D6" w:rsidP="00AF5BC7">
            <w:pPr>
              <w:autoSpaceDE w:val="0"/>
              <w:autoSpaceDN w:val="0"/>
              <w:adjustRightInd w:val="0"/>
              <w:spacing w:after="120"/>
              <w:jc w:val="both"/>
              <w:rPr>
                <w:rFonts w:ascii="Times New Roman" w:hAnsi="Times New Roman" w:cs="Times New Roman"/>
                <w:sz w:val="24"/>
              </w:rPr>
            </w:pPr>
            <w:r>
              <w:rPr>
                <w:rFonts w:ascii="Times New Roman" w:hAnsi="Times New Roman"/>
                <w:sz w:val="24"/>
              </w:rPr>
              <w:t>Instellingen maken het bedrag aan beschikbare stabiele financiering openbaar berekend overeenkomstig deel zes, titel IV, hoofdstuk 3, van Verordening (EU) nr. 575/2013, zoals openbaargemaakt in bijlage XIII bij de IT-oplossingen (rij 14 van template EU LIQ2 - Nettostabielefinancieringsratio).</w:t>
            </w:r>
          </w:p>
        </w:tc>
      </w:tr>
      <w:tr w:rsidR="00232C88" w:rsidRPr="00232C88" w14:paraId="196BD2E3" w14:textId="77777777" w:rsidTr="00842C88">
        <w:trPr>
          <w:trHeight w:val="557"/>
        </w:trPr>
        <w:tc>
          <w:tcPr>
            <w:tcW w:w="1555" w:type="dxa"/>
          </w:tcPr>
          <w:p w14:paraId="138D6E9A" w14:textId="77777777" w:rsidR="00BB2F0A" w:rsidRPr="00232C88" w:rsidRDefault="00BB2F0A" w:rsidP="00BB2F0A">
            <w:pPr>
              <w:pStyle w:val="Applicationdirecte"/>
              <w:spacing w:before="60"/>
              <w:jc w:val="center"/>
            </w:pPr>
            <w:r>
              <w:t>19</w:t>
            </w:r>
          </w:p>
        </w:tc>
        <w:tc>
          <w:tcPr>
            <w:tcW w:w="7484" w:type="dxa"/>
          </w:tcPr>
          <w:p w14:paraId="33D8D493" w14:textId="77777777" w:rsidR="00EA38FE" w:rsidRPr="00232C88" w:rsidRDefault="009501D6" w:rsidP="00EA38FE">
            <w:pPr>
              <w:spacing w:before="60" w:after="120"/>
              <w:jc w:val="both"/>
              <w:rPr>
                <w:rFonts w:ascii="Times New Roman" w:hAnsi="Times New Roman" w:cs="Times New Roman"/>
                <w:b/>
                <w:sz w:val="24"/>
              </w:rPr>
            </w:pPr>
            <w:r>
              <w:rPr>
                <w:rFonts w:ascii="Times New Roman" w:hAnsi="Times New Roman"/>
                <w:b/>
                <w:sz w:val="24"/>
              </w:rPr>
              <w:t>Totale vereiste stabiele financiering</w:t>
            </w:r>
          </w:p>
          <w:p w14:paraId="205FE1F2" w14:textId="61549A3C" w:rsidR="009501D6" w:rsidRPr="00232C88" w:rsidRDefault="1BE56CD4" w:rsidP="4D769726">
            <w:pPr>
              <w:spacing w:before="60" w:after="120"/>
              <w:jc w:val="both"/>
              <w:rPr>
                <w:rFonts w:ascii="Times New Roman" w:hAnsi="Times New Roman" w:cs="Times New Roman"/>
                <w:sz w:val="24"/>
              </w:rPr>
            </w:pPr>
            <w:r>
              <w:rPr>
                <w:rFonts w:ascii="Times New Roman" w:hAnsi="Times New Roman"/>
                <w:sz w:val="24"/>
              </w:rPr>
              <w:t>Instellingen maken het bedrag aan vereiste stabiele financiering openbaar, berekend overeenkomstig deel zes, titel IV, hoofdstuk 4, van Verordening (EU) nr. 575/2013, zoals openbaargemaakt in bijlage XIII bij de IT-oplossingen (rij 33 van template EU LIQ2 - Nettostabielefinancieringsratio).</w:t>
            </w:r>
          </w:p>
        </w:tc>
      </w:tr>
      <w:tr w:rsidR="00BB2F0A" w:rsidRPr="00232C88" w14:paraId="5F0D3785" w14:textId="77777777" w:rsidTr="00842C88">
        <w:trPr>
          <w:trHeight w:val="557"/>
        </w:trPr>
        <w:tc>
          <w:tcPr>
            <w:tcW w:w="1555" w:type="dxa"/>
          </w:tcPr>
          <w:p w14:paraId="58861D5D" w14:textId="77777777" w:rsidR="00BB2F0A" w:rsidRPr="00232C88" w:rsidRDefault="00BB2F0A" w:rsidP="00BB2F0A">
            <w:pPr>
              <w:pStyle w:val="Applicationdirecte"/>
              <w:spacing w:before="60"/>
              <w:jc w:val="center"/>
            </w:pPr>
            <w:r>
              <w:t>20</w:t>
            </w:r>
          </w:p>
        </w:tc>
        <w:tc>
          <w:tcPr>
            <w:tcW w:w="7484" w:type="dxa"/>
          </w:tcPr>
          <w:p w14:paraId="2C215CE4" w14:textId="77777777" w:rsidR="00BB2F0A" w:rsidRPr="00232C88" w:rsidRDefault="00EA38FE" w:rsidP="00BB2F0A">
            <w:pPr>
              <w:spacing w:before="60" w:after="120"/>
              <w:jc w:val="both"/>
              <w:rPr>
                <w:rFonts w:ascii="Times New Roman" w:hAnsi="Times New Roman" w:cs="Times New Roman"/>
                <w:b/>
                <w:sz w:val="24"/>
              </w:rPr>
            </w:pPr>
            <w:r>
              <w:rPr>
                <w:rFonts w:ascii="Times New Roman" w:hAnsi="Times New Roman"/>
                <w:b/>
                <w:sz w:val="24"/>
              </w:rPr>
              <w:t>Nettostabielefinancieringsratio (%)</w:t>
            </w:r>
          </w:p>
          <w:p w14:paraId="16F56415" w14:textId="58990105" w:rsidR="00EA38FE" w:rsidRPr="00232C88" w:rsidRDefault="00EA38FE" w:rsidP="0097538A">
            <w:pPr>
              <w:spacing w:before="60" w:after="120"/>
              <w:jc w:val="both"/>
              <w:rPr>
                <w:rFonts w:ascii="Times New Roman" w:hAnsi="Times New Roman" w:cs="Times New Roman"/>
                <w:sz w:val="24"/>
              </w:rPr>
            </w:pPr>
            <w:r>
              <w:rPr>
                <w:rFonts w:ascii="Times New Roman" w:hAnsi="Times New Roman"/>
                <w:sz w:val="24"/>
              </w:rPr>
              <w:t>Nettostabielefinancieringsratio berekend overeenkomstig artikel 428 ter van Verordening (EU) nr. 575/2013.</w:t>
            </w:r>
          </w:p>
        </w:tc>
      </w:tr>
    </w:tbl>
    <w:p w14:paraId="6083358E" w14:textId="77777777" w:rsidR="00206A6B" w:rsidRPr="00232C88" w:rsidRDefault="00206A6B" w:rsidP="00D845D4">
      <w:pPr>
        <w:spacing w:after="120"/>
        <w:jc w:val="both"/>
        <w:rPr>
          <w:rFonts w:ascii="Times New Roman" w:hAnsi="Times New Roman" w:cs="Times New Roman"/>
          <w:b/>
          <w:sz w:val="24"/>
        </w:rPr>
      </w:pPr>
    </w:p>
    <w:p w14:paraId="29C2CA92" w14:textId="55EE1568" w:rsidR="00206A6B" w:rsidRPr="00232C88" w:rsidRDefault="00BD36EC" w:rsidP="00D845D4">
      <w:pPr>
        <w:spacing w:after="120"/>
        <w:jc w:val="both"/>
        <w:rPr>
          <w:rFonts w:ascii="Times New Roman" w:hAnsi="Times New Roman" w:cs="Times New Roman"/>
          <w:sz w:val="24"/>
        </w:rPr>
      </w:pPr>
      <w:r>
        <w:rPr>
          <w:rFonts w:ascii="Times New Roman" w:hAnsi="Times New Roman"/>
          <w:b/>
          <w:sz w:val="24"/>
        </w:rPr>
        <w:t xml:space="preserve">Template EU INS1 – Verzekeringsdeelnemingen. </w:t>
      </w:r>
      <w:r>
        <w:rPr>
          <w:rFonts w:ascii="Times New Roman" w:hAnsi="Times New Roman"/>
          <w:sz w:val="24"/>
        </w:rPr>
        <w:t>Vaste opmaak.</w:t>
      </w:r>
    </w:p>
    <w:p w14:paraId="385CC150" w14:textId="3B3D9F17" w:rsidR="00B10EE4" w:rsidRPr="00232C88" w:rsidRDefault="00BA25D7"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Instellingen volgen de onderstaande instructies in deze bijlage voor het invullen van template EU INS1, die in bijlage I is opgenomen, bij toepassing van artikel 438, punt f), van Verordening (EU) nr. 575/2013.</w:t>
      </w:r>
    </w:p>
    <w:p w14:paraId="5970EF08" w14:textId="77777777" w:rsidR="00295952" w:rsidRPr="00842C88" w:rsidRDefault="00295952" w:rsidP="00D845D4">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232C88" w:rsidRDefault="00295952" w:rsidP="00842C88">
            <w:pPr>
              <w:pageBreakBefore/>
              <w:rPr>
                <w:rFonts w:ascii="Times New Roman" w:hAnsi="Times New Roman" w:cs="Times New Roman"/>
                <w:b/>
                <w:sz w:val="24"/>
              </w:rPr>
            </w:pPr>
            <w:r>
              <w:rPr>
                <w:rFonts w:ascii="Times New Roman" w:hAnsi="Times New Roman"/>
                <w:b/>
                <w:sz w:val="24"/>
              </w:rPr>
              <w:lastRenderedPageBreak/>
              <w:t>Verwijzingen naar wetgeving en instructies</w:t>
            </w:r>
          </w:p>
        </w:tc>
      </w:tr>
      <w:tr w:rsidR="00232C88" w:rsidRPr="00232C88" w14:paraId="2A1948D0" w14:textId="77777777" w:rsidTr="00B2180A">
        <w:trPr>
          <w:trHeight w:val="238"/>
        </w:trPr>
        <w:tc>
          <w:tcPr>
            <w:tcW w:w="1384" w:type="dxa"/>
            <w:shd w:val="clear" w:color="auto" w:fill="D9D9D9" w:themeFill="background1" w:themeFillShade="D9"/>
          </w:tcPr>
          <w:p w14:paraId="58F319EE"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Nummer kolom</w:t>
            </w:r>
          </w:p>
        </w:tc>
        <w:tc>
          <w:tcPr>
            <w:tcW w:w="7655" w:type="dxa"/>
            <w:shd w:val="clear" w:color="auto" w:fill="D9D9D9" w:themeFill="background1" w:themeFillShade="D9"/>
          </w:tcPr>
          <w:p w14:paraId="0136B062"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Toelichting</w:t>
            </w:r>
          </w:p>
        </w:tc>
      </w:tr>
      <w:tr w:rsidR="00232C88" w:rsidRPr="00232C88" w14:paraId="0F136ACE" w14:textId="77777777" w:rsidTr="00B2180A">
        <w:trPr>
          <w:trHeight w:val="680"/>
        </w:trPr>
        <w:tc>
          <w:tcPr>
            <w:tcW w:w="1384" w:type="dxa"/>
          </w:tcPr>
          <w:p w14:paraId="270B29A8" w14:textId="77777777" w:rsidR="00295952" w:rsidRPr="00232C88" w:rsidRDefault="00295952" w:rsidP="00B2180A">
            <w:pPr>
              <w:pStyle w:val="Applicationdirecte"/>
              <w:spacing w:before="60"/>
              <w:jc w:val="center"/>
            </w:pPr>
            <w:r>
              <w:t>a</w:t>
            </w:r>
          </w:p>
        </w:tc>
        <w:tc>
          <w:tcPr>
            <w:tcW w:w="7655" w:type="dxa"/>
            <w:vAlign w:val="center"/>
          </w:tcPr>
          <w:p w14:paraId="7249EC0E" w14:textId="77777777"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Blootstellingswaarde</w:t>
            </w:r>
          </w:p>
          <w:p w14:paraId="18F1CB5D" w14:textId="190541F5" w:rsidR="00295952" w:rsidRPr="00232C88" w:rsidRDefault="00295952" w:rsidP="0097538A">
            <w:pPr>
              <w:spacing w:before="60" w:after="120"/>
              <w:jc w:val="both"/>
              <w:rPr>
                <w:rFonts w:ascii="Times New Roman" w:hAnsi="Times New Roman" w:cs="Times New Roman"/>
                <w:sz w:val="24"/>
              </w:rPr>
            </w:pPr>
            <w:r>
              <w:rPr>
                <w:rFonts w:ascii="Times New Roman" w:hAnsi="Times New Roman"/>
                <w:sz w:val="24"/>
              </w:rPr>
              <w:t>De blootstellingswaarde van eigenvermogensinstrumenten die bij een verzekeringsonderneming, herverzekeringsonderneming of verzekeringsholding worden aangehouden, die instellingen overeenkomstig artikel 49 van Verordening (EU) nr. 575/2013 niet van hun eigen vermogen aftrekken bij de berekening van hun kapitaalvereisten op individuele, gesubconsolideerde en geconsolideerde basis.</w:t>
            </w:r>
          </w:p>
        </w:tc>
      </w:tr>
      <w:tr w:rsidR="00295952" w:rsidRPr="00232C88" w14:paraId="61334455" w14:textId="77777777" w:rsidTr="00B2180A">
        <w:trPr>
          <w:trHeight w:val="680"/>
        </w:trPr>
        <w:tc>
          <w:tcPr>
            <w:tcW w:w="1384" w:type="dxa"/>
          </w:tcPr>
          <w:p w14:paraId="76F52744" w14:textId="77777777" w:rsidR="00295952" w:rsidRPr="00232C88" w:rsidRDefault="00295952" w:rsidP="00B2180A">
            <w:pPr>
              <w:pStyle w:val="Applicationdirecte"/>
              <w:spacing w:before="60"/>
              <w:jc w:val="center"/>
            </w:pPr>
            <w:r>
              <w:t>b</w:t>
            </w:r>
          </w:p>
        </w:tc>
        <w:tc>
          <w:tcPr>
            <w:tcW w:w="7655" w:type="dxa"/>
            <w:vAlign w:val="center"/>
          </w:tcPr>
          <w:p w14:paraId="35F05204" w14:textId="21F04E81"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Bedrag risicoposten</w:t>
            </w:r>
          </w:p>
          <w:p w14:paraId="5F873619" w14:textId="1505D88C" w:rsidR="00295952" w:rsidRPr="00232C88" w:rsidRDefault="00295952" w:rsidP="00282104">
            <w:pPr>
              <w:spacing w:before="60" w:after="120"/>
              <w:jc w:val="both"/>
              <w:rPr>
                <w:rFonts w:ascii="Times New Roman" w:hAnsi="Times New Roman" w:cs="Times New Roman"/>
                <w:sz w:val="24"/>
              </w:rPr>
            </w:pPr>
            <w:r>
              <w:rPr>
                <w:rFonts w:ascii="Times New Roman" w:hAnsi="Times New Roman"/>
                <w:sz w:val="24"/>
              </w:rPr>
              <w:t>Het Bedrag van de risicoposten van eigenvermogensinstrumenten die bij een verzekeringsonderneming, herverzekeringsonderneming of verzekeringsholding worden aangehouden, die instellingen overeenkomstig artikel 49 van Verordening (EU) nr. 575/2013 niet van hun eigen vermogen aftrekken bij de berekening van hun kapitaalvereisten op individuele, gesubconsolideerde en geconsolideerde basis.</w:t>
            </w:r>
          </w:p>
        </w:tc>
      </w:tr>
    </w:tbl>
    <w:p w14:paraId="06D15643" w14:textId="77777777" w:rsidR="00FE0C92" w:rsidRPr="00232C88" w:rsidRDefault="00FE0C92" w:rsidP="00E258D8">
      <w:pPr>
        <w:tabs>
          <w:tab w:val="left" w:pos="1430"/>
        </w:tabs>
        <w:rPr>
          <w:rFonts w:ascii="Times New Roman" w:hAnsi="Times New Roman" w:cs="Times New Roman"/>
          <w:sz w:val="24"/>
        </w:rPr>
      </w:pPr>
    </w:p>
    <w:p w14:paraId="27E6F29A" w14:textId="0470914C" w:rsidR="00295952" w:rsidRPr="00232C88" w:rsidRDefault="00295952" w:rsidP="00295952">
      <w:pPr>
        <w:spacing w:after="120"/>
        <w:jc w:val="both"/>
        <w:rPr>
          <w:rFonts w:ascii="Times New Roman" w:hAnsi="Times New Roman" w:cs="Times New Roman"/>
          <w:sz w:val="24"/>
        </w:rPr>
      </w:pPr>
      <w:r>
        <w:rPr>
          <w:rFonts w:ascii="Times New Roman" w:hAnsi="Times New Roman"/>
          <w:b/>
          <w:sz w:val="24"/>
        </w:rPr>
        <w:t xml:space="preserve">Template EU INS2 – Financiële conglomeraten - Informatie over het eigen vermogen en de kapitaaltoereikendheidsratio. </w:t>
      </w:r>
      <w:r>
        <w:rPr>
          <w:rFonts w:ascii="Times New Roman" w:hAnsi="Times New Roman"/>
          <w:sz w:val="24"/>
        </w:rPr>
        <w:t>Vaste opmaak.</w:t>
      </w:r>
    </w:p>
    <w:p w14:paraId="61F5C281" w14:textId="596FEC3B" w:rsidR="00295952" w:rsidRPr="00232C88" w:rsidRDefault="00295952"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Instellingen volgen de onderstaande instructies in deze bijlage voor het invullen van template EU INS2, die in bijlage I bij de IT-oplossingen van de EBA is opgenomen, bij toepassing van artikel 438, punt g), van Verordening (EU) nr. 575/2013.</w:t>
      </w:r>
    </w:p>
    <w:p w14:paraId="2C33B06C" w14:textId="77777777" w:rsidR="00295952" w:rsidRPr="00842C88" w:rsidRDefault="00295952" w:rsidP="00295952">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232C88" w:rsidRPr="00232C8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232C88" w:rsidRDefault="00295952" w:rsidP="00B2180A">
            <w:pPr>
              <w:rPr>
                <w:rFonts w:ascii="Times New Roman" w:hAnsi="Times New Roman" w:cs="Times New Roman"/>
                <w:b/>
                <w:sz w:val="24"/>
              </w:rPr>
            </w:pPr>
            <w:r>
              <w:rPr>
                <w:rFonts w:ascii="Times New Roman" w:hAnsi="Times New Roman"/>
                <w:b/>
                <w:sz w:val="24"/>
              </w:rPr>
              <w:t>Verwijzingen naar wetgeving en instructies</w:t>
            </w:r>
          </w:p>
        </w:tc>
      </w:tr>
      <w:tr w:rsidR="00232C88" w:rsidRPr="00232C88" w14:paraId="38931EE1" w14:textId="77777777" w:rsidTr="00842C88">
        <w:trPr>
          <w:trHeight w:val="238"/>
        </w:trPr>
        <w:tc>
          <w:tcPr>
            <w:tcW w:w="1435" w:type="dxa"/>
            <w:shd w:val="clear" w:color="auto" w:fill="D9D9D9" w:themeFill="background1" w:themeFillShade="D9"/>
          </w:tcPr>
          <w:p w14:paraId="5F0C6C00"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7A981CBB"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Toelichting</w:t>
            </w:r>
          </w:p>
        </w:tc>
      </w:tr>
      <w:tr w:rsidR="00232C88" w:rsidRPr="00232C88" w14:paraId="06B27C97" w14:textId="77777777" w:rsidTr="00842C88">
        <w:trPr>
          <w:trHeight w:val="680"/>
        </w:trPr>
        <w:tc>
          <w:tcPr>
            <w:tcW w:w="1435" w:type="dxa"/>
          </w:tcPr>
          <w:p w14:paraId="7F147BC5" w14:textId="77777777" w:rsidR="00295952" w:rsidRPr="00232C88" w:rsidRDefault="00295952" w:rsidP="00B2180A">
            <w:pPr>
              <w:pStyle w:val="Applicationdirecte"/>
              <w:spacing w:before="60"/>
              <w:jc w:val="center"/>
            </w:pPr>
            <w:r>
              <w:t>1</w:t>
            </w:r>
          </w:p>
        </w:tc>
        <w:tc>
          <w:tcPr>
            <w:tcW w:w="7604" w:type="dxa"/>
            <w:vAlign w:val="center"/>
          </w:tcPr>
          <w:p w14:paraId="4FDD3332" w14:textId="34430A5B"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 xml:space="preserve">Aanvullende eigenvermogensvereisten van het financieel conglomeraat (bedrag) </w:t>
            </w:r>
          </w:p>
          <w:p w14:paraId="7401DE1A" w14:textId="40167C3D" w:rsidR="00295952" w:rsidRPr="00232C88" w:rsidRDefault="000A3A4A" w:rsidP="00704085">
            <w:pPr>
              <w:spacing w:before="60" w:after="120"/>
              <w:jc w:val="both"/>
              <w:rPr>
                <w:rFonts w:ascii="Times New Roman" w:hAnsi="Times New Roman" w:cs="Times New Roman"/>
                <w:sz w:val="24"/>
              </w:rPr>
            </w:pPr>
            <w:r>
              <w:rPr>
                <w:rFonts w:ascii="Times New Roman" w:hAnsi="Times New Roman"/>
                <w:sz w:val="24"/>
              </w:rPr>
              <w:t>Het bedrag van de aanvullende eigenvermogensvereisten van het financieel conglomeraat, berekend overeenkomstig artikel 6 van Richtlijn (EG) 2002/87</w:t>
            </w:r>
            <w:r w:rsidR="00F515D4" w:rsidRPr="00232C88">
              <w:rPr>
                <w:rStyle w:val="FootnoteReference"/>
                <w:rFonts w:ascii="Times New Roman" w:hAnsi="Times New Roman" w:cs="Times New Roman"/>
              </w:rPr>
              <w:footnoteReference w:id="5"/>
            </w:r>
            <w:r>
              <w:rPr>
                <w:rFonts w:ascii="Times New Roman" w:hAnsi="Times New Roman"/>
                <w:sz w:val="24"/>
              </w:rPr>
              <w:t xml:space="preserve"> van het Europees Parlement en de Raad en bijlage I bij die richtlijn, waarbij de in die bijlage I vastgestelde methode 1 of methode 2 wordt toegepast.</w:t>
            </w:r>
          </w:p>
        </w:tc>
      </w:tr>
      <w:tr w:rsidR="00295952" w:rsidRPr="00232C88" w14:paraId="1857A276" w14:textId="77777777" w:rsidTr="00842C88">
        <w:trPr>
          <w:trHeight w:val="680"/>
        </w:trPr>
        <w:tc>
          <w:tcPr>
            <w:tcW w:w="1435" w:type="dxa"/>
          </w:tcPr>
          <w:p w14:paraId="08626B20" w14:textId="77777777" w:rsidR="00295952" w:rsidRPr="00232C88" w:rsidRDefault="00295952" w:rsidP="00B2180A">
            <w:pPr>
              <w:pStyle w:val="Applicationdirecte"/>
              <w:spacing w:before="60"/>
              <w:jc w:val="center"/>
            </w:pPr>
            <w:r>
              <w:t>2</w:t>
            </w:r>
          </w:p>
        </w:tc>
        <w:tc>
          <w:tcPr>
            <w:tcW w:w="7604" w:type="dxa"/>
            <w:vAlign w:val="center"/>
          </w:tcPr>
          <w:p w14:paraId="42B45BEE" w14:textId="77777777"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Kapitaaltoereikendheidsratio van het financieel conglomeraat (%)</w:t>
            </w:r>
          </w:p>
          <w:p w14:paraId="1C3780DF" w14:textId="2B1ECEB3" w:rsidR="00295952" w:rsidRPr="00232C88" w:rsidRDefault="00295952" w:rsidP="00704085">
            <w:pPr>
              <w:spacing w:before="60" w:after="120"/>
              <w:jc w:val="both"/>
              <w:rPr>
                <w:rFonts w:ascii="Times New Roman" w:hAnsi="Times New Roman" w:cs="Times New Roman"/>
                <w:sz w:val="24"/>
              </w:rPr>
            </w:pPr>
            <w:r>
              <w:rPr>
                <w:rFonts w:ascii="Times New Roman" w:hAnsi="Times New Roman"/>
                <w:sz w:val="24"/>
              </w:rPr>
              <w:t>De kapitaaltoereikendheidsratio van het financieel conglomeraat, berekend overeenkomstig artikel 6 van Richtlijn (EG) 2002/87 en bijlage I bij die richtlijn, waarbij de in die bijlage I vastgestelde methode 1 of methode 2 wordt toegepast.</w:t>
            </w:r>
          </w:p>
        </w:tc>
      </w:tr>
    </w:tbl>
    <w:p w14:paraId="75004C3A" w14:textId="77777777" w:rsidR="00295952" w:rsidRPr="00232C88" w:rsidRDefault="00295952" w:rsidP="00E258D8">
      <w:pPr>
        <w:tabs>
          <w:tab w:val="left" w:pos="1430"/>
        </w:tabs>
        <w:rPr>
          <w:rFonts w:ascii="Times New Roman" w:hAnsi="Times New Roman" w:cs="Times New Roman"/>
          <w:b/>
          <w:sz w:val="24"/>
        </w:rPr>
      </w:pPr>
    </w:p>
    <w:p w14:paraId="2779323A" w14:textId="324B2CE0" w:rsidR="00D15B1C" w:rsidRPr="00232C88" w:rsidRDefault="00D15B1C" w:rsidP="00E258D8">
      <w:pPr>
        <w:tabs>
          <w:tab w:val="left" w:pos="1430"/>
        </w:tabs>
        <w:rPr>
          <w:rFonts w:ascii="Times New Roman" w:hAnsi="Times New Roman" w:cs="Times New Roman"/>
          <w:b/>
          <w:sz w:val="24"/>
        </w:rPr>
      </w:pPr>
      <w:r>
        <w:rPr>
          <w:rFonts w:ascii="Times New Roman" w:hAnsi="Times New Roman"/>
          <w:b/>
          <w:sz w:val="24"/>
        </w:rPr>
        <w:t xml:space="preserve">Tabel EU OVC - Informatie over de interne beoordelingsprocedure inzake de kapitaaltoereikendheid van de instelling (ICAAP). </w:t>
      </w:r>
      <w:r>
        <w:rPr>
          <w:rFonts w:ascii="Times New Roman" w:hAnsi="Times New Roman"/>
          <w:sz w:val="24"/>
        </w:rPr>
        <w:t>Flexibele opmaak.</w:t>
      </w:r>
    </w:p>
    <w:p w14:paraId="6F8896EF" w14:textId="77777777" w:rsidR="00D15B1C" w:rsidRPr="00232C88" w:rsidRDefault="00D15B1C" w:rsidP="00E258D8">
      <w:pPr>
        <w:tabs>
          <w:tab w:val="left" w:pos="1430"/>
        </w:tabs>
        <w:rPr>
          <w:rFonts w:ascii="Times New Roman" w:hAnsi="Times New Roman" w:cs="Times New Roman"/>
          <w:b/>
          <w:sz w:val="24"/>
        </w:rPr>
      </w:pPr>
    </w:p>
    <w:p w14:paraId="6613540B" w14:textId="261E4F52" w:rsidR="00D15B1C" w:rsidRPr="00232C88" w:rsidRDefault="00D15B1C"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Instellingen volgen de onderstaande instructies in deze bijlage voor het invullen van tabel EU OVC, die in bijlage I is opgenomen, bij toepassing van artikel 438, punten a) en c), van Verordening (EU) nr. 575/2013.</w:t>
      </w:r>
    </w:p>
    <w:p w14:paraId="32023AC9" w14:textId="77777777" w:rsidR="00D15B1C" w:rsidRPr="00232C8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232C88" w:rsidRPr="00232C8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232C88" w:rsidRDefault="00D15B1C" w:rsidP="00B2180A">
            <w:pPr>
              <w:rPr>
                <w:rFonts w:ascii="Times New Roman" w:hAnsi="Times New Roman" w:cs="Times New Roman"/>
                <w:b/>
                <w:sz w:val="24"/>
              </w:rPr>
            </w:pPr>
            <w:r>
              <w:rPr>
                <w:rFonts w:ascii="Times New Roman" w:hAnsi="Times New Roman"/>
                <w:b/>
                <w:sz w:val="24"/>
              </w:rPr>
              <w:t>Verwijzingen naar wetgeving en instructies</w:t>
            </w:r>
          </w:p>
        </w:tc>
      </w:tr>
      <w:tr w:rsidR="00232C88" w:rsidRPr="00232C88" w14:paraId="6CAC9422" w14:textId="77777777" w:rsidTr="00842C88">
        <w:trPr>
          <w:trHeight w:val="238"/>
        </w:trPr>
        <w:tc>
          <w:tcPr>
            <w:tcW w:w="1435" w:type="dxa"/>
            <w:shd w:val="clear" w:color="auto" w:fill="D9D9D9" w:themeFill="background1" w:themeFillShade="D9"/>
          </w:tcPr>
          <w:p w14:paraId="090C73F5" w14:textId="77777777" w:rsidR="00D15B1C" w:rsidRPr="00232C8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3DC94017" w14:textId="77777777" w:rsidR="00D15B1C" w:rsidRPr="00232C88" w:rsidRDefault="00D15B1C" w:rsidP="00B2180A">
            <w:pPr>
              <w:autoSpaceDE w:val="0"/>
              <w:autoSpaceDN w:val="0"/>
              <w:adjustRightInd w:val="0"/>
              <w:rPr>
                <w:rFonts w:ascii="Times New Roman" w:hAnsi="Times New Roman" w:cs="Times New Roman"/>
                <w:sz w:val="24"/>
              </w:rPr>
            </w:pPr>
            <w:r>
              <w:rPr>
                <w:rFonts w:ascii="Times New Roman" w:hAnsi="Times New Roman"/>
                <w:b/>
                <w:sz w:val="24"/>
              </w:rPr>
              <w:t>Toelichting</w:t>
            </w:r>
          </w:p>
        </w:tc>
      </w:tr>
      <w:tr w:rsidR="00232C88" w:rsidRPr="00232C88" w14:paraId="53740EA1" w14:textId="77777777" w:rsidTr="00842C88">
        <w:trPr>
          <w:trHeight w:val="680"/>
        </w:trPr>
        <w:tc>
          <w:tcPr>
            <w:tcW w:w="1435" w:type="dxa"/>
          </w:tcPr>
          <w:p w14:paraId="33BBDE21" w14:textId="2466B35E" w:rsidR="00D15B1C" w:rsidRPr="00232C88" w:rsidRDefault="00D85025" w:rsidP="00B2180A">
            <w:pPr>
              <w:pStyle w:val="Applicationdirecte"/>
              <w:spacing w:before="60"/>
              <w:jc w:val="center"/>
            </w:pPr>
            <w:r>
              <w:t>a)</w:t>
            </w:r>
          </w:p>
        </w:tc>
        <w:tc>
          <w:tcPr>
            <w:tcW w:w="7604" w:type="dxa"/>
            <w:vAlign w:val="center"/>
          </w:tcPr>
          <w:p w14:paraId="4945628B" w14:textId="41ECE8DA"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Benadering om te beoordelen of hun intern kapitaal toereikend is.</w:t>
            </w:r>
          </w:p>
          <w:p w14:paraId="05E23E13" w14:textId="77777777" w:rsidR="00D15B1C" w:rsidRPr="00232C88" w:rsidRDefault="00B05624" w:rsidP="00B05624">
            <w:pPr>
              <w:spacing w:before="60" w:after="120"/>
              <w:jc w:val="both"/>
              <w:rPr>
                <w:rFonts w:ascii="Times New Roman" w:hAnsi="Times New Roman" w:cs="Times New Roman"/>
                <w:sz w:val="24"/>
              </w:rPr>
            </w:pPr>
            <w:r>
              <w:rPr>
                <w:rFonts w:ascii="Times New Roman" w:hAnsi="Times New Roman"/>
                <w:sz w:val="24"/>
              </w:rPr>
              <w:t>Instellingen maken een samenvatting openbaar van hun benadering om te beoordelen of hun intern kapitaal toereikend is om huidige en toekomstige activiteiten te ondersteunen.</w:t>
            </w:r>
          </w:p>
        </w:tc>
      </w:tr>
      <w:tr w:rsidR="00D15B1C" w:rsidRPr="00232C88" w14:paraId="3EB24671" w14:textId="77777777" w:rsidTr="00842C88">
        <w:trPr>
          <w:trHeight w:val="680"/>
        </w:trPr>
        <w:tc>
          <w:tcPr>
            <w:tcW w:w="1435" w:type="dxa"/>
          </w:tcPr>
          <w:p w14:paraId="26622B61" w14:textId="577E7939" w:rsidR="00D15B1C" w:rsidRPr="00232C88" w:rsidRDefault="00D85025" w:rsidP="00B2180A">
            <w:pPr>
              <w:pStyle w:val="Applicationdirecte"/>
              <w:spacing w:before="60"/>
              <w:jc w:val="center"/>
            </w:pPr>
            <w:r>
              <w:t>b)</w:t>
            </w:r>
          </w:p>
        </w:tc>
        <w:tc>
          <w:tcPr>
            <w:tcW w:w="7604" w:type="dxa"/>
            <w:vAlign w:val="center"/>
          </w:tcPr>
          <w:p w14:paraId="1F26E981" w14:textId="2FD580C4"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Op verzoek van de betrokken bevoegde autoriteit, het resultaat van de interne beoordelingsprocedure inzake de kapitaaltoereikendheid van de instelling</w:t>
            </w:r>
          </w:p>
          <w:p w14:paraId="32D8B55C" w14:textId="77777777" w:rsidR="00D15B1C" w:rsidRPr="00232C88" w:rsidRDefault="00B05624" w:rsidP="00B2180A">
            <w:pPr>
              <w:spacing w:before="60" w:after="120"/>
              <w:jc w:val="both"/>
              <w:rPr>
                <w:rFonts w:ascii="Times New Roman" w:hAnsi="Times New Roman" w:cs="Times New Roman"/>
                <w:sz w:val="24"/>
              </w:rPr>
            </w:pPr>
            <w:r>
              <w:rPr>
                <w:rFonts w:ascii="Times New Roman" w:hAnsi="Times New Roman"/>
                <w:sz w:val="24"/>
              </w:rPr>
              <w:t>Deze informatie wordt alleen openbaar gemaakt door instellingen wanneer de betrokken bevoegde autoriteit daarom verzoekt.</w:t>
            </w:r>
          </w:p>
        </w:tc>
      </w:tr>
    </w:tbl>
    <w:p w14:paraId="10DD1F8C" w14:textId="28F606EF" w:rsidR="00203C1C" w:rsidRPr="00232C88" w:rsidRDefault="00203C1C">
      <w:pPr>
        <w:rPr>
          <w:rFonts w:ascii="Times New Roman" w:hAnsi="Times New Roman" w:cs="Times New Roman"/>
          <w:b/>
          <w:sz w:val="24"/>
        </w:rPr>
      </w:pPr>
    </w:p>
    <w:p w14:paraId="5A44B512" w14:textId="6E4279E1" w:rsidR="00DC2C46" w:rsidRPr="00232C88" w:rsidRDefault="00DC2C46" w:rsidP="00DC2C46">
      <w:pPr>
        <w:spacing w:after="120"/>
        <w:jc w:val="both"/>
        <w:rPr>
          <w:rFonts w:ascii="Times New Roman" w:hAnsi="Times New Roman" w:cs="Times New Roman"/>
          <w:sz w:val="24"/>
        </w:rPr>
      </w:pPr>
      <w:r>
        <w:rPr>
          <w:rFonts w:ascii="Times New Roman" w:hAnsi="Times New Roman"/>
          <w:b/>
          <w:sz w:val="24"/>
        </w:rPr>
        <w:t xml:space="preserve">Template EU CMS1 — Vergelijking van gemodelleerde en gestandaardiseerde risicogewogen posten op risiconiveau. </w:t>
      </w:r>
      <w:r>
        <w:rPr>
          <w:rFonts w:ascii="Times New Roman" w:hAnsi="Times New Roman"/>
          <w:sz w:val="24"/>
        </w:rPr>
        <w:t>Vaste opmaak.</w:t>
      </w:r>
    </w:p>
    <w:p w14:paraId="36DAA287" w14:textId="6AC070E1" w:rsidR="0084180E" w:rsidRPr="00232C88" w:rsidRDefault="00DC2C46"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Instellingen volgen de onderstaande instructies in deze bijlage voor het invullen van template EU CMS1, die in bijlage I is opgenomen, bij toepassing van artikel 438, punten d en d bis), van Verordening (EU) nr. 575/2013.</w:t>
      </w:r>
    </w:p>
    <w:p w14:paraId="57705F0E" w14:textId="35F79DC6" w:rsidR="00E86C14" w:rsidRPr="00232C88" w:rsidRDefault="00E86C14" w:rsidP="00F83255">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Deze template wordt alleen openbaargemaakt door instellingen die gebruikmaken van een door de bevoegde autoriteit goedgekeurd intern model voor de berekening van risicogewogen posten en die niet onder de vrijstelling van artikel 92, lid 3, tweede alinea, van Verordening (EU) nr. 575/2013 vallen.</w:t>
      </w:r>
    </w:p>
    <w:p w14:paraId="022B4D4D" w14:textId="5C9C14ED" w:rsidR="009E1A3F" w:rsidRPr="00232C88" w:rsidRDefault="0064438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Instellingen leggen, in voorkomend geval, in de toelichting bij de template de gevolgen voor de berekening van het eigen vermogen en de risicogewogen posten uit die voortvloeien uit de toepassing van kapitaalvloeren en het niet in mindering brengen van bestanddelen op het eigen vermogen.</w:t>
      </w:r>
    </w:p>
    <w:p w14:paraId="2DEA712B" w14:textId="0B1ED4FA" w:rsidR="00644388" w:rsidRPr="00232C88" w:rsidRDefault="00D0704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 xml:space="preserve">Indien de IRB-blootstellingen overeenkomstig de instructies hieronder op de rijen zijn uitgesloten van hun IRB-blootstellingscategorieën en openbaar zijn gemaakt in een van de blootstellingscategorieën van de standaardbenadering die in de template zijn opgenomen, specificeren instellingen bovendien in de bijbehorende beschrijving hun oorspronkelijke IRB-blootstellingscategorieën. </w:t>
      </w:r>
    </w:p>
    <w:p w14:paraId="7F5020E2" w14:textId="77777777" w:rsidR="004E19D2" w:rsidRPr="00842C88"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435"/>
        <w:gridCol w:w="7604"/>
      </w:tblGrid>
      <w:tr w:rsidR="00232C88" w:rsidRPr="00232C88" w14:paraId="0E2D180A"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232C88" w:rsidRDefault="0090729F" w:rsidP="00842C88">
            <w:pPr>
              <w:pageBreakBefore/>
              <w:rPr>
                <w:rFonts w:ascii="Times New Roman" w:hAnsi="Times New Roman" w:cs="Times New Roman"/>
                <w:b/>
                <w:sz w:val="24"/>
              </w:rPr>
            </w:pPr>
            <w:r>
              <w:rPr>
                <w:rFonts w:ascii="Times New Roman" w:hAnsi="Times New Roman"/>
                <w:b/>
                <w:sz w:val="24"/>
              </w:rPr>
              <w:lastRenderedPageBreak/>
              <w:t>Verwijzingen naar wetgeving en instructies</w:t>
            </w:r>
          </w:p>
        </w:tc>
      </w:tr>
      <w:tr w:rsidR="00232C88" w:rsidRPr="00232C88" w14:paraId="4FE9F154" w14:textId="77777777" w:rsidTr="00842C88">
        <w:trPr>
          <w:trHeight w:val="238"/>
        </w:trPr>
        <w:tc>
          <w:tcPr>
            <w:tcW w:w="1435" w:type="dxa"/>
            <w:shd w:val="clear" w:color="auto" w:fill="D9D9D9" w:themeFill="background1" w:themeFillShade="D9"/>
          </w:tcPr>
          <w:p w14:paraId="38DC7ECC" w14:textId="741704A1" w:rsidR="0090729F" w:rsidRPr="00232C88" w:rsidRDefault="0090729F" w:rsidP="00AF3FBC">
            <w:pPr>
              <w:autoSpaceDE w:val="0"/>
              <w:autoSpaceDN w:val="0"/>
              <w:adjustRightInd w:val="0"/>
              <w:rPr>
                <w:rFonts w:ascii="Times New Roman" w:hAnsi="Times New Roman" w:cs="Times New Roman"/>
                <w:b/>
                <w:sz w:val="24"/>
              </w:rPr>
            </w:pPr>
            <w:r>
              <w:rPr>
                <w:rFonts w:ascii="Times New Roman" w:hAnsi="Times New Roman"/>
                <w:b/>
                <w:sz w:val="24"/>
              </w:rPr>
              <w:t>Nummer kolom</w:t>
            </w:r>
          </w:p>
        </w:tc>
        <w:tc>
          <w:tcPr>
            <w:tcW w:w="7604" w:type="dxa"/>
            <w:shd w:val="clear" w:color="auto" w:fill="D9D9D9" w:themeFill="background1" w:themeFillShade="D9"/>
          </w:tcPr>
          <w:p w14:paraId="7DF92C07" w14:textId="77777777" w:rsidR="0090729F" w:rsidRPr="00232C88" w:rsidRDefault="0090729F" w:rsidP="00AF3FBC">
            <w:pPr>
              <w:autoSpaceDE w:val="0"/>
              <w:autoSpaceDN w:val="0"/>
              <w:adjustRightInd w:val="0"/>
              <w:rPr>
                <w:rFonts w:ascii="Times New Roman" w:hAnsi="Times New Roman" w:cs="Times New Roman"/>
                <w:sz w:val="24"/>
              </w:rPr>
            </w:pPr>
            <w:r>
              <w:rPr>
                <w:rFonts w:ascii="Times New Roman" w:hAnsi="Times New Roman"/>
                <w:b/>
                <w:sz w:val="24"/>
              </w:rPr>
              <w:t>Toelichting</w:t>
            </w:r>
          </w:p>
        </w:tc>
      </w:tr>
      <w:tr w:rsidR="00232C88" w:rsidRPr="00232C88" w14:paraId="74E16454" w14:textId="77777777" w:rsidTr="00842C88">
        <w:trPr>
          <w:trHeight w:val="680"/>
        </w:trPr>
        <w:tc>
          <w:tcPr>
            <w:tcW w:w="1435" w:type="dxa"/>
          </w:tcPr>
          <w:p w14:paraId="33EF7E61" w14:textId="790317FD" w:rsidR="00351A65" w:rsidRPr="00232C88" w:rsidRDefault="00351A65" w:rsidP="0028295F">
            <w:pPr>
              <w:pStyle w:val="Applicationdirecte"/>
              <w:spacing w:before="60"/>
              <w:jc w:val="center"/>
            </w:pPr>
            <w:r>
              <w:t>a</w:t>
            </w:r>
          </w:p>
        </w:tc>
        <w:tc>
          <w:tcPr>
            <w:tcW w:w="7604" w:type="dxa"/>
            <w:vAlign w:val="center"/>
          </w:tcPr>
          <w:p w14:paraId="0166BCE4" w14:textId="3E30296F"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 xml:space="preserve">Risicogewogen posten voor gemodelleerde benaderingen die instellingen van de toezichthouder mogen gebruiken </w:t>
            </w:r>
          </w:p>
          <w:p w14:paraId="1E62CED4" w14:textId="7081BEE8" w:rsidR="00351A65" w:rsidRPr="00232C88" w:rsidRDefault="00950346" w:rsidP="00950346">
            <w:pPr>
              <w:spacing w:before="60" w:after="120"/>
              <w:jc w:val="both"/>
              <w:rPr>
                <w:rFonts w:ascii="Times New Roman" w:hAnsi="Times New Roman" w:cs="Times New Roman"/>
                <w:sz w:val="24"/>
              </w:rPr>
            </w:pPr>
            <w:r>
              <w:rPr>
                <w:rFonts w:ascii="Times New Roman" w:hAnsi="Times New Roman"/>
                <w:sz w:val="24"/>
              </w:rPr>
              <w:t>Deel van de risicogewogen posten berekend met interne modellen die door de bevoegde autoriteit zijn goedgekeurd.</w:t>
            </w:r>
          </w:p>
        </w:tc>
      </w:tr>
      <w:tr w:rsidR="00232C88" w:rsidRPr="00232C88" w14:paraId="1A199F0E" w14:textId="77777777" w:rsidTr="00842C88">
        <w:trPr>
          <w:trHeight w:val="680"/>
        </w:trPr>
        <w:tc>
          <w:tcPr>
            <w:tcW w:w="1435" w:type="dxa"/>
          </w:tcPr>
          <w:p w14:paraId="385C4F72" w14:textId="40314A24" w:rsidR="00351A65" w:rsidRPr="00232C88" w:rsidRDefault="00351A65" w:rsidP="00351A65">
            <w:pPr>
              <w:pStyle w:val="Applicationdirecte"/>
              <w:spacing w:before="60"/>
              <w:jc w:val="center"/>
            </w:pPr>
            <w:r>
              <w:t>b</w:t>
            </w:r>
          </w:p>
          <w:p w14:paraId="78AEC7BE" w14:textId="100929C8" w:rsidR="00351A65" w:rsidRPr="00232C88" w:rsidRDefault="00351A65" w:rsidP="00351A65">
            <w:pPr>
              <w:pStyle w:val="Applicationdirecte"/>
              <w:spacing w:before="60"/>
              <w:jc w:val="center"/>
            </w:pPr>
          </w:p>
        </w:tc>
        <w:tc>
          <w:tcPr>
            <w:tcW w:w="7604" w:type="dxa"/>
          </w:tcPr>
          <w:p w14:paraId="486091D8"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Risicogewogen posten voor portefeuilles waarbij standaardbenaderingen worden gebruikt</w:t>
            </w:r>
          </w:p>
          <w:p w14:paraId="6431BFCE" w14:textId="53947197" w:rsidR="00351A65" w:rsidRPr="00232C88" w:rsidRDefault="00950346" w:rsidP="00950346">
            <w:pPr>
              <w:spacing w:before="60" w:after="120"/>
              <w:jc w:val="both"/>
              <w:rPr>
                <w:rFonts w:ascii="Times New Roman" w:hAnsi="Times New Roman" w:cs="Times New Roman"/>
                <w:b/>
                <w:sz w:val="24"/>
              </w:rPr>
            </w:pPr>
            <w:r>
              <w:rPr>
                <w:rFonts w:ascii="Times New Roman" w:hAnsi="Times New Roman"/>
                <w:sz w:val="24"/>
              </w:rPr>
              <w:t>Deel van de risicogewogen posten berekend volgens standaardbenaderingen.</w:t>
            </w:r>
          </w:p>
        </w:tc>
      </w:tr>
      <w:tr w:rsidR="00232C88" w:rsidRPr="00232C88" w14:paraId="692C5268" w14:textId="77777777" w:rsidTr="00842C88">
        <w:trPr>
          <w:trHeight w:val="680"/>
        </w:trPr>
        <w:tc>
          <w:tcPr>
            <w:tcW w:w="1435" w:type="dxa"/>
          </w:tcPr>
          <w:p w14:paraId="47D9BD13" w14:textId="6C0E8653" w:rsidR="00351A65" w:rsidRPr="00232C88" w:rsidRDefault="00351A65" w:rsidP="00351A65">
            <w:pPr>
              <w:pStyle w:val="Applicationdirecte"/>
              <w:spacing w:before="60"/>
              <w:jc w:val="center"/>
            </w:pPr>
            <w:r>
              <w:t>c</w:t>
            </w:r>
          </w:p>
        </w:tc>
        <w:tc>
          <w:tcPr>
            <w:tcW w:w="7604" w:type="dxa"/>
          </w:tcPr>
          <w:p w14:paraId="6D88AF07" w14:textId="76468D2A" w:rsidR="00351A65" w:rsidRPr="00232C88" w:rsidRDefault="004E19D2" w:rsidP="00351A65">
            <w:pPr>
              <w:spacing w:before="60" w:after="120"/>
              <w:jc w:val="both"/>
              <w:rPr>
                <w:rFonts w:ascii="Times New Roman" w:hAnsi="Times New Roman" w:cs="Times New Roman"/>
                <w:b/>
                <w:sz w:val="24"/>
              </w:rPr>
            </w:pPr>
            <w:r>
              <w:rPr>
                <w:rFonts w:ascii="Times New Roman" w:hAnsi="Times New Roman"/>
                <w:b/>
                <w:sz w:val="24"/>
              </w:rPr>
              <w:t xml:space="preserve">Totaal werkelijke risicogewogen posten </w:t>
            </w:r>
          </w:p>
          <w:p w14:paraId="07374A49" w14:textId="776C8579" w:rsidR="00351A65" w:rsidRPr="00232C88" w:rsidRDefault="00E86C14" w:rsidP="00E86C14">
            <w:pPr>
              <w:spacing w:before="60" w:after="120"/>
              <w:jc w:val="both"/>
              <w:rPr>
                <w:rFonts w:ascii="Times New Roman" w:hAnsi="Times New Roman" w:cs="Times New Roman"/>
                <w:sz w:val="24"/>
              </w:rPr>
            </w:pPr>
            <w:r>
              <w:rPr>
                <w:rFonts w:ascii="Times New Roman" w:hAnsi="Times New Roman"/>
                <w:sz w:val="24"/>
              </w:rPr>
              <w:t xml:space="preserve">Som van de kolommen a en b; d.w.z. risicogewogen posten die instellingen rapporteren in het kader van de toepasselijke benaderingen. De totale werkelijke risicogewogen posten die in rij 8 worden vermeld, vertegenwoordigen het bedrag vóór de aanpassing van de output floor. </w:t>
            </w:r>
          </w:p>
        </w:tc>
      </w:tr>
      <w:tr w:rsidR="00232C88" w:rsidRPr="00232C88" w14:paraId="4F847923" w14:textId="77777777" w:rsidTr="00842C88">
        <w:trPr>
          <w:trHeight w:val="680"/>
        </w:trPr>
        <w:tc>
          <w:tcPr>
            <w:tcW w:w="1435" w:type="dxa"/>
            <w:vAlign w:val="center"/>
          </w:tcPr>
          <w:p w14:paraId="5A78FA97" w14:textId="03520D20" w:rsidR="00351A65" w:rsidRPr="00232C88" w:rsidRDefault="00351A65" w:rsidP="00351A65">
            <w:pPr>
              <w:pStyle w:val="Applicationdirecte"/>
              <w:spacing w:before="60"/>
              <w:jc w:val="center"/>
            </w:pPr>
            <w:r>
              <w:t>d</w:t>
            </w:r>
          </w:p>
        </w:tc>
        <w:tc>
          <w:tcPr>
            <w:tcW w:w="7604" w:type="dxa"/>
          </w:tcPr>
          <w:p w14:paraId="7278E918"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Risicogewogen posten berekend met behulp van de volledige standaardbenadering</w:t>
            </w:r>
          </w:p>
          <w:p w14:paraId="483ED9BD" w14:textId="77777777" w:rsidR="00DD7C7A" w:rsidRDefault="6016A13E" w:rsidP="4D769726">
            <w:pPr>
              <w:spacing w:before="60" w:after="120"/>
              <w:jc w:val="both"/>
              <w:rPr>
                <w:rFonts w:ascii="Times New Roman" w:hAnsi="Times New Roman" w:cs="Times New Roman"/>
                <w:sz w:val="24"/>
              </w:rPr>
            </w:pPr>
            <w:r>
              <w:rPr>
                <w:rFonts w:ascii="Times New Roman" w:hAnsi="Times New Roman"/>
                <w:sz w:val="24"/>
              </w:rPr>
              <w:t xml:space="preserve">Risicogewogen posten voor het vergelijken van de volledige gestandaardiseerde risicogewogen activa (S-TREA) met gemodelleerde risicogewogen posten die banken van de toezichthouder mogen gebruiken conform het Bazelse kader en zoals vereist op grond van artikel 438, punt d bis), van Verordening (EU) nr. 575/2013. </w:t>
            </w:r>
          </w:p>
          <w:p w14:paraId="6908EE47" w14:textId="0FF1BF26"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 xml:space="preserve">Instellingen maken de overeenkomstig artikel 92, leden 5 en 6, van Verordening (EU) nr. 575/2013 berekende risicogewogen posten openbaar zonder de overgangsbepalingen van artikel 465 van Verordening (EU) nr. 575/2013 toe te passen. </w:t>
            </w:r>
          </w:p>
          <w:p w14:paraId="2EB5B6F5" w14:textId="6F0B8F59" w:rsidR="00AB10CF" w:rsidRPr="00232C88" w:rsidRDefault="00AB10CF" w:rsidP="4D769726">
            <w:pPr>
              <w:spacing w:before="60" w:after="120"/>
              <w:jc w:val="both"/>
              <w:rPr>
                <w:rFonts w:ascii="Times New Roman" w:hAnsi="Times New Roman" w:cs="Times New Roman"/>
                <w:sz w:val="24"/>
              </w:rPr>
            </w:pPr>
            <w:r>
              <w:rPr>
                <w:rFonts w:ascii="Times New Roman" w:hAnsi="Times New Roman"/>
                <w:sz w:val="24"/>
              </w:rPr>
              <w:t>Het in rij 8 vermelde totale bedrag vormt de basis voor de berekening van de output floor aan het einde van de overgangsperiode voor de output floor.</w:t>
            </w:r>
          </w:p>
          <w:p w14:paraId="6E324A98" w14:textId="3B49151E" w:rsidR="00AF5BD3" w:rsidRPr="00232C88" w:rsidRDefault="00AF5BD3" w:rsidP="673610D2">
            <w:pPr>
              <w:spacing w:before="60" w:after="120"/>
              <w:jc w:val="both"/>
              <w:rPr>
                <w:rFonts w:ascii="Times New Roman" w:hAnsi="Times New Roman" w:cs="Times New Roman"/>
                <w:b/>
                <w:bCs/>
                <w:sz w:val="24"/>
              </w:rPr>
            </w:pPr>
          </w:p>
        </w:tc>
      </w:tr>
      <w:tr w:rsidR="00232C88" w:rsidRPr="00232C88" w14:paraId="668E4F82" w14:textId="77777777" w:rsidTr="00842C88">
        <w:trPr>
          <w:trHeight w:val="680"/>
        </w:trPr>
        <w:tc>
          <w:tcPr>
            <w:tcW w:w="1435" w:type="dxa"/>
            <w:vAlign w:val="center"/>
          </w:tcPr>
          <w:p w14:paraId="5C689C2C" w14:textId="3FE2D0D9" w:rsidR="00351A65" w:rsidRPr="00232C88" w:rsidRDefault="00351A65" w:rsidP="00351A65">
            <w:pPr>
              <w:pStyle w:val="Applicationdirecte"/>
              <w:spacing w:before="60"/>
              <w:jc w:val="center"/>
            </w:pPr>
            <w:r>
              <w:t>EU d</w:t>
            </w:r>
          </w:p>
        </w:tc>
        <w:tc>
          <w:tcPr>
            <w:tcW w:w="7604" w:type="dxa"/>
          </w:tcPr>
          <w:p w14:paraId="70A478AA" w14:textId="2F80B1F8" w:rsidR="00351A65" w:rsidRPr="00232C88" w:rsidRDefault="00351A65" w:rsidP="75135BB5">
            <w:pPr>
              <w:spacing w:before="60" w:after="120"/>
              <w:jc w:val="both"/>
              <w:rPr>
                <w:rFonts w:ascii="Times New Roman" w:hAnsi="Times New Roman" w:cs="Times New Roman"/>
                <w:b/>
                <w:bCs/>
                <w:sz w:val="24"/>
              </w:rPr>
            </w:pPr>
            <w:r>
              <w:rPr>
                <w:rFonts w:ascii="Times New Roman" w:hAnsi="Times New Roman"/>
                <w:b/>
                <w:sz w:val="24"/>
              </w:rPr>
              <w:t xml:space="preserve">Risicogewogen posten die de basis vormen van de output floor </w:t>
            </w:r>
          </w:p>
          <w:p w14:paraId="4BA6D902" w14:textId="43F99074" w:rsidR="00F35EA5" w:rsidRPr="00232C88" w:rsidRDefault="6FD90119" w:rsidP="4D769726">
            <w:pPr>
              <w:spacing w:before="60" w:after="120"/>
              <w:jc w:val="both"/>
              <w:rPr>
                <w:rFonts w:ascii="Times New Roman" w:hAnsi="Times New Roman" w:cs="Times New Roman"/>
                <w:sz w:val="24"/>
              </w:rPr>
            </w:pPr>
            <w:r>
              <w:rPr>
                <w:rFonts w:ascii="Times New Roman" w:hAnsi="Times New Roman"/>
                <w:sz w:val="24"/>
              </w:rPr>
              <w:t xml:space="preserve">Risicogewogen posten voor het verschaffen van de grondslag voor de berekening van de output floor, overeenkomstig artikel 438, punt d), van Verordening (EU) nr. 575/2013. Instellingen maken de overeenkomstig artikel 92, leden 5 en 6, van Verordening (EU) nr. 575/2013 berekende risicogewogen posten openbaar na de overgangsbepalingen van artikel 465 van Verordening (EU) nr. 575/2013 toe te passen. </w:t>
            </w:r>
          </w:p>
          <w:p w14:paraId="6AB6AEED" w14:textId="2212DB1A" w:rsidR="00351A65" w:rsidRPr="00232C88" w:rsidRDefault="00C83C5F" w:rsidP="673610D2">
            <w:pPr>
              <w:spacing w:before="60" w:after="120"/>
              <w:jc w:val="both"/>
              <w:rPr>
                <w:rFonts w:ascii="Times New Roman" w:hAnsi="Times New Roman" w:cs="Times New Roman"/>
                <w:sz w:val="24"/>
              </w:rPr>
            </w:pPr>
            <w:r>
              <w:rPr>
                <w:rFonts w:ascii="Times New Roman" w:hAnsi="Times New Roman"/>
                <w:sz w:val="24"/>
              </w:rPr>
              <w:t xml:space="preserve">Het in rij 8 vermelde totale bedrag van risicogewogen posten vormt de basis voor de berekening van de output floor. </w:t>
            </w:r>
          </w:p>
          <w:p w14:paraId="343C355A" w14:textId="1C3BCD00" w:rsidR="00C83C5F" w:rsidRPr="00842C88" w:rsidRDefault="00C83C5F" w:rsidP="00A26EB4">
            <w:pPr>
              <w:spacing w:before="60" w:after="120"/>
              <w:jc w:val="both"/>
              <w:rPr>
                <w:rFonts w:ascii="Times New Roman" w:hAnsi="Times New Roman" w:cs="Times New Roman"/>
                <w:b/>
                <w:sz w:val="24"/>
              </w:rPr>
            </w:pPr>
          </w:p>
        </w:tc>
      </w:tr>
      <w:tr w:rsidR="00232C88" w:rsidRPr="00232C88"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232C88" w:rsidRDefault="00351A65" w:rsidP="00842C88">
            <w:pPr>
              <w:pageBreakBefore/>
              <w:rPr>
                <w:rFonts w:ascii="Times New Roman" w:hAnsi="Times New Roman" w:cs="Times New Roman"/>
                <w:b/>
                <w:sz w:val="24"/>
              </w:rPr>
            </w:pPr>
            <w:r>
              <w:rPr>
                <w:rFonts w:ascii="Times New Roman" w:hAnsi="Times New Roman"/>
                <w:b/>
                <w:sz w:val="24"/>
              </w:rPr>
              <w:lastRenderedPageBreak/>
              <w:t>Verwijzingen naar wetgeving en instructies</w:t>
            </w:r>
          </w:p>
        </w:tc>
      </w:tr>
      <w:tr w:rsidR="00232C88" w:rsidRPr="00232C88" w14:paraId="6201DAB0" w14:textId="77777777" w:rsidTr="00842C88">
        <w:trPr>
          <w:trHeight w:val="238"/>
        </w:trPr>
        <w:tc>
          <w:tcPr>
            <w:tcW w:w="1435" w:type="dxa"/>
            <w:shd w:val="clear" w:color="auto" w:fill="D9D9D9" w:themeFill="background1" w:themeFillShade="D9"/>
          </w:tcPr>
          <w:p w14:paraId="26A77A2E" w14:textId="77777777" w:rsidR="00351A65" w:rsidRPr="00232C88" w:rsidRDefault="00351A65" w:rsidP="00351A65">
            <w:pPr>
              <w:autoSpaceDE w:val="0"/>
              <w:autoSpaceDN w:val="0"/>
              <w:adjustRightInd w:val="0"/>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020702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Toelichting</w:t>
            </w:r>
          </w:p>
        </w:tc>
      </w:tr>
      <w:tr w:rsidR="00232C88" w:rsidRPr="00232C88" w14:paraId="2FD7990F" w14:textId="77777777" w:rsidTr="00842C88">
        <w:trPr>
          <w:trHeight w:val="680"/>
        </w:trPr>
        <w:tc>
          <w:tcPr>
            <w:tcW w:w="1435" w:type="dxa"/>
          </w:tcPr>
          <w:p w14:paraId="7C2F88B3" w14:textId="62EE5DCF" w:rsidR="00351A65" w:rsidRPr="00232C88" w:rsidRDefault="00351A65" w:rsidP="00351A65">
            <w:pPr>
              <w:pStyle w:val="Applicationdirecte"/>
              <w:spacing w:before="60"/>
              <w:jc w:val="center"/>
            </w:pPr>
            <w:r>
              <w:t>1</w:t>
            </w:r>
          </w:p>
        </w:tc>
        <w:tc>
          <w:tcPr>
            <w:tcW w:w="7604" w:type="dxa"/>
            <w:vAlign w:val="center"/>
          </w:tcPr>
          <w:p w14:paraId="6BE15844"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Kredietrisico (exclusief tegenpartijkredietrisico)</w:t>
            </w:r>
          </w:p>
          <w:p w14:paraId="6FB93949" w14:textId="4AA3D61D" w:rsidR="00351A65" w:rsidRPr="00232C88" w:rsidRDefault="71B55015" w:rsidP="4D769726">
            <w:pPr>
              <w:spacing w:before="60" w:after="120"/>
              <w:jc w:val="both"/>
              <w:rPr>
                <w:rFonts w:ascii="Times New Roman" w:hAnsi="Times New Roman" w:cs="Times New Roman"/>
                <w:sz w:val="24"/>
              </w:rPr>
            </w:pPr>
            <w:r>
              <w:rPr>
                <w:rFonts w:ascii="Times New Roman" w:hAnsi="Times New Roman"/>
                <w:sz w:val="24"/>
              </w:rPr>
              <w:t>De risicogewogen posten berekend overeenkomstig deel drie, titel II, hoofdstukken 1 tot en met 4, van Verordening (EU) nr. 575/2013.</w:t>
            </w:r>
          </w:p>
        </w:tc>
      </w:tr>
      <w:tr w:rsidR="00232C88" w:rsidRPr="00232C88" w14:paraId="05203C86" w14:textId="77777777" w:rsidTr="00842C88">
        <w:trPr>
          <w:trHeight w:val="680"/>
        </w:trPr>
        <w:tc>
          <w:tcPr>
            <w:tcW w:w="1435" w:type="dxa"/>
          </w:tcPr>
          <w:p w14:paraId="7D17B1E2" w14:textId="486C4BD0" w:rsidR="00351A65" w:rsidRPr="00232C88" w:rsidRDefault="00351A65" w:rsidP="00254EDB">
            <w:pPr>
              <w:pStyle w:val="Fait"/>
              <w:jc w:val="center"/>
            </w:pPr>
            <w:r>
              <w:t>2</w:t>
            </w:r>
          </w:p>
        </w:tc>
        <w:tc>
          <w:tcPr>
            <w:tcW w:w="7604" w:type="dxa"/>
          </w:tcPr>
          <w:p w14:paraId="193663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Tegenpartijkredietrisico</w:t>
            </w:r>
          </w:p>
          <w:p w14:paraId="3182E1E1" w14:textId="33BA5B0B" w:rsidR="00351A65"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De risicogewogen posten berekend overeenkomstig deel drie, titel II, hoofdstuk 6, van Verordening (EU) nr. 575/2013.</w:t>
            </w:r>
          </w:p>
        </w:tc>
      </w:tr>
      <w:tr w:rsidR="00232C88" w:rsidRPr="00232C88" w14:paraId="0E67419A" w14:textId="77777777" w:rsidTr="00842C88">
        <w:trPr>
          <w:trHeight w:val="436"/>
        </w:trPr>
        <w:tc>
          <w:tcPr>
            <w:tcW w:w="1435" w:type="dxa"/>
          </w:tcPr>
          <w:p w14:paraId="40BE949B" w14:textId="7E78931F" w:rsidR="00351A65" w:rsidRPr="00232C88" w:rsidRDefault="00351A65" w:rsidP="00351A65">
            <w:pPr>
              <w:pStyle w:val="Applicationdirecte"/>
              <w:spacing w:before="60"/>
              <w:jc w:val="center"/>
            </w:pPr>
            <w:r>
              <w:t>3</w:t>
            </w:r>
          </w:p>
        </w:tc>
        <w:tc>
          <w:tcPr>
            <w:tcW w:w="7604" w:type="dxa"/>
          </w:tcPr>
          <w:p w14:paraId="6CFEBE25"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Aanpassing van de kredietwaardering</w:t>
            </w:r>
          </w:p>
          <w:p w14:paraId="4656E3A0" w14:textId="3193E711" w:rsidR="005B7CFD"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De risicogewogen posten berekend overeenkomstig deel drie, titel VI, van Verordening (EU) nr. 575/2013.</w:t>
            </w:r>
          </w:p>
        </w:tc>
      </w:tr>
      <w:tr w:rsidR="00232C88" w:rsidRPr="00232C88" w14:paraId="37A8BA3A" w14:textId="77777777" w:rsidTr="00842C88">
        <w:trPr>
          <w:trHeight w:val="557"/>
        </w:trPr>
        <w:tc>
          <w:tcPr>
            <w:tcW w:w="1435" w:type="dxa"/>
          </w:tcPr>
          <w:p w14:paraId="2A4C6792" w14:textId="1C7FA820" w:rsidR="00351A65" w:rsidRPr="00232C88" w:rsidRDefault="00351A65" w:rsidP="00351A65">
            <w:pPr>
              <w:pStyle w:val="Applicationdirecte"/>
              <w:spacing w:before="60"/>
              <w:jc w:val="center"/>
            </w:pPr>
            <w:r>
              <w:t>4</w:t>
            </w:r>
          </w:p>
        </w:tc>
        <w:tc>
          <w:tcPr>
            <w:tcW w:w="7604" w:type="dxa"/>
          </w:tcPr>
          <w:p w14:paraId="25F6392F"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Securitisatieblootstellingen in de bankportefeuille</w:t>
            </w:r>
          </w:p>
          <w:p w14:paraId="12148115" w14:textId="25CD441A" w:rsidR="005B7CFD" w:rsidRPr="00232C88" w:rsidRDefault="71B55015" w:rsidP="4D769726">
            <w:pPr>
              <w:spacing w:before="60" w:after="120"/>
              <w:jc w:val="both"/>
              <w:rPr>
                <w:rFonts w:ascii="Times New Roman" w:hAnsi="Times New Roman" w:cs="Times New Roman"/>
                <w:sz w:val="24"/>
              </w:rPr>
            </w:pPr>
            <w:r>
              <w:rPr>
                <w:rFonts w:ascii="Times New Roman" w:hAnsi="Times New Roman"/>
                <w:sz w:val="24"/>
              </w:rPr>
              <w:t>De risicogewogen posten berekend overeenkomstig deel drie, titel II, hoofdstuk 5, van Verordening (EU) nr. 575/2013.</w:t>
            </w:r>
          </w:p>
        </w:tc>
      </w:tr>
      <w:tr w:rsidR="00232C88" w:rsidRPr="00232C88" w14:paraId="37C41D09" w14:textId="77777777" w:rsidTr="00842C88">
        <w:trPr>
          <w:trHeight w:val="557"/>
        </w:trPr>
        <w:tc>
          <w:tcPr>
            <w:tcW w:w="1435" w:type="dxa"/>
          </w:tcPr>
          <w:p w14:paraId="5EFD145E" w14:textId="230E71D0" w:rsidR="00351A65" w:rsidRPr="00232C88" w:rsidRDefault="00351A65" w:rsidP="00351A65">
            <w:pPr>
              <w:pStyle w:val="Applicationdirecte"/>
              <w:spacing w:before="60"/>
              <w:jc w:val="center"/>
            </w:pPr>
            <w:r>
              <w:t>5</w:t>
            </w:r>
          </w:p>
        </w:tc>
        <w:tc>
          <w:tcPr>
            <w:tcW w:w="7604" w:type="dxa"/>
          </w:tcPr>
          <w:p w14:paraId="23CF498B"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Marktrisico</w:t>
            </w:r>
          </w:p>
          <w:p w14:paraId="4C641D47" w14:textId="0B6B1BE2" w:rsidR="005B7CFD" w:rsidRPr="00232C88" w:rsidRDefault="7456809E" w:rsidP="4D769726">
            <w:pPr>
              <w:spacing w:before="60" w:after="120"/>
              <w:jc w:val="both"/>
              <w:rPr>
                <w:rFonts w:ascii="Times New Roman" w:eastAsia="Times New Roman" w:hAnsi="Times New Roman" w:cs="Times New Roman"/>
                <w:sz w:val="24"/>
              </w:rPr>
            </w:pPr>
            <w:r>
              <w:rPr>
                <w:rFonts w:ascii="Times New Roman" w:hAnsi="Times New Roman"/>
                <w:sz w:val="24"/>
              </w:rPr>
              <w:t>De risicogewogen posten berekend overeenkomstig deel drie, titel IV, van Verordening (EU) nr. 575/2013.</w:t>
            </w:r>
          </w:p>
        </w:tc>
      </w:tr>
      <w:tr w:rsidR="00232C88" w:rsidRPr="00232C88" w14:paraId="4C2AD882" w14:textId="77777777" w:rsidTr="00842C88">
        <w:trPr>
          <w:trHeight w:val="557"/>
        </w:trPr>
        <w:tc>
          <w:tcPr>
            <w:tcW w:w="1435" w:type="dxa"/>
          </w:tcPr>
          <w:p w14:paraId="07947594" w14:textId="3C28DF68" w:rsidR="00351A65" w:rsidRPr="00232C88" w:rsidRDefault="00351A65" w:rsidP="00351A65">
            <w:pPr>
              <w:pStyle w:val="Applicationdirecte"/>
              <w:spacing w:before="60"/>
              <w:jc w:val="center"/>
            </w:pPr>
            <w:r>
              <w:t>6</w:t>
            </w:r>
          </w:p>
        </w:tc>
        <w:tc>
          <w:tcPr>
            <w:tcW w:w="7604" w:type="dxa"/>
          </w:tcPr>
          <w:p w14:paraId="009D9DD6"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Operationeel risico</w:t>
            </w:r>
          </w:p>
          <w:p w14:paraId="656F593F" w14:textId="7FEAA360" w:rsidR="00351A65" w:rsidRPr="00232C88" w:rsidRDefault="7456809E" w:rsidP="4D769726">
            <w:pPr>
              <w:spacing w:before="60" w:after="120"/>
              <w:jc w:val="both"/>
              <w:rPr>
                <w:rFonts w:ascii="Times New Roman" w:hAnsi="Times New Roman" w:cs="Times New Roman"/>
                <w:b/>
                <w:bCs/>
                <w:sz w:val="24"/>
              </w:rPr>
            </w:pPr>
            <w:r>
              <w:rPr>
                <w:rFonts w:ascii="Times New Roman" w:hAnsi="Times New Roman"/>
                <w:sz w:val="24"/>
              </w:rPr>
              <w:t>De risicogewogen posten berekend overeenkomstig deel drie, titel III, van Verordening (EU) nr. 575/2013.</w:t>
            </w:r>
          </w:p>
        </w:tc>
      </w:tr>
      <w:tr w:rsidR="00232C88" w:rsidRPr="00232C88" w14:paraId="4B14E2DE" w14:textId="77777777" w:rsidTr="00842C88">
        <w:trPr>
          <w:trHeight w:val="557"/>
        </w:trPr>
        <w:tc>
          <w:tcPr>
            <w:tcW w:w="1435" w:type="dxa"/>
          </w:tcPr>
          <w:p w14:paraId="63FE2337" w14:textId="4B7984F2" w:rsidR="00351A65" w:rsidRPr="00232C88" w:rsidRDefault="00351A65" w:rsidP="00351A65">
            <w:pPr>
              <w:pStyle w:val="Applicationdirecte"/>
              <w:spacing w:before="60"/>
              <w:jc w:val="center"/>
            </w:pPr>
            <w:r>
              <w:t>7</w:t>
            </w:r>
          </w:p>
        </w:tc>
        <w:tc>
          <w:tcPr>
            <w:tcW w:w="7604" w:type="dxa"/>
          </w:tcPr>
          <w:p w14:paraId="5DDC7723"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Andere risicoposten</w:t>
            </w:r>
          </w:p>
          <w:p w14:paraId="2799E41A" w14:textId="125C8E55" w:rsidR="00351A65" w:rsidRPr="00232C88" w:rsidRDefault="00950346" w:rsidP="00AF5BD3">
            <w:pPr>
              <w:spacing w:before="60" w:after="120"/>
              <w:jc w:val="both"/>
              <w:rPr>
                <w:rFonts w:ascii="Times New Roman" w:hAnsi="Times New Roman" w:cs="Times New Roman"/>
                <w:sz w:val="24"/>
              </w:rPr>
            </w:pPr>
            <w:r>
              <w:rPr>
                <w:rFonts w:ascii="Times New Roman" w:hAnsi="Times New Roman"/>
                <w:sz w:val="24"/>
              </w:rPr>
              <w:t>De risicogewogen posten die niet in de rijen 1 tot en met 6 zijn opgenomen (bv. de uit afwikkelingsrisico voortkomende risicogewogen posten (rij 15 in template OV1) en bedragen onder de aftrekdrempels (rij 25 in template OV1)).</w:t>
            </w:r>
          </w:p>
        </w:tc>
      </w:tr>
      <w:tr w:rsidR="00351A65" w:rsidRPr="00232C88" w14:paraId="191D5E2D" w14:textId="77777777" w:rsidTr="00842C88">
        <w:trPr>
          <w:trHeight w:val="557"/>
        </w:trPr>
        <w:tc>
          <w:tcPr>
            <w:tcW w:w="1435" w:type="dxa"/>
          </w:tcPr>
          <w:p w14:paraId="473E7834" w14:textId="05FD1FBE" w:rsidR="00351A65" w:rsidRPr="00232C88" w:rsidRDefault="00351A65" w:rsidP="00351A65">
            <w:pPr>
              <w:pStyle w:val="Applicationdirecte"/>
              <w:spacing w:before="60"/>
              <w:jc w:val="center"/>
            </w:pPr>
            <w:r>
              <w:t>8</w:t>
            </w:r>
          </w:p>
        </w:tc>
        <w:tc>
          <w:tcPr>
            <w:tcW w:w="7604" w:type="dxa"/>
          </w:tcPr>
          <w:p w14:paraId="096C8E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Totaal</w:t>
            </w:r>
          </w:p>
          <w:p w14:paraId="42963FE0" w14:textId="17D5D0F7" w:rsidR="00AF5BD3" w:rsidRPr="00232C88" w:rsidRDefault="00AF5BD3" w:rsidP="00351A65">
            <w:pPr>
              <w:spacing w:before="60" w:after="120"/>
              <w:jc w:val="both"/>
              <w:rPr>
                <w:rFonts w:ascii="Times New Roman" w:hAnsi="Times New Roman" w:cs="Times New Roman"/>
                <w:bCs/>
                <w:sz w:val="24"/>
              </w:rPr>
            </w:pPr>
            <w:r>
              <w:rPr>
                <w:rFonts w:ascii="Times New Roman" w:hAnsi="Times New Roman"/>
                <w:sz w:val="24"/>
              </w:rPr>
              <w:t>Som van de rijen 1 tot en met 7</w:t>
            </w:r>
          </w:p>
        </w:tc>
      </w:tr>
    </w:tbl>
    <w:p w14:paraId="367571C1" w14:textId="5871F274" w:rsidR="0090729F" w:rsidRPr="00842C88" w:rsidRDefault="0090729F" w:rsidP="00254EDB">
      <w:pPr>
        <w:pStyle w:val="Titlelevel2"/>
        <w:spacing w:before="120" w:after="120"/>
        <w:ind w:left="66"/>
        <w:rPr>
          <w:rFonts w:ascii="Times New Roman" w:hAnsi="Times New Roman" w:cs="Times New Roman"/>
          <w:color w:val="auto"/>
          <w:sz w:val="24"/>
        </w:rPr>
      </w:pPr>
    </w:p>
    <w:p w14:paraId="1926531C" w14:textId="0BB8D20D" w:rsidR="0090729F" w:rsidRPr="00232C88" w:rsidRDefault="0090729F" w:rsidP="0090729F">
      <w:pPr>
        <w:spacing w:after="120"/>
        <w:jc w:val="both"/>
        <w:rPr>
          <w:rFonts w:ascii="Times New Roman" w:hAnsi="Times New Roman" w:cs="Times New Roman"/>
          <w:sz w:val="24"/>
        </w:rPr>
      </w:pPr>
      <w:r>
        <w:rPr>
          <w:rFonts w:ascii="Times New Roman" w:hAnsi="Times New Roman"/>
          <w:b/>
          <w:sz w:val="24"/>
        </w:rPr>
        <w:t xml:space="preserve">Template EU CMS2 — Vergelijking van gemodelleerde en gestandaardiseerde risicogewogen posten voor kredietrisico op activaklasseniveau. </w:t>
      </w:r>
      <w:r>
        <w:rPr>
          <w:rFonts w:ascii="Times New Roman" w:hAnsi="Times New Roman"/>
          <w:sz w:val="24"/>
        </w:rPr>
        <w:t>Vaste opmaak.</w:t>
      </w:r>
    </w:p>
    <w:p w14:paraId="42F388E9" w14:textId="221FF3E0" w:rsidR="00F118ED" w:rsidRPr="00232C88" w:rsidRDefault="0090729F"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Instellingen volgen de onderstaande instructies in deze bijlage voor het invullen van template EU CMS2, die in bijlage I is opgenomen, bij toepassing van artikel 438, punten d en d bis), van Verordening (EU) nr. 575/2013.</w:t>
      </w:r>
    </w:p>
    <w:p w14:paraId="6024D251" w14:textId="19497D47" w:rsidR="004E19D2" w:rsidRPr="00232C88" w:rsidRDefault="004E19D2"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 xml:space="preserve">Deze template wordt alleen openbaar gemaakt door instellingen die de risicogewogen posten voor kredietrisico berekenen met behulp van interneratingbenaderingen (IRB) overeenkomstig deel drie, titel II, hoofdstuk 3, van Verordening (EU) nr. 575/2013 en </w:t>
      </w:r>
      <w:r>
        <w:rPr>
          <w:rFonts w:ascii="Times New Roman" w:hAnsi="Times New Roman"/>
          <w:color w:val="auto"/>
          <w:sz w:val="24"/>
        </w:rPr>
        <w:lastRenderedPageBreak/>
        <w:t>die niet onder de vrijstelling van artikel 92, lid 3, tweede alinea, van Verordening (EU) nr. 575/2013 vallen.</w:t>
      </w:r>
    </w:p>
    <w:p w14:paraId="0BBC334C" w14:textId="77777777" w:rsidR="00054B2E" w:rsidRPr="00232C88" w:rsidRDefault="00054B2E" w:rsidP="00054B2E">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Instellingen leggen, in voorkomend geval, in de toelichting bij de template de gevolgen voor de berekening van het eigen vermogen en de risicogewogen posten uit die voortvloeien uit de toepassing van kapitaalvloeren en het niet in mindering brengen van bestanddelen op het eigen vermogen.</w:t>
      </w:r>
    </w:p>
    <w:p w14:paraId="21FDE9C5" w14:textId="77777777" w:rsidR="00054B2E" w:rsidRPr="00842C88" w:rsidRDefault="00054B2E" w:rsidP="00AD7048">
      <w:pPr>
        <w:pStyle w:val="Titlelevel2"/>
        <w:spacing w:before="120" w:after="120"/>
        <w:ind w:left="426"/>
        <w:jc w:val="both"/>
        <w:rPr>
          <w:rFonts w:ascii="Times New Roman" w:hAnsi="Times New Roman" w:cs="Times New Roman"/>
          <w:color w:val="auto"/>
          <w:sz w:val="24"/>
        </w:rPr>
      </w:pPr>
    </w:p>
    <w:p w14:paraId="0FD192F2" w14:textId="77777777" w:rsidR="004E19D2" w:rsidRPr="00842C88"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435"/>
        <w:gridCol w:w="7604"/>
      </w:tblGrid>
      <w:tr w:rsidR="00232C88" w:rsidRPr="00232C88" w14:paraId="5B2B39C6"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232C88" w:rsidRDefault="00AF3FBC" w:rsidP="00AF3FBC">
            <w:pPr>
              <w:rPr>
                <w:rFonts w:ascii="Times New Roman" w:hAnsi="Times New Roman" w:cs="Times New Roman"/>
                <w:b/>
                <w:sz w:val="24"/>
              </w:rPr>
            </w:pPr>
            <w:r>
              <w:rPr>
                <w:rFonts w:ascii="Times New Roman" w:hAnsi="Times New Roman"/>
                <w:b/>
                <w:sz w:val="24"/>
              </w:rPr>
              <w:t>Verwijzingen naar wetgeving en instructies</w:t>
            </w:r>
          </w:p>
        </w:tc>
      </w:tr>
      <w:tr w:rsidR="00232C88" w:rsidRPr="00232C88" w14:paraId="71E65357" w14:textId="77777777" w:rsidTr="00842C88">
        <w:trPr>
          <w:trHeight w:val="238"/>
        </w:trPr>
        <w:tc>
          <w:tcPr>
            <w:tcW w:w="1435" w:type="dxa"/>
            <w:shd w:val="clear" w:color="auto" w:fill="D9D9D9" w:themeFill="background1" w:themeFillShade="D9"/>
          </w:tcPr>
          <w:p w14:paraId="2708EFE0" w14:textId="08DBC3A8" w:rsidR="00AF3FBC" w:rsidRPr="00232C88" w:rsidRDefault="0084180E" w:rsidP="00AF3FBC">
            <w:pPr>
              <w:autoSpaceDE w:val="0"/>
              <w:autoSpaceDN w:val="0"/>
              <w:adjustRightInd w:val="0"/>
              <w:rPr>
                <w:rFonts w:ascii="Times New Roman" w:hAnsi="Times New Roman" w:cs="Times New Roman"/>
                <w:b/>
                <w:sz w:val="24"/>
              </w:rPr>
            </w:pPr>
            <w:r>
              <w:rPr>
                <w:rFonts w:ascii="Times New Roman" w:hAnsi="Times New Roman"/>
                <w:b/>
                <w:sz w:val="24"/>
              </w:rPr>
              <w:t>Nummer kolom</w:t>
            </w:r>
          </w:p>
        </w:tc>
        <w:tc>
          <w:tcPr>
            <w:tcW w:w="7604" w:type="dxa"/>
            <w:shd w:val="clear" w:color="auto" w:fill="D9D9D9" w:themeFill="background1" w:themeFillShade="D9"/>
          </w:tcPr>
          <w:p w14:paraId="1CE735F9" w14:textId="77777777" w:rsidR="00AF3FBC" w:rsidRPr="00232C88" w:rsidRDefault="00AF3FBC" w:rsidP="00AF3FBC">
            <w:pPr>
              <w:autoSpaceDE w:val="0"/>
              <w:autoSpaceDN w:val="0"/>
              <w:adjustRightInd w:val="0"/>
              <w:rPr>
                <w:rFonts w:ascii="Times New Roman" w:hAnsi="Times New Roman" w:cs="Times New Roman"/>
                <w:sz w:val="24"/>
              </w:rPr>
            </w:pPr>
            <w:r>
              <w:rPr>
                <w:rFonts w:ascii="Times New Roman" w:hAnsi="Times New Roman"/>
                <w:b/>
                <w:sz w:val="24"/>
              </w:rPr>
              <w:t>Toelichting</w:t>
            </w:r>
          </w:p>
        </w:tc>
      </w:tr>
      <w:tr w:rsidR="00232C88" w:rsidRPr="00232C88" w14:paraId="58CC5B00" w14:textId="77777777" w:rsidTr="00842C88">
        <w:trPr>
          <w:trHeight w:val="1070"/>
        </w:trPr>
        <w:tc>
          <w:tcPr>
            <w:tcW w:w="1435" w:type="dxa"/>
          </w:tcPr>
          <w:p w14:paraId="5C1A8115" w14:textId="2981EF66" w:rsidR="00994B4F" w:rsidRPr="00232C88" w:rsidRDefault="00994B4F" w:rsidP="00994B4F">
            <w:pPr>
              <w:pStyle w:val="Applicationdirecte"/>
              <w:spacing w:before="60"/>
              <w:jc w:val="center"/>
            </w:pPr>
            <w:r>
              <w:t>a</w:t>
            </w:r>
          </w:p>
        </w:tc>
        <w:tc>
          <w:tcPr>
            <w:tcW w:w="7604" w:type="dxa"/>
            <w:vAlign w:val="center"/>
          </w:tcPr>
          <w:p w14:paraId="35692F32" w14:textId="62C87455"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 xml:space="preserve">Risicogewogen posten voor gemodelleerde benaderingen die instellingen van de toezichthouder mogen gebruiken </w:t>
            </w:r>
          </w:p>
          <w:p w14:paraId="746C8FE1" w14:textId="71AD5C03" w:rsidR="00994B4F" w:rsidRPr="00232C88" w:rsidRDefault="00994B4F" w:rsidP="00994B4F">
            <w:pPr>
              <w:spacing w:before="60" w:after="120"/>
              <w:jc w:val="both"/>
              <w:rPr>
                <w:rFonts w:ascii="Times New Roman" w:hAnsi="Times New Roman" w:cs="Times New Roman"/>
                <w:sz w:val="24"/>
              </w:rPr>
            </w:pPr>
            <w:r>
              <w:rPr>
                <w:rFonts w:ascii="Times New Roman" w:hAnsi="Times New Roman"/>
                <w:sz w:val="24"/>
              </w:rPr>
              <w:t>Deel van de risicogewogen posten berekend met interneratingbenaderingen (IRB) die door de bevoegde autoriteit zijn goedgekeurd.</w:t>
            </w:r>
          </w:p>
        </w:tc>
      </w:tr>
      <w:tr w:rsidR="00232C88" w:rsidRPr="00232C88" w14:paraId="7C21C2D4" w14:textId="77777777" w:rsidTr="00842C88">
        <w:trPr>
          <w:trHeight w:val="680"/>
        </w:trPr>
        <w:tc>
          <w:tcPr>
            <w:tcW w:w="1435" w:type="dxa"/>
          </w:tcPr>
          <w:p w14:paraId="1B01229F" w14:textId="77777777" w:rsidR="00994B4F" w:rsidRPr="00232C88" w:rsidRDefault="00994B4F" w:rsidP="00994B4F">
            <w:pPr>
              <w:pStyle w:val="Applicationdirecte"/>
              <w:spacing w:before="60"/>
              <w:jc w:val="center"/>
            </w:pPr>
            <w:r>
              <w:t>b</w:t>
            </w:r>
          </w:p>
          <w:p w14:paraId="1C5FD6DF" w14:textId="77777777" w:rsidR="00994B4F" w:rsidRPr="00232C88" w:rsidRDefault="00994B4F" w:rsidP="00994B4F">
            <w:pPr>
              <w:pStyle w:val="Applicationdirecte"/>
              <w:spacing w:before="60"/>
              <w:jc w:val="center"/>
            </w:pPr>
          </w:p>
        </w:tc>
        <w:tc>
          <w:tcPr>
            <w:tcW w:w="7604" w:type="dxa"/>
          </w:tcPr>
          <w:p w14:paraId="3B57AD76" w14:textId="6473A643"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Risicogewogen posten voor kolom a) indien herberekend met behulp van de standaardbenadering</w:t>
            </w:r>
          </w:p>
          <w:p w14:paraId="23C2E1CF" w14:textId="081428BE" w:rsidR="00994B4F" w:rsidRPr="00232C88" w:rsidRDefault="00994B4F" w:rsidP="004E19D2">
            <w:pPr>
              <w:spacing w:before="60" w:after="120"/>
              <w:jc w:val="both"/>
              <w:rPr>
                <w:rFonts w:ascii="Times New Roman" w:hAnsi="Times New Roman" w:cs="Times New Roman"/>
                <w:b/>
                <w:sz w:val="24"/>
              </w:rPr>
            </w:pPr>
            <w:r>
              <w:rPr>
                <w:rFonts w:ascii="Times New Roman" w:hAnsi="Times New Roman"/>
                <w:sz w:val="24"/>
              </w:rPr>
              <w:t xml:space="preserve">Risicogewogen posten berekend met IRB-benaderingen die zijn goedgekeurd door de bevoegde autoriteit van kolom a), herberekend met behulp van de standaardbenadering. Met andere woorden, overeenkomstige risicogewogen posten volgens de standaardbenadering voor kolom a).  </w:t>
            </w:r>
          </w:p>
        </w:tc>
      </w:tr>
      <w:tr w:rsidR="00232C88" w:rsidRPr="00232C88" w14:paraId="1F176A6F" w14:textId="77777777" w:rsidTr="00842C88">
        <w:trPr>
          <w:trHeight w:val="680"/>
        </w:trPr>
        <w:tc>
          <w:tcPr>
            <w:tcW w:w="1435" w:type="dxa"/>
          </w:tcPr>
          <w:p w14:paraId="36AC8644" w14:textId="00AFD014" w:rsidR="00994B4F" w:rsidRPr="00232C88" w:rsidRDefault="00994B4F" w:rsidP="00994B4F">
            <w:pPr>
              <w:pStyle w:val="Applicationdirecte"/>
              <w:spacing w:before="60"/>
              <w:jc w:val="center"/>
            </w:pPr>
            <w:r>
              <w:t>c</w:t>
            </w:r>
          </w:p>
        </w:tc>
        <w:tc>
          <w:tcPr>
            <w:tcW w:w="7604" w:type="dxa"/>
          </w:tcPr>
          <w:p w14:paraId="780C998F" w14:textId="70BDCFF8" w:rsidR="00994B4F" w:rsidRPr="00232C88" w:rsidRDefault="004E19D2" w:rsidP="00994B4F">
            <w:pPr>
              <w:spacing w:before="60" w:after="120"/>
              <w:jc w:val="both"/>
              <w:rPr>
                <w:rFonts w:ascii="Times New Roman" w:hAnsi="Times New Roman" w:cs="Times New Roman"/>
                <w:b/>
                <w:sz w:val="24"/>
              </w:rPr>
            </w:pPr>
            <w:r>
              <w:rPr>
                <w:rFonts w:ascii="Times New Roman" w:hAnsi="Times New Roman"/>
                <w:b/>
                <w:sz w:val="24"/>
              </w:rPr>
              <w:t xml:space="preserve">Totaal werkelijke risicogewogen posten </w:t>
            </w:r>
          </w:p>
          <w:p w14:paraId="13A79EFF" w14:textId="377057AF" w:rsidR="00994B4F" w:rsidRPr="00232C88" w:rsidRDefault="00E86C14" w:rsidP="001B30FD">
            <w:pPr>
              <w:spacing w:before="60" w:after="120"/>
              <w:jc w:val="both"/>
              <w:rPr>
                <w:rFonts w:ascii="Times New Roman" w:hAnsi="Times New Roman" w:cs="Times New Roman"/>
                <w:b/>
                <w:sz w:val="24"/>
              </w:rPr>
            </w:pPr>
            <w:r>
              <w:rPr>
                <w:rFonts w:ascii="Times New Roman" w:hAnsi="Times New Roman"/>
                <w:sz w:val="24"/>
              </w:rPr>
              <w:t>Risicogewogen posten die instellingen als feitelijke vereisten rapporteren. De som van de risicogewogen posten voor IRB-benaderingen die instellingen van de toezichthouder mogen gebruiken en de risicogewogen posten in het kader van standaardbenaderingen.</w:t>
            </w:r>
          </w:p>
        </w:tc>
      </w:tr>
      <w:tr w:rsidR="00232C88" w:rsidRPr="00232C88" w14:paraId="10BA21EE" w14:textId="77777777" w:rsidTr="00842C88">
        <w:trPr>
          <w:trHeight w:val="680"/>
        </w:trPr>
        <w:tc>
          <w:tcPr>
            <w:tcW w:w="1435" w:type="dxa"/>
            <w:vAlign w:val="center"/>
          </w:tcPr>
          <w:p w14:paraId="79B964DE" w14:textId="38CF8E84" w:rsidR="00994B4F" w:rsidRPr="00232C88" w:rsidRDefault="00994B4F" w:rsidP="00994B4F">
            <w:pPr>
              <w:pStyle w:val="Applicationdirecte"/>
              <w:spacing w:before="60"/>
              <w:jc w:val="center"/>
            </w:pPr>
            <w:r>
              <w:t>d</w:t>
            </w:r>
          </w:p>
        </w:tc>
        <w:tc>
          <w:tcPr>
            <w:tcW w:w="7604" w:type="dxa"/>
          </w:tcPr>
          <w:p w14:paraId="12F263E0" w14:textId="77777777"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Risicogewogen posten berekend met behulp van de volledige standaardbenadering</w:t>
            </w:r>
          </w:p>
          <w:p w14:paraId="023D1C65" w14:textId="77777777" w:rsidR="00192044" w:rsidRDefault="6FD90119" w:rsidP="4D769726">
            <w:pPr>
              <w:spacing w:before="60" w:after="120"/>
              <w:jc w:val="both"/>
              <w:rPr>
                <w:rFonts w:ascii="Times New Roman" w:hAnsi="Times New Roman" w:cs="Times New Roman"/>
                <w:sz w:val="24"/>
              </w:rPr>
            </w:pPr>
            <w:r>
              <w:rPr>
                <w:rFonts w:ascii="Times New Roman" w:hAnsi="Times New Roman"/>
                <w:sz w:val="24"/>
              </w:rPr>
              <w:t xml:space="preserve">Risicogewogen posten voor het vergelijken van de volledige gestandaardiseerde risicogewogen activa voor kredietrisico (S-RWEA) op activaklasseniveau met overeenkomstige gemodelleerde risicogewogen posten die banken van de toezichthouder voor kredietrisico mogen gebruiken conform het Bazelse kader en zoals vereist op grond van artikel 438, punt d bis), van Verordening (EU) nr. 575/2013. </w:t>
            </w:r>
          </w:p>
          <w:p w14:paraId="63C23AE2" w14:textId="72D220B1"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 xml:space="preserve">Instellingen maken de overeenkomstig artikel 92, leden 5 en 6, van Verordening (EU) nr. 575/2013 berekende risicogewogen posten openbaar zonder de overgangsbepalingen van artikel 465 van Verordening (EU) nr. 575/2013 toe te passen. </w:t>
            </w:r>
          </w:p>
          <w:p w14:paraId="585F96E7" w14:textId="5936CF82" w:rsidR="00AF5BD3" w:rsidRPr="00842C88" w:rsidRDefault="00AF5BD3" w:rsidP="673610D2">
            <w:pPr>
              <w:spacing w:before="60" w:after="120"/>
              <w:jc w:val="both"/>
              <w:rPr>
                <w:rFonts w:ascii="Times New Roman" w:hAnsi="Times New Roman" w:cs="Times New Roman"/>
                <w:sz w:val="24"/>
              </w:rPr>
            </w:pPr>
          </w:p>
        </w:tc>
      </w:tr>
      <w:tr w:rsidR="00232C88" w:rsidRPr="00232C88" w14:paraId="55FA4A88" w14:textId="77777777" w:rsidTr="00842C88">
        <w:trPr>
          <w:trHeight w:val="680"/>
        </w:trPr>
        <w:tc>
          <w:tcPr>
            <w:tcW w:w="1435" w:type="dxa"/>
            <w:vAlign w:val="center"/>
          </w:tcPr>
          <w:p w14:paraId="6EDA1687" w14:textId="63C9DF5F" w:rsidR="00994B4F" w:rsidRPr="00232C88" w:rsidRDefault="00994B4F" w:rsidP="00994B4F">
            <w:pPr>
              <w:pStyle w:val="Applicationdirecte"/>
              <w:spacing w:before="60"/>
              <w:jc w:val="center"/>
            </w:pPr>
            <w:r>
              <w:lastRenderedPageBreak/>
              <w:t>EU d</w:t>
            </w:r>
          </w:p>
        </w:tc>
        <w:tc>
          <w:tcPr>
            <w:tcW w:w="7604" w:type="dxa"/>
          </w:tcPr>
          <w:p w14:paraId="0C2EFF82" w14:textId="62FBB506"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 xml:space="preserve">Risicogewogen posten die de basis vormen van de output floor </w:t>
            </w:r>
          </w:p>
          <w:p w14:paraId="6EB91D3B" w14:textId="7D4487D6" w:rsidR="00AC7521" w:rsidRPr="00232C88" w:rsidRDefault="6FD90119" w:rsidP="4D769726">
            <w:pPr>
              <w:spacing w:before="60" w:after="120"/>
              <w:jc w:val="both"/>
              <w:rPr>
                <w:rFonts w:ascii="Times New Roman" w:hAnsi="Times New Roman" w:cs="Times New Roman"/>
                <w:sz w:val="24"/>
              </w:rPr>
            </w:pPr>
            <w:r>
              <w:rPr>
                <w:rFonts w:ascii="Times New Roman" w:hAnsi="Times New Roman"/>
                <w:sz w:val="24"/>
              </w:rPr>
              <w:t xml:space="preserve">Risicogewogen posten voor het verschaffen van de grondslag voor de berekening van de output floor, overeenkomstig artikel 438, punt d), van Verordening (EU) nr. 575/2013. Instellingen maken de overeenkomstig artikel 92, leden 5 en 6, van Verordening (EU) nr. 575/2013 berekende risicogewogen posten openbaar, met toepassing van de overgangsbepalingen van artikel 465 van Verordening (EU) nr. 575/2013. </w:t>
            </w:r>
          </w:p>
          <w:p w14:paraId="3F9F1BCC" w14:textId="0069FEBF" w:rsidR="00AF5BD3" w:rsidRPr="00232C88" w:rsidRDefault="00AF5BD3" w:rsidP="00563BE7">
            <w:pPr>
              <w:spacing w:before="60" w:after="120"/>
              <w:jc w:val="both"/>
              <w:rPr>
                <w:rFonts w:ascii="Times New Roman" w:hAnsi="Times New Roman" w:cs="Times New Roman"/>
                <w:b/>
                <w:sz w:val="24"/>
              </w:rPr>
            </w:pPr>
          </w:p>
        </w:tc>
      </w:tr>
      <w:tr w:rsidR="00232C88" w:rsidRPr="00232C88" w14:paraId="0D3BA471"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232C88" w:rsidRDefault="00351A65" w:rsidP="00351A65">
            <w:pPr>
              <w:rPr>
                <w:rFonts w:ascii="Times New Roman" w:hAnsi="Times New Roman" w:cs="Times New Roman"/>
                <w:b/>
                <w:sz w:val="24"/>
              </w:rPr>
            </w:pPr>
            <w:r>
              <w:rPr>
                <w:rFonts w:ascii="Times New Roman" w:hAnsi="Times New Roman"/>
                <w:b/>
                <w:sz w:val="24"/>
              </w:rPr>
              <w:t>Verwijzingen naar wetgeving en instructies</w:t>
            </w:r>
          </w:p>
        </w:tc>
      </w:tr>
      <w:tr w:rsidR="00232C88" w:rsidRPr="00232C88" w14:paraId="35A90A29" w14:textId="77777777" w:rsidTr="00842C88">
        <w:trPr>
          <w:trHeight w:val="238"/>
        </w:trPr>
        <w:tc>
          <w:tcPr>
            <w:tcW w:w="1435" w:type="dxa"/>
            <w:shd w:val="clear" w:color="auto" w:fill="D9D9D9" w:themeFill="background1" w:themeFillShade="D9"/>
          </w:tcPr>
          <w:p w14:paraId="442042AA" w14:textId="4045A22D" w:rsidR="00351A65" w:rsidRPr="00232C88" w:rsidRDefault="00351A65" w:rsidP="75135BB5">
            <w:pPr>
              <w:autoSpaceDE w:val="0"/>
              <w:autoSpaceDN w:val="0"/>
              <w:adjustRightInd w:val="0"/>
              <w:rPr>
                <w:rFonts w:ascii="Times New Roman" w:hAnsi="Times New Roman" w:cs="Times New Roman"/>
                <w:b/>
                <w:bCs/>
                <w:sz w:val="24"/>
              </w:rPr>
            </w:pPr>
            <w:r>
              <w:rPr>
                <w:rFonts w:ascii="Times New Roman" w:hAnsi="Times New Roman"/>
                <w:b/>
                <w:sz w:val="24"/>
              </w:rPr>
              <w:t>Rijnummer</w:t>
            </w:r>
          </w:p>
        </w:tc>
        <w:tc>
          <w:tcPr>
            <w:tcW w:w="7604" w:type="dxa"/>
            <w:shd w:val="clear" w:color="auto" w:fill="D9D9D9" w:themeFill="background1" w:themeFillShade="D9"/>
          </w:tcPr>
          <w:p w14:paraId="24AA55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Toelichting</w:t>
            </w:r>
          </w:p>
        </w:tc>
      </w:tr>
      <w:tr w:rsidR="00232C88" w:rsidRPr="00232C88" w14:paraId="4A8AA473" w14:textId="77777777" w:rsidTr="00842C88">
        <w:trPr>
          <w:trHeight w:val="680"/>
        </w:trPr>
        <w:tc>
          <w:tcPr>
            <w:tcW w:w="1435" w:type="dxa"/>
          </w:tcPr>
          <w:p w14:paraId="30F78516" w14:textId="576896FD" w:rsidR="00351A65" w:rsidRPr="00842C88" w:rsidRDefault="00351A65" w:rsidP="00351A65">
            <w:pPr>
              <w:pStyle w:val="Applicationdirecte"/>
              <w:spacing w:before="60"/>
              <w:jc w:val="center"/>
              <w:rPr>
                <w:lang w:val="fr-BE"/>
              </w:rPr>
            </w:pPr>
            <w:r w:rsidRPr="00842C88">
              <w:rPr>
                <w:lang w:val="fr-BE"/>
              </w:rPr>
              <w:t>1, EU1a, EU1b, EU1c, EU1d, 2, 3,5, 5.1, 5.2, EU 5a, EU 5b, EU 5c, 6, 6.1, EU6.1a, EU6.1b,</w:t>
            </w:r>
            <w:r w:rsidR="00842C88">
              <w:rPr>
                <w:lang w:val="fr-BE"/>
              </w:rPr>
              <w:t xml:space="preserve"> </w:t>
            </w:r>
            <w:r w:rsidRPr="00842C88">
              <w:rPr>
                <w:lang w:val="fr-BE"/>
              </w:rPr>
              <w:t>EU 7a, EU 7b, EU 7c, EU 7d, EU 7e, EU 7f, 8</w:t>
            </w:r>
          </w:p>
        </w:tc>
        <w:tc>
          <w:tcPr>
            <w:tcW w:w="7604" w:type="dxa"/>
          </w:tcPr>
          <w:p w14:paraId="73A562A1" w14:textId="272AA28F" w:rsidR="00192044" w:rsidRDefault="0046019D" w:rsidP="00A02839">
            <w:pPr>
              <w:spacing w:before="60" w:after="120"/>
              <w:jc w:val="both"/>
              <w:rPr>
                <w:rFonts w:ascii="Times New Roman" w:hAnsi="Times New Roman" w:cs="Times New Roman"/>
                <w:sz w:val="24"/>
              </w:rPr>
            </w:pPr>
            <w:r>
              <w:rPr>
                <w:rFonts w:ascii="Times New Roman" w:hAnsi="Times New Roman"/>
                <w:sz w:val="24"/>
              </w:rPr>
              <w:t xml:space="preserve">Instellingen nemen de uitsplitsing van risicogewogen posten op naar blootstellingscategorie en subblootstellingscategorie, overeenkomstig artikel 147 van Verordening (EU) nr. 575/2013. </w:t>
            </w:r>
          </w:p>
          <w:p w14:paraId="6D77E411" w14:textId="48760B89" w:rsidR="008C231E" w:rsidRPr="00232C88" w:rsidRDefault="00091AA5" w:rsidP="00A02839">
            <w:pPr>
              <w:spacing w:before="60" w:after="120"/>
              <w:jc w:val="both"/>
              <w:rPr>
                <w:rFonts w:ascii="Times New Roman" w:hAnsi="Times New Roman" w:cs="Times New Roman"/>
                <w:sz w:val="24"/>
              </w:rPr>
            </w:pPr>
            <w:r>
              <w:rPr>
                <w:rFonts w:ascii="Times New Roman" w:hAnsi="Times New Roman"/>
                <w:sz w:val="24"/>
              </w:rPr>
              <w:t>Indien de IRB-blootstellingen in een andere blootstellingscategorie in de standaardbenadering (SA) zouden zijn ondergebracht, worden de IRB-blootstellingen uitgesloten van hun IRB-blootstellingscategorieën en worden zij openbaargemaakt in een van de volgende blootstellingscategorieën van de standaardbenadering, overeenkomstig artikel 112 van Verordening (EU) nr. 575/2013:</w:t>
            </w:r>
          </w:p>
          <w:p w14:paraId="3C3411A5" w14:textId="77777777" w:rsidR="00192044" w:rsidRPr="00192044" w:rsidRDefault="00AB7318"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ingedeeld als multilaterale ontwikkelingsbanken in SA;</w:t>
            </w:r>
          </w:p>
          <w:p w14:paraId="3FAF52BD" w14:textId="27F6A566" w:rsidR="00E40751" w:rsidRPr="00192044" w:rsidRDefault="02FD1F9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ingedeeld als internationale organisaties in SA;</w:t>
            </w:r>
          </w:p>
          <w:p w14:paraId="112B3885" w14:textId="45E9A8B5" w:rsidR="009662C5" w:rsidRPr="00192044" w:rsidRDefault="009662C5" w:rsidP="00192044">
            <w:pPr>
              <w:pStyle w:val="ListParagraph"/>
              <w:numPr>
                <w:ilvl w:val="0"/>
                <w:numId w:val="80"/>
              </w:numPr>
              <w:spacing w:before="60" w:after="120"/>
              <w:jc w:val="both"/>
              <w:rPr>
                <w:rFonts w:ascii="Times New Roman" w:hAnsi="Times New Roman"/>
                <w:sz w:val="24"/>
              </w:rPr>
            </w:pPr>
            <w:r>
              <w:rPr>
                <w:rFonts w:ascii="Times New Roman" w:hAnsi="Times New Roman"/>
                <w:sz w:val="24"/>
              </w:rPr>
              <w:t>ingedeeld als gedekt door onroerend goed en ADC-blootstellingen in SA;</w:t>
            </w:r>
          </w:p>
          <w:p w14:paraId="2EFC3839" w14:textId="6E331C86" w:rsidR="009662C5" w:rsidRPr="00192044" w:rsidRDefault="009662C5"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ingedeeld als blootstellingen bij wanbetaling in SA;</w:t>
            </w:r>
          </w:p>
          <w:p w14:paraId="562F01DF" w14:textId="29AB0564"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ingedeeld als blootstellingen met betrekking tot achtergestelde schulden in SA;</w:t>
            </w:r>
          </w:p>
          <w:p w14:paraId="78D8C21E" w14:textId="20FAA512"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ingedeeld als gedekte obligaties in SA, ingedeeld als vorderingen op instellingen en ondernemingen met een kredietbeoordeling voor de korte termijn in SA</w:t>
            </w:r>
          </w:p>
          <w:p w14:paraId="71BDF450" w14:textId="7DC7998E" w:rsidR="00700A5A" w:rsidRPr="00232C88" w:rsidRDefault="00700A5A" w:rsidP="00700A5A">
            <w:pPr>
              <w:pStyle w:val="Default"/>
              <w:spacing w:after="120"/>
              <w:jc w:val="both"/>
              <w:rPr>
                <w:rFonts w:ascii="Times New Roman" w:hAnsi="Times New Roman" w:cs="Times New Roman"/>
                <w:color w:val="auto"/>
              </w:rPr>
            </w:pPr>
            <w:r>
              <w:rPr>
                <w:rFonts w:ascii="Times New Roman" w:hAnsi="Times New Roman"/>
                <w:color w:val="auto"/>
              </w:rPr>
              <w:t>Voor de blootstellingscategorie “Ondernemingen” maken instellingen ook de subtotalen voor F-IRB-blootstellingen en A-IRB-blootstellingen openbaar in de rijen 5.1 en 5.2 van deze template.</w:t>
            </w:r>
          </w:p>
          <w:p w14:paraId="2F3C330C" w14:textId="328A18AC" w:rsidR="00D67004" w:rsidRPr="00232C88" w:rsidRDefault="00D67004" w:rsidP="00700A5A">
            <w:pPr>
              <w:pStyle w:val="Default"/>
              <w:spacing w:after="120"/>
              <w:jc w:val="both"/>
              <w:rPr>
                <w:rFonts w:ascii="Times New Roman" w:hAnsi="Times New Roman" w:cs="Times New Roman"/>
                <w:color w:val="auto"/>
              </w:rPr>
            </w:pPr>
            <w:r>
              <w:rPr>
                <w:rFonts w:ascii="Times New Roman" w:hAnsi="Times New Roman"/>
                <w:color w:val="auto"/>
              </w:rPr>
              <w:t>De rijen 4 en 7 zijn niet van toepassing in de EU.</w:t>
            </w:r>
          </w:p>
          <w:p w14:paraId="3EB1EAD4" w14:textId="269F10A9" w:rsidR="00351A65" w:rsidRPr="00232C88" w:rsidRDefault="00E577AC" w:rsidP="00AD7048">
            <w:pPr>
              <w:pStyle w:val="Default"/>
              <w:spacing w:after="120"/>
              <w:jc w:val="both"/>
              <w:rPr>
                <w:rFonts w:ascii="Times New Roman" w:hAnsi="Times New Roman" w:cs="Times New Roman"/>
                <w:color w:val="auto"/>
              </w:rPr>
            </w:pPr>
            <w:r>
              <w:rPr>
                <w:rFonts w:ascii="Times New Roman" w:hAnsi="Times New Roman"/>
                <w:color w:val="auto"/>
              </w:rPr>
              <w:t>In rij 8 “Overige” maken instellingen de blootstellingen openbaar die zijn geplaatst in de blootstellingscategorie “Andere actiefposten die geen kredietverplichting vertegenwoordigen” en de IRB-blootstellingen die zouden zijn geplaatst in de blootstellingscategorie “Overige posten” volgens de standaardbenadering.</w:t>
            </w:r>
          </w:p>
        </w:tc>
      </w:tr>
      <w:tr w:rsidR="00232C88" w:rsidRPr="0019189B" w14:paraId="7F77F0D9" w14:textId="77777777" w:rsidTr="00842C88">
        <w:trPr>
          <w:trHeight w:val="557"/>
        </w:trPr>
        <w:tc>
          <w:tcPr>
            <w:tcW w:w="1435" w:type="dxa"/>
          </w:tcPr>
          <w:p w14:paraId="5E733F55" w14:textId="375FAD05" w:rsidR="00351A65" w:rsidRPr="00232C88" w:rsidRDefault="00351A65" w:rsidP="00351A65">
            <w:pPr>
              <w:pStyle w:val="Applicationdirecte"/>
              <w:spacing w:before="60"/>
              <w:jc w:val="center"/>
            </w:pPr>
            <w:r>
              <w:t>9</w:t>
            </w:r>
          </w:p>
        </w:tc>
        <w:tc>
          <w:tcPr>
            <w:tcW w:w="7604" w:type="dxa"/>
          </w:tcPr>
          <w:p w14:paraId="7CC614BA" w14:textId="77777777" w:rsidR="00351A65" w:rsidRPr="00842C88" w:rsidRDefault="00254EDB" w:rsidP="00351A65">
            <w:pPr>
              <w:spacing w:before="60" w:after="120"/>
              <w:jc w:val="both"/>
              <w:rPr>
                <w:rFonts w:ascii="Times New Roman" w:hAnsi="Times New Roman" w:cs="Times New Roman"/>
                <w:b/>
                <w:sz w:val="24"/>
                <w:lang w:val="fr-BE"/>
              </w:rPr>
            </w:pPr>
            <w:r w:rsidRPr="00842C88">
              <w:rPr>
                <w:rFonts w:ascii="Times New Roman" w:hAnsi="Times New Roman"/>
                <w:b/>
                <w:sz w:val="24"/>
                <w:lang w:val="fr-BE"/>
              </w:rPr>
              <w:t>Totaal</w:t>
            </w:r>
          </w:p>
          <w:p w14:paraId="06517EBE" w14:textId="5F936741" w:rsidR="00351A65" w:rsidRPr="00842C88" w:rsidRDefault="00112469" w:rsidP="49BB7348">
            <w:pPr>
              <w:spacing w:before="60" w:after="120"/>
              <w:jc w:val="both"/>
              <w:rPr>
                <w:rFonts w:ascii="Times New Roman" w:hAnsi="Times New Roman" w:cs="Times New Roman"/>
                <w:b/>
                <w:bCs/>
                <w:sz w:val="24"/>
                <w:lang w:val="fr-BE"/>
              </w:rPr>
            </w:pPr>
            <w:r w:rsidRPr="00842C88">
              <w:rPr>
                <w:rFonts w:ascii="Times New Roman" w:hAnsi="Times New Roman"/>
                <w:sz w:val="24"/>
                <w:lang w:val="fr-BE"/>
              </w:rPr>
              <w:t>Som van de rijen 1, EU1a, EU1b, EU1c, EU1d, 2, 3, 5, 6, EU7a, EU 7b, EU7c, EU7d, EU7e, EU7f, 8.</w:t>
            </w:r>
          </w:p>
        </w:tc>
      </w:tr>
    </w:tbl>
    <w:p w14:paraId="0174B7B3" w14:textId="2F8D5C1D" w:rsidR="00DC2C46" w:rsidRPr="00232C88" w:rsidRDefault="00DC2C46" w:rsidP="00842C88">
      <w:pPr>
        <w:rPr>
          <w:rFonts w:ascii="Times New Roman" w:hAnsi="Times New Roman" w:cs="Times New Roman"/>
          <w:b/>
          <w:sz w:val="24"/>
          <w:lang w:val="fr-FR"/>
        </w:rPr>
      </w:pPr>
    </w:p>
    <w:sectPr w:rsidR="00DC2C46" w:rsidRPr="00232C88" w:rsidSect="00155C96">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8930C" w14:textId="77777777" w:rsidR="0021137D" w:rsidRDefault="0021137D" w:rsidP="00A00E34">
      <w:r>
        <w:separator/>
      </w:r>
    </w:p>
    <w:p w14:paraId="2D8E0CE6" w14:textId="77777777" w:rsidR="0021137D" w:rsidRDefault="0021137D"/>
  </w:endnote>
  <w:endnote w:type="continuationSeparator" w:id="0">
    <w:p w14:paraId="190EE95B" w14:textId="77777777" w:rsidR="0021137D" w:rsidRDefault="0021137D" w:rsidP="00A00E34">
      <w:r>
        <w:continuationSeparator/>
      </w:r>
    </w:p>
    <w:p w14:paraId="6C1B14C8" w14:textId="77777777" w:rsidR="0021137D" w:rsidRDefault="0021137D"/>
  </w:endnote>
  <w:endnote w:type="continuationNotice" w:id="1">
    <w:p w14:paraId="25A095AC" w14:textId="77777777" w:rsidR="0021137D" w:rsidRDefault="0021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741C">
      <w:rPr>
        <w:rStyle w:val="PageNumber"/>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w:rPr>
        <w:noProof/>
      </w:rP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a14="http://schemas.microsoft.com/office/mac/drawingml/2011/main" xmlns:w16du="http://schemas.microsoft.com/office/word/2023/wordml/word16du">
          <w:pict>
            <v:line id="Straight Connector 10"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o:spid="_x0000_s1026" strokecolor="#2f5773 [3204]" strokeweight="1pt" from="-5.6pt,785.3pt" to="445.1pt,785.3pt" w14:anchorId="398713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19EA" w14:textId="77777777" w:rsidR="0021137D" w:rsidRPr="00DB5E8F" w:rsidRDefault="0021137D">
      <w:pPr>
        <w:rPr>
          <w:sz w:val="12"/>
          <w:szCs w:val="12"/>
        </w:rPr>
      </w:pPr>
      <w:r w:rsidRPr="00DB5E8F">
        <w:rPr>
          <w:sz w:val="12"/>
          <w:szCs w:val="12"/>
        </w:rPr>
        <w:separator/>
      </w:r>
    </w:p>
  </w:footnote>
  <w:footnote w:type="continuationSeparator" w:id="0">
    <w:p w14:paraId="7D3C1AAA" w14:textId="77777777" w:rsidR="0021137D" w:rsidRDefault="0021137D" w:rsidP="00A00E34">
      <w:r>
        <w:continuationSeparator/>
      </w:r>
    </w:p>
    <w:p w14:paraId="05D7EA3E" w14:textId="77777777" w:rsidR="0021137D" w:rsidRDefault="0021137D"/>
  </w:footnote>
  <w:footnote w:type="continuationNotice" w:id="1">
    <w:p w14:paraId="47C7EB89" w14:textId="77777777" w:rsidR="0021137D" w:rsidRDefault="0021137D"/>
  </w:footnote>
  <w:footnote w:id="2">
    <w:p w14:paraId="262BD994" w14:textId="7613435C" w:rsidR="00254EDB" w:rsidRPr="00346640" w:rsidRDefault="00254EDB" w:rsidP="004B070F">
      <w:pPr>
        <w:pStyle w:val="FootnoteText"/>
        <w:rPr>
          <w:rFonts w:eastAsia="Calibri"/>
        </w:rPr>
      </w:pPr>
      <w:r>
        <w:rPr>
          <w:rStyle w:val="FootnoteReference"/>
          <w:rFonts w:cstheme="minorHAnsi"/>
          <w:sz w:val="18"/>
        </w:rPr>
        <w:footnoteRef/>
      </w:r>
      <w:r>
        <w:tab/>
        <w:t>Verordening (EU) nr. 575/2013 van het Europees Parlement en de Raad van 26 juni 2013 betreffende prudentiële vereisten voor kredietinstellingen en tot wijziging van Verordening (EU) nr. 648/2012, zoals gewijzigd bij Verordening (EU) 2024/1623 (</w:t>
      </w:r>
      <w:hyperlink r:id="rId1" w:history="1">
        <w:r>
          <w:rPr>
            <w:color w:val="800080"/>
            <w:u w:val="single"/>
          </w:rPr>
          <w:t>PB L 176 van 27.6.2013, blz. 1</w:t>
        </w:r>
      </w:hyperlink>
      <w:r>
        <w:t>);</w:t>
      </w:r>
      <w:r>
        <w:rPr>
          <w:color w:val="800080"/>
          <w:u w:val="single"/>
        </w:rPr>
        <w:t xml:space="preserve"> </w:t>
      </w:r>
      <w:hyperlink r:id="rId2" w:history="1">
        <w:r>
          <w:rPr>
            <w:rStyle w:val="Hyperlink"/>
          </w:rPr>
          <w:t>Verordening - 2024/1623 - NL - EUR-Lex (europa.eu)</w:t>
        </w:r>
      </w:hyperlink>
      <w:r>
        <w:rPr>
          <w:color w:val="444444"/>
        </w:rPr>
        <w:t>).</w:t>
      </w:r>
    </w:p>
  </w:footnote>
  <w:footnote w:id="3">
    <w:p w14:paraId="65DAF6E3" w14:textId="7453F6F1" w:rsidR="00254EDB" w:rsidRPr="00222AAB" w:rsidRDefault="00254EDB" w:rsidP="004B070F">
      <w:pPr>
        <w:pStyle w:val="FootnoteText"/>
      </w:pPr>
      <w:r>
        <w:rPr>
          <w:rStyle w:val="FootnoteReference"/>
          <w:rFonts w:cstheme="minorHAnsi"/>
          <w:sz w:val="18"/>
        </w:rPr>
        <w:footnoteRef/>
      </w:r>
      <w:r w:rsidR="00842C88">
        <w:t xml:space="preserve"> R</w:t>
      </w:r>
      <w:r>
        <w:t>ichtsnoeren EBA/GL/2018/03 van de Europese Bankautoriteiten van 19 juli 2018 inzake gemeenschappelijke procedures en methoden voor het proces van toetsing en evaluatie door de toezichthouder (SREP) en stresstests voor toezichtdoeleinden.</w:t>
      </w:r>
    </w:p>
  </w:footnote>
  <w:footnote w:id="4">
    <w:p w14:paraId="6EEE1EF0" w14:textId="1BCA3F30" w:rsidR="00254EDB" w:rsidRPr="00222AAB" w:rsidRDefault="00254EDB" w:rsidP="004B070F">
      <w:pPr>
        <w:pStyle w:val="FootnoteText"/>
      </w:pPr>
      <w:r>
        <w:rPr>
          <w:rStyle w:val="FootnoteReference"/>
          <w:rFonts w:cstheme="minorHAnsi"/>
          <w:sz w:val="18"/>
        </w:rPr>
        <w:footnoteRef/>
      </w:r>
      <w:r w:rsidR="00842C88">
        <w:t xml:space="preserve"> </w:t>
      </w:r>
      <w:r>
        <w:t>Gedelegeerde Verordening (EU) 2015/61 van de Commissie van 10 oktober 2014 ter aanvulling van Verordening (EU) nr. 575/2013 van het Europees Parlement en de Raad met betrekking tot het liquiditeitsdekkingsvereiste voor kredietinstellingen (PB L 11 van 17.1.2015, blz. 1).</w:t>
      </w:r>
    </w:p>
  </w:footnote>
  <w:footnote w:id="5">
    <w:p w14:paraId="2A17ED68" w14:textId="6FFCC862" w:rsidR="00254EDB" w:rsidRPr="00222AAB" w:rsidRDefault="00254EDB" w:rsidP="004B070F">
      <w:pPr>
        <w:pStyle w:val="FootnoteText"/>
      </w:pPr>
      <w:r>
        <w:rPr>
          <w:rStyle w:val="FootnoteReference"/>
          <w:rFonts w:cstheme="minorHAnsi"/>
          <w:sz w:val="18"/>
        </w:rPr>
        <w:footnoteRef/>
      </w:r>
      <w:r w:rsidR="00842C88">
        <w:t xml:space="preserve"> </w:t>
      </w:r>
      <w:r>
        <w:t>Richtlijn 2002/87/EG van het Europees Parlement en de Raad van 16 december 2002 betreffende het aanvullende toezicht op kredietinstellingen, verzekeringsondernemingen en beleggingsondernemingen in een financieel conglomeraat en tot wijziging van de Richtlijnen 73/239/EEG, 79/267/EEG, 92/49/EEG, 92/96/EEG, 93/6/EEG en 93/22/EEG van de Raad en van de Richtlijnen 98/78/EG en 2000/12/EG van het Europees Parlement en de Raad (PB L 35 van 11.2.2003,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064" w14:textId="7F521004" w:rsidR="00254EDB" w:rsidRPr="00842C88" w:rsidRDefault="00254EDB">
    <w:pPr>
      <w:rPr>
        <w:lang w:val="en-IE"/>
      </w:rPr>
    </w:pPr>
    <w:r>
      <w:rPr>
        <w:noProof/>
      </w:rP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sdt>
      <w:sdtPr>
        <w:id w:val="-1905980668"/>
        <w:temporary/>
        <w:showingPlcHdr/>
      </w:sdtPr>
      <w:sdtEndPr/>
      <w:sdtContent>
        <w:r w:rsidRPr="00842C88">
          <w:rPr>
            <w:lang w:val="en-IE"/>
          </w:rPr>
          <w:t>[Type text]</w:t>
        </w:r>
      </w:sdtContent>
    </w:sdt>
    <w:r>
      <w:ptab w:relativeTo="margin" w:alignment="center" w:leader="none"/>
    </w:r>
    <w:sdt>
      <w:sdtPr>
        <w:id w:val="-476227318"/>
        <w:temporary/>
        <w:showingPlcHdr/>
      </w:sdtPr>
      <w:sdtEndPr/>
      <w:sdtContent>
        <w:r w:rsidRPr="00842C88">
          <w:rPr>
            <w:lang w:val="en-IE"/>
          </w:rPr>
          <w:t>[Type text]</w:t>
        </w:r>
      </w:sdtContent>
    </w:sdt>
    <w:r>
      <w:ptab w:relativeTo="margin" w:alignment="right" w:leader="none"/>
    </w:r>
    <w:sdt>
      <w:sdtPr>
        <w:id w:val="807362839"/>
        <w:temporary/>
        <w:showingPlcHdr/>
      </w:sdtPr>
      <w:sdtEndPr/>
      <w:sdtContent>
        <w:r w:rsidRPr="00842C88">
          <w:rPr>
            <w:lang w:val="en-IE"/>
          </w:rPr>
          <w:t>[Type text]</w:t>
        </w:r>
      </w:sdtContent>
    </w:sdt>
  </w:p>
  <w:p w14:paraId="3846A006" w14:textId="77777777" w:rsidR="00254EDB" w:rsidRPr="00842C88" w:rsidRDefault="00254EDB">
    <w:pPr>
      <w:rPr>
        <w:lang w:val="en-I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A80E" w14:textId="1630B4FC" w:rsidR="00254EDB" w:rsidRDefault="00254EDB">
    <w:pPr>
      <w:pStyle w:val="Header"/>
    </w:pPr>
    <w:r>
      <w:rPr>
        <w:noProof/>
      </w:rP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02257AA3" w:rsidR="00254EDB" w:rsidRPr="006411EB" w:rsidRDefault="00254EDB" w:rsidP="006411EB">
                          <w:pPr>
                            <w:rPr>
                              <w:rFonts w:ascii="Calibri" w:eastAsia="Calibri" w:hAnsi="Calibri" w:cs="Calibri"/>
                              <w:noProof/>
                              <w:color w:val="000000"/>
                              <w:sz w:val="24"/>
                            </w:rPr>
                          </w:pPr>
                          <w:r>
                            <w:rPr>
                              <w:rFonts w:ascii="Calibri" w:hAnsi="Calibri"/>
                              <w:color w:val="000000"/>
                              <w:sz w:val="24"/>
                            </w:rPr>
                            <w:t xml:space="preserve">EBA </w:t>
                          </w:r>
                          <w:r w:rsidR="00842C88">
                            <w:rPr>
                              <w:rFonts w:ascii="Calibri" w:hAnsi="Calibri"/>
                              <w:color w:val="000000"/>
                              <w:sz w:val="24"/>
                            </w:rPr>
                            <w:t>– Normaal gebruik</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EBA Regular Use"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02257AA3" w:rsidR="00254EDB" w:rsidRPr="006411EB" w:rsidRDefault="00254EDB" w:rsidP="006411EB">
                    <w:pPr>
                      <w:rPr>
                        <w:rFonts w:ascii="Calibri" w:eastAsia="Calibri" w:hAnsi="Calibri" w:cs="Calibri"/>
                        <w:noProof/>
                        <w:color w:val="000000"/>
                        <w:sz w:val="24"/>
                      </w:rPr>
                    </w:pPr>
                    <w:r>
                      <w:rPr>
                        <w:rFonts w:ascii="Calibri" w:hAnsi="Calibri"/>
                        <w:color w:val="000000"/>
                        <w:sz w:val="24"/>
                      </w:rPr>
                      <w:t xml:space="preserve">EBA </w:t>
                    </w:r>
                    <w:r w:rsidR="00842C88">
                      <w:rPr>
                        <w:rFonts w:ascii="Calibri" w:hAnsi="Calibri"/>
                        <w:color w:val="000000"/>
                        <w:sz w:val="24"/>
                      </w:rPr>
                      <w:t>– Normaal gebruik</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C0F8" w14:textId="16D1A1B7" w:rsidR="00254EDB" w:rsidRPr="00842C88" w:rsidRDefault="00254EDB" w:rsidP="00E677EF">
    <w:pPr>
      <w:pStyle w:val="Runningtitle"/>
      <w:rPr>
        <w:lang w:val="en-IE"/>
      </w:rPr>
    </w:pPr>
    <w:r>
      <w:rPr>
        <w:noProof/>
      </w:rP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r w:rsidRPr="00842C88">
      <w:rPr>
        <w:lang w:val="en-IE"/>
      </w:rPr>
      <w:t>running title comes here in running title style</w:t>
    </w:r>
    <w:r>
      <w:rPr>
        <w:noProof/>
      </w:rP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clsh="http://schemas.microsoft.com/office/drawing/2020/classificationShap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xmlns:a14="http://schemas.microsoft.com/office/drawing/2010/main"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69804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97A649D"/>
    <w:multiLevelType w:val="hybridMultilevel"/>
    <w:tmpl w:val="3140B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7"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4"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5"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7"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2"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2"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1"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4"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50"/>
  </w:num>
  <w:num w:numId="2" w16cid:durableId="2034720164">
    <w:abstractNumId w:val="48"/>
  </w:num>
  <w:num w:numId="3" w16cid:durableId="634917962">
    <w:abstractNumId w:val="7"/>
  </w:num>
  <w:num w:numId="4" w16cid:durableId="1625036184">
    <w:abstractNumId w:val="29"/>
  </w:num>
  <w:num w:numId="5" w16cid:durableId="501313629">
    <w:abstractNumId w:val="37"/>
  </w:num>
  <w:num w:numId="6" w16cid:durableId="125977460">
    <w:abstractNumId w:val="72"/>
  </w:num>
  <w:num w:numId="7" w16cid:durableId="1492795710">
    <w:abstractNumId w:val="2"/>
  </w:num>
  <w:num w:numId="8" w16cid:durableId="848526939">
    <w:abstractNumId w:val="70"/>
  </w:num>
  <w:num w:numId="9" w16cid:durableId="984771423">
    <w:abstractNumId w:val="54"/>
  </w:num>
  <w:num w:numId="10" w16cid:durableId="1745374140">
    <w:abstractNumId w:val="1"/>
  </w:num>
  <w:num w:numId="11" w16cid:durableId="435634678">
    <w:abstractNumId w:val="26"/>
  </w:num>
  <w:num w:numId="12" w16cid:durableId="18256624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132439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5844411">
    <w:abstractNumId w:val="23"/>
  </w:num>
  <w:num w:numId="15" w16cid:durableId="454912513">
    <w:abstractNumId w:val="46"/>
  </w:num>
  <w:num w:numId="16" w16cid:durableId="247931651">
    <w:abstractNumId w:val="11"/>
  </w:num>
  <w:num w:numId="17" w16cid:durableId="629675290">
    <w:abstractNumId w:val="76"/>
  </w:num>
  <w:num w:numId="18" w16cid:durableId="974874027">
    <w:abstractNumId w:val="58"/>
  </w:num>
  <w:num w:numId="19" w16cid:durableId="1402370064">
    <w:abstractNumId w:val="15"/>
  </w:num>
  <w:num w:numId="20" w16cid:durableId="849754039">
    <w:abstractNumId w:val="68"/>
  </w:num>
  <w:num w:numId="21" w16cid:durableId="1555045502">
    <w:abstractNumId w:val="16"/>
  </w:num>
  <w:num w:numId="22" w16cid:durableId="1983996845">
    <w:abstractNumId w:val="18"/>
  </w:num>
  <w:num w:numId="23" w16cid:durableId="1147625497">
    <w:abstractNumId w:val="53"/>
  </w:num>
  <w:num w:numId="24" w16cid:durableId="1494492982">
    <w:abstractNumId w:val="69"/>
  </w:num>
  <w:num w:numId="25" w16cid:durableId="1590187734">
    <w:abstractNumId w:val="5"/>
  </w:num>
  <w:num w:numId="26" w16cid:durableId="344672669">
    <w:abstractNumId w:val="28"/>
  </w:num>
  <w:num w:numId="27" w16cid:durableId="1398357806">
    <w:abstractNumId w:val="52"/>
  </w:num>
  <w:num w:numId="28" w16cid:durableId="1492793236">
    <w:abstractNumId w:val="25"/>
  </w:num>
  <w:num w:numId="29" w16cid:durableId="1828474610">
    <w:abstractNumId w:val="64"/>
  </w:num>
  <w:num w:numId="30" w16cid:durableId="1626891959">
    <w:abstractNumId w:val="14"/>
  </w:num>
  <w:num w:numId="31" w16cid:durableId="1056274108">
    <w:abstractNumId w:val="0"/>
  </w:num>
  <w:num w:numId="32" w16cid:durableId="696277863">
    <w:abstractNumId w:val="8"/>
  </w:num>
  <w:num w:numId="33" w16cid:durableId="797451239">
    <w:abstractNumId w:val="56"/>
  </w:num>
  <w:num w:numId="34" w16cid:durableId="533270072">
    <w:abstractNumId w:val="9"/>
  </w:num>
  <w:num w:numId="35" w16cid:durableId="1297645551">
    <w:abstractNumId w:val="40"/>
  </w:num>
  <w:num w:numId="36" w16cid:durableId="69499067">
    <w:abstractNumId w:val="20"/>
  </w:num>
  <w:num w:numId="37" w16cid:durableId="1786077219">
    <w:abstractNumId w:val="73"/>
  </w:num>
  <w:num w:numId="38" w16cid:durableId="1849715892">
    <w:abstractNumId w:val="44"/>
  </w:num>
  <w:num w:numId="39" w16cid:durableId="470027272">
    <w:abstractNumId w:val="43"/>
  </w:num>
  <w:num w:numId="40" w16cid:durableId="2091150559">
    <w:abstractNumId w:val="34"/>
  </w:num>
  <w:num w:numId="41" w16cid:durableId="1097024714">
    <w:abstractNumId w:val="55"/>
  </w:num>
  <w:num w:numId="42" w16cid:durableId="265041195">
    <w:abstractNumId w:val="65"/>
  </w:num>
  <w:num w:numId="43" w16cid:durableId="12985317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7"/>
  </w:num>
  <w:num w:numId="46" w16cid:durableId="650133405">
    <w:abstractNumId w:val="13"/>
  </w:num>
  <w:num w:numId="47" w16cid:durableId="1201744292">
    <w:abstractNumId w:val="39"/>
  </w:num>
  <w:num w:numId="48" w16cid:durableId="647905348">
    <w:abstractNumId w:val="41"/>
  </w:num>
  <w:num w:numId="49" w16cid:durableId="1246379891">
    <w:abstractNumId w:val="47"/>
  </w:num>
  <w:num w:numId="50" w16cid:durableId="1353142639">
    <w:abstractNumId w:val="30"/>
  </w:num>
  <w:num w:numId="51" w16cid:durableId="1033925350">
    <w:abstractNumId w:val="60"/>
  </w:num>
  <w:num w:numId="52" w16cid:durableId="530728398">
    <w:abstractNumId w:val="17"/>
  </w:num>
  <w:num w:numId="53" w16cid:durableId="1722052236">
    <w:abstractNumId w:val="75"/>
  </w:num>
  <w:num w:numId="54" w16cid:durableId="1314481135">
    <w:abstractNumId w:val="67"/>
  </w:num>
  <w:num w:numId="55" w16cid:durableId="497500178">
    <w:abstractNumId w:val="51"/>
  </w:num>
  <w:num w:numId="56" w16cid:durableId="1023288254">
    <w:abstractNumId w:val="66"/>
  </w:num>
  <w:num w:numId="57" w16cid:durableId="320694590">
    <w:abstractNumId w:val="74"/>
  </w:num>
  <w:num w:numId="58" w16cid:durableId="427307897">
    <w:abstractNumId w:val="6"/>
  </w:num>
  <w:num w:numId="59" w16cid:durableId="2117291170">
    <w:abstractNumId w:val="49"/>
  </w:num>
  <w:num w:numId="60" w16cid:durableId="1085302267">
    <w:abstractNumId w:val="32"/>
  </w:num>
  <w:num w:numId="61" w16cid:durableId="79260767">
    <w:abstractNumId w:val="22"/>
  </w:num>
  <w:num w:numId="62" w16cid:durableId="1940403543">
    <w:abstractNumId w:val="33"/>
  </w:num>
  <w:num w:numId="63" w16cid:durableId="139688166">
    <w:abstractNumId w:val="3"/>
  </w:num>
  <w:num w:numId="64" w16cid:durableId="1830436411">
    <w:abstractNumId w:val="21"/>
  </w:num>
  <w:num w:numId="65" w16cid:durableId="2121678578">
    <w:abstractNumId w:val="27"/>
  </w:num>
  <w:num w:numId="66" w16cid:durableId="374044681">
    <w:abstractNumId w:val="10"/>
  </w:num>
  <w:num w:numId="67" w16cid:durableId="1605650266">
    <w:abstractNumId w:val="59"/>
  </w:num>
  <w:num w:numId="68" w16cid:durableId="1737975728">
    <w:abstractNumId w:val="71"/>
  </w:num>
  <w:num w:numId="69" w16cid:durableId="2002196286">
    <w:abstractNumId w:val="63"/>
  </w:num>
  <w:num w:numId="70" w16cid:durableId="1111634297">
    <w:abstractNumId w:val="35"/>
  </w:num>
  <w:num w:numId="71" w16cid:durableId="1916090807">
    <w:abstractNumId w:val="42"/>
  </w:num>
  <w:num w:numId="72" w16cid:durableId="610163597">
    <w:abstractNumId w:val="38"/>
  </w:num>
  <w:num w:numId="73" w16cid:durableId="1496069310">
    <w:abstractNumId w:val="12"/>
  </w:num>
  <w:num w:numId="74" w16cid:durableId="977108779">
    <w:abstractNumId w:val="62"/>
  </w:num>
  <w:num w:numId="75" w16cid:durableId="18701256">
    <w:abstractNumId w:val="4"/>
  </w:num>
  <w:num w:numId="76" w16cid:durableId="1094519072">
    <w:abstractNumId w:val="31"/>
  </w:num>
  <w:num w:numId="77" w16cid:durableId="1617443384">
    <w:abstractNumId w:val="36"/>
  </w:num>
  <w:num w:numId="78" w16cid:durableId="1268926257">
    <w:abstractNumId w:val="45"/>
  </w:num>
  <w:num w:numId="79" w16cid:durableId="978068849">
    <w:abstractNumId w:val="46"/>
    <w:lvlOverride w:ilvl="0">
      <w:startOverride w:val="1"/>
    </w:lvlOverride>
  </w:num>
  <w:num w:numId="80" w16cid:durableId="232933388">
    <w:abstractNumId w:val="2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nl-NL" w:vendorID="64" w:dllVersion="0" w:nlCheck="1" w:checkStyle="0"/>
  <w:activeWritingStyle w:appName="MSWord" w:lang="en-IE" w:vendorID="64" w:dllVersion="0" w:nlCheck="1" w:checkStyle="0"/>
  <w:proofState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1540"/>
    <w:rsid w:val="00013281"/>
    <w:rsid w:val="000148C4"/>
    <w:rsid w:val="0001574B"/>
    <w:rsid w:val="00015C54"/>
    <w:rsid w:val="00015DE4"/>
    <w:rsid w:val="00016A5F"/>
    <w:rsid w:val="00016FB4"/>
    <w:rsid w:val="0001712C"/>
    <w:rsid w:val="000231B7"/>
    <w:rsid w:val="00023204"/>
    <w:rsid w:val="0002717D"/>
    <w:rsid w:val="00027CA0"/>
    <w:rsid w:val="00030D65"/>
    <w:rsid w:val="00032609"/>
    <w:rsid w:val="0003602B"/>
    <w:rsid w:val="000372FB"/>
    <w:rsid w:val="00040129"/>
    <w:rsid w:val="000405FC"/>
    <w:rsid w:val="000416AD"/>
    <w:rsid w:val="00042451"/>
    <w:rsid w:val="00045BB0"/>
    <w:rsid w:val="00047D69"/>
    <w:rsid w:val="000506BF"/>
    <w:rsid w:val="000506DE"/>
    <w:rsid w:val="00051895"/>
    <w:rsid w:val="00052987"/>
    <w:rsid w:val="00052C7E"/>
    <w:rsid w:val="000540E0"/>
    <w:rsid w:val="00054554"/>
    <w:rsid w:val="00054B2E"/>
    <w:rsid w:val="000561D1"/>
    <w:rsid w:val="00060F40"/>
    <w:rsid w:val="0006264F"/>
    <w:rsid w:val="00062830"/>
    <w:rsid w:val="00062937"/>
    <w:rsid w:val="000638BD"/>
    <w:rsid w:val="000639E7"/>
    <w:rsid w:val="000646F8"/>
    <w:rsid w:val="00064A87"/>
    <w:rsid w:val="00066A9A"/>
    <w:rsid w:val="00067739"/>
    <w:rsid w:val="00071DAB"/>
    <w:rsid w:val="00072A8C"/>
    <w:rsid w:val="00074660"/>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3626"/>
    <w:rsid w:val="000D4898"/>
    <w:rsid w:val="000D49BF"/>
    <w:rsid w:val="000D68DC"/>
    <w:rsid w:val="000D7A44"/>
    <w:rsid w:val="000E0C27"/>
    <w:rsid w:val="000E31D8"/>
    <w:rsid w:val="000E6D15"/>
    <w:rsid w:val="000E6E57"/>
    <w:rsid w:val="000F1F90"/>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C58"/>
    <w:rsid w:val="00121E46"/>
    <w:rsid w:val="001227EB"/>
    <w:rsid w:val="001266BE"/>
    <w:rsid w:val="0012686C"/>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381"/>
    <w:rsid w:val="001624C3"/>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42D"/>
    <w:rsid w:val="00184DBF"/>
    <w:rsid w:val="00185341"/>
    <w:rsid w:val="00186588"/>
    <w:rsid w:val="00187C4B"/>
    <w:rsid w:val="0019189B"/>
    <w:rsid w:val="00192044"/>
    <w:rsid w:val="00192287"/>
    <w:rsid w:val="00194611"/>
    <w:rsid w:val="00194BCC"/>
    <w:rsid w:val="00194F95"/>
    <w:rsid w:val="0019796E"/>
    <w:rsid w:val="001A016C"/>
    <w:rsid w:val="001A0C8D"/>
    <w:rsid w:val="001A1C04"/>
    <w:rsid w:val="001A2A81"/>
    <w:rsid w:val="001A32A3"/>
    <w:rsid w:val="001A4B58"/>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53F8"/>
    <w:rsid w:val="001F7501"/>
    <w:rsid w:val="002003D9"/>
    <w:rsid w:val="00200A65"/>
    <w:rsid w:val="00200A9F"/>
    <w:rsid w:val="00201A16"/>
    <w:rsid w:val="00203C1C"/>
    <w:rsid w:val="00205139"/>
    <w:rsid w:val="00205878"/>
    <w:rsid w:val="00206A6B"/>
    <w:rsid w:val="00206BB0"/>
    <w:rsid w:val="0020758C"/>
    <w:rsid w:val="002079C0"/>
    <w:rsid w:val="002110ED"/>
    <w:rsid w:val="0021137D"/>
    <w:rsid w:val="00213620"/>
    <w:rsid w:val="00213D7B"/>
    <w:rsid w:val="00214DEC"/>
    <w:rsid w:val="002160C2"/>
    <w:rsid w:val="00221AC8"/>
    <w:rsid w:val="00222056"/>
    <w:rsid w:val="00222AAB"/>
    <w:rsid w:val="00223D0E"/>
    <w:rsid w:val="00224293"/>
    <w:rsid w:val="00224761"/>
    <w:rsid w:val="00224A3F"/>
    <w:rsid w:val="00224D96"/>
    <w:rsid w:val="00226B9B"/>
    <w:rsid w:val="0022771D"/>
    <w:rsid w:val="00227D8B"/>
    <w:rsid w:val="002306C7"/>
    <w:rsid w:val="00230CCE"/>
    <w:rsid w:val="00232C88"/>
    <w:rsid w:val="00232DF5"/>
    <w:rsid w:val="00234EEB"/>
    <w:rsid w:val="00235422"/>
    <w:rsid w:val="002354AB"/>
    <w:rsid w:val="002358D6"/>
    <w:rsid w:val="0023633E"/>
    <w:rsid w:val="0023741B"/>
    <w:rsid w:val="00237CC4"/>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2FE8"/>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85768"/>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5938"/>
    <w:rsid w:val="002A5A3D"/>
    <w:rsid w:val="002A6C48"/>
    <w:rsid w:val="002B03F9"/>
    <w:rsid w:val="002B095B"/>
    <w:rsid w:val="002B2D10"/>
    <w:rsid w:val="002B6F7D"/>
    <w:rsid w:val="002B7ED3"/>
    <w:rsid w:val="002C0DCF"/>
    <w:rsid w:val="002C1D84"/>
    <w:rsid w:val="002C2DE0"/>
    <w:rsid w:val="002C308A"/>
    <w:rsid w:val="002C33D2"/>
    <w:rsid w:val="002C4B90"/>
    <w:rsid w:val="002C6C9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300859"/>
    <w:rsid w:val="00300924"/>
    <w:rsid w:val="0030153F"/>
    <w:rsid w:val="003023DA"/>
    <w:rsid w:val="003025A8"/>
    <w:rsid w:val="00305345"/>
    <w:rsid w:val="0030599F"/>
    <w:rsid w:val="00306353"/>
    <w:rsid w:val="00307662"/>
    <w:rsid w:val="00310C93"/>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C85"/>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568B9"/>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0D09"/>
    <w:rsid w:val="003B2F1D"/>
    <w:rsid w:val="003B4C84"/>
    <w:rsid w:val="003B5CA1"/>
    <w:rsid w:val="003B6056"/>
    <w:rsid w:val="003B6A5A"/>
    <w:rsid w:val="003B7D75"/>
    <w:rsid w:val="003C01F6"/>
    <w:rsid w:val="003C0305"/>
    <w:rsid w:val="003C095D"/>
    <w:rsid w:val="003C1B00"/>
    <w:rsid w:val="003C1E4F"/>
    <w:rsid w:val="003C20CD"/>
    <w:rsid w:val="003C2B40"/>
    <w:rsid w:val="003C332D"/>
    <w:rsid w:val="003C6475"/>
    <w:rsid w:val="003D01F8"/>
    <w:rsid w:val="003D04AB"/>
    <w:rsid w:val="003D0920"/>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4D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6E4F"/>
    <w:rsid w:val="004477A6"/>
    <w:rsid w:val="00451E45"/>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312"/>
    <w:rsid w:val="004A7965"/>
    <w:rsid w:val="004B070F"/>
    <w:rsid w:val="004B089B"/>
    <w:rsid w:val="004B0974"/>
    <w:rsid w:val="004B15A9"/>
    <w:rsid w:val="004B15C1"/>
    <w:rsid w:val="004B2FC0"/>
    <w:rsid w:val="004B3092"/>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360B"/>
    <w:rsid w:val="004E405B"/>
    <w:rsid w:val="004E64F1"/>
    <w:rsid w:val="004E6FA8"/>
    <w:rsid w:val="004E71F4"/>
    <w:rsid w:val="004E79EC"/>
    <w:rsid w:val="004F09DC"/>
    <w:rsid w:val="004F0AB6"/>
    <w:rsid w:val="004F33FD"/>
    <w:rsid w:val="004F55AC"/>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BE7"/>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1F3"/>
    <w:rsid w:val="00576B59"/>
    <w:rsid w:val="00576BDE"/>
    <w:rsid w:val="00582578"/>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5F7007"/>
    <w:rsid w:val="005F7A18"/>
    <w:rsid w:val="00600593"/>
    <w:rsid w:val="00600DDD"/>
    <w:rsid w:val="00601608"/>
    <w:rsid w:val="0060173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1DCF"/>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041"/>
    <w:rsid w:val="006322BD"/>
    <w:rsid w:val="00633DC7"/>
    <w:rsid w:val="00634158"/>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BB2"/>
    <w:rsid w:val="00677CC7"/>
    <w:rsid w:val="00680674"/>
    <w:rsid w:val="00680D1E"/>
    <w:rsid w:val="00680E3F"/>
    <w:rsid w:val="006819CE"/>
    <w:rsid w:val="0068628A"/>
    <w:rsid w:val="00686DA5"/>
    <w:rsid w:val="006909C0"/>
    <w:rsid w:val="00692026"/>
    <w:rsid w:val="006924DA"/>
    <w:rsid w:val="00692E67"/>
    <w:rsid w:val="006937AC"/>
    <w:rsid w:val="006973AC"/>
    <w:rsid w:val="00697E73"/>
    <w:rsid w:val="006A0C31"/>
    <w:rsid w:val="006A0D6A"/>
    <w:rsid w:val="006A1213"/>
    <w:rsid w:val="006A12E0"/>
    <w:rsid w:val="006A6226"/>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0212"/>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26C67"/>
    <w:rsid w:val="00730352"/>
    <w:rsid w:val="00731F9A"/>
    <w:rsid w:val="00733C3F"/>
    <w:rsid w:val="007373E1"/>
    <w:rsid w:val="00742839"/>
    <w:rsid w:val="00743240"/>
    <w:rsid w:val="00743A14"/>
    <w:rsid w:val="00743C3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7DF"/>
    <w:rsid w:val="00772993"/>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97C68"/>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3334"/>
    <w:rsid w:val="007F4CC8"/>
    <w:rsid w:val="007F5865"/>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2C88"/>
    <w:rsid w:val="00843373"/>
    <w:rsid w:val="0084468C"/>
    <w:rsid w:val="00844EE2"/>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4ED5"/>
    <w:rsid w:val="00880BCD"/>
    <w:rsid w:val="008810BC"/>
    <w:rsid w:val="00884510"/>
    <w:rsid w:val="00884DC4"/>
    <w:rsid w:val="00884EF0"/>
    <w:rsid w:val="00886EA4"/>
    <w:rsid w:val="008903CA"/>
    <w:rsid w:val="00892096"/>
    <w:rsid w:val="00894E62"/>
    <w:rsid w:val="00895131"/>
    <w:rsid w:val="00896D04"/>
    <w:rsid w:val="00896EF0"/>
    <w:rsid w:val="00897CC1"/>
    <w:rsid w:val="008A13D3"/>
    <w:rsid w:val="008A3B4F"/>
    <w:rsid w:val="008A40BC"/>
    <w:rsid w:val="008A5DA7"/>
    <w:rsid w:val="008A7074"/>
    <w:rsid w:val="008B0845"/>
    <w:rsid w:val="008B0FA6"/>
    <w:rsid w:val="008B1748"/>
    <w:rsid w:val="008B248A"/>
    <w:rsid w:val="008B269B"/>
    <w:rsid w:val="008B2816"/>
    <w:rsid w:val="008B6B85"/>
    <w:rsid w:val="008C1700"/>
    <w:rsid w:val="008C1A94"/>
    <w:rsid w:val="008C231E"/>
    <w:rsid w:val="008C27E6"/>
    <w:rsid w:val="008C47B2"/>
    <w:rsid w:val="008C5B82"/>
    <w:rsid w:val="008C672C"/>
    <w:rsid w:val="008C6A4E"/>
    <w:rsid w:val="008D04B4"/>
    <w:rsid w:val="008D08E6"/>
    <w:rsid w:val="008D0CBA"/>
    <w:rsid w:val="008D2C6D"/>
    <w:rsid w:val="008D2FFB"/>
    <w:rsid w:val="008D4828"/>
    <w:rsid w:val="008D5ED6"/>
    <w:rsid w:val="008D7CD4"/>
    <w:rsid w:val="008E13F9"/>
    <w:rsid w:val="008E292A"/>
    <w:rsid w:val="008E3D64"/>
    <w:rsid w:val="008E5652"/>
    <w:rsid w:val="008E60F6"/>
    <w:rsid w:val="008E6407"/>
    <w:rsid w:val="008E7970"/>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60D6"/>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59E1"/>
    <w:rsid w:val="0095719B"/>
    <w:rsid w:val="0095789C"/>
    <w:rsid w:val="00960F30"/>
    <w:rsid w:val="0096146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4B6"/>
    <w:rsid w:val="00977676"/>
    <w:rsid w:val="0097793C"/>
    <w:rsid w:val="00982373"/>
    <w:rsid w:val="0098401F"/>
    <w:rsid w:val="00984D23"/>
    <w:rsid w:val="00987078"/>
    <w:rsid w:val="00987120"/>
    <w:rsid w:val="00990058"/>
    <w:rsid w:val="00990A8A"/>
    <w:rsid w:val="00991278"/>
    <w:rsid w:val="009927CC"/>
    <w:rsid w:val="00992BEF"/>
    <w:rsid w:val="00993B1E"/>
    <w:rsid w:val="009944B4"/>
    <w:rsid w:val="009947D6"/>
    <w:rsid w:val="00994B4F"/>
    <w:rsid w:val="009953F9"/>
    <w:rsid w:val="00997339"/>
    <w:rsid w:val="00997406"/>
    <w:rsid w:val="009976D7"/>
    <w:rsid w:val="00997826"/>
    <w:rsid w:val="00997B3E"/>
    <w:rsid w:val="009A2610"/>
    <w:rsid w:val="009A3EE8"/>
    <w:rsid w:val="009A4635"/>
    <w:rsid w:val="009A5D7A"/>
    <w:rsid w:val="009A6978"/>
    <w:rsid w:val="009B033C"/>
    <w:rsid w:val="009B1BD7"/>
    <w:rsid w:val="009B71C6"/>
    <w:rsid w:val="009B747C"/>
    <w:rsid w:val="009B7766"/>
    <w:rsid w:val="009B7ED5"/>
    <w:rsid w:val="009C12C9"/>
    <w:rsid w:val="009C1931"/>
    <w:rsid w:val="009C1CE7"/>
    <w:rsid w:val="009C23C8"/>
    <w:rsid w:val="009C319B"/>
    <w:rsid w:val="009C39EE"/>
    <w:rsid w:val="009C3A8F"/>
    <w:rsid w:val="009C4983"/>
    <w:rsid w:val="009C6B20"/>
    <w:rsid w:val="009C741F"/>
    <w:rsid w:val="009D0637"/>
    <w:rsid w:val="009D10AD"/>
    <w:rsid w:val="009D1372"/>
    <w:rsid w:val="009D1C5F"/>
    <w:rsid w:val="009D2A94"/>
    <w:rsid w:val="009D2ABE"/>
    <w:rsid w:val="009D2F9B"/>
    <w:rsid w:val="009D3166"/>
    <w:rsid w:val="009D55F7"/>
    <w:rsid w:val="009D693E"/>
    <w:rsid w:val="009D7D01"/>
    <w:rsid w:val="009D7FCB"/>
    <w:rsid w:val="009E0794"/>
    <w:rsid w:val="009E18E8"/>
    <w:rsid w:val="009E1A3F"/>
    <w:rsid w:val="009E1F4E"/>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839"/>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477D8"/>
    <w:rsid w:val="00A53163"/>
    <w:rsid w:val="00A53EC9"/>
    <w:rsid w:val="00A63886"/>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55F"/>
    <w:rsid w:val="00AA7604"/>
    <w:rsid w:val="00AB104D"/>
    <w:rsid w:val="00AB10CF"/>
    <w:rsid w:val="00AB2476"/>
    <w:rsid w:val="00AB2B10"/>
    <w:rsid w:val="00AB3DDB"/>
    <w:rsid w:val="00AB6E04"/>
    <w:rsid w:val="00AB7318"/>
    <w:rsid w:val="00AC7521"/>
    <w:rsid w:val="00AC7855"/>
    <w:rsid w:val="00AD0C73"/>
    <w:rsid w:val="00AD18C7"/>
    <w:rsid w:val="00AD1D63"/>
    <w:rsid w:val="00AD264A"/>
    <w:rsid w:val="00AD2FD9"/>
    <w:rsid w:val="00AD339F"/>
    <w:rsid w:val="00AD4A4D"/>
    <w:rsid w:val="00AD50A9"/>
    <w:rsid w:val="00AD56DA"/>
    <w:rsid w:val="00AD7048"/>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2BD"/>
    <w:rsid w:val="00B02FAA"/>
    <w:rsid w:val="00B03C60"/>
    <w:rsid w:val="00B043DF"/>
    <w:rsid w:val="00B04D5C"/>
    <w:rsid w:val="00B05624"/>
    <w:rsid w:val="00B05A34"/>
    <w:rsid w:val="00B06E31"/>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0FA7"/>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04C"/>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3460"/>
    <w:rsid w:val="00C25EF9"/>
    <w:rsid w:val="00C261D1"/>
    <w:rsid w:val="00C2642F"/>
    <w:rsid w:val="00C269A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067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3E7D"/>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6BF2"/>
    <w:rsid w:val="00CC7137"/>
    <w:rsid w:val="00CC78F6"/>
    <w:rsid w:val="00CC7F18"/>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24A0"/>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048"/>
    <w:rsid w:val="00D072CD"/>
    <w:rsid w:val="00D07969"/>
    <w:rsid w:val="00D120EF"/>
    <w:rsid w:val="00D152E7"/>
    <w:rsid w:val="00D15B1C"/>
    <w:rsid w:val="00D15B3E"/>
    <w:rsid w:val="00D169DB"/>
    <w:rsid w:val="00D17A3D"/>
    <w:rsid w:val="00D17AA8"/>
    <w:rsid w:val="00D21F91"/>
    <w:rsid w:val="00D235E1"/>
    <w:rsid w:val="00D241C6"/>
    <w:rsid w:val="00D261F9"/>
    <w:rsid w:val="00D26269"/>
    <w:rsid w:val="00D26F4C"/>
    <w:rsid w:val="00D26F70"/>
    <w:rsid w:val="00D277F2"/>
    <w:rsid w:val="00D312C4"/>
    <w:rsid w:val="00D33027"/>
    <w:rsid w:val="00D35D87"/>
    <w:rsid w:val="00D3796C"/>
    <w:rsid w:val="00D40254"/>
    <w:rsid w:val="00D41963"/>
    <w:rsid w:val="00D419B2"/>
    <w:rsid w:val="00D44171"/>
    <w:rsid w:val="00D44360"/>
    <w:rsid w:val="00D44595"/>
    <w:rsid w:val="00D44788"/>
    <w:rsid w:val="00D45137"/>
    <w:rsid w:val="00D451DC"/>
    <w:rsid w:val="00D45B2B"/>
    <w:rsid w:val="00D50D2F"/>
    <w:rsid w:val="00D51CB3"/>
    <w:rsid w:val="00D52BC8"/>
    <w:rsid w:val="00D53948"/>
    <w:rsid w:val="00D549B9"/>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026F"/>
    <w:rsid w:val="00D73660"/>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2B8D"/>
    <w:rsid w:val="00D93652"/>
    <w:rsid w:val="00D93B57"/>
    <w:rsid w:val="00D93DDB"/>
    <w:rsid w:val="00D95507"/>
    <w:rsid w:val="00D955EC"/>
    <w:rsid w:val="00D961EB"/>
    <w:rsid w:val="00D96782"/>
    <w:rsid w:val="00D96A21"/>
    <w:rsid w:val="00D975F5"/>
    <w:rsid w:val="00D97BBA"/>
    <w:rsid w:val="00DA02D6"/>
    <w:rsid w:val="00DA0899"/>
    <w:rsid w:val="00DA1750"/>
    <w:rsid w:val="00DA1988"/>
    <w:rsid w:val="00DA2298"/>
    <w:rsid w:val="00DA24E5"/>
    <w:rsid w:val="00DA2E87"/>
    <w:rsid w:val="00DA4228"/>
    <w:rsid w:val="00DA44B7"/>
    <w:rsid w:val="00DA58AA"/>
    <w:rsid w:val="00DA590B"/>
    <w:rsid w:val="00DA6122"/>
    <w:rsid w:val="00DA75DF"/>
    <w:rsid w:val="00DB0727"/>
    <w:rsid w:val="00DB0F14"/>
    <w:rsid w:val="00DB1245"/>
    <w:rsid w:val="00DB1F94"/>
    <w:rsid w:val="00DB2478"/>
    <w:rsid w:val="00DB2C3F"/>
    <w:rsid w:val="00DB3BA4"/>
    <w:rsid w:val="00DB40F8"/>
    <w:rsid w:val="00DB4809"/>
    <w:rsid w:val="00DB5C62"/>
    <w:rsid w:val="00DB5E8F"/>
    <w:rsid w:val="00DB70BC"/>
    <w:rsid w:val="00DB7371"/>
    <w:rsid w:val="00DB767C"/>
    <w:rsid w:val="00DC0972"/>
    <w:rsid w:val="00DC2C46"/>
    <w:rsid w:val="00DC31E2"/>
    <w:rsid w:val="00DC3E99"/>
    <w:rsid w:val="00DC58CE"/>
    <w:rsid w:val="00DC7C3E"/>
    <w:rsid w:val="00DD083C"/>
    <w:rsid w:val="00DD0A9E"/>
    <w:rsid w:val="00DD0C4D"/>
    <w:rsid w:val="00DD1BAA"/>
    <w:rsid w:val="00DD32A8"/>
    <w:rsid w:val="00DD70C0"/>
    <w:rsid w:val="00DD7C7A"/>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4D4"/>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2DA7"/>
    <w:rsid w:val="00E432CC"/>
    <w:rsid w:val="00E43903"/>
    <w:rsid w:val="00E44FA7"/>
    <w:rsid w:val="00E4695A"/>
    <w:rsid w:val="00E50210"/>
    <w:rsid w:val="00E52D11"/>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77EF"/>
    <w:rsid w:val="00E70D84"/>
    <w:rsid w:val="00E7159B"/>
    <w:rsid w:val="00E71996"/>
    <w:rsid w:val="00E71BDD"/>
    <w:rsid w:val="00E72421"/>
    <w:rsid w:val="00E72D02"/>
    <w:rsid w:val="00E7380A"/>
    <w:rsid w:val="00E74C1B"/>
    <w:rsid w:val="00E81EF9"/>
    <w:rsid w:val="00E840B5"/>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966DD"/>
    <w:rsid w:val="00EA0625"/>
    <w:rsid w:val="00EA10E7"/>
    <w:rsid w:val="00EA1574"/>
    <w:rsid w:val="00EA1807"/>
    <w:rsid w:val="00EA38FE"/>
    <w:rsid w:val="00EA4947"/>
    <w:rsid w:val="00EA5554"/>
    <w:rsid w:val="00EA6540"/>
    <w:rsid w:val="00EA735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34AC"/>
    <w:rsid w:val="00ED6873"/>
    <w:rsid w:val="00ED6F18"/>
    <w:rsid w:val="00ED73EF"/>
    <w:rsid w:val="00EE0293"/>
    <w:rsid w:val="00EE0AA4"/>
    <w:rsid w:val="00EE0C7D"/>
    <w:rsid w:val="00EE1F54"/>
    <w:rsid w:val="00EE40F7"/>
    <w:rsid w:val="00EE456B"/>
    <w:rsid w:val="00EE508D"/>
    <w:rsid w:val="00EE6446"/>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35EA5"/>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76C1"/>
    <w:rsid w:val="00F7064A"/>
    <w:rsid w:val="00F7383F"/>
    <w:rsid w:val="00F747AD"/>
    <w:rsid w:val="00F75FFC"/>
    <w:rsid w:val="00F766F2"/>
    <w:rsid w:val="00F829DE"/>
    <w:rsid w:val="00F83255"/>
    <w:rsid w:val="00F83D74"/>
    <w:rsid w:val="00F84674"/>
    <w:rsid w:val="00F86E04"/>
    <w:rsid w:val="00F87C1E"/>
    <w:rsid w:val="00F87F11"/>
    <w:rsid w:val="00F916A4"/>
    <w:rsid w:val="00F91DF5"/>
    <w:rsid w:val="00F930B1"/>
    <w:rsid w:val="00F93819"/>
    <w:rsid w:val="00F942CA"/>
    <w:rsid w:val="00F9452C"/>
    <w:rsid w:val="00F94EDA"/>
    <w:rsid w:val="00F96224"/>
    <w:rsid w:val="00F975CE"/>
    <w:rsid w:val="00FA02BC"/>
    <w:rsid w:val="00FA0964"/>
    <w:rsid w:val="00FA1376"/>
    <w:rsid w:val="00FA157C"/>
    <w:rsid w:val="00FA357C"/>
    <w:rsid w:val="00FA3F25"/>
    <w:rsid w:val="00FA53CB"/>
    <w:rsid w:val="00FA65ED"/>
    <w:rsid w:val="00FA7ECF"/>
    <w:rsid w:val="00FB11A6"/>
    <w:rsid w:val="00FB46C5"/>
    <w:rsid w:val="00FB535B"/>
    <w:rsid w:val="00FB7206"/>
    <w:rsid w:val="00FB745E"/>
    <w:rsid w:val="00FC0E1A"/>
    <w:rsid w:val="00FC1D72"/>
    <w:rsid w:val="00FC1F2A"/>
    <w:rsid w:val="00FC2827"/>
    <w:rsid w:val="00FC40CE"/>
    <w:rsid w:val="00FC5BDA"/>
    <w:rsid w:val="00FC5E60"/>
    <w:rsid w:val="00FC5ECD"/>
    <w:rsid w:val="00FD061B"/>
    <w:rsid w:val="00FD1DEB"/>
    <w:rsid w:val="00FD5310"/>
    <w:rsid w:val="00FD656A"/>
    <w:rsid w:val="00FD7616"/>
    <w:rsid w:val="00FE019A"/>
    <w:rsid w:val="00FE0384"/>
    <w:rsid w:val="00FE0C92"/>
    <w:rsid w:val="00FE10D6"/>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04A31"/>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nl-NL"/>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nl-NL"/>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nl-NL"/>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nl-NL"/>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nl-NL"/>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nl-NL"/>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677BB2"/>
    <w:rPr>
      <w:rFonts w:ascii="Times New Roman" w:hAnsi="Times New Roman" w:cs="Times New Roman"/>
      <w:b/>
      <w:bCs/>
      <w:lang w:val="nl-NL" w:eastAsia="de-DE"/>
    </w:rPr>
  </w:style>
  <w:style w:type="paragraph" w:customStyle="1" w:styleId="InstructionsText">
    <w:name w:val="Instructions Text"/>
    <w:basedOn w:val="Normal"/>
    <w:link w:val="InstructionsTextChar"/>
    <w:autoRedefine/>
    <w:rsid w:val="00677BB2"/>
    <w:pPr>
      <w:spacing w:after="120"/>
      <w:ind w:left="61" w:hanging="28"/>
      <w:jc w:val="both"/>
    </w:pPr>
    <w:rPr>
      <w:rFonts w:ascii="Times New Roman" w:hAnsi="Times New Roman" w:cs="Times New Roman"/>
      <w:b/>
      <w:bCs/>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nl-NL"/>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nl-NL"/>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nl-NL"/>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nl-NL"/>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nl-NL"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nl-NL"/>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nl-NL"/>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character" w:styleId="Mention">
    <w:name w:val="Mention"/>
    <w:basedOn w:val="DefaultParagraphFont"/>
    <w:uiPriority w:val="99"/>
    <w:unhideWhenUsed/>
    <w:rsid w:val="004C7D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977031047">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418671045">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Nl/TXT/?uri=OJ:L_202401623" TargetMode="External"/><Relationship Id="rId1" Type="http://schemas.openxmlformats.org/officeDocument/2006/relationships/hyperlink" Target="https://eur-lex.europa.eu/legal-content/NL/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customXml/itemProps2.xml><?xml version="1.0" encoding="utf-8"?>
<ds:datastoreItem xmlns:ds="http://schemas.openxmlformats.org/officeDocument/2006/customXml" ds:itemID="{9F7333CF-03F1-4BBA-A1A5-5FC199C030F7}"/>
</file>

<file path=customXml/itemProps3.xml><?xml version="1.0" encoding="utf-8"?>
<ds:datastoreItem xmlns:ds="http://schemas.openxmlformats.org/officeDocument/2006/customXml" ds:itemID="{6252279E-3EFC-4D8B-AC96-4535BC740A6C}"/>
</file>

<file path=customXml/itemProps4.xml><?xml version="1.0" encoding="utf-8"?>
<ds:datastoreItem xmlns:ds="http://schemas.openxmlformats.org/officeDocument/2006/customXml" ds:itemID="{662EBEA6-9391-48A6-9873-A8F5F813E45A}"/>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21</Pages>
  <Words>6164</Words>
  <Characters>37420</Characters>
  <Application>Microsoft Office Word</Application>
  <DocSecurity>0</DocSecurity>
  <Lines>912</Lines>
  <Paragraphs>495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2024-06-06T13:28:00Z</dcterms:created>
  <dcterms:modified xsi:type="dcterms:W3CDTF">2024-09-30T09:15:00Z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2024-06-28T07:57:22Z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6751ffcc-0dd9-4bf6-bdf7-157d1d36e1fb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