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sz w:val="24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DA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BILAG XLIV</w:t>
      </w:r>
    </w:p>
    <w:p w14:paraId="327777EC" w14:textId="412B4B5A" w:rsidR="002648B0" w:rsidRPr="002A677E" w:rsidRDefault="00D03B1B" w:rsidP="00C87CE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Instrukser til offentliggørelse af kryptoaktiveksponeringer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2" w:name="_Toc163551527"/>
      <w:bookmarkEnd w:id="0"/>
      <w:bookmarkEnd w:id="1"/>
      <w:r>
        <w:rPr>
          <w:b/>
          <w:sz w:val="24"/>
          <w:u w:val="none"/>
          <w:rFonts w:ascii="Times New Roman" w:hAnsi="Times New Roman"/>
        </w:rPr>
        <w:t xml:space="preserve">Skema EU CAE 1- Skema vedrørende kryptoaktiver</w:t>
      </w:r>
      <w:bookmarkEnd w:id="2"/>
      <w:r>
        <w:rPr>
          <w:sz w:val="24"/>
          <w:u w:val="none"/>
          <w:b/>
          <w:rFonts w:ascii="Times New Roman" w:hAnsi="Times New Roman"/>
        </w:rPr>
        <w:t xml:space="preserve">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Fast format.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 xml:space="preserve">Institutterne skal anvende nedenstående instrukser, når de udfylder skema EU CAE1 som vist i bilag XLIII til EBA's IT-løsninger til at offentliggøre oplysninger om de risikovægtede eksponeringer og kapitalgrundlagskravene for de typer kryptoaktiveksponeringer, der er omhandlet i artikel 501d, stk. 2, i forordning (EU) nr. 575/2013</w:t>
      </w:r>
      <w:r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 xml:space="preserve"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 xml:space="preserve">Henvisninger til retsakter og instrukser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>
              <w:t xml:space="preserve">Kolonne nr.</w:t>
            </w:r>
            <w:r>
              <w:t xml:space="preserve">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 xml:space="preserve">Forklaring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 xml:space="preserve">a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Eksponeringsværdi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 xml:space="preserve">Værdien af kryptoaktiveksponeringerne for de forskellige typer kryptoaktiver, der er omhandlet i artikel 501d, stk. 2, i forordning (EU) nr. 575/2013.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 xml:space="preserve">b</w:t>
            </w:r>
          </w:p>
        </w:tc>
        <w:tc>
          <w:tcPr>
            <w:tcW w:w="836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Risikovægtede eksponeringer (RWEA'er)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t xml:space="preserve">Artikel 501d, stk. 2, i forordning (EU) nr. 575/2013.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t xml:space="preserve">Risikovægtede eksponeringer for de forskellige typer kryptoaktiveksponeringer beregnet i henhold til artikel 501d, stk. 2, litra f), i forordning (EU) nr. 575/2013.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 xml:space="preserve">c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Kapitalgrundlagskrav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t xml:space="preserve">Artikel 501d, stk. 2, i forordning (EU) nr. 575/2013.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Kapitalgrundlagskrav svarende til de risikovægtede eksponeringsbeløb for de forskellige typer kryptoaktiver.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 xml:space="preserve">Henvisninger til retsakter og instrukser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 xml:space="preserve">Række nr.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 xml:space="preserve">Forklaring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t xml:space="preserve">1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cf01"/>
                <w:b/>
                <w:sz w:val="24"/>
                <w:rFonts w:ascii="Times New Roman" w:hAnsi="Times New Roman"/>
              </w:rPr>
              <w:t xml:space="preserve">Tokeniserede traditionelle aktiver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t xml:space="preserve">Artikel 501d, stk. 2, litra a), i forordning (EU) nr. 575/2013.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t xml:space="preserve">2</w:t>
            </w:r>
          </w:p>
        </w:tc>
        <w:tc>
          <w:tcPr>
            <w:tcW w:w="8363" w:type="dxa"/>
          </w:tcPr>
          <w:p w14:paraId="1BDD91BD" w14:textId="121E64C7" w:rsidR="000C1FFC" w:rsidRPr="0076606B" w:rsidRDefault="00A02EBC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Aktivbaserede tokens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t xml:space="preserve">Artikel 501d, stk. 2, litra b), i forordning (EU) nr. 575/2013.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t xml:space="preserve"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Eksponeringer mod andre kryptoaktiver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t xml:space="preserve">Artikel 501d, stk. 2, litra c), i forordning (EU) nr. 575/2013.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>
              <w:t xml:space="preserve">Andre kryptoaktiveksponeringer end dem, der er omhandlet i artikel 501d, stk. 2, litra a) og b), i forordning (EU) nr. 575/2013.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 xml:space="preserve"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I alt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Samlede værdier beregnet som summen af række 1, 2 og 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Beløbet for de samlede risikoeksponeringer er lig med det beløb, der er offentliggjort i række EU EU24a, kolonne a), i skema EU OV1.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De samlede kapitalgrundlagskrav er lig med det beløb, der er offentliggjort i række EU 24a, kolonne c), i skema EU OV1.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Memorandumpost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 xml:space="preserve">5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Eksponeringer mod andre kryptoaktiver udtrykt som en procentdel af instituttets kernekapital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t xml:space="preserve">Artikel 501d, stk. 3, i forordning (EU) nr. 575/2013.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>
      <w:rPr>
        <w:sz w:val="20"/>
        <w:rFonts w:ascii="Times New Roman" w:hAnsi="Times New Roman"/>
      </w:rPr>
      <w:fldChar w:fldCharType="begin"/>
    </w:r>
    <w:r>
      <w:rPr>
        <w:sz w:val="20"/>
        <w:rFonts w:ascii="Times New Roman" w:hAnsi="Times New Roman"/>
      </w:rPr>
      <w:instrText xml:space="preserve"> PAGE   \* MERGEFORMAT </w:instrText>
    </w:r>
    <w:r>
      <w:rPr>
        <w:sz w:val="20"/>
        <w:rFonts w:ascii="Times New Roman" w:hAnsi="Times New Roman"/>
      </w:rPr>
      <w:fldChar w:fldCharType="separate"/>
    </w:r>
    <w:r>
      <w:rPr>
        <w:sz w:val="20"/>
        <w:rFonts w:ascii="Times New Roman" w:hAnsi="Times New Roman"/>
      </w:rPr>
      <w:t xml:space="preserve">42</w:t>
    </w:r>
    <w:r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sz w:val="20"/>
          <w:szCs w:val="20"/>
          <w:rFonts w:ascii="Times New Roman" w:eastAsia="Calibri" w:hAnsi="Times New Roman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sz w:val="20"/>
          <w:rFonts w:ascii="Times New Roman" w:hAnsi="Times New Roman"/>
        </w:rPr>
        <w:t xml:space="preserve"> </w:t>
      </w:r>
      <w:r>
        <w:tab/>
      </w:r>
      <w:r>
        <w:rPr>
          <w:sz w:val="18"/>
        </w:rPr>
        <w:t xml:space="preserve">Europa-Parlamentets og Rådets forordning (EU) nr. 575/2013 af 26. juni 2013 om tilsynsmæssige krav til kreditinstitutter og om ændring af forordning (EU) nr. 648/2012, som ændret ved (EU) 2024/1623 (</w:t>
      </w:r>
      <w:hyperlink r:id="rId1" w:history="1">
        <w:r>
          <w:rPr>
            <w:rStyle w:val="Hyperlink"/>
            <w:color w:val="800080"/>
          </w:rPr>
          <w:t xml:space="preserve">EUT L 176 af 27.6.2013, s. 1</w:t>
        </w:r>
      </w:hyperlink>
      <w:r>
        <w:rPr>
          <w:sz w:val="18"/>
        </w:rPr>
        <w:t xml:space="preserve">).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Forordning - EU - 2024/1623 - DA -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da-DK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da-DK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da-DK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da-DK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da-DK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da-DK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da-DK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da-DK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da-DK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da-DK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da-DK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da-DK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da-DK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da-DK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da-DK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da-DK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da-DK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da-DK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da-DK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da-DK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da-DK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da-DK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da-DK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da-DK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da-DK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a-DK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da-DK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da-DK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da-DK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da-DK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da-DK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da-DK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da-DK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da-DK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da-DK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da-DK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da-DK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da-DK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da-DK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da-DK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da-DK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da-DK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da-DK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da-DK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da-DK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da-DK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da-DK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da-DK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da-DK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da-DK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da-DK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da-DK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da-DK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da-DK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da-DK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da-DK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da-DK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da-DK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da-DK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DA/TXT/?uri=OJ:L_202401623" TargetMode="External"/><Relationship Id="rId1" Type="http://schemas.openxmlformats.org/officeDocument/2006/relationships/hyperlink" Target="https://eur-lex.europa.eu/legal-content/DA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F57840-8BCA-43A7-A9AD-C1EC426414BD}"/>
</file>

<file path=customXml/itemProps3.xml><?xml version="1.0" encoding="utf-8"?>
<ds:datastoreItem xmlns:ds="http://schemas.openxmlformats.org/officeDocument/2006/customXml" ds:itemID="{5B9F4C93-7C1F-46C3-B1FE-055C2E2D223B}"/>
</file>

<file path=customXml/itemProps4.xml><?xml version="1.0" encoding="utf-8"?>
<ds:datastoreItem xmlns:ds="http://schemas.openxmlformats.org/officeDocument/2006/customXml" ds:itemID="{CCEF0902-27B7-4858-9A16-6A343D57B953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1727</Characters>
  <Application>Microsoft Office Word</Application>
  <DocSecurity>0</DocSecurity>
  <Lines>61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2024-09-26T14:35:00Z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