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ПРИЛОЖЕНИЕ XXXII — Указания за образците за оповестяване на операционния риск</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Таблица EU ORA — Качествена информация за операционния риск. </w:t>
      </w:r>
      <w:r>
        <w:rPr>
          <w:rFonts w:ascii="Times New Roman" w:hAnsi="Times New Roman"/>
          <w:sz w:val="24"/>
        </w:rPr>
        <w:t>Таблица без зададен формат</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В изпълнение на член 435, параграф 1 и член 446, параграф 1, буква а) от Регламент (ЕС) № 575/2013</w:t>
      </w:r>
      <w:r w:rsidR="00E114F3" w:rsidRPr="008D71E9">
        <w:rPr>
          <w:rStyle w:val="FootnoteReference"/>
          <w:rFonts w:ascii="Times New Roman" w:hAnsi="Times New Roman"/>
          <w:sz w:val="24"/>
          <w:szCs w:val="24"/>
        </w:rPr>
        <w:footnoteReference w:id="2"/>
      </w:r>
      <w:r>
        <w:rPr>
          <w:rFonts w:ascii="Times New Roman" w:hAnsi="Times New Roman"/>
          <w:sz w:val="24"/>
        </w:rPr>
        <w:t xml:space="preserve"> институциите оповестяват информацията, включена в настоящата таблица.</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Институциите попълват таблицата за оповестяване на операционния риск EU ORA от приложение XXXI към ИТ решенията на ЕБО, като следват изложените по-долу в настоящото приложение указания.</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Препратки към нормативни актове и указания</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Ред №</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Обяснение</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а)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Оповестяване на целите и политиките за управление на риска</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В съответствие с член 435, параграф 1, буква а) от Регламент (ЕС) № 575/2013 институциите оповестяват своите цели, политики, уредби и насоки за управлението на операционния риск, включително стратегиите и процесите за управление на този риск.</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б)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Оповестяване на структурата и организацията на функцията за управление на операционния риск</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В съответствие с член 435, параграф 1, буква б) от Регламент (ЕС) № 575/2013 институциите оповестяват структурата и организацията на функцията за управление на операционния риск, включително информация за нейните компетенции и правомощия и нейните нива на отчетност в съответствие с учредителната и управленската документация на институцията, както и контролните и задачи.</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в)</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Описание на обхвата и естеството на системата за измерване</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В съответствие с член 435, параграф 1, буква в) от Регламент (ЕС) № 575/2013 институциите оповестяват обхвата и естеството на системата за измерване на операционния риск (т.е. системите и данните, използвани за измерване на операционния риск с цел оценка на капиталовото изискване за операционен риск).</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г)</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Описание на обхвата и естеството на уредбата за отчитане във връзка с операционния риск</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 xml:space="preserve">В съответствие с член 435, параграф 1, буква в) от Регламент (ЕС) № 575/2013 институциите оповестяват обхвата и естеството на </w:t>
            </w:r>
            <w:r>
              <w:rPr>
                <w:rFonts w:ascii="Times New Roman" w:hAnsi="Times New Roman"/>
                <w:sz w:val="24"/>
              </w:rPr>
              <w:lastRenderedPageBreak/>
              <w:t>уредбата за отчитане във връзка с операционния риск пред изпълнителното управление и съвета на директорите.</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д)</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Описание на политиката и стратегиите за редуциране и хеджиране на рисковете</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В съответствие с член 435, параграф 1, буква г) от Регламент (ЕС) № 575/2013 институциите оповестяват своите политики и стратегии за редуциране и хеджиране на риска, използвани при управлението на операционния риск, включително когато редуцирането на операционния риск се постига чрез политики (в който случай те оповестяват политиките относно културата на риска, склонността към поемане на риск и възлагането на дейности на външни изпълнители) или когато това се постига чрез изтегляне на инвестиции от високорискови стопански дейности или чрез въвеждане на контролни механизми.</w:t>
            </w:r>
            <w:r>
              <w:rPr>
                <w:rFonts w:ascii="Times New Roman" w:hAnsi="Times New Roman"/>
                <w:color w:val="000000" w:themeColor="text1"/>
                <w:sz w:val="24"/>
              </w:rPr>
              <w:t xml:space="preserve"> Институциите оповестяват и останалите експозиции, които са поети от самите институции или, когато е приложимо, останалите експозиции, които са прехвърлени по различни начини, включително чрез застраховане.</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Образец EU OR1 – Загуби във връзка с операционния риск. </w:t>
      </w:r>
      <w:r>
        <w:rPr>
          <w:rFonts w:ascii="Times New Roman" w:hAnsi="Times New Roman"/>
          <w:sz w:val="24"/>
        </w:rPr>
        <w:t>Образец със зададен формат.</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В изпълнение на член 446, параграф 2, букви а) и б) от Регламент (ЕС) № 575/2013 институциите оповестяват информацията, включена в образец EU OR1. В настоящия образец се предоставя информация за годишните загуби във връзка с операционния риск, понесени през последните 10 години, въз основа на счетоводните данни за понесените загуби. Тези годишни загуби във връзка с операционния риск ще бъдат изчислени в съответствие с член 316, параграф 1 от Регламент (ЕС) № 575/2013 и ще включват, в съответствие с член 317, параграф 2 от Регламент (ЕС) № 575/2013, всички загуби, произтичащи от всички субекти, които са част от обхвата на консолидацията, включително загубите от слети/придобити предприятия (съгласно член 321, параграф 1 от Регламент (ЕС) № 575/2013). Тази информация се предоставя, доколкото е налична и при полагане на максимални усилия, докато се прилагат член 316, параграф 3, член 317, параграф 9, член 320, параграф 3 и член 321, параграф 2 от Регламент (ЕС) №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За всяка от последните 10 години институциите оповестяват данни за броя на загубите от операционен риск и за броя на изключените загуби от операционен риск, общия размер на загубите от операционен риск след приспадане на възстановяванията, както и общия размер на загубите от операционен риск след приспадане на възстановяванията и на изключените загуби. Общият годишен размер на загубите от операционен риск ще се изчислява като сбор от всички нетни загуби за дадена финансова година, изчислени в съответствие с член 318, параграф 1 от Регламент (ЕС) № 575/2013, които са равни или надвишават праговете за данни за загубите, предвидени съответно в член 319, параграф 1 или 2 от посочения регламент (т.е. 20 000 EUR и 100 000 EUR). Загубите, причинени от общо събитие, свързано с </w:t>
      </w:r>
      <w:r>
        <w:rPr>
          <w:rFonts w:ascii="Times New Roman" w:hAnsi="Times New Roman"/>
          <w:sz w:val="24"/>
        </w:rPr>
        <w:lastRenderedPageBreak/>
        <w:t>операционния риск, или от множество събития с отношение към едно и също събитие, свързано с операционен риск („основно събитие“), които са признати през различни счетоводни години, се сумират за последните 10 години, за да се определи дали прагът за оповестяване е надвишен. Загубите и корекциите следва да се оповестяват съгласно разпоредбите на член 317, параграф 3, буква в) и член 318 от Регламент (ЕС) № 575/2013. Тези суми се оповестяват през годината, в която са били вписани във финансовите отчети.</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В придружаващото описание институциите оповестяват обобщените обосновки за извънредните събития, свързани с операционен риск, които са били изключени от изчисляването на годишните загуби от операционен риск в съответствие с член 446, параграф 2, буква б) от Регламент (ЕС) №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Институциите оповестяват също така в обобщен вид всяка съществена информация, която би могла да помогне на ползвателите да разберат загубите за отминали периоди, възстановените суми и законовите резерви на институциите, с изключение на поверителната или защитена информация.</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Колона</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Препратки към нормативни актове и указания</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а—й</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Година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Стойността, посочена в съответния ред, за последните 10 финансови години.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к</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Среден размер за десетгодишен период</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Средният размер на стойностите, посочени в съответния ред, за последните 10 финансови години.</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Ред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размер на загубите във връзка с операционния риск с приспаднати възстановявания (без изключения)</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Член 446, параграф 2, буква а) и член 316, параграф 1 от Регламент (ЕС)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 xml:space="preserve">В реда се оповестява общият размер на загубата, с приспаднати възстановявания, от събития, водещи до загуба, над прага от 20 000 EUR за всеки от последните 10 отчетни периода, включително загубите от сливания и придобивания. Загубите, причинени от общо събитие, свързано с операционния риск, или от множество събития с отношение към едно и също събитие, свързано с операционен риск, които са признати през различни счетоводни години, се сумират за последните 10 години, за да се определи дали прагът за оповестяване е надвишен. Извънредните събития, свързани с операционен риск, за годината, които вече не са от значение за рисковия профил на институцията и за които компетентният орган е разрешил на институцията да ги изключи от своите годишни </w:t>
            </w:r>
            <w:r>
              <w:rPr>
                <w:rFonts w:ascii="Times New Roman" w:hAnsi="Times New Roman"/>
                <w:sz w:val="24"/>
              </w:rPr>
              <w:lastRenderedPageBreak/>
              <w:t>загуби от операционен риск в съответствие с член 320, параграф 1 от Регламент (ЕС) № 575/2013, продължават да се вземат предвид при изчисляването на позицията в този ред.</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брой на загубите във връзка с операционния риск</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Член 446, параграф 2, буква а) и член 316, параграф 1 от Регламент (ЕС)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Общият брой на загубите от операционен риск над прага от 20 000 EUR за събитие, водещо до загуба.</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размер на изключените загуби във връзка с операционния риск</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Член 446, параграф 2, буква б) и член 320, параграф 1 от Регламент (ЕС)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Общият размер на нетните загуби над прага от 20 000 EUR, които са изключени в съответствие с член 320, параграф 1 от Регламент (ЕС) № 575/2013, за всеки от последните 10 отчетни периода.</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Общ брой на изключените събития във връзка с операционния риск</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Член 446, параграф 2, буква б) и член 320, параграф 1 от Регламент (ЕС)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Общият брой на изключените събития във връзка с операционния риск над прага от 20 000 EUR, които са изключени в съответствие с член 320, параграф 1 от Регламент (ЕС) № 575/2013, за всеки от последните 10 отчетни периода.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Общ размер на загубите във връзка с операционния риск с приспаднати възстановявания и с приспаднати изключени загуби</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Общият размер на загубите от операционен риск, минус размера на възстановяванията, оповестени в ред 1, и минус изключените загуби, оповестени в ред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размер на загубите във връзка с операционния риск с приспаднати възстановявания (без изключения)</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Член 446, параграф 2, буква а) и член 316, параграф 1 от Регламент (ЕС)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Общият размер на загубите от операционен риск, минус размера на възстановяванията, от събития, водещи до загуба, над прага от 100 000 EUR за всеки от последните 10 отчетни периода, включително загубите от сливания и придобивания. Загубите, причинени от общо събитие, свързано с операционния риск, или от множество събития с отношение към едно и също събитие, свързано с операционен риск, които са признати през различни счетоводни години, се сумират за последните 10 години, за да се определи дали прагът за оповестяване е надвишен. Извънредните събития, свързани с операционен риск, за годината, които вече не са от значение за рисковия профил на институцията и за които компетентният орган е разрешил на институцията да ги изключи от своите годишни загуби от операционен риск в съответствие с член 320, параграф </w:t>
            </w:r>
            <w:r>
              <w:rPr>
                <w:rFonts w:ascii="Times New Roman" w:hAnsi="Times New Roman"/>
                <w:sz w:val="24"/>
              </w:rPr>
              <w:lastRenderedPageBreak/>
              <w:t xml:space="preserve">1 от Регламент (ЕС) № 575/2013, продължават да се вземат предвид при изчисляването на позицията в този ред.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брой на загубите във връзка с операционния риск</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Член 446, параграф 2, буква а) и член 316, параграф 1 от Регламент (ЕС)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Общият брой на загубите от операционен риск над прага от 100 000 EUR за събитие, водещо до загуба.</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Общ размер на изключените загуби във връзка с операционния риск</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Член 446, параграф 2, буква б) и член 320, параграф 1 от Регламент (ЕС)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Общият размер на нетните загуби над прага от 100 000 EUR, които са изключени в съответствие с член 320, параграф 1 от Регламент (ЕС) № 575/2013, за всеки от последните 10 отчетни периода.</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Общ брой на изключените събития във връзка с операционния риск</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Член 446, параграф 2, буква б) и член 320, параграф 1 от Регламент (ЕС)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Общият брой на изключените събития във връзка с операционния риск над прага от 100 000 EUR, които са изключени в съответствие с член 320, параграф 1 от Регламент (ЕС) № 575/2013, за всеки от последните 10 отчетни периода.</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Общ размер на загубите във връзка с операционния риск с приспаднати възстановявания и с приспаднати изключени загуби</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В този ред се оповестява общият размер на загубите от операционен риск, минус размера на възстановяванията, оповестени в ред 6, и минус размера на изключените загуби, оповестени в ред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Не се прилага.</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Не се прилага.</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Не се прилага.</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Образец EU OR2 – Бизнес индикатор, компоненти и подкомпоненти </w:t>
      </w:r>
      <w:r>
        <w:rPr>
          <w:rFonts w:ascii="Times New Roman" w:hAnsi="Times New Roman"/>
          <w:sz w:val="24"/>
        </w:rPr>
        <w:t>Образец със зададен формат.</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В изпълнение на член 446, параграф 1, букви в) и г) от Регламент (ЕС) № 575/2013 институциите оповестяват информацията, включена в образец EU OR2. В настоящия образец се предоставя информация за изчисляването на компонента на бизнес индикаторa в съответствие с член 313 от Регламент (ЕС) № 575/2013, както и за изчисляването на бизнес индикаторa (БИ) — компоненти и подкомпоненти, в съответствие с член 314 от Регламент (ЕС) № 575/2013. Освен това в настоящия </w:t>
      </w:r>
      <w:r>
        <w:rPr>
          <w:rFonts w:ascii="Times New Roman" w:hAnsi="Times New Roman"/>
          <w:sz w:val="24"/>
        </w:rPr>
        <w:lastRenderedPageBreak/>
        <w:t xml:space="preserve">образец се предоставя и информация за изключените от бизнес индикаторa суми, свързани с продадени субекти или дейности, в съответствие с член 315, параграф 2.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Институциите оповестяват информацията за последните три финансови години относно размера на съответния списък с елементи, които са необходими за изчисляването на подкомпонентите на БИ, които участват в изчисляването на капиталовите изисквания за операционен риск.</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В съответствие с член 314, параграф 8 от Регламент (ЕС) № 575/2013, когато няма налични данни за минали периоди, институциите докладват прогнозните бизнес оценки.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Когато институциите разполагат с данни за по-малко от 3 години, свързани с подробните елементи, които участват в компонентите на БИ, наличните данни за минали периоди се отнасят по приоритет към съответните колони в образеца. Когато институциите разполагат само с едногодишни данни за минали периоди, свързани с компонентите на БИ, тези данни се докладват в колоната, съответстваща на последната година (напр. „последната година“). Когато е уместно, прогнозите за бъдещето се включват съответно в Година -1 и Година -2, докато тези данни станат налични.</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Институциите не включват в подпозициите, които участват в изчисляването на компонента „Лихви, лизинг и дивиденти“ (КЛЛД), никакви стойности, свързани с тези конкретни дъщерни институции, чийто КЛЛД се изчислява отделно в съответствие с член 314, параграф 3 от Регламент (ЕС) №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Институциите не включват в подпозициите, които участват в изчисляването на компонента „Лихви, лизинг и дивиденти“ (КЛЛД), никакви стойности от дейностите по банкиране на дребно и/или търговско банкиране в случаите, когато институцията е получила разрешение да прилага член 314, параграф 4 от Регламент (ЕС) №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Институциите все пак докладват в ред 1 общия размер на КЛЛД, включително сумите, изчислени в съответствие с член 314, параграф 3 от Регламент (ЕС) № 575/2013. В ред EU 1 се отчита и КЛЛД, с изключение на субектите, посочени в член 314, параграф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В придружаващото описание съгласно член 446, параграф 1 от Регламент (ЕС) № 575/2013 институциите оповестяват обосновката за всяко изключване от бизнес индикатора, без изключването за дейностите по банкиране на дребно и търговско банкиране, разглеждани съгласно член 314, параграф 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Предвид тясната връзка между изискванията за оповестяване на операционния риск и финансовите отчети на институцията, в указанията са посочени позоваванията на изискванията за докладване, отразени в приложение V към регламент за изпълнение (ЕС) 2021/451 (ФИНРЕП).</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Препратки към нормативни актове и указания</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а, б, в</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Стойност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Член 446, параграф 1, буква г) и член 314, параграф 1 от Регламент (ЕС) №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Стойността за списъка на позициите, които участват в изчисляването на БИ и неговите компоненти (изчисляване на КЛЛД, компонент „Услуги“ (КУ) и финансов компонент (ФК) в съответствие със счетоводните стандарти, приложими за всяка от последните три финансови години.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Сумите се отчитат след прилагането на корекциите, свързани със сливания/придобивания и продадени дейности.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За ФК стойностите, които трябва да бъдат оповестени, ще отразяват счетоводните стойности, определени чрез използване на счетоводната граница или пруденциалната граница за идентифициране на позициите от търговския портфейл и банковия портфейл за всяка от последните 3 финансови години в съответствие с член 314, параграф 6 от Регламент (ЕС) №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г</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Средни стойности</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Член 314, параграфи 2, 5 и 6 от Регламент (ЕС) №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Изчислените стойности на компонентите КЛЛД, КУ и ФК и средната стойност на свързаните с тях подкомпоненти, изчислени през последните три финансови години и отнасящи се за година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Средната стойност се изчислява въз основа на счетоводните стойности за всяка от последните 3 години.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Компонент „Лихви, лизинг и дивиденти“ (КЛЛД)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Компонентът „Лихви, лизинг и дивиденти“ (КЛЛД) се изчислява в съответствие с член 314, параграф 2 от Регламент (ЕС) № 575/2013, в т.ч., когато е приложимо, сумите, изчислени в съответствие с член 314, параграф 3 от Регламент (ЕС) № 575/2013. Когато за дадена институция се прилага дерогацията по член 314, параграф 4 от Регламент (ЕС) № 575/2013, институцията не включва никакви данни за групите дейности „банкиране на дребно“ и „търговско банкиране“.</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КЛЛД, отнасящ се до отделната институция / консолидираната група (без субектите по член 314, параграф 3)</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Компонентът „Лихви, лизинг и дивиденти“ (КЛЛД), изчислен в съответствие с член 314, параграф 2 от Регламент (ЕС) № 575/2013, без да се включват никакви данни, които участват в изчисляването на КЛЛД в случаите, когато институцията прилага дерогацията в съответствие с член 314, параграф 3 от Регламент (ЕС) №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Приходи от лихви и лизинг</w:t>
            </w:r>
          </w:p>
          <w:p w14:paraId="742C7468" w14:textId="52553B06" w:rsidR="00D740B8" w:rsidRPr="008D71E9" w:rsidRDefault="00D740B8">
            <w:pPr>
              <w:rPr>
                <w:rFonts w:ascii="Times New Roman" w:eastAsia="Times New Roman" w:hAnsi="Times New Roman" w:cs="Times New Roman"/>
                <w:sz w:val="24"/>
              </w:rPr>
            </w:pPr>
            <w:r>
              <w:rPr>
                <w:rFonts w:ascii="Times New Roman" w:hAnsi="Times New Roman"/>
                <w:sz w:val="24"/>
              </w:rPr>
              <w:lastRenderedPageBreak/>
              <w:t xml:space="preserve">Сумата на приходите от лихви от всички финансови активи, другите приходи от лизингови активи и печалбите от лизингови активи в съответствие с приложение V към Регламент за изпълнение (ЕС) 2021/451, включително, когато е приложимо, сумите, изчислени в съответствие с член 314, параграф 3 от Регламент (ЕС) №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Разходи за лихви и лизинг</w:t>
            </w:r>
          </w:p>
          <w:p w14:paraId="0FA351B6" w14:textId="0A358A40" w:rsidR="00D740B8" w:rsidRPr="008D71E9" w:rsidRDefault="00D740B8">
            <w:pPr>
              <w:rPr>
                <w:rFonts w:ascii="Times New Roman" w:eastAsia="Times New Roman" w:hAnsi="Times New Roman" w:cs="Times New Roman"/>
                <w:sz w:val="24"/>
              </w:rPr>
            </w:pPr>
            <w:r>
              <w:rPr>
                <w:rFonts w:ascii="Times New Roman" w:hAnsi="Times New Roman"/>
                <w:sz w:val="24"/>
              </w:rPr>
              <w:t xml:space="preserve">Сумата на разходите за лихви от всички финансови пасиви, другите разходи, разходи от лизингови активи, загуби, амортизация и обезценка на лизингови активи в съответствие с приложение V към Регламент за изпълнение (ЕС) 2021/451, включително, когато е приложимо, сумите, изчислени в съответствие с член 314, параграф 3 от Регламент (ЕС) № 575/2013.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Общ размер на активите / компонент „Активи“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В колона г компонент „Активи“, изчислен в съответствие с член 314, параграф 2 от Регламент (ЕС) № 575/2013. </w:t>
            </w:r>
          </w:p>
          <w:p w14:paraId="65FF56C9" w14:textId="3B0DD3E9" w:rsidR="004E3E86" w:rsidRPr="008D71E9" w:rsidRDefault="003E3201" w:rsidP="00373F9D">
            <w:pPr>
              <w:rPr>
                <w:rFonts w:ascii="Times New Roman" w:hAnsi="Times New Roman"/>
                <w:sz w:val="24"/>
              </w:rPr>
            </w:pPr>
            <w:r>
              <w:rPr>
                <w:rFonts w:ascii="Times New Roman" w:hAnsi="Times New Roman"/>
                <w:sz w:val="24"/>
              </w:rPr>
              <w:t xml:space="preserve">В другите колони общите активи съответстват на сбора от брутната балансова стойност на паричните салда при централни банки и други депозити на виждане, дългови ценни книжа, заеми и аванси, както и балансовата стойност на дериватите (с цел търгуване, икономическо хеджиране и отчитане на хеджирането) и активите, предмет на лизинг (материални и нематериални активи). Тези позиции се отнасят до приложение V към Регламент за изпълнение (ЕС) 2021/451 на Комисията, включително, когато е приложимо, до сумите, изчислени в съответствие с член 314, параграф 3 от Регламент (ЕС) № 575/2013.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Приходи от дивиденти / компонент „Дивиденти“</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В колона г компонент „Дивиденти“, изчислен в съответствие с член 314, параграф 2 от Регламент (ЕС) № 575/2013. </w:t>
            </w:r>
          </w:p>
          <w:p w14:paraId="3F4B342E" w14:textId="6E4867AC" w:rsidR="004E3E86" w:rsidRPr="008D71E9" w:rsidRDefault="004E3E86" w:rsidP="004E3E86">
            <w:pPr>
              <w:rPr>
                <w:rFonts w:ascii="Times New Roman" w:hAnsi="Times New Roman"/>
                <w:sz w:val="24"/>
              </w:rPr>
            </w:pPr>
            <w:r>
              <w:rPr>
                <w:rFonts w:ascii="Times New Roman" w:hAnsi="Times New Roman"/>
                <w:sz w:val="24"/>
              </w:rPr>
              <w:t xml:space="preserve">Институциите докладват приходите от дивиденти в съответствие с приложение V към Регламент за изпълнение (ЕС) 2021/451 на Комисията, включително, когато е приложимо, сумите, изчислени в съответствие с член 314, параграф 3 от Регламент (ЕС) № 575/2013.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Компонент „Услуги“ (КУ)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Компонент „Услуги“ (КУ) се изчислява в съответствие с член 314, параграф 5 от Регламент (ЕС) № 575/2013. Когато за дадена институция се прилага дерогацията, посочена в член 314, параграф 4 от Регламент (ЕС) № 575/2013, институцията не включва никакви данни за групите дейности „банкиране на дребно“ и „търговско банкиране“.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2а</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Приходи от такси и комисиони</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Приходите от такси и комисиони, посочени в приложение V към Регламент за изпълнение (ЕС) 2021/451 на Комисията и изчислени в съответствие с член 314, параграф 5 от Регламент (ЕС) №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Разходи за такси и комисиони</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lastRenderedPageBreak/>
              <w:t>Разходите от такси и комисиони, посочени в приложение V към Регламент за изпълнение (ЕС) 2021/451 на Комисията и изчислени в съответствие с член 314, параграф 5 от Регламент (ЕС) №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Други оперативни приходи</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Другите оперативни приходи включват: печалбите от нетекущи активи и групи за освобождаване, класифицирани като държани за продажба, които не отговарят на условията за „преустановени дейности“ (при загуби стойностите се приемат за равни на нула), и другите оперативни приходи, посочени в приложение V към Регламент за изпълнение (ЕС) 2021/451 на Комисията, но без приходите от оперативен лизинг и всяка позиция, определена съгласно член 314, параграф 7 от Регламент (ЕС) 2021/451.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Стойността на този ред се изчислява в съответствие с член 314, параграф 5 от Регламент (ЕС) №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Други оперативни разходи</w:t>
            </w:r>
          </w:p>
          <w:p w14:paraId="4E633503" w14:textId="666616FA"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Другите оперативни разходи включват:  загубите от нетекущи активи и групи за освобождаване, класифицирани като държани за продажба, които не отговарят на условията за „преустановени дейности“ (при печалби стойностите се приемат за равни на нула); всички загуби, разходи, провизии и други финансови въздействия, свързани със събития във връзка с операционния риск, и други оперативни разходи, посочени в приложение V към Регламент за изпълнение (ЕС) 2021/451 на Комисията, с изключение на позициите, които вече са оповестени в други части на настоящия образец, по-специално с изключение на всякакви разходи по оперативни лизинги и позиции, определени съгласно член 314, параграф 7 от Регламент (ЕС) № 575/2013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Стойността на този ред се изчислява в съответствие с член 314, параграф 5 от Регламент (ЕС) №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Финансов компонент (ФК)</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Финансовият компонент се изчислява в съответствие с член 314, параграф 6 от Регламент (ЕС) № 575/2013. </w:t>
            </w:r>
            <w:r>
              <w:rPr>
                <w:rFonts w:ascii="Times New Roman" w:hAnsi="Times New Roman"/>
                <w:sz w:val="24"/>
              </w:rPr>
              <w:t>Когато за дадена институция се прилага дерогацията по член 314, параграф 4 от Регламент (ЕС) № 575/2013, институцията не включва никакви данни за групите дейности „банкиране на дребно“ и „търговско банкиране“.</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Нетна печалба или загуба, приложима към търговския портфейл (ТП)</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Нетната печалба или загуба, приложима към търговския портфейл, изчислена въз основа на позициите, включени в образец F 02.00 „Отчет за печалбата или загубата“ от приложение IV към Регламент за изпълнение (ЕС) 2021/451 на Комисията.</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Стойностите, които трябва да бъдат оповестени, ще отразяват счетоводните стойности, определени чрез използване на счетоводната граница или пруденциалната граница за идентифициране на позициите от търговския портфейл и банковия портфейл за всяка от последните 3 </w:t>
            </w:r>
            <w:r>
              <w:lastRenderedPageBreak/>
              <w:t>финансови години в съответствие с член 314, параграф 6 от Регламент (ЕС) №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Нетна печалба или загуба, приложима към банковия портфейл (БП)</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Нетната печалба или загуба, приложима към банковия портфейл, изчислена въз основа на позициите, включени в образец F 02.00 „Отчет за печалбата или загубата“ от приложение IV към Регламент за изпълнение (ЕС) 2021/451 на Комисията.</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Стойностите, които трябва да бъдат оповестени, ще отразяват счетоводните стойности, определени чрез използване на счетоводната граница или пруденциалната граница за идентифициране на позициите от търговския портфейл и банковия портфейл за всяка от последните 3 финансови години в съответствие с член 314, параграф 6 от Регламент (ЕС) №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Подход, следван за определяне на границата ТП/БП (PBA или счетоводен подход)</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Подходът, следван към референтната дата за определяне на ФК: счетоводна или пруденциална класификация (PBA). Подходът се използва последователно за сумите, оповестени за всяка от последните три финансови години.</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Бизнес индикатор (БИ)</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Изчисленият в съответствие с член 314, параграф 1 от Регламент (ЕС) № 575/2013 БИ, който представлява сборът от трите компонента:</w:t>
            </w:r>
            <w:r>
              <w:rPr>
                <w:rStyle w:val="InstructionsTabelleberschrift"/>
                <w:rFonts w:ascii="Times New Roman" w:hAnsi="Times New Roman"/>
                <w:b w:val="0"/>
                <w:sz w:val="24"/>
                <w:u w:val="none"/>
              </w:rPr>
              <w:t xml:space="preserve"> КЛЛД, КУ и ФК.</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Компонент на бизнес индикатора (КБИ)</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 xml:space="preserve">КБИ, изчислен съгласно член 313 от Регламент (ЕС) №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БИ брутно от изключени продадени дейности</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Стойността на БИ, без изключените продадени дейности, в съответствие с член 315, параграф 2 от Регламент (ЕС) № 575/2013.</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Намаление на БИ, дължащо се на изключени продадени дейности</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Разликата между БИ, без да се приспадат продадените дейности (ред 6а), и общия размер на БИ (ред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Въздействие на сливанията/придобиванията върху БИ</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Включената в БИ сума, съответстваща на компонентите на БИ, които се дължат на сливания/придобивания на субекти или дейности, изчислена съгласно посоченото в член 315, параграф 1 от Регламент (ЕС) №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Образец EU OR3 – Капиталови изисквания за операционния риск и размери на рисковите експозиции </w:t>
      </w:r>
      <w:r>
        <w:rPr>
          <w:rFonts w:ascii="Times New Roman" w:hAnsi="Times New Roman"/>
          <w:sz w:val="24"/>
        </w:rPr>
        <w:t>Образец със зададен формат.</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lastRenderedPageBreak/>
        <w:t xml:space="preserve">В изпълнение на член 446, параграф 1, буква б) от Регламент (ЕС) № 575/2013 институциите оповестяват информацията, включена в образец EU OR3. В този образец се предоставя информация за изчисляването на капиталовите изисквания за операционен риск в съответствие с членове 312—315 от Регламент (ЕС) №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Ред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Обяснение</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Компонент на бизнес индикатора (КБИ)</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В този ред се посочва компонентът на бизнес индикатора, изчислен в съответствие с член 313 от Регламент (ЕС) №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Капиталови изисквания (КИ) по алтернативния стандартизиран подход (АСП) по член 314, параграф 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В този ред се включват капиталовите изисквания за групите дейности, разглеждани съгласно член 314, параграф 4, когато е приложимо, до 31 декември 2027 г. или до момента, в който консолидиращият надзорник предостави разрешение в съответствие с член 314, параграф 3, в зависимост от това кое от двете събития настъпи по-рано.</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 xml:space="preserve">Не се прилага.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Минимални капиталови изисквания за операционния риск</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Капиталовите изисквания се изчисляват в съответствие с член 312 от Регламент (ЕС) № 575/2013. В този ред се посочват капиталовите изисквания за операционен риск, които съвпадат със сбора на КБИ и капиталовите изисквания за групите дейности по член 314, параграф 4, когато е приложимо.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Размери на експозициите към операционен риск</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Въз основа на член 92, параграф 3, буква д) и член 92, параграф 4 от Регламент (ЕС) № 575/2013 в този ред се оповестяват капиталовите изисквания в ред 1, умножени по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7509A"/>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bg-BG"/>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D50CBB51-2933-4E81-B8D8-0C9B1CFD520F}"/>
</file>

<file path=customXml/itemProps3.xml><?xml version="1.0" encoding="utf-8"?>
<ds:datastoreItem xmlns:ds="http://schemas.openxmlformats.org/officeDocument/2006/customXml" ds:itemID="{04A3EE67-F0D8-41BD-A030-307CF4406AF2}"/>
</file>

<file path=customXml/itemProps4.xml><?xml version="1.0" encoding="utf-8"?>
<ds:datastoreItem xmlns:ds="http://schemas.openxmlformats.org/officeDocument/2006/customXml" ds:itemID="{33CC015F-941B-46D3-80F7-61C222AEDAC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3818</Words>
  <Characters>21040</Characters>
  <Application>Microsoft Office Word</Application>
  <DocSecurity>0</DocSecurity>
  <Lines>513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24635</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