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9E3A86" w:rsidRDefault="007E1815" w:rsidP="007E1815">
      <w:pPr>
        <w:pStyle w:val="Annexetitre"/>
      </w:pPr>
      <w:r w:rsidRPr="009E3A86">
        <w:fldChar w:fldCharType="begin"/>
      </w:r>
      <w:r w:rsidRPr="009E3A86">
        <w:fldChar w:fldCharType="separate"/>
      </w:r>
      <w:r w:rsidRPr="009E3A86">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9E3A86">
        <w:fldChar w:fldCharType="end"/>
      </w:r>
      <w:r w:rsidRPr="009E3A86">
        <w:t>XIV PIELIKUMS – Norādījumi par likviditātes prasību veidnēm</w:t>
      </w:r>
    </w:p>
    <w:p w14:paraId="76777DFC" w14:textId="77777777" w:rsidR="007E1815" w:rsidRPr="009E3A86" w:rsidRDefault="007E1815" w:rsidP="007E1815"/>
    <w:p w14:paraId="612936CA" w14:textId="77777777" w:rsidR="007E1815" w:rsidRPr="009E3A86" w:rsidRDefault="007E1815" w:rsidP="007E1815">
      <w:pPr>
        <w:spacing w:before="120" w:after="120"/>
        <w:jc w:val="both"/>
        <w:rPr>
          <w:rFonts w:ascii="Times New Roman" w:hAnsi="Times New Roman" w:cs="Times New Roman"/>
          <w:b/>
          <w:sz w:val="24"/>
        </w:rPr>
      </w:pPr>
      <w:r w:rsidRPr="009E3A86">
        <w:rPr>
          <w:rFonts w:ascii="Times New Roman" w:hAnsi="Times New Roman"/>
          <w:b/>
          <w:sz w:val="24"/>
        </w:rPr>
        <w:t xml:space="preserve">Norādījumi par tabulu EU LIQA attiecībā uz likviditātes riska pārvaldību un par veidni EU LIQ1 attiecībā uz likviditātes seguma rādītāju </w:t>
      </w:r>
    </w:p>
    <w:p w14:paraId="0527C22C" w14:textId="77777777" w:rsidR="007E1815" w:rsidRPr="009E3A86"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9E3A86">
        <w:rPr>
          <w:rFonts w:ascii="Times New Roman" w:hAnsi="Times New Roman"/>
          <w:sz w:val="24"/>
        </w:rPr>
        <w:t>Iestādes, uz kurām attiecas Regulas (ES) Nr. 575/2013</w:t>
      </w:r>
      <w:r w:rsidRPr="009E3A86">
        <w:rPr>
          <w:rStyle w:val="FootnoteReference"/>
          <w:rFonts w:ascii="Times New Roman" w:hAnsi="Times New Roman" w:cs="Times New Roman"/>
          <w:sz w:val="24"/>
        </w:rPr>
        <w:footnoteReference w:id="1"/>
      </w:r>
      <w:r w:rsidRPr="009E3A86">
        <w:rPr>
          <w:rFonts w:ascii="Times New Roman" w:hAnsi="Times New Roman"/>
          <w:sz w:val="24"/>
        </w:rPr>
        <w:t xml:space="preserve"> (“</w:t>
      </w:r>
      <w:r w:rsidRPr="009E3A86">
        <w:rPr>
          <w:rFonts w:ascii="Times New Roman" w:hAnsi="Times New Roman"/>
          <w:i/>
          <w:sz w:val="24"/>
        </w:rPr>
        <w:t>CRR</w:t>
      </w:r>
      <w:r w:rsidRPr="009E3A86">
        <w:rPr>
          <w:rFonts w:ascii="Times New Roman" w:hAnsi="Times New Roman"/>
          <w:sz w:val="24"/>
        </w:rPr>
        <w:t xml:space="preserve">”) sestā daļa, atklāj </w:t>
      </w:r>
      <w:r w:rsidRPr="009E3A86">
        <w:rPr>
          <w:rFonts w:ascii="Times New Roman" w:hAnsi="Times New Roman"/>
          <w:i/>
          <w:sz w:val="24"/>
        </w:rPr>
        <w:t>CRR</w:t>
      </w:r>
      <w:r w:rsidRPr="009E3A86">
        <w:rPr>
          <w:rFonts w:ascii="Times New Roman" w:hAnsi="Times New Roman"/>
          <w:sz w:val="24"/>
        </w:rPr>
        <w:t xml:space="preserve"> 451.a pantā minēto informāciju, aizpildot tabulu EU LIQA, veidni EU LIQ1 un tabulu EU LIQB.</w:t>
      </w:r>
      <w:bookmarkEnd w:id="0"/>
      <w:r w:rsidRPr="009E3A86">
        <w:rPr>
          <w:rFonts w:ascii="Times New Roman" w:hAnsi="Times New Roman"/>
          <w:b/>
          <w:sz w:val="24"/>
        </w:rPr>
        <w:t xml:space="preserve"> </w:t>
      </w:r>
    </w:p>
    <w:p w14:paraId="6150BCD7" w14:textId="77777777" w:rsidR="007E1815" w:rsidRPr="009E3A86" w:rsidRDefault="007E1815" w:rsidP="007E1815">
      <w:pPr>
        <w:pStyle w:val="Titlelevel2"/>
        <w:spacing w:before="120" w:after="120"/>
        <w:rPr>
          <w:rFonts w:ascii="Times New Roman" w:hAnsi="Times New Roman"/>
          <w:b/>
          <w:color w:val="auto"/>
          <w:sz w:val="24"/>
        </w:rPr>
      </w:pPr>
      <w:bookmarkStart w:id="1" w:name="bookmark44"/>
      <w:r w:rsidRPr="009E3A86">
        <w:rPr>
          <w:rFonts w:ascii="Times New Roman" w:hAnsi="Times New Roman"/>
          <w:b/>
          <w:color w:val="auto"/>
          <w:sz w:val="24"/>
        </w:rPr>
        <w:t xml:space="preserve">Tabula EU LIQA – Likviditātes riska pārvaldība </w:t>
      </w:r>
    </w:p>
    <w:p w14:paraId="71698069" w14:textId="77777777" w:rsidR="007E1815" w:rsidRPr="009E3A86"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E3A86">
        <w:rPr>
          <w:rFonts w:ascii="Times New Roman" w:hAnsi="Times New Roman"/>
          <w:sz w:val="24"/>
        </w:rPr>
        <w:t xml:space="preserve">Iestādes, uz kurām attiecas </w:t>
      </w:r>
      <w:r w:rsidRPr="009E3A86">
        <w:rPr>
          <w:rFonts w:ascii="Times New Roman" w:hAnsi="Times New Roman"/>
          <w:i/>
          <w:sz w:val="24"/>
        </w:rPr>
        <w:t>CRR</w:t>
      </w:r>
      <w:r w:rsidRPr="009E3A86">
        <w:rPr>
          <w:rFonts w:ascii="Times New Roman" w:hAnsi="Times New Roman"/>
          <w:sz w:val="24"/>
        </w:rPr>
        <w:t xml:space="preserve"> sestā daļa, atklāj </w:t>
      </w:r>
      <w:r w:rsidRPr="009E3A86">
        <w:rPr>
          <w:rFonts w:ascii="Times New Roman" w:hAnsi="Times New Roman"/>
          <w:i/>
          <w:sz w:val="24"/>
        </w:rPr>
        <w:t>CRR</w:t>
      </w:r>
      <w:r w:rsidRPr="009E3A86">
        <w:rPr>
          <w:rFonts w:ascii="Times New Roman" w:hAnsi="Times New Roman"/>
          <w:sz w:val="24"/>
        </w:rPr>
        <w:t xml:space="preserve"> 451.a panta 4. punktā minēto informāciju, ievērojot norādījumus, kas sniegti turpmāk šajā pielikumā, lai aizpildītu tabulu EU LIQA, kura ietverta šīs īstenošanas regulas XIII pielikumā.</w:t>
      </w:r>
    </w:p>
    <w:p w14:paraId="77702318"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Tabulas EU LIQA nolūkos iestādes, uz kurām attiecas </w:t>
      </w:r>
      <w:r w:rsidRPr="009E3A86">
        <w:rPr>
          <w:rFonts w:ascii="Times New Roman" w:hAnsi="Times New Roman"/>
          <w:i/>
          <w:sz w:val="24"/>
        </w:rPr>
        <w:t>CRR</w:t>
      </w:r>
      <w:r w:rsidRPr="009E3A86">
        <w:rPr>
          <w:rFonts w:ascii="Times New Roman" w:hAnsi="Times New Roman"/>
          <w:sz w:val="24"/>
        </w:rPr>
        <w:t xml:space="preserve"> sestā daļa, ņem vērā teksta lodziņus, kas ietverti tabulā kā brīvā teksta lodziņi. Tās sniedz attiecīgo informāciju – gan kvalitatīvo, gan kvantitatīvo – par riska pārvaldības mērķiem un politiku attiecībā uz likviditātes risku atkarībā no to uzņēmējdarbības modeļa un likviditātes riska profiliem, organizāciju un funkcijām, kas iesaistītas likviditātes riska pārvaldībā, saskaņā ar </w:t>
      </w:r>
      <w:r w:rsidRPr="009E3A86">
        <w:rPr>
          <w:rFonts w:ascii="Times New Roman" w:hAnsi="Times New Roman"/>
          <w:i/>
          <w:sz w:val="24"/>
        </w:rPr>
        <w:t>CRR</w:t>
      </w:r>
      <w:r w:rsidRPr="009E3A86">
        <w:rPr>
          <w:rFonts w:ascii="Times New Roman" w:hAnsi="Times New Roman"/>
          <w:sz w:val="24"/>
        </w:rPr>
        <w:t xml:space="preserve"> 435. panta 1. punktu un Komisijas Deleģēto regulu (ES) 2015/61</w:t>
      </w:r>
      <w:r w:rsidRPr="009E3A86">
        <w:rPr>
          <w:rStyle w:val="FootnoteReference"/>
          <w:rFonts w:ascii="Times New Roman" w:hAnsi="Times New Roman" w:cs="Times New Roman"/>
          <w:sz w:val="24"/>
        </w:rPr>
        <w:footnoteReference w:id="2"/>
      </w:r>
      <w:r w:rsidRPr="009E3A86">
        <w:rPr>
          <w:rFonts w:ascii="Times New Roman" w:hAnsi="Times New Roman"/>
          <w:sz w:val="24"/>
        </w:rPr>
        <w:t xml:space="preserve"> attiecībā uz likviditātes seguma prasību kredītiestādēm. </w:t>
      </w:r>
    </w:p>
    <w:p w14:paraId="23FF3FBD" w14:textId="77777777" w:rsidR="007E1815" w:rsidRPr="009E3A86" w:rsidRDefault="007E1815" w:rsidP="007E1815">
      <w:pPr>
        <w:pStyle w:val="Titlelevel2"/>
        <w:spacing w:before="120" w:after="120"/>
        <w:rPr>
          <w:rFonts w:ascii="Times New Roman" w:hAnsi="Times New Roman"/>
          <w:b/>
          <w:color w:val="auto"/>
          <w:sz w:val="24"/>
        </w:rPr>
      </w:pPr>
      <w:r w:rsidRPr="009E3A86">
        <w:rPr>
          <w:rFonts w:ascii="Times New Roman" w:hAnsi="Times New Roman"/>
          <w:b/>
          <w:color w:val="auto"/>
          <w:sz w:val="24"/>
        </w:rPr>
        <w:t>Veidne EU LIQ1 – Kvantitatīvā informācija par likviditātes seguma rādītāju.</w:t>
      </w:r>
    </w:p>
    <w:bookmarkEnd w:id="1"/>
    <w:p w14:paraId="123CFE6B" w14:textId="70A8F63F"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Iestādes, uz kurām attiecas </w:t>
      </w:r>
      <w:r w:rsidRPr="009E3A86">
        <w:rPr>
          <w:rFonts w:ascii="Times New Roman" w:hAnsi="Times New Roman"/>
          <w:i/>
          <w:sz w:val="24"/>
        </w:rPr>
        <w:t>CRR</w:t>
      </w:r>
      <w:r w:rsidRPr="009E3A86">
        <w:rPr>
          <w:rFonts w:ascii="Times New Roman" w:hAnsi="Times New Roman"/>
          <w:sz w:val="24"/>
        </w:rPr>
        <w:t xml:space="preserve"> sestā daļa, atklāj </w:t>
      </w:r>
      <w:r w:rsidRPr="009E3A86">
        <w:rPr>
          <w:rFonts w:ascii="Times New Roman" w:hAnsi="Times New Roman"/>
          <w:i/>
          <w:sz w:val="24"/>
        </w:rPr>
        <w:t>CRR</w:t>
      </w:r>
      <w:r w:rsidRPr="009E3A86">
        <w:rPr>
          <w:rFonts w:ascii="Times New Roman" w:hAnsi="Times New Roman"/>
          <w:sz w:val="24"/>
        </w:rPr>
        <w:t xml:space="preserve"> 451.a panta 2. punktā minēto informāciju, ievērojot turpmāk šajā pielikumā sniegtos norādījumus, lai aizpildītu veidni EU LIQ1, kas ietverta EBI IT risinājumu XIII pielikumā.</w:t>
      </w:r>
    </w:p>
    <w:p w14:paraId="48F910A8" w14:textId="77777777" w:rsidR="007E1815" w:rsidRPr="009E3A86"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E3A86">
        <w:rPr>
          <w:rFonts w:ascii="Times New Roman" w:hAnsi="Times New Roman"/>
          <w:sz w:val="24"/>
        </w:rPr>
        <w:t xml:space="preserve">Atklājot šajā veidnē prasīto informāciju, iestādes, uz kurām attiecas </w:t>
      </w:r>
      <w:r w:rsidRPr="009E3A86">
        <w:rPr>
          <w:rFonts w:ascii="Times New Roman" w:hAnsi="Times New Roman"/>
          <w:i/>
          <w:sz w:val="24"/>
        </w:rPr>
        <w:t>CRR</w:t>
      </w:r>
      <w:r w:rsidRPr="009E3A86">
        <w:rPr>
          <w:rFonts w:ascii="Times New Roman" w:hAnsi="Times New Roman"/>
          <w:sz w:val="24"/>
        </w:rPr>
        <w:t xml:space="preserve"> sestā daļa, iekļauj prasītās vērtības un skaitļus par katru no četriem kalendārajiem ceturkšņiem (no janvāra līdz martam, no aprīļa līdz jūnijam, no jūlija līdz septembrim un no oktobra līdz decembrim) pirms informācijas atklāšanas datuma. Iestādes aprēķina šīs vērtības un skaitļus kā mēneša beigu novērojumu vienkāršos vidējos lielumus par divpadsmit mēnešiem pirms katra ceturkšņa beigām.</w:t>
      </w:r>
    </w:p>
    <w:p w14:paraId="1600E94E" w14:textId="77777777" w:rsidR="007E1815" w:rsidRPr="009E3A86"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E3A86">
        <w:rPr>
          <w:rFonts w:ascii="Times New Roman" w:hAnsi="Times New Roman"/>
          <w:sz w:val="24"/>
        </w:rPr>
        <w:t xml:space="preserve">Veidnē EU LIQ1 prasītajā informācijā iekļauj visus posteņus neatkarīgi no valūtas, kādā tie </w:t>
      </w:r>
      <w:proofErr w:type="spellStart"/>
      <w:r w:rsidRPr="009E3A86">
        <w:rPr>
          <w:rFonts w:ascii="Times New Roman" w:hAnsi="Times New Roman"/>
          <w:sz w:val="24"/>
        </w:rPr>
        <w:t>denominēti</w:t>
      </w:r>
      <w:proofErr w:type="spellEnd"/>
      <w:r w:rsidRPr="009E3A86">
        <w:rPr>
          <w:rFonts w:ascii="Times New Roman" w:hAnsi="Times New Roman"/>
          <w:sz w:val="24"/>
        </w:rPr>
        <w:t>, un tos norāda pārskata sniegšanas valūtā, kas definēta Komisijas Deleģētās regulas (ES) 2015/61 3. pantā.</w:t>
      </w:r>
    </w:p>
    <w:p w14:paraId="3C031ADF" w14:textId="77777777" w:rsidR="007E1815" w:rsidRPr="009E3A86"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E3A86">
        <w:rPr>
          <w:rFonts w:ascii="Times New Roman" w:hAnsi="Times New Roman"/>
          <w:sz w:val="24"/>
        </w:rPr>
        <w:t xml:space="preserve">Lai aprēķinātu nesvērtās un svērtās ienākošās un izejošās naudas plūsmas un svērto </w:t>
      </w:r>
      <w:r w:rsidRPr="009E3A86">
        <w:rPr>
          <w:rFonts w:ascii="Times New Roman" w:hAnsi="Times New Roman"/>
          <w:i/>
          <w:sz w:val="24"/>
        </w:rPr>
        <w:t>HQLA</w:t>
      </w:r>
      <w:r w:rsidRPr="009E3A86">
        <w:rPr>
          <w:rFonts w:ascii="Times New Roman" w:hAnsi="Times New Roman"/>
          <w:sz w:val="24"/>
        </w:rPr>
        <w:t xml:space="preserve"> veidnes EU LIQ1 vajadzībām, iestādes ievēro šādus norādījumus:</w:t>
      </w:r>
    </w:p>
    <w:p w14:paraId="5E2AA611" w14:textId="77777777" w:rsidR="007E1815" w:rsidRPr="009E3A86"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9E3A86">
        <w:rPr>
          <w:rFonts w:ascii="Times New Roman" w:hAnsi="Times New Roman"/>
          <w:sz w:val="24"/>
        </w:rPr>
        <w:t>ienākošās/izejošās naudas plūsmas: ienākošo un izejošo naudas plūsmu nesvērto vērtību aprēķina kā dažādu kategoriju vai veidu saistību atlikumus, ārpusbilances posteņus vai līgumiskos debitoru parādus. Ienākošo un izejošo naudas plūsmu “svērto” vērtību aprēķina kā vērtību pēc ienākošo un izejošo naudas plūsmu likmju piemērošanas;</w:t>
      </w:r>
    </w:p>
    <w:p w14:paraId="2531B7D7" w14:textId="77777777" w:rsidR="007E1815" w:rsidRPr="009E3A86"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9E3A86">
        <w:rPr>
          <w:rFonts w:ascii="Times New Roman" w:hAnsi="Times New Roman"/>
          <w:i/>
          <w:sz w:val="24"/>
        </w:rPr>
        <w:lastRenderedPageBreak/>
        <w:t>HQLA</w:t>
      </w:r>
      <w:r w:rsidRPr="009E3A86">
        <w:rPr>
          <w:rFonts w:ascii="Times New Roman" w:hAnsi="Times New Roman"/>
          <w:sz w:val="24"/>
        </w:rPr>
        <w:t>: augstas kvalitātes likvīdo aktīvu (</w:t>
      </w:r>
      <w:r w:rsidRPr="009E3A86">
        <w:rPr>
          <w:rFonts w:ascii="Times New Roman" w:hAnsi="Times New Roman"/>
          <w:i/>
          <w:sz w:val="24"/>
        </w:rPr>
        <w:t>HQLA</w:t>
      </w:r>
      <w:r w:rsidRPr="009E3A86">
        <w:rPr>
          <w:rFonts w:ascii="Times New Roman" w:hAnsi="Times New Roman"/>
          <w:sz w:val="24"/>
        </w:rPr>
        <w:t>) “svērto” vērtību aprēķina kā vērtību pēc diskontu piemērošanas.</w:t>
      </w:r>
    </w:p>
    <w:p w14:paraId="7F666887" w14:textId="77777777" w:rsidR="007E1815" w:rsidRPr="009E3A86"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E3A86">
        <w:rPr>
          <w:rFonts w:ascii="Times New Roman" w:hAnsi="Times New Roman"/>
          <w:sz w:val="24"/>
        </w:rPr>
        <w:t>Lai aprēķinātu likviditātes rezervju koriģēto vērtību (21. postenis) un kopējo neto izejošo naudas plūsmu koriģēto vērtību (22. postenis) veidnē EU LIQ1, iestādes ievēro katru no šiem norādījumiem:</w:t>
      </w:r>
    </w:p>
    <w:p w14:paraId="16C4F071" w14:textId="77777777" w:rsidR="007E1815" w:rsidRPr="009E3A86"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9E3A86">
        <w:rPr>
          <w:rFonts w:ascii="Times New Roman" w:hAnsi="Times New Roman"/>
          <w:sz w:val="24"/>
        </w:rPr>
        <w:t xml:space="preserve">likviditātes rezervju koriģētā vērtība ir </w:t>
      </w:r>
      <w:r w:rsidRPr="009E3A86">
        <w:rPr>
          <w:rFonts w:ascii="Times New Roman" w:hAnsi="Times New Roman"/>
          <w:i/>
          <w:sz w:val="24"/>
        </w:rPr>
        <w:t>HQLA</w:t>
      </w:r>
      <w:r w:rsidRPr="009E3A86">
        <w:rPr>
          <w:rFonts w:ascii="Times New Roman" w:hAnsi="Times New Roman"/>
          <w:sz w:val="24"/>
        </w:rPr>
        <w:t xml:space="preserve"> kopējā vērtība pēc diskontu un jebkādu piemērojamo maksimālo robežvērtību piemērošanas;</w:t>
      </w:r>
    </w:p>
    <w:p w14:paraId="1C48DA06" w14:textId="77777777" w:rsidR="007E1815" w:rsidRPr="009E3A86"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9E3A86">
        <w:rPr>
          <w:rFonts w:ascii="Times New Roman" w:hAnsi="Times New Roman"/>
          <w:sz w:val="24"/>
        </w:rPr>
        <w:t>neto izejošo naudas plūsmu koriģēto vērtību aprēķina pēc ienākošo naudas plūsmu maksimālās robežvērtības piemērošanas (ja tāda ir).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9E3A86"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9E3A86" w:rsidRDefault="007E1815" w:rsidP="00D819DE">
            <w:pPr>
              <w:spacing w:after="120"/>
              <w:rPr>
                <w:rFonts w:ascii="Times New Roman" w:hAnsi="Times New Roman" w:cs="Times New Roman"/>
                <w:b/>
                <w:sz w:val="24"/>
              </w:rPr>
            </w:pPr>
            <w:r w:rsidRPr="009E3A86">
              <w:rPr>
                <w:rFonts w:ascii="Times New Roman" w:hAnsi="Times New Roman"/>
                <w:b/>
                <w:sz w:val="24"/>
              </w:rPr>
              <w:t>Atsauces uz tiesību aktiem un norādījumi</w:t>
            </w:r>
          </w:p>
        </w:tc>
      </w:tr>
      <w:tr w:rsidR="007E1815" w:rsidRPr="009E3A86" w14:paraId="2E1622B5" w14:textId="77777777" w:rsidTr="00D819DE">
        <w:trPr>
          <w:trHeight w:val="238"/>
        </w:trPr>
        <w:tc>
          <w:tcPr>
            <w:tcW w:w="1384" w:type="dxa"/>
            <w:shd w:val="clear" w:color="auto" w:fill="D9D9D9" w:themeFill="background1" w:themeFillShade="D9"/>
          </w:tcPr>
          <w:p w14:paraId="6B272483" w14:textId="77777777" w:rsidR="007E1815" w:rsidRPr="009E3A86" w:rsidRDefault="007E1815" w:rsidP="00D819DE">
            <w:pPr>
              <w:autoSpaceDE w:val="0"/>
              <w:autoSpaceDN w:val="0"/>
              <w:adjustRightInd w:val="0"/>
              <w:spacing w:after="120"/>
              <w:rPr>
                <w:rFonts w:ascii="Times New Roman" w:hAnsi="Times New Roman" w:cs="Times New Roman"/>
                <w:b/>
                <w:sz w:val="24"/>
              </w:rPr>
            </w:pPr>
            <w:r w:rsidRPr="009E3A86">
              <w:rPr>
                <w:rFonts w:ascii="Times New Roman" w:hAnsi="Times New Roman"/>
                <w:b/>
                <w:sz w:val="24"/>
              </w:rPr>
              <w:t>Rindas numurs</w:t>
            </w:r>
          </w:p>
        </w:tc>
        <w:tc>
          <w:tcPr>
            <w:tcW w:w="7655" w:type="dxa"/>
            <w:shd w:val="clear" w:color="auto" w:fill="D9D9D9" w:themeFill="background1" w:themeFillShade="D9"/>
          </w:tcPr>
          <w:p w14:paraId="57B0A0D0" w14:textId="77777777" w:rsidR="007E1815" w:rsidRPr="009E3A86" w:rsidRDefault="007E1815" w:rsidP="00D819DE">
            <w:pPr>
              <w:autoSpaceDE w:val="0"/>
              <w:autoSpaceDN w:val="0"/>
              <w:adjustRightInd w:val="0"/>
              <w:spacing w:after="120"/>
              <w:rPr>
                <w:rFonts w:ascii="Times New Roman" w:hAnsi="Times New Roman" w:cs="Times New Roman"/>
                <w:color w:val="000000"/>
                <w:sz w:val="24"/>
              </w:rPr>
            </w:pPr>
            <w:r w:rsidRPr="009E3A86">
              <w:rPr>
                <w:rFonts w:ascii="Times New Roman" w:hAnsi="Times New Roman"/>
                <w:b/>
                <w:sz w:val="24"/>
              </w:rPr>
              <w:t>Paskaidrojums</w:t>
            </w:r>
          </w:p>
        </w:tc>
      </w:tr>
      <w:tr w:rsidR="007E1815" w:rsidRPr="009E3A86" w14:paraId="4336FF81" w14:textId="77777777" w:rsidTr="00D819DE">
        <w:trPr>
          <w:trHeight w:val="1858"/>
        </w:trPr>
        <w:tc>
          <w:tcPr>
            <w:tcW w:w="1384" w:type="dxa"/>
          </w:tcPr>
          <w:p w14:paraId="223E36BF" w14:textId="77777777" w:rsidR="007E1815" w:rsidRPr="009E3A86" w:rsidRDefault="007E1815" w:rsidP="00D819DE">
            <w:pPr>
              <w:pStyle w:val="Applicationdirecte"/>
              <w:spacing w:before="120"/>
              <w:jc w:val="center"/>
            </w:pPr>
            <w:r w:rsidRPr="009E3A86">
              <w:t>1.</w:t>
            </w:r>
          </w:p>
        </w:tc>
        <w:tc>
          <w:tcPr>
            <w:tcW w:w="7655" w:type="dxa"/>
          </w:tcPr>
          <w:p w14:paraId="47C711AE" w14:textId="77777777" w:rsidR="007E1815" w:rsidRPr="009E3A86" w:rsidRDefault="007E1815" w:rsidP="00D819DE">
            <w:pPr>
              <w:pStyle w:val="Applicationdirecte"/>
              <w:spacing w:before="120"/>
              <w:rPr>
                <w:b/>
              </w:rPr>
            </w:pPr>
            <w:r w:rsidRPr="009E3A86">
              <w:rPr>
                <w:b/>
              </w:rPr>
              <w:t>Augstas kvalitātes likvīdo aktīvu (</w:t>
            </w:r>
            <w:r w:rsidRPr="009E3A86">
              <w:rPr>
                <w:b/>
                <w:i/>
              </w:rPr>
              <w:t>HQLA</w:t>
            </w:r>
            <w:r w:rsidRPr="009E3A86">
              <w:rPr>
                <w:b/>
              </w:rPr>
              <w:t>) kopējā vērtība</w:t>
            </w:r>
          </w:p>
          <w:p w14:paraId="3AFE2750" w14:textId="77777777" w:rsidR="007E1815" w:rsidRPr="009E3A86" w:rsidRDefault="007E1815" w:rsidP="00D819DE">
            <w:pPr>
              <w:pStyle w:val="InstructionsText"/>
              <w:rPr>
                <w:rFonts w:eastAsiaTheme="minorEastAsia"/>
              </w:rPr>
            </w:pPr>
            <w:r w:rsidRPr="009E3A86">
              <w:t xml:space="preserve">Iestādes atklāj likvīdo aktīvu vērtību kā svērto vērtību saskaņā ar Komisijas Deleģētās regulas (ES) 2015/61 9. pantu pirms Komisijas Deleģētās regulas (ES) 2015/61 17. panta 2. punktā noteiktā korekcijas mehānisma piemērošanas. </w:t>
            </w:r>
          </w:p>
        </w:tc>
      </w:tr>
      <w:tr w:rsidR="007E1815" w:rsidRPr="009E3A86" w14:paraId="679400D0" w14:textId="77777777" w:rsidTr="00D819DE">
        <w:trPr>
          <w:trHeight w:val="316"/>
        </w:trPr>
        <w:tc>
          <w:tcPr>
            <w:tcW w:w="1384" w:type="dxa"/>
          </w:tcPr>
          <w:p w14:paraId="2FF4D0BB" w14:textId="77777777" w:rsidR="007E1815" w:rsidRPr="009E3A86" w:rsidRDefault="007E1815" w:rsidP="00D819DE">
            <w:pPr>
              <w:autoSpaceDE w:val="0"/>
              <w:autoSpaceDN w:val="0"/>
              <w:adjustRightInd w:val="0"/>
              <w:spacing w:after="120"/>
              <w:jc w:val="center"/>
              <w:rPr>
                <w:rFonts w:ascii="Times New Roman" w:hAnsi="Times New Roman" w:cs="Times New Roman"/>
                <w:color w:val="000000"/>
                <w:sz w:val="24"/>
              </w:rPr>
            </w:pPr>
            <w:r w:rsidRPr="009E3A86">
              <w:rPr>
                <w:rFonts w:ascii="Times New Roman" w:hAnsi="Times New Roman"/>
                <w:sz w:val="24"/>
              </w:rPr>
              <w:t>2.</w:t>
            </w:r>
          </w:p>
        </w:tc>
        <w:tc>
          <w:tcPr>
            <w:tcW w:w="7655" w:type="dxa"/>
          </w:tcPr>
          <w:p w14:paraId="5DF859BE" w14:textId="77777777" w:rsidR="007E1815" w:rsidRPr="009E3A86" w:rsidRDefault="007E1815" w:rsidP="00D819DE">
            <w:pPr>
              <w:autoSpaceDE w:val="0"/>
              <w:autoSpaceDN w:val="0"/>
              <w:adjustRightInd w:val="0"/>
              <w:spacing w:before="120" w:after="120"/>
              <w:rPr>
                <w:rFonts w:ascii="Times New Roman" w:hAnsi="Times New Roman" w:cs="Times New Roman"/>
                <w:b/>
                <w:sz w:val="24"/>
              </w:rPr>
            </w:pPr>
            <w:r w:rsidRPr="009E3A86">
              <w:rPr>
                <w:rFonts w:ascii="Times New Roman" w:hAnsi="Times New Roman"/>
                <w:b/>
                <w:sz w:val="24"/>
              </w:rPr>
              <w:t>Privātpersonu vai MVU noguldījumi un mazo uzņēmumu noguldījumi, t. sk.:</w:t>
            </w:r>
          </w:p>
          <w:p w14:paraId="1B97B6A0" w14:textId="77777777" w:rsidR="007E1815" w:rsidRPr="009E3A86" w:rsidRDefault="007E1815" w:rsidP="00D819DE">
            <w:pPr>
              <w:spacing w:after="120" w:line="278" w:lineRule="exact"/>
              <w:jc w:val="both"/>
              <w:rPr>
                <w:rFonts w:ascii="Times New Roman" w:hAnsi="Times New Roman" w:cs="Times New Roman"/>
                <w:bCs/>
                <w:sz w:val="24"/>
              </w:rPr>
            </w:pPr>
            <w:r w:rsidRPr="009E3A86">
              <w:rPr>
                <w:rFonts w:ascii="Times New Roman" w:hAnsi="Times New Roman"/>
                <w:sz w:val="24"/>
              </w:rPr>
              <w:t xml:space="preserve">Iestādes atklāj privātpersonu vai MVU noguldījumu summu kā nesvērto vērtību saskaņā ar Komisijas Deleģētās regulas (ES) 2015/61 24. un 25. pantu. </w:t>
            </w:r>
          </w:p>
          <w:p w14:paraId="2645E17B" w14:textId="77777777" w:rsidR="007E1815" w:rsidRPr="009E3A86" w:rsidRDefault="007E1815" w:rsidP="00D819DE">
            <w:pPr>
              <w:spacing w:after="120" w:line="278" w:lineRule="exact"/>
              <w:jc w:val="both"/>
              <w:rPr>
                <w:rFonts w:ascii="Times New Roman" w:hAnsi="Times New Roman" w:cs="Times New Roman"/>
                <w:bCs/>
                <w:sz w:val="24"/>
              </w:rPr>
            </w:pPr>
            <w:r w:rsidRPr="009E3A86">
              <w:rPr>
                <w:rFonts w:ascii="Times New Roman" w:hAnsi="Times New Roman"/>
                <w:sz w:val="24"/>
              </w:rPr>
              <w:t>Iestādes atklāj privātpersonu vai MVU noguldījumu izejošo naudas plūsmu kā svērto vērtību saskaņā ar Komisijas Deleģētās regulas (ES) 2015/61 24. un 25. pantu.</w:t>
            </w:r>
          </w:p>
          <w:p w14:paraId="61E7FEDA" w14:textId="77777777" w:rsidR="007E1815" w:rsidRPr="009E3A86" w:rsidRDefault="007E1815" w:rsidP="00D819DE">
            <w:pPr>
              <w:spacing w:after="120" w:line="278" w:lineRule="exact"/>
              <w:jc w:val="both"/>
              <w:rPr>
                <w:rFonts w:ascii="Times New Roman" w:hAnsi="Times New Roman" w:cs="Times New Roman"/>
                <w:bCs/>
                <w:sz w:val="24"/>
              </w:rPr>
            </w:pPr>
            <w:r w:rsidRPr="009E3A86">
              <w:rPr>
                <w:rFonts w:ascii="Times New Roman" w:hAnsi="Times New Roman"/>
                <w:sz w:val="24"/>
              </w:rPr>
              <w:t xml:space="preserve">Iestādes šeit atklāj informāciju par privātpersonu vai MVU noguldījumiem saskaņā ar </w:t>
            </w:r>
            <w:r w:rsidRPr="009E3A86">
              <w:rPr>
                <w:rFonts w:ascii="Times New Roman" w:hAnsi="Times New Roman"/>
                <w:i/>
                <w:sz w:val="24"/>
              </w:rPr>
              <w:t>CRR</w:t>
            </w:r>
            <w:r w:rsidRPr="009E3A86">
              <w:rPr>
                <w:rFonts w:ascii="Times New Roman" w:hAnsi="Times New Roman"/>
                <w:sz w:val="24"/>
              </w:rPr>
              <w:t xml:space="preserve"> 411. panta 2. punktu.</w:t>
            </w:r>
          </w:p>
          <w:p w14:paraId="1C28E2DD" w14:textId="77777777" w:rsidR="007E1815" w:rsidRPr="009E3A86" w:rsidRDefault="007E1815" w:rsidP="00D819DE">
            <w:pPr>
              <w:tabs>
                <w:tab w:val="left" w:pos="3317"/>
              </w:tabs>
              <w:spacing w:after="120" w:line="278" w:lineRule="exact"/>
              <w:jc w:val="both"/>
              <w:rPr>
                <w:rFonts w:ascii="Times New Roman" w:hAnsi="Times New Roman" w:cs="Times New Roman"/>
                <w:sz w:val="24"/>
              </w:rPr>
            </w:pPr>
            <w:r w:rsidRPr="009E3A86">
              <w:rPr>
                <w:rFonts w:ascii="Times New Roman" w:hAnsi="Times New Roman"/>
                <w:sz w:val="24"/>
              </w:rPr>
              <w:t xml:space="preserve">Saskaņā ar Komisijas Deleģētās regulas (ES) 2015/61 28. panta 6. punktu iestādes atbilstošajā privātpersonu vai MVU noguldījumu kategorijā atklāj arī to emitēto parādzīmju, obligāciju un citu vērtspapīru summu, kas tiek pārdoti vienīgi privātpersonu vai MVU tirgū un turēti privātpersonu vai MVU kontā. Iestādes attiecībā uz šo saistību kategoriju ņem vērā piemērojamās izejošo naudas plūsmu likmes, kas paredzētas saskaņā ar Komisijas Deleģēto Regulu (ES) 2015/61 attiecībā uz dažādajām privātpersonu vai MVU noguldījumu kategorijām. </w:t>
            </w:r>
          </w:p>
        </w:tc>
      </w:tr>
      <w:tr w:rsidR="007E1815" w:rsidRPr="009E3A86" w14:paraId="51FA4D94" w14:textId="77777777" w:rsidTr="00D819DE">
        <w:trPr>
          <w:trHeight w:val="316"/>
        </w:trPr>
        <w:tc>
          <w:tcPr>
            <w:tcW w:w="1384" w:type="dxa"/>
          </w:tcPr>
          <w:p w14:paraId="33F0252C"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3.</w:t>
            </w:r>
          </w:p>
        </w:tc>
        <w:tc>
          <w:tcPr>
            <w:tcW w:w="7655" w:type="dxa"/>
          </w:tcPr>
          <w:p w14:paraId="1ECEDB42" w14:textId="77777777" w:rsidR="007E1815" w:rsidRPr="009E3A86" w:rsidRDefault="007E1815" w:rsidP="00D819DE">
            <w:pPr>
              <w:autoSpaceDE w:val="0"/>
              <w:autoSpaceDN w:val="0"/>
              <w:adjustRightInd w:val="0"/>
              <w:spacing w:before="120" w:after="120"/>
              <w:rPr>
                <w:rFonts w:ascii="Times New Roman" w:hAnsi="Times New Roman"/>
                <w:b/>
                <w:sz w:val="24"/>
              </w:rPr>
            </w:pPr>
            <w:r w:rsidRPr="009E3A86">
              <w:rPr>
                <w:rFonts w:ascii="Times New Roman" w:hAnsi="Times New Roman"/>
                <w:b/>
                <w:sz w:val="24"/>
              </w:rPr>
              <w:t>Stabili noguldījumi</w:t>
            </w:r>
          </w:p>
          <w:p w14:paraId="00BE3764"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Iestādes atklāj stabilo noguldījumu apjoma summu kā nesvērto vērtību saskaņā ar Komisijas Deleģētās regulas (ES) 2015/61 24. pantu.</w:t>
            </w:r>
          </w:p>
          <w:p w14:paraId="1C5FA496"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Iestādes atklāj stabilo noguldījumu izejošo naudas plūsmu kā svērto vērtību saskaņā ar Komisijas Deleģētās regulas (ES) 2015/61 24. pantu.</w:t>
            </w:r>
          </w:p>
          <w:p w14:paraId="1C39DD3F"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lastRenderedPageBreak/>
              <w:t>Iestādes norāda to privātpersonu vai MVU noguldījumu summu daļu, uz ko attiecas noguldījumu garantiju sistēma saskaņā ar Direktīvu 94/19/EK</w:t>
            </w:r>
            <w:r w:rsidRPr="009E3A86">
              <w:rPr>
                <w:rStyle w:val="FootnoteReference"/>
                <w:rFonts w:ascii="Times New Roman" w:hAnsi="Times New Roman" w:cs="Times New Roman"/>
                <w:sz w:val="24"/>
              </w:rPr>
              <w:footnoteReference w:id="3"/>
            </w:r>
            <w:r w:rsidRPr="009E3A86">
              <w:rPr>
                <w:rFonts w:ascii="Times New Roman" w:hAnsi="Times New Roman"/>
                <w:sz w:val="24"/>
              </w:rPr>
              <w:t xml:space="preserve"> vai Direktīvu 2014/49/ES</w:t>
            </w:r>
            <w:r w:rsidRPr="009E3A86">
              <w:rPr>
                <w:rStyle w:val="FootnoteReference"/>
                <w:rFonts w:ascii="Times New Roman" w:hAnsi="Times New Roman" w:cs="Times New Roman"/>
                <w:sz w:val="24"/>
              </w:rPr>
              <w:footnoteReference w:id="4"/>
            </w:r>
            <w:r w:rsidRPr="009E3A86">
              <w:rPr>
                <w:rFonts w:ascii="Times New Roman" w:hAnsi="Times New Roman"/>
                <w:sz w:val="24"/>
              </w:rPr>
              <w:t xml:space="preserve"> vai līdzvērtīga noguldījumu garantiju sistēma trešā valstī un kas ietilpst iedibinātās attiecībās, kā rezultātā izņemšana ir maz ticama, vai ko tur darījumu kontā attiecīgi saskaņā ar Komisijas Deleģētās regulas (ES) 2015/61 24. panta 2. un 3. punktu, un ja:</w:t>
            </w:r>
          </w:p>
          <w:p w14:paraId="72E97531"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šie noguldījumi neatbilst augstākas izejošās naudas plūsmas likmes kritērijiem saskaņā ar Komisijas Deleģētās regulas (ES) 2015/61 25. panta 2., 3. vai 5. punktu un</w:t>
            </w:r>
          </w:p>
          <w:p w14:paraId="0141BCF2"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E3A86">
              <w:rPr>
                <w:rFonts w:ascii="Times New Roman" w:hAnsi="Times New Roman"/>
                <w:sz w:val="24"/>
              </w:rPr>
              <w:t xml:space="preserve">šie noguldījumi nav saņemti trešās valstīs, kurās piemēro augstāku izejošo naudas plūsmu likmi saskaņā ar Komisijas Deleģētās regulas (ES) 2015/61 25. panta 5. punktu. </w:t>
            </w:r>
          </w:p>
        </w:tc>
      </w:tr>
      <w:tr w:rsidR="007E1815" w:rsidRPr="009E3A86" w14:paraId="2C7142E2" w14:textId="77777777" w:rsidTr="00D819DE">
        <w:trPr>
          <w:trHeight w:val="316"/>
        </w:trPr>
        <w:tc>
          <w:tcPr>
            <w:tcW w:w="1384" w:type="dxa"/>
          </w:tcPr>
          <w:p w14:paraId="0A7F136B" w14:textId="77777777" w:rsidR="007E1815" w:rsidRPr="009E3A86" w:rsidRDefault="007E1815" w:rsidP="00D819DE">
            <w:pPr>
              <w:autoSpaceDE w:val="0"/>
              <w:autoSpaceDN w:val="0"/>
              <w:adjustRightInd w:val="0"/>
              <w:spacing w:after="120"/>
              <w:jc w:val="center"/>
              <w:rPr>
                <w:rFonts w:ascii="Times New Roman" w:hAnsi="Times New Roman" w:cs="Times New Roman"/>
                <w:sz w:val="24"/>
              </w:rPr>
            </w:pPr>
            <w:r w:rsidRPr="009E3A86">
              <w:rPr>
                <w:rFonts w:ascii="Times New Roman" w:hAnsi="Times New Roman"/>
                <w:sz w:val="24"/>
              </w:rPr>
              <w:lastRenderedPageBreak/>
              <w:t>4.</w:t>
            </w:r>
          </w:p>
        </w:tc>
        <w:tc>
          <w:tcPr>
            <w:tcW w:w="7655" w:type="dxa"/>
          </w:tcPr>
          <w:p w14:paraId="481896FC" w14:textId="77777777" w:rsidR="007E1815" w:rsidRPr="009E3A86" w:rsidRDefault="007E1815" w:rsidP="00D819DE">
            <w:pPr>
              <w:spacing w:before="120" w:after="120" w:line="190" w:lineRule="exact"/>
              <w:rPr>
                <w:rFonts w:ascii="Times New Roman" w:hAnsi="Times New Roman" w:cs="Times New Roman"/>
                <w:b/>
                <w:sz w:val="24"/>
              </w:rPr>
            </w:pPr>
            <w:r w:rsidRPr="009E3A86">
              <w:rPr>
                <w:rFonts w:ascii="Times New Roman" w:hAnsi="Times New Roman"/>
                <w:b/>
                <w:sz w:val="24"/>
              </w:rPr>
              <w:t>Mazāk stabili noguldījumi</w:t>
            </w:r>
          </w:p>
          <w:p w14:paraId="72651457" w14:textId="77777777" w:rsidR="007E1815" w:rsidRPr="009E3A86" w:rsidRDefault="007E1815" w:rsidP="00D819DE">
            <w:pPr>
              <w:spacing w:after="120" w:line="278" w:lineRule="exact"/>
              <w:jc w:val="both"/>
              <w:rPr>
                <w:rFonts w:ascii="Times New Roman" w:hAnsi="Times New Roman" w:cs="Times New Roman"/>
                <w:sz w:val="24"/>
              </w:rPr>
            </w:pPr>
            <w:r w:rsidRPr="009E3A86">
              <w:rPr>
                <w:rFonts w:ascii="Times New Roman" w:hAnsi="Times New Roman"/>
                <w:sz w:val="24"/>
              </w:rPr>
              <w:t>Iestādes atklāj privātpersonu vai MVU noguldījumu apjoma summu kā nesvērto vērtību saskaņā ar Komisijas Deleģētās regulas (ES) 2015/61 25. panta 1., 2. un 3. punktu.</w:t>
            </w:r>
          </w:p>
          <w:p w14:paraId="2ACA42CC" w14:textId="77777777" w:rsidR="007E1815" w:rsidRPr="009E3A86" w:rsidRDefault="007E1815" w:rsidP="00D819DE">
            <w:pPr>
              <w:autoSpaceDE w:val="0"/>
              <w:autoSpaceDN w:val="0"/>
              <w:adjustRightInd w:val="0"/>
              <w:spacing w:after="120"/>
              <w:jc w:val="both"/>
              <w:rPr>
                <w:rFonts w:ascii="Times New Roman" w:hAnsi="Times New Roman" w:cs="Times New Roman"/>
                <w:b/>
                <w:sz w:val="24"/>
              </w:rPr>
            </w:pPr>
            <w:r w:rsidRPr="009E3A86">
              <w:rPr>
                <w:rFonts w:ascii="Times New Roman" w:hAnsi="Times New Roman"/>
                <w:sz w:val="24"/>
              </w:rPr>
              <w:t>Iestādes atklāj privātpersonu vai MVU noguldījumu izejošās naudas plūsmas summu kā svērto vērtību saskaņā ar Komisijas Deleģētās regulas (ES) 2015/61 25. panta 1., 2. un 3. punktu.</w:t>
            </w:r>
          </w:p>
        </w:tc>
      </w:tr>
      <w:tr w:rsidR="007E1815" w:rsidRPr="009E3A86" w14:paraId="6AC39664" w14:textId="77777777" w:rsidTr="00D819DE">
        <w:trPr>
          <w:trHeight w:val="316"/>
        </w:trPr>
        <w:tc>
          <w:tcPr>
            <w:tcW w:w="1384" w:type="dxa"/>
          </w:tcPr>
          <w:p w14:paraId="101FA97A"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5.</w:t>
            </w:r>
          </w:p>
        </w:tc>
        <w:tc>
          <w:tcPr>
            <w:tcW w:w="7655" w:type="dxa"/>
          </w:tcPr>
          <w:p w14:paraId="29B56AD7" w14:textId="77777777" w:rsidR="007E1815" w:rsidRPr="009E3A86" w:rsidRDefault="007E1815" w:rsidP="00D819DE">
            <w:pPr>
              <w:spacing w:before="120" w:after="120" w:line="190" w:lineRule="exact"/>
              <w:rPr>
                <w:rFonts w:ascii="Times New Roman" w:hAnsi="Times New Roman"/>
                <w:sz w:val="24"/>
              </w:rPr>
            </w:pPr>
            <w:r w:rsidRPr="009E3A86">
              <w:rPr>
                <w:rFonts w:ascii="Times New Roman" w:hAnsi="Times New Roman"/>
                <w:b/>
                <w:sz w:val="24"/>
              </w:rPr>
              <w:t>Nenodrošināts korporatīvais finansējums</w:t>
            </w:r>
          </w:p>
          <w:p w14:paraId="2FD07274" w14:textId="77777777" w:rsidR="007E1815" w:rsidRPr="009E3A86" w:rsidRDefault="007E1815" w:rsidP="00D819DE">
            <w:pPr>
              <w:autoSpaceDE w:val="0"/>
              <w:autoSpaceDN w:val="0"/>
              <w:adjustRightInd w:val="0"/>
              <w:spacing w:after="120"/>
              <w:jc w:val="both"/>
              <w:rPr>
                <w:rFonts w:ascii="Times New Roman" w:hAnsi="Times New Roman" w:cs="Times New Roman"/>
                <w:b/>
                <w:sz w:val="24"/>
              </w:rPr>
            </w:pPr>
            <w:r w:rsidRPr="009E3A86">
              <w:rPr>
                <w:rFonts w:ascii="Times New Roman" w:hAnsi="Times New Roman"/>
                <w:sz w:val="24"/>
              </w:rPr>
              <w:t>Iestādes atklāj to nesvērto un svērto vērtību kopsummas, kuras prasīts atklāt šīs veidnes 6. rindā “Operacionālie noguldījumi (visi darījumu partneri) un noguldījumi kooperatīvo banku tīklos”, 7. rindā “Neoperacionālie noguldījumi (visi darījumu partneri)”, kā arī 8. rindā “Nenodrošināti parādi”.</w:t>
            </w:r>
          </w:p>
        </w:tc>
      </w:tr>
      <w:tr w:rsidR="007E1815" w:rsidRPr="009E3A86" w14:paraId="3699975C" w14:textId="77777777" w:rsidTr="00D819DE">
        <w:trPr>
          <w:trHeight w:val="316"/>
        </w:trPr>
        <w:tc>
          <w:tcPr>
            <w:tcW w:w="1384" w:type="dxa"/>
          </w:tcPr>
          <w:p w14:paraId="6C6D7AC1"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6.</w:t>
            </w:r>
          </w:p>
        </w:tc>
        <w:tc>
          <w:tcPr>
            <w:tcW w:w="7655" w:type="dxa"/>
          </w:tcPr>
          <w:p w14:paraId="3F0B24B1" w14:textId="77777777" w:rsidR="007E1815" w:rsidRPr="009E3A86" w:rsidRDefault="007E1815" w:rsidP="00D819DE">
            <w:pPr>
              <w:autoSpaceDE w:val="0"/>
              <w:autoSpaceDN w:val="0"/>
              <w:adjustRightInd w:val="0"/>
              <w:spacing w:before="120" w:after="120"/>
              <w:jc w:val="both"/>
              <w:rPr>
                <w:rFonts w:ascii="Times New Roman" w:hAnsi="Times New Roman"/>
                <w:sz w:val="24"/>
              </w:rPr>
            </w:pPr>
            <w:r w:rsidRPr="009E3A86">
              <w:rPr>
                <w:rFonts w:ascii="Times New Roman" w:hAnsi="Times New Roman"/>
                <w:b/>
                <w:sz w:val="24"/>
              </w:rPr>
              <w:t>Operacionālie noguldījumi (visi darījumu partneri) un noguldījumi kooperatīvo banku tīklos</w:t>
            </w:r>
          </w:p>
          <w:p w14:paraId="298B6767" w14:textId="77777777" w:rsidR="007E1815" w:rsidRPr="009E3A86" w:rsidRDefault="007E1815" w:rsidP="00D819DE">
            <w:pPr>
              <w:autoSpaceDE w:val="0"/>
              <w:autoSpaceDN w:val="0"/>
              <w:adjustRightInd w:val="0"/>
              <w:spacing w:after="120"/>
              <w:jc w:val="both"/>
              <w:rPr>
                <w:rFonts w:ascii="Times New Roman" w:hAnsi="Times New Roman"/>
                <w:sz w:val="24"/>
              </w:rPr>
            </w:pPr>
            <w:r w:rsidRPr="009E3A86">
              <w:rPr>
                <w:rFonts w:ascii="Times New Roman" w:hAnsi="Times New Roman"/>
                <w:sz w:val="24"/>
              </w:rPr>
              <w:t>Iestādes atklāj operacionālo noguldījumu summu kā nesvērto vērtību saskaņā ar Komisijas Deleģētās regulas (ES) 2015/61 27. pantu.</w:t>
            </w:r>
          </w:p>
          <w:p w14:paraId="640AB0BC" w14:textId="77777777" w:rsidR="007E1815" w:rsidRPr="009E3A86" w:rsidRDefault="007E1815" w:rsidP="00D819DE">
            <w:pPr>
              <w:autoSpaceDE w:val="0"/>
              <w:autoSpaceDN w:val="0"/>
              <w:adjustRightInd w:val="0"/>
              <w:spacing w:after="120"/>
              <w:jc w:val="both"/>
              <w:rPr>
                <w:rFonts w:ascii="Times New Roman" w:hAnsi="Times New Roman"/>
                <w:sz w:val="24"/>
              </w:rPr>
            </w:pPr>
            <w:r w:rsidRPr="009E3A86">
              <w:rPr>
                <w:rFonts w:ascii="Times New Roman" w:hAnsi="Times New Roman"/>
                <w:sz w:val="24"/>
              </w:rPr>
              <w:t>Iestādes atklāj operacionālo noguldījumu izejošās naudas plūsmas kā svērto vērtību saskaņā ar Komisijas Deleģētās regulas (ES) 2015/61 27. pantu.</w:t>
            </w:r>
          </w:p>
          <w:p w14:paraId="092AFFBB"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Iestādes šeit atklāj to operacionālo noguldījumu daļu saskaņā ar Komisijas Deleģētās regulas (ES) 2015/61 27. pantu, kas nepieciešama operacionālo pakalpojumu sniegšanai. Noguldījumus, kas izriet no korespondentbanku attiecībām vai no specializēto brokeru pakalpojumu sniegšanas, uzskata par neoperacionāliem noguldījumiem saskaņā ar Komisijas Deleģētās regulas (ES) 2015/61 27. panta 5. punktu.</w:t>
            </w:r>
          </w:p>
          <w:p w14:paraId="51A15DD5"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Šeit neatklāj operacionālo noguldījumu daļu, kas pārsniedz summu, kura nepieciešama operacionālo pakalpojumu sniegšanai.</w:t>
            </w:r>
          </w:p>
        </w:tc>
      </w:tr>
      <w:tr w:rsidR="007E1815" w:rsidRPr="009E3A86" w14:paraId="10E4889F" w14:textId="77777777" w:rsidTr="00D819DE">
        <w:trPr>
          <w:trHeight w:val="316"/>
        </w:trPr>
        <w:tc>
          <w:tcPr>
            <w:tcW w:w="1384" w:type="dxa"/>
          </w:tcPr>
          <w:p w14:paraId="3D507C3D"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7.</w:t>
            </w:r>
          </w:p>
        </w:tc>
        <w:tc>
          <w:tcPr>
            <w:tcW w:w="7655" w:type="dxa"/>
          </w:tcPr>
          <w:p w14:paraId="53BB0581" w14:textId="77777777" w:rsidR="007E1815" w:rsidRPr="009E3A86" w:rsidRDefault="007E1815" w:rsidP="00D819DE">
            <w:pPr>
              <w:spacing w:before="120" w:after="120" w:line="190" w:lineRule="exact"/>
              <w:rPr>
                <w:rFonts w:ascii="Times New Roman" w:hAnsi="Times New Roman"/>
                <w:b/>
                <w:sz w:val="24"/>
              </w:rPr>
            </w:pPr>
            <w:r w:rsidRPr="009E3A86">
              <w:rPr>
                <w:rFonts w:ascii="Times New Roman" w:hAnsi="Times New Roman"/>
                <w:b/>
                <w:sz w:val="24"/>
              </w:rPr>
              <w:t>Neoperacionālie noguldījumi (visi darījumu partneri)</w:t>
            </w:r>
          </w:p>
          <w:p w14:paraId="48CEFB6E" w14:textId="7A39A42E" w:rsidR="007E1815" w:rsidRPr="009E3A86" w:rsidRDefault="007E1815" w:rsidP="00D819DE">
            <w:pPr>
              <w:autoSpaceDE w:val="0"/>
              <w:autoSpaceDN w:val="0"/>
              <w:adjustRightInd w:val="0"/>
              <w:spacing w:after="120"/>
              <w:jc w:val="both"/>
              <w:rPr>
                <w:rFonts w:ascii="Times New Roman" w:hAnsi="Times New Roman"/>
                <w:sz w:val="24"/>
              </w:rPr>
            </w:pPr>
            <w:r w:rsidRPr="009E3A86">
              <w:rPr>
                <w:rFonts w:ascii="Times New Roman" w:hAnsi="Times New Roman"/>
                <w:sz w:val="24"/>
              </w:rPr>
              <w:lastRenderedPageBreak/>
              <w:t>Iestādes atklāj neoperacionālo noguldījumu summu kā nesvērto vērtību, ievērojot Komisijas Deleģētās regulas (ES) 2015/61 27. panta 5. punktu, 28.</w:t>
            </w:r>
            <w:r w:rsidR="009E3A86" w:rsidRPr="009E3A86">
              <w:rPr>
                <w:rFonts w:ascii="Times New Roman" w:hAnsi="Times New Roman"/>
                <w:sz w:val="24"/>
              </w:rPr>
              <w:t> </w:t>
            </w:r>
            <w:r w:rsidRPr="009E3A86">
              <w:rPr>
                <w:rFonts w:ascii="Times New Roman" w:hAnsi="Times New Roman"/>
                <w:sz w:val="24"/>
              </w:rPr>
              <w:t>panta 1. punktu un 31.a panta 1. punktu.</w:t>
            </w:r>
          </w:p>
          <w:p w14:paraId="4790956F"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Iestādes atklāj neoperacionālo noguldījumu izejošo naudas plūsmu kā svērto vērtību saskaņā ar Komisijas Deleģētās regulas (ES) 2015/61 27. panta 5. punktu, 28. panta 1. punktu un 31.a panta 1. punktu.</w:t>
            </w:r>
          </w:p>
          <w:p w14:paraId="10C1A170"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Iestādes šeit atklāj informāciju par noguldījumiem, kas izriet no korespondentbanku attiecībām vai no specializēto brokera pakalpojumu sniegšanas saskaņā ar Komisijas Deleģētās regulas (ES) 2015/61 27. panta 5. punktu.</w:t>
            </w:r>
          </w:p>
          <w:p w14:paraId="6F5AFE8E" w14:textId="77777777" w:rsidR="007E1815" w:rsidRPr="009E3A86" w:rsidRDefault="007E1815" w:rsidP="00D819DE">
            <w:pPr>
              <w:autoSpaceDE w:val="0"/>
              <w:autoSpaceDN w:val="0"/>
              <w:adjustRightInd w:val="0"/>
              <w:spacing w:after="120"/>
              <w:jc w:val="both"/>
              <w:rPr>
                <w:rFonts w:ascii="Times New Roman" w:hAnsi="Times New Roman" w:cs="Times New Roman"/>
                <w:b/>
                <w:sz w:val="24"/>
              </w:rPr>
            </w:pPr>
            <w:r w:rsidRPr="009E3A86">
              <w:rPr>
                <w:rFonts w:ascii="Times New Roman" w:hAnsi="Times New Roman"/>
                <w:sz w:val="24"/>
              </w:rPr>
              <w:t>Šeit atklāj to operacionālo noguldījumu daļu saskaņā ar Komisijas Deleģētās regulas (ES) 2015/61 27. panta 5. punktu, kura pārsniedz noguldījumus, kas nepieciešami operacionālo pakalpojumu sniegšanai.</w:t>
            </w:r>
          </w:p>
        </w:tc>
      </w:tr>
      <w:tr w:rsidR="007E1815" w:rsidRPr="009E3A86" w14:paraId="0C113736" w14:textId="77777777" w:rsidTr="00D819DE">
        <w:trPr>
          <w:trHeight w:val="316"/>
        </w:trPr>
        <w:tc>
          <w:tcPr>
            <w:tcW w:w="1384" w:type="dxa"/>
          </w:tcPr>
          <w:p w14:paraId="2A59F921"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lastRenderedPageBreak/>
              <w:t>8.</w:t>
            </w:r>
          </w:p>
        </w:tc>
        <w:tc>
          <w:tcPr>
            <w:tcW w:w="7655" w:type="dxa"/>
          </w:tcPr>
          <w:p w14:paraId="58B737C3" w14:textId="77777777" w:rsidR="007E1815" w:rsidRPr="009E3A86" w:rsidRDefault="007E1815" w:rsidP="00D819DE">
            <w:pPr>
              <w:spacing w:before="120" w:after="120" w:line="190" w:lineRule="exact"/>
              <w:rPr>
                <w:rFonts w:ascii="Times New Roman" w:hAnsi="Times New Roman"/>
                <w:sz w:val="24"/>
              </w:rPr>
            </w:pPr>
            <w:r w:rsidRPr="009E3A86">
              <w:rPr>
                <w:rFonts w:ascii="Times New Roman" w:hAnsi="Times New Roman"/>
                <w:b/>
                <w:sz w:val="24"/>
              </w:rPr>
              <w:t>Nenodrošināti parādi</w:t>
            </w:r>
          </w:p>
          <w:p w14:paraId="07E30657" w14:textId="77777777" w:rsidR="007E1815" w:rsidRPr="009E3A86" w:rsidRDefault="007E1815" w:rsidP="00D819DE">
            <w:pPr>
              <w:autoSpaceDE w:val="0"/>
              <w:autoSpaceDN w:val="0"/>
              <w:adjustRightInd w:val="0"/>
              <w:spacing w:after="120"/>
              <w:jc w:val="both"/>
              <w:rPr>
                <w:rFonts w:ascii="Times New Roman" w:hAnsi="Times New Roman"/>
                <w:sz w:val="24"/>
              </w:rPr>
            </w:pPr>
            <w:r w:rsidRPr="009E3A86">
              <w:rPr>
                <w:rFonts w:ascii="Times New Roman" w:hAnsi="Times New Roman"/>
                <w:sz w:val="24"/>
              </w:rPr>
              <w:t>Iestādes norāda kā nesvērto vērtību to parādzīmju, obligāciju un citu parāda vērtspapīru neatmaksātā atlikuma summu, ko emitējusi iestāde un kas nav atklāti kā privātpersonu vai MVU noguldījumi, kā minēts Komisijas Deleģētās regulas (ES) 2015/61 28. panta 6. punktā. Šī summa ietver arī kuponus, kam pienāk termiņš nākamo 30 kalendāro dienu laikā attiecībā uz visiem šiem vērtspapīriem.</w:t>
            </w:r>
          </w:p>
          <w:p w14:paraId="2B76EA8F" w14:textId="77777777" w:rsidR="007E1815" w:rsidRPr="009E3A86" w:rsidRDefault="007E1815" w:rsidP="00D819DE">
            <w:pPr>
              <w:autoSpaceDE w:val="0"/>
              <w:autoSpaceDN w:val="0"/>
              <w:adjustRightInd w:val="0"/>
              <w:spacing w:after="120"/>
              <w:jc w:val="both"/>
              <w:rPr>
                <w:rFonts w:ascii="Times New Roman" w:hAnsi="Times New Roman" w:cs="Times New Roman"/>
                <w:b/>
                <w:sz w:val="24"/>
              </w:rPr>
            </w:pPr>
            <w:r w:rsidRPr="009E3A86">
              <w:rPr>
                <w:rFonts w:ascii="Times New Roman" w:hAnsi="Times New Roman"/>
                <w:sz w:val="24"/>
              </w:rPr>
              <w:t>Iestādes atklāj iepriekšējā daļā minēto parādzīmju, obligāciju un citu parāda vērtspapīru izejošo naudas plūsmu kā svērto vērtību.</w:t>
            </w:r>
          </w:p>
        </w:tc>
      </w:tr>
      <w:tr w:rsidR="007E1815" w:rsidRPr="009E3A86" w14:paraId="11912F1B" w14:textId="77777777" w:rsidTr="00D819DE">
        <w:trPr>
          <w:trHeight w:val="316"/>
        </w:trPr>
        <w:tc>
          <w:tcPr>
            <w:tcW w:w="1384" w:type="dxa"/>
          </w:tcPr>
          <w:p w14:paraId="0B7FBC22"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9.</w:t>
            </w:r>
          </w:p>
        </w:tc>
        <w:tc>
          <w:tcPr>
            <w:tcW w:w="7655" w:type="dxa"/>
          </w:tcPr>
          <w:p w14:paraId="3E610997" w14:textId="77777777" w:rsidR="007E1815" w:rsidRPr="009E3A86" w:rsidRDefault="007E1815" w:rsidP="00D819DE">
            <w:pPr>
              <w:spacing w:before="120" w:after="120" w:line="190" w:lineRule="exact"/>
              <w:rPr>
                <w:rFonts w:ascii="Times New Roman" w:hAnsi="Times New Roman" w:cs="Times New Roman"/>
                <w:b/>
                <w:sz w:val="24"/>
              </w:rPr>
            </w:pPr>
            <w:r w:rsidRPr="009E3A86">
              <w:rPr>
                <w:rFonts w:ascii="Times New Roman" w:hAnsi="Times New Roman"/>
                <w:b/>
                <w:sz w:val="24"/>
              </w:rPr>
              <w:t>Nodrošināts korporatīvais finansējums</w:t>
            </w:r>
          </w:p>
          <w:p w14:paraId="2BB9CA43" w14:textId="77777777" w:rsidR="007E1815" w:rsidRPr="009E3A86" w:rsidRDefault="007E1815" w:rsidP="00D819DE">
            <w:pPr>
              <w:autoSpaceDE w:val="0"/>
              <w:autoSpaceDN w:val="0"/>
              <w:adjustRightInd w:val="0"/>
              <w:spacing w:after="120"/>
              <w:jc w:val="both"/>
              <w:rPr>
                <w:rFonts w:ascii="Times New Roman" w:hAnsi="Times New Roman" w:cs="Times New Roman"/>
                <w:b/>
                <w:sz w:val="24"/>
              </w:rPr>
            </w:pPr>
            <w:r w:rsidRPr="009E3A86">
              <w:rPr>
                <w:rFonts w:ascii="Times New Roman" w:hAnsi="Times New Roman"/>
                <w:sz w:val="24"/>
              </w:rPr>
              <w:t>Iestādes norāda kā svērto vērtību tās izejošās naudas plūsmas summu, kas izriet no nodrošinātiem kreditēšanas darījumiem vai kapitāla tirgus darījumiem, kā minēts Komisijas Deleģētās regulas (ES) 2015/61 28. panta 3. punktā, un no nodrošinājuma mijmaiņas darījumiem un citiem līdzīga veida darījumiem saskaņā ar Komisijas Deleģētās regulas (ES) 2015/61 28. panta 4. punktu.</w:t>
            </w:r>
          </w:p>
        </w:tc>
      </w:tr>
      <w:tr w:rsidR="007E1815" w:rsidRPr="009E3A86" w14:paraId="1E67FE9B" w14:textId="77777777" w:rsidTr="00D819DE">
        <w:trPr>
          <w:trHeight w:val="316"/>
        </w:trPr>
        <w:tc>
          <w:tcPr>
            <w:tcW w:w="1384" w:type="dxa"/>
          </w:tcPr>
          <w:p w14:paraId="09C8CC38"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10.</w:t>
            </w:r>
          </w:p>
        </w:tc>
        <w:tc>
          <w:tcPr>
            <w:tcW w:w="7655" w:type="dxa"/>
          </w:tcPr>
          <w:p w14:paraId="774F36AA" w14:textId="77777777" w:rsidR="007E1815" w:rsidRPr="009E3A86" w:rsidRDefault="007E1815" w:rsidP="00D819DE">
            <w:pPr>
              <w:autoSpaceDE w:val="0"/>
              <w:autoSpaceDN w:val="0"/>
              <w:adjustRightInd w:val="0"/>
              <w:spacing w:before="120" w:after="120"/>
              <w:jc w:val="both"/>
              <w:rPr>
                <w:rFonts w:ascii="Times New Roman" w:hAnsi="Times New Roman"/>
                <w:b/>
                <w:sz w:val="24"/>
              </w:rPr>
            </w:pPr>
            <w:r w:rsidRPr="009E3A86">
              <w:rPr>
                <w:rFonts w:ascii="Times New Roman" w:hAnsi="Times New Roman"/>
                <w:b/>
                <w:sz w:val="24"/>
              </w:rPr>
              <w:t>Papildu prasības</w:t>
            </w:r>
          </w:p>
          <w:p w14:paraId="34F10C0C" w14:textId="77777777" w:rsidR="007E1815" w:rsidRPr="009E3A86" w:rsidRDefault="007E1815" w:rsidP="00D819DE">
            <w:pPr>
              <w:autoSpaceDE w:val="0"/>
              <w:autoSpaceDN w:val="0"/>
              <w:adjustRightInd w:val="0"/>
              <w:spacing w:after="120"/>
              <w:jc w:val="both"/>
              <w:rPr>
                <w:rFonts w:ascii="Times New Roman" w:hAnsi="Times New Roman" w:cs="Times New Roman"/>
                <w:b/>
                <w:sz w:val="24"/>
              </w:rPr>
            </w:pPr>
            <w:r w:rsidRPr="009E3A86">
              <w:rPr>
                <w:rFonts w:ascii="Times New Roman" w:hAnsi="Times New Roman"/>
                <w:sz w:val="24"/>
              </w:rPr>
              <w:t>Iestādes norāda to nesvērto un svērto vērtību summas, kuras prasīts atklāt šīs veidnes 11. rindā “Izejošās naudas plūsmas, kas saistītas ar atvasināto instrumentu riska darījumiem un citām nodrošinājuma prasībām”, 12. rindā “Izejošās naudas plūsmas, kas saistītas ar zaudētu finansējumu no aizdevumiem” un 13. rindā “</w:t>
            </w:r>
            <w:proofErr w:type="spellStart"/>
            <w:r w:rsidRPr="009E3A86">
              <w:rPr>
                <w:rFonts w:ascii="Times New Roman" w:hAnsi="Times New Roman"/>
                <w:sz w:val="24"/>
              </w:rPr>
              <w:t>Kredītiespējas</w:t>
            </w:r>
            <w:proofErr w:type="spellEnd"/>
            <w:r w:rsidRPr="009E3A86">
              <w:rPr>
                <w:rFonts w:ascii="Times New Roman" w:hAnsi="Times New Roman"/>
                <w:sz w:val="24"/>
              </w:rPr>
              <w:t xml:space="preserve"> un likviditātes iespējas”.</w:t>
            </w:r>
          </w:p>
        </w:tc>
      </w:tr>
      <w:tr w:rsidR="007E1815" w:rsidRPr="009E3A86" w14:paraId="6C258881" w14:textId="77777777" w:rsidTr="00D819DE">
        <w:trPr>
          <w:trHeight w:val="316"/>
        </w:trPr>
        <w:tc>
          <w:tcPr>
            <w:tcW w:w="1384" w:type="dxa"/>
          </w:tcPr>
          <w:p w14:paraId="169F3669"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11.</w:t>
            </w:r>
          </w:p>
        </w:tc>
        <w:tc>
          <w:tcPr>
            <w:tcW w:w="7655" w:type="dxa"/>
          </w:tcPr>
          <w:p w14:paraId="74F71329" w14:textId="77777777" w:rsidR="007E1815" w:rsidRPr="009E3A86" w:rsidRDefault="007E1815" w:rsidP="00D819DE">
            <w:pPr>
              <w:autoSpaceDE w:val="0"/>
              <w:autoSpaceDN w:val="0"/>
              <w:adjustRightInd w:val="0"/>
              <w:spacing w:before="120" w:after="120"/>
              <w:jc w:val="both"/>
              <w:rPr>
                <w:rFonts w:ascii="Times New Roman" w:hAnsi="Times New Roman"/>
                <w:sz w:val="24"/>
              </w:rPr>
            </w:pPr>
            <w:r w:rsidRPr="009E3A86">
              <w:rPr>
                <w:rFonts w:ascii="Times New Roman" w:hAnsi="Times New Roman"/>
                <w:b/>
                <w:sz w:val="24"/>
              </w:rPr>
              <w:t>Izejošās naudas plūsmas, kas saistītas ar atvasināto instrumentu riska darījumiem un citām nodrošinājuma prasībām</w:t>
            </w:r>
          </w:p>
          <w:p w14:paraId="45A714DD"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Iestādes atklāj kā nesvērto vērtību un kā svērto vērtību šādu attiecīgi vērtību un izejošo naudas plūsmu summu:</w:t>
            </w:r>
          </w:p>
          <w:p w14:paraId="35D83DA0"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tāda nodrošinājuma tirgus vērtība un attiecīgās izejošās naudas plūsmas, kas nav 1. līmeņa nodrošinājums un ko sniedz par </w:t>
            </w:r>
            <w:r w:rsidRPr="009E3A86">
              <w:rPr>
                <w:rFonts w:ascii="Times New Roman" w:hAnsi="Times New Roman"/>
                <w:i/>
                <w:sz w:val="24"/>
              </w:rPr>
              <w:t>CRR</w:t>
            </w:r>
            <w:r w:rsidRPr="009E3A86">
              <w:rPr>
                <w:rFonts w:ascii="Times New Roman" w:hAnsi="Times New Roman"/>
                <w:sz w:val="24"/>
              </w:rPr>
              <w:t xml:space="preserve"> II pielikumā uzskaitītajiem līgumiem un kredītu atvasinātajiem </w:t>
            </w:r>
            <w:r w:rsidRPr="009E3A86">
              <w:rPr>
                <w:rFonts w:ascii="Times New Roman" w:hAnsi="Times New Roman"/>
                <w:sz w:val="24"/>
              </w:rPr>
              <w:lastRenderedPageBreak/>
              <w:t>instrumentiem, ievērojot Komisijas Deleģētās regulas (ES) 2015/61 30. panta 1. punktu;</w:t>
            </w:r>
          </w:p>
          <w:p w14:paraId="43C0E6B6"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tāda 1. līmeņa ārkārtīgi augstas kvalitātes segto obligāciju aktīvu nodrošinājuma tirgus vērtības un attiecīgās izejošās naudas plūsmas, ko sniedz par </w:t>
            </w:r>
            <w:r w:rsidRPr="009E3A86">
              <w:rPr>
                <w:rFonts w:ascii="Times New Roman" w:hAnsi="Times New Roman"/>
                <w:i/>
                <w:sz w:val="24"/>
              </w:rPr>
              <w:t>CRR</w:t>
            </w:r>
            <w:r w:rsidRPr="009E3A86">
              <w:rPr>
                <w:rFonts w:ascii="Times New Roman" w:hAnsi="Times New Roman"/>
                <w:sz w:val="24"/>
              </w:rPr>
              <w:t xml:space="preserve"> II pielikumā uzskaitītajiem līgumiem un kredītu atvasinātajiem instrumentiem, ievērojot Komisijas Deleģētās regulas (ES) 2015/61 30. panta 1. punktu;</w:t>
            </w:r>
          </w:p>
          <w:p w14:paraId="5A5FA7D0"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to papildu izejošo naudas plūsmu kopējā summa, kas aprēķinātas un paziņotas kompetentajām iestādēm saskaņā ar Komisijas Deleģētās regulas (ES) 2015/61 30. panta 2. punktu kā būtiskas izejošās naudas plūsmas pašu </w:t>
            </w:r>
            <w:proofErr w:type="spellStart"/>
            <w:r w:rsidRPr="009E3A86">
              <w:rPr>
                <w:rFonts w:ascii="Times New Roman" w:hAnsi="Times New Roman"/>
                <w:sz w:val="24"/>
              </w:rPr>
              <w:t>kredītkvalitātes</w:t>
            </w:r>
            <w:proofErr w:type="spellEnd"/>
            <w:r w:rsidRPr="009E3A86">
              <w:rPr>
                <w:rFonts w:ascii="Times New Roman" w:hAnsi="Times New Roman"/>
                <w:sz w:val="24"/>
              </w:rPr>
              <w:t xml:space="preserve"> pasliktināšanās dēļ; </w:t>
            </w:r>
          </w:p>
          <w:p w14:paraId="22B5AC48"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to izejošo naudas plūsmu summa, kuras izriet no negatīva tirgus scenārija ietekmes uz iestādes darījumiem ar atvasinātiem instrumentiem, kā paredzēts Komisijas Deleģētās regulas (ES) 2015/61 30. panta 3. punktā, un kuras aprēķinātas saskaņā ar Komisijas Deleģēto regulu (ES) 2017/208</w:t>
            </w:r>
            <w:r w:rsidRPr="009E3A86">
              <w:rPr>
                <w:rStyle w:val="FootnoteReference"/>
                <w:rFonts w:ascii="Times New Roman" w:hAnsi="Times New Roman"/>
                <w:sz w:val="24"/>
              </w:rPr>
              <w:footnoteReference w:id="5"/>
            </w:r>
            <w:r w:rsidRPr="009E3A86">
              <w:rPr>
                <w:rFonts w:ascii="Times New Roman" w:hAnsi="Times New Roman"/>
                <w:sz w:val="24"/>
              </w:rPr>
              <w:t>;</w:t>
            </w:r>
          </w:p>
          <w:p w14:paraId="2E9F1834"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to izejošo naudas plūsmu summa, kuras 30 kalendāro dienu laikā sagaidāmas no </w:t>
            </w:r>
            <w:r w:rsidRPr="009E3A86">
              <w:rPr>
                <w:rFonts w:ascii="Times New Roman" w:hAnsi="Times New Roman"/>
                <w:i/>
                <w:sz w:val="24"/>
              </w:rPr>
              <w:t>CRR</w:t>
            </w:r>
            <w:r w:rsidRPr="009E3A86">
              <w:rPr>
                <w:rFonts w:ascii="Times New Roman" w:hAnsi="Times New Roman"/>
                <w:sz w:val="24"/>
              </w:rPr>
              <w:t xml:space="preserve"> II pielikumā uzskaitītajiem līgumiem un no atvasinātajiem kredīta instrumentiem, kā paredzēts Komisijas Deleģētās regulas (ES) 2015/61 30. panta 4. punktā, un kuras aprēķinātas saskaņā ar Komisijas Deleģētās regulas (ES) 2015/61 21. pantu; </w:t>
            </w:r>
          </w:p>
          <w:p w14:paraId="287058C3"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tā nodrošinājuma pārpalikuma tirgus vērtība un attiecīgās izejošās naudas plūsmas, kas ir iestādes turējumā un ko darījuma partneris saskaņā ar līgumu var atsaukt jebkurā laikā, kā paredzēts Komisijas Deleģētās regulas (ES) 2015/61 30. panta 6. punkta a) apakšpunktā; </w:t>
            </w:r>
          </w:p>
          <w:p w14:paraId="7909EA75"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tā nodrošinājuma tirgus vērtība un attiecīgās izejošās naudas plūsmas, kuram pienācis termiņš atgriešanai darījumu partnerim 30 kalendāro dienu laikā, kā paredzēts Komisijas Deleģētās regulas (ES) 2015/61 30. panta 6. punkta b) apakšpunktā; </w:t>
            </w:r>
          </w:p>
          <w:p w14:paraId="0C747E7F"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tā nodrošinājuma tirgus vērtība un attiecīgās izejošās naudas plūsmas, kuru var uzskatīt par likvīdiem aktīviem saskaņā ar Komisijas Deleģētās regulas (ES) 2015/61 II sadaļu un kuru var aizvietot ar aktīviem, ko nevarētu uzskatīt par likvīdiem aktīviem saskaņā ar minētās regulas II sadaļu bez iestādes piekrišanas, kā paredzēts Komisijas Deleģētās regulas (ES) 2015/61 30. panta 6. punkta c) apakšpunktā.</w:t>
            </w:r>
          </w:p>
        </w:tc>
      </w:tr>
      <w:tr w:rsidR="007E1815" w:rsidRPr="009E3A86" w14:paraId="73604DCD" w14:textId="77777777" w:rsidTr="00D819DE">
        <w:trPr>
          <w:trHeight w:val="316"/>
        </w:trPr>
        <w:tc>
          <w:tcPr>
            <w:tcW w:w="1384" w:type="dxa"/>
          </w:tcPr>
          <w:p w14:paraId="76F2A9CE"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lastRenderedPageBreak/>
              <w:t>12.</w:t>
            </w:r>
          </w:p>
        </w:tc>
        <w:tc>
          <w:tcPr>
            <w:tcW w:w="7655" w:type="dxa"/>
          </w:tcPr>
          <w:p w14:paraId="5669483C" w14:textId="77777777" w:rsidR="007E1815" w:rsidRPr="009E3A86" w:rsidRDefault="007E1815" w:rsidP="00D819DE">
            <w:pPr>
              <w:spacing w:before="120" w:after="120" w:line="190" w:lineRule="exact"/>
              <w:rPr>
                <w:rFonts w:ascii="Times New Roman" w:hAnsi="Times New Roman" w:cs="Times New Roman"/>
                <w:b/>
                <w:sz w:val="24"/>
              </w:rPr>
            </w:pPr>
            <w:r w:rsidRPr="009E3A86">
              <w:rPr>
                <w:rFonts w:ascii="Times New Roman" w:hAnsi="Times New Roman"/>
                <w:b/>
                <w:sz w:val="24"/>
              </w:rPr>
              <w:t>Izejošās naudas plūsmas, kas saistītas ar zaudētu finansējumu no aizdevumiem</w:t>
            </w:r>
          </w:p>
          <w:p w14:paraId="2004FE24"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Iestādes atklāj kā nesvērto vērtību un kā svērto vērtību zaudēta finansējuma no strukturētām finanšu darbībām attiecīgi summu un izejošās naudas plūsmas, kā paredzēts Komisijas Deleģētās regulas (ES) 2015/61 30. panta 8.–10. punktā.</w:t>
            </w:r>
          </w:p>
          <w:p w14:paraId="7A966478"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lastRenderedPageBreak/>
              <w:t>Iestādes pieņem, ka izejošās naudas plūsmas ir 100 % apmērā saistībā ar zaudētu finansējumu no ar aktīviem nodrošinātiem vērtspapīriem, segtajām obligācijām un citiem strukturētiem finanšu instrumentiem, kuru dzēšanas termiņš beidzas 30 kalendāro dienu laikā un kurus emitējusi kredītiestāde vai sponsorētas īpašas finansēšanas struktūras, vai īpašam nolūkam dibinātas sabiedrības.</w:t>
            </w:r>
          </w:p>
          <w:p w14:paraId="7699550A" w14:textId="77777777" w:rsidR="007E1815" w:rsidRPr="009E3A86" w:rsidRDefault="007E1815" w:rsidP="00D819DE">
            <w:pPr>
              <w:autoSpaceDE w:val="0"/>
              <w:autoSpaceDN w:val="0"/>
              <w:adjustRightInd w:val="0"/>
              <w:spacing w:after="120"/>
              <w:jc w:val="both"/>
              <w:rPr>
                <w:rFonts w:ascii="Times New Roman" w:hAnsi="Times New Roman" w:cs="Times New Roman"/>
                <w:b/>
                <w:sz w:val="24"/>
              </w:rPr>
            </w:pPr>
            <w:r w:rsidRPr="009E3A86">
              <w:rPr>
                <w:rFonts w:ascii="Times New Roman" w:hAnsi="Times New Roman"/>
                <w:sz w:val="24"/>
              </w:rPr>
              <w:t>Iestādēm, kas ir tādu likviditātes iespēju sniedzējas, kuras ir saistītas ar šeit atklātajām finansēšanas programmām, nav divreiz jāuzskaita finanšu instruments, kam ir pienācis dzēšanas termiņš, un likviditātes iespējas konsolidētajām programmām.</w:t>
            </w:r>
          </w:p>
        </w:tc>
      </w:tr>
      <w:tr w:rsidR="007E1815" w:rsidRPr="009E3A86" w14:paraId="509D8875" w14:textId="77777777" w:rsidTr="00D819DE">
        <w:trPr>
          <w:trHeight w:val="316"/>
        </w:trPr>
        <w:tc>
          <w:tcPr>
            <w:tcW w:w="1384" w:type="dxa"/>
          </w:tcPr>
          <w:p w14:paraId="5095A456"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lastRenderedPageBreak/>
              <w:t>13.</w:t>
            </w:r>
          </w:p>
        </w:tc>
        <w:tc>
          <w:tcPr>
            <w:tcW w:w="7655" w:type="dxa"/>
          </w:tcPr>
          <w:p w14:paraId="17CE629E" w14:textId="77777777" w:rsidR="007E1815" w:rsidRPr="009E3A86" w:rsidRDefault="007E1815" w:rsidP="00D819DE">
            <w:pPr>
              <w:spacing w:before="120" w:after="120" w:line="190" w:lineRule="exact"/>
              <w:rPr>
                <w:rFonts w:ascii="Times New Roman" w:hAnsi="Times New Roman"/>
                <w:sz w:val="24"/>
              </w:rPr>
            </w:pPr>
            <w:proofErr w:type="spellStart"/>
            <w:r w:rsidRPr="009E3A86">
              <w:rPr>
                <w:rFonts w:ascii="Times New Roman" w:hAnsi="Times New Roman"/>
                <w:b/>
                <w:sz w:val="24"/>
              </w:rPr>
              <w:t>Kredītiespējas</w:t>
            </w:r>
            <w:proofErr w:type="spellEnd"/>
            <w:r w:rsidRPr="009E3A86">
              <w:rPr>
                <w:rFonts w:ascii="Times New Roman" w:hAnsi="Times New Roman"/>
                <w:b/>
                <w:sz w:val="24"/>
              </w:rPr>
              <w:t xml:space="preserve"> un likviditātes iespējas</w:t>
            </w:r>
          </w:p>
          <w:p w14:paraId="63AA0609"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 xml:space="preserve">Iestādes atklāj kā nesvērto vērtību un svērto vērtību </w:t>
            </w:r>
            <w:proofErr w:type="spellStart"/>
            <w:r w:rsidRPr="009E3A86">
              <w:rPr>
                <w:rFonts w:ascii="Times New Roman" w:hAnsi="Times New Roman"/>
                <w:sz w:val="24"/>
              </w:rPr>
              <w:t>kredītiespēju</w:t>
            </w:r>
            <w:proofErr w:type="spellEnd"/>
            <w:r w:rsidRPr="009E3A86">
              <w:rPr>
                <w:rFonts w:ascii="Times New Roman" w:hAnsi="Times New Roman"/>
                <w:sz w:val="24"/>
              </w:rPr>
              <w:t xml:space="preserve"> un likviditātes iespēju attiecīgi summu un izejošās naudas plūsmas saskaņā ar Komisijas Deleģētās regulas (ES) 2015/61 31. pantu.</w:t>
            </w:r>
          </w:p>
          <w:p w14:paraId="0CB681C8" w14:textId="77777777" w:rsidR="007E1815" w:rsidRPr="009E3A86" w:rsidRDefault="007E1815" w:rsidP="00D819DE">
            <w:pPr>
              <w:autoSpaceDE w:val="0"/>
              <w:autoSpaceDN w:val="0"/>
              <w:adjustRightInd w:val="0"/>
              <w:spacing w:after="120"/>
              <w:jc w:val="both"/>
              <w:rPr>
                <w:rFonts w:ascii="Times New Roman" w:hAnsi="Times New Roman" w:cs="Times New Roman"/>
                <w:b/>
                <w:sz w:val="24"/>
              </w:rPr>
            </w:pPr>
            <w:r w:rsidRPr="009E3A86">
              <w:rPr>
                <w:rFonts w:ascii="Times New Roman" w:hAnsi="Times New Roman"/>
                <w:sz w:val="24"/>
              </w:rPr>
              <w:t>Iestādes šeit atklāj arī piešķirtās iespējas saskaņā ar Komisijas Deleģētās regulas (ES) 2015/61 29. pantu.</w:t>
            </w:r>
          </w:p>
        </w:tc>
      </w:tr>
      <w:tr w:rsidR="007E1815" w:rsidRPr="009E3A86" w14:paraId="714288CA" w14:textId="77777777" w:rsidTr="00D819DE">
        <w:trPr>
          <w:trHeight w:val="316"/>
        </w:trPr>
        <w:tc>
          <w:tcPr>
            <w:tcW w:w="1384" w:type="dxa"/>
          </w:tcPr>
          <w:p w14:paraId="4688D030"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14.</w:t>
            </w:r>
          </w:p>
        </w:tc>
        <w:tc>
          <w:tcPr>
            <w:tcW w:w="7655" w:type="dxa"/>
          </w:tcPr>
          <w:p w14:paraId="09A7998F" w14:textId="77777777" w:rsidR="007E1815" w:rsidRPr="009E3A86" w:rsidRDefault="007E1815" w:rsidP="00D819DE">
            <w:pPr>
              <w:spacing w:before="120" w:after="120" w:line="190" w:lineRule="exact"/>
              <w:rPr>
                <w:rFonts w:ascii="Times New Roman" w:hAnsi="Times New Roman"/>
                <w:sz w:val="24"/>
              </w:rPr>
            </w:pPr>
            <w:r w:rsidRPr="009E3A86">
              <w:rPr>
                <w:rFonts w:ascii="Times New Roman" w:hAnsi="Times New Roman"/>
                <w:b/>
                <w:sz w:val="24"/>
              </w:rPr>
              <w:t>Citas līgumiskās finansējuma saistības</w:t>
            </w:r>
          </w:p>
          <w:p w14:paraId="7DBAA770"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Iestādes atklāj kā nesvērto vērtību un kā svērto vērtību šādu posteņu attiecīgi vērtību summu un izejošās naudas plūsmas:</w:t>
            </w:r>
          </w:p>
          <w:p w14:paraId="7CB65F22"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aktīvi, kuri aizņemti uz nenodrošināta pamata un kuru termiņš beidzas 30 dienu laikā, kā paredzēts Komisijas Deleģētās regulas (ES) 2015/61 28. panta 7. punktā. Pieņem, ka šie aktīvi ir pilnībā likvidēti, kas izraisa izejošās naudas plūsmas 100 % apmērā. Iestādes atklāj to aktīvu tirgus vērtību, kuri aizņemti uz nenodrošināta pamata un kuru termiņš beidzas 30 dienu laikā, ja kredītiestādei nepieder šie vērtspapīri un tie nav daļa no iestāžu likviditātes rezervēm;</w:t>
            </w:r>
          </w:p>
          <w:p w14:paraId="7B6C8778"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īsās pozīcijas, kas tiek segtas ar nenodrošināta vērtspapīra aizņēmumu. Kā noteikts Komisijas Deleģētās regulas (ES) 2015/61 30. panta 5. punktā, iestādes pievieno papildu izejošo naudas plūsmu, kas atbilst tādu vērtspapīru vai citu aktīvu 100 % tirgus vērtībai, kuri ir pārdoti kā īsās pozīcijas, ja vien kredītiestāde nav tos aizņēmusies ar noteikumu, ka tie ir jāatgriež tikai pēc 30 kalendārajām dienām. Ja īsā pozīcija tiek segta ar nodrošinātu vērtspapīru finansēšanas darījumu, kredītiestāde pieņem, ka šī īsā pozīcija tiks saglabāta visā 30 kalendāro dienu periodā un saņems 0 % izejošās naudas plūsmas; </w:t>
            </w:r>
          </w:p>
          <w:p w14:paraId="0D960AFF"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saistības, kas izriet no pamatdarbības izmaksām. Kā noteikts Komisijas Deleģētās regulas (ES) 2015/61 28. panta 2. punktā, iestādes atklāj to saistību neatmaksātā atlikuma summu, kas izriet no kredītiestādes pašas pamatdarbības izmaksām. Šīs saistības neizraisa izejošās naudas plūsmas; </w:t>
            </w:r>
          </w:p>
          <w:p w14:paraId="50308A9D"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E3A86">
              <w:rPr>
                <w:rFonts w:ascii="Times New Roman" w:hAnsi="Times New Roman"/>
                <w:sz w:val="24"/>
              </w:rPr>
              <w:t>citi nenodrošināti darījumi, kam pienāk termiņš nākamo 30 kalendāro dienu laikā un kas nav iekļauti Komisijas Deleģētās regulas (ES) 2015/61 24.–31. pantā un kas, kā noteikts Komisijas Deleģētās regulas (ES) 2015/61 31.a panta 1. punktā, izraisa izejošās naudas plūsmas 100 % apmērā.</w:t>
            </w:r>
          </w:p>
        </w:tc>
      </w:tr>
      <w:tr w:rsidR="007E1815" w:rsidRPr="009E3A86" w14:paraId="6D04A99C" w14:textId="77777777" w:rsidTr="00D819DE">
        <w:trPr>
          <w:trHeight w:val="316"/>
        </w:trPr>
        <w:tc>
          <w:tcPr>
            <w:tcW w:w="1384" w:type="dxa"/>
          </w:tcPr>
          <w:p w14:paraId="2086B2D5"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lastRenderedPageBreak/>
              <w:t>15.</w:t>
            </w:r>
          </w:p>
        </w:tc>
        <w:tc>
          <w:tcPr>
            <w:tcW w:w="7655" w:type="dxa"/>
          </w:tcPr>
          <w:p w14:paraId="6A875C2F" w14:textId="77777777" w:rsidR="007E1815" w:rsidRPr="009E3A86" w:rsidRDefault="007E1815" w:rsidP="00D819DE">
            <w:pPr>
              <w:spacing w:before="120" w:after="120" w:line="190" w:lineRule="exact"/>
              <w:jc w:val="both"/>
              <w:rPr>
                <w:rFonts w:ascii="Times New Roman" w:hAnsi="Times New Roman" w:cs="Times New Roman"/>
                <w:b/>
                <w:sz w:val="24"/>
              </w:rPr>
            </w:pPr>
            <w:r w:rsidRPr="009E3A86">
              <w:rPr>
                <w:rFonts w:ascii="Times New Roman" w:hAnsi="Times New Roman"/>
                <w:b/>
                <w:sz w:val="24"/>
              </w:rPr>
              <w:t>Citas iespējamās finansējuma saistības</w:t>
            </w:r>
          </w:p>
          <w:p w14:paraId="65E869DD" w14:textId="77777777" w:rsidR="007E1815" w:rsidRPr="009E3A86" w:rsidRDefault="007E1815" w:rsidP="00D819DE">
            <w:pPr>
              <w:spacing w:after="120" w:line="278" w:lineRule="exact"/>
              <w:jc w:val="both"/>
              <w:rPr>
                <w:rFonts w:ascii="Times New Roman" w:hAnsi="Times New Roman" w:cs="Times New Roman"/>
                <w:sz w:val="24"/>
              </w:rPr>
            </w:pPr>
            <w:r w:rsidRPr="009E3A86">
              <w:rPr>
                <w:rFonts w:ascii="Times New Roman" w:hAnsi="Times New Roman"/>
                <w:sz w:val="24"/>
              </w:rPr>
              <w:t>Iestādes atklāj kā nesvērto vērtību un kā svērto vērtību šādu posteņu attiecīgi vērtību summu un izejošās naudas plūsmas:</w:t>
            </w:r>
          </w:p>
          <w:p w14:paraId="2032279E"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citi produkti un pakalpojumi, kas minēti Komisijas Deleģētās regulas (ES) 2015/61 23. pantā. Iestādes šeit atklāj produktus un pakalpojumus, kas minēti Komisijas Deleģētās regulas (ES) 2015/61 23. panta 1. punktā. Atklājamā summa ir maksimālā summa, kuru varētu izņemt no tiem produktiem un pakalpojumiem, kas minēti Komisijas Deleģētās regulas (ES) 2015/61 23. panta 1. punktā; </w:t>
            </w:r>
          </w:p>
          <w:p w14:paraId="3F269431"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tādu līgumsaistību pārpalikums, kuras paredzētas, lai sniegtu tādu finansējumu </w:t>
            </w:r>
            <w:proofErr w:type="spellStart"/>
            <w:r w:rsidRPr="009E3A86">
              <w:rPr>
                <w:rFonts w:ascii="Times New Roman" w:hAnsi="Times New Roman"/>
                <w:sz w:val="24"/>
              </w:rPr>
              <w:t>nefinanšu</w:t>
            </w:r>
            <w:proofErr w:type="spellEnd"/>
            <w:r w:rsidRPr="009E3A86">
              <w:rPr>
                <w:rFonts w:ascii="Times New Roman" w:hAnsi="Times New Roman"/>
                <w:sz w:val="24"/>
              </w:rPr>
              <w:t xml:space="preserve"> klientiem, kura termiņš iestājas nākamo 30 kalendāro dienu laikā, kā paredzēts Komisijas Deleģētās regulas (ES) 2015/61 31.a panta 2. punktā; </w:t>
            </w:r>
          </w:p>
          <w:p w14:paraId="460FF3B1"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9E3A86">
              <w:rPr>
                <w:rFonts w:ascii="Times New Roman" w:hAnsi="Times New Roman"/>
                <w:sz w:val="24"/>
              </w:rPr>
              <w:t>klienta pozīciju iekšējais ieskaits saskaņā ar Komisijas Deleģētās regulas (ES) 2015/61 30. panta 11. punktu. Iestādes šeit atklāj to klienta nelikvīdo aktīvu tirgus vērtību, kurus kredītiestāde saistībā ar specializēto brokeru pakalpojumiem ir izmantojusi, lai segtu cita klienta īsās pozīcijas pārdošanu, tos iekšēji saskaņojot.</w:t>
            </w:r>
          </w:p>
        </w:tc>
      </w:tr>
      <w:tr w:rsidR="007E1815" w:rsidRPr="009E3A86" w14:paraId="5C1E26D1" w14:textId="77777777" w:rsidTr="00D819DE">
        <w:trPr>
          <w:trHeight w:val="316"/>
        </w:trPr>
        <w:tc>
          <w:tcPr>
            <w:tcW w:w="1384" w:type="dxa"/>
          </w:tcPr>
          <w:p w14:paraId="66EBBD7B"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16.</w:t>
            </w:r>
          </w:p>
        </w:tc>
        <w:tc>
          <w:tcPr>
            <w:tcW w:w="7655" w:type="dxa"/>
          </w:tcPr>
          <w:p w14:paraId="7CD1029A" w14:textId="77777777" w:rsidR="007E1815" w:rsidRPr="009E3A86" w:rsidRDefault="007E1815" w:rsidP="00D819DE">
            <w:pPr>
              <w:spacing w:before="120" w:after="120" w:line="190" w:lineRule="exact"/>
              <w:rPr>
                <w:rFonts w:ascii="Times New Roman" w:hAnsi="Times New Roman"/>
                <w:sz w:val="24"/>
              </w:rPr>
            </w:pPr>
            <w:r w:rsidRPr="009E3A86">
              <w:rPr>
                <w:rFonts w:ascii="Times New Roman" w:hAnsi="Times New Roman"/>
                <w:b/>
                <w:sz w:val="24"/>
              </w:rPr>
              <w:t>IZEJOŠĀS NAUDAS PLŪSMAS KOPĀ</w:t>
            </w:r>
          </w:p>
          <w:p w14:paraId="795DD5DD" w14:textId="77777777" w:rsidR="007E1815" w:rsidRPr="009E3A86" w:rsidRDefault="007E1815" w:rsidP="00D819DE">
            <w:pPr>
              <w:spacing w:after="120" w:line="288" w:lineRule="exact"/>
              <w:rPr>
                <w:rFonts w:ascii="Times New Roman" w:hAnsi="Times New Roman" w:cs="Times New Roman"/>
                <w:sz w:val="24"/>
              </w:rPr>
            </w:pPr>
            <w:r w:rsidRPr="009E3A86">
              <w:rPr>
                <w:rFonts w:ascii="Times New Roman" w:hAnsi="Times New Roman"/>
                <w:sz w:val="24"/>
              </w:rPr>
              <w:t>Iestādes atklāj šādu posteņu svērto vērtību kopsummu atbilstoši šiem norādījumiem:</w:t>
            </w:r>
          </w:p>
          <w:p w14:paraId="1FE26C4F"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šīs veidnes 2. rinda: privātpersonu vai MVU noguldījumi un mazo uzņēmumu noguldījumi;</w:t>
            </w:r>
          </w:p>
          <w:p w14:paraId="4C61D144"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šīs veidnes 5. rinda: nenodrošināts korporatīvais finansējums;</w:t>
            </w:r>
          </w:p>
          <w:p w14:paraId="5FA5EAE1"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šīs veidnes 9. rinda: nodrošināts korporatīvais finansējums;</w:t>
            </w:r>
          </w:p>
          <w:p w14:paraId="7B309705"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šīs veidnes 10. rinda: papildu prasības;</w:t>
            </w:r>
          </w:p>
          <w:p w14:paraId="121EA07E"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šīs veidnes 14. rinda: citas līgumiskās finansējuma saistības;</w:t>
            </w:r>
          </w:p>
          <w:p w14:paraId="3BFFB70C"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šīs veidnes 15. rinda: citas iespējamās finansējuma saistības.</w:t>
            </w:r>
          </w:p>
        </w:tc>
      </w:tr>
      <w:tr w:rsidR="007E1815" w:rsidRPr="009E3A86" w14:paraId="79A60795" w14:textId="77777777" w:rsidTr="00D819DE">
        <w:trPr>
          <w:trHeight w:val="316"/>
        </w:trPr>
        <w:tc>
          <w:tcPr>
            <w:tcW w:w="1384" w:type="dxa"/>
          </w:tcPr>
          <w:p w14:paraId="0BC40981"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17.</w:t>
            </w:r>
          </w:p>
        </w:tc>
        <w:tc>
          <w:tcPr>
            <w:tcW w:w="7655" w:type="dxa"/>
          </w:tcPr>
          <w:p w14:paraId="7AAD4AB7" w14:textId="77777777" w:rsidR="007E1815" w:rsidRPr="009E3A86" w:rsidRDefault="007E1815" w:rsidP="00D819DE">
            <w:pPr>
              <w:spacing w:before="120" w:after="120" w:line="190" w:lineRule="exact"/>
              <w:rPr>
                <w:rFonts w:ascii="Times New Roman" w:hAnsi="Times New Roman"/>
                <w:sz w:val="24"/>
              </w:rPr>
            </w:pPr>
            <w:r w:rsidRPr="009E3A86">
              <w:rPr>
                <w:rFonts w:ascii="Times New Roman" w:hAnsi="Times New Roman"/>
                <w:b/>
                <w:sz w:val="24"/>
              </w:rPr>
              <w:t xml:space="preserve">Nodrošināti aizdevumi (piem., aktīvu pirkšana ar </w:t>
            </w:r>
            <w:proofErr w:type="spellStart"/>
            <w:r w:rsidRPr="009E3A86">
              <w:rPr>
                <w:rFonts w:ascii="Times New Roman" w:hAnsi="Times New Roman"/>
                <w:b/>
                <w:sz w:val="24"/>
              </w:rPr>
              <w:t>atpārdošanu</w:t>
            </w:r>
            <w:proofErr w:type="spellEnd"/>
            <w:r w:rsidRPr="009E3A86">
              <w:rPr>
                <w:rFonts w:ascii="Times New Roman" w:hAnsi="Times New Roman"/>
                <w:b/>
                <w:sz w:val="24"/>
              </w:rPr>
              <w:t>)</w:t>
            </w:r>
          </w:p>
          <w:p w14:paraId="651838CD" w14:textId="77777777" w:rsidR="007E1815" w:rsidRPr="009E3A86" w:rsidRDefault="007E1815" w:rsidP="00D819DE">
            <w:pPr>
              <w:spacing w:after="120" w:line="288" w:lineRule="exact"/>
              <w:jc w:val="both"/>
              <w:rPr>
                <w:rFonts w:ascii="Times New Roman" w:hAnsi="Times New Roman" w:cs="Times New Roman"/>
                <w:sz w:val="24"/>
              </w:rPr>
            </w:pPr>
            <w:r w:rsidRPr="009E3A86">
              <w:rPr>
                <w:rFonts w:ascii="Times New Roman" w:hAnsi="Times New Roman"/>
                <w:sz w:val="24"/>
              </w:rPr>
              <w:t>Iestādes atklāj kā nesvērto vērtību šādu posteņu kopsummu:</w:t>
            </w:r>
          </w:p>
          <w:p w14:paraId="6D480715"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tādu nodrošinātu kreditēšanas un kapitāla tirgus darījumu vērtības, kuru atlikušais termiņš nav ilgāks par 30 dienām, kā paredzēts Komisijas Deleģētās regulas (ES) 2015/61 32. panta 3. punkta b), c) un f) apakšpunktā;</w:t>
            </w:r>
          </w:p>
          <w:p w14:paraId="7F449F12" w14:textId="77777777" w:rsidR="007E1815" w:rsidRPr="009E3A86"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9E3A86">
              <w:rPr>
                <w:rFonts w:ascii="Times New Roman" w:hAnsi="Times New Roman"/>
                <w:sz w:val="24"/>
              </w:rPr>
              <w:t>nodrošinājuma mijmaiņas darījumos aizdotā nodrošinājuma tirgus vērtība, kā paredzēts Komisijas Deleģētās regulas (ES) 2015/61 32. panta 3. punktā.</w:t>
            </w:r>
          </w:p>
          <w:p w14:paraId="06976BDB" w14:textId="77777777" w:rsidR="007E1815" w:rsidRPr="009E3A86" w:rsidRDefault="007E1815" w:rsidP="00D819DE">
            <w:pPr>
              <w:spacing w:after="120" w:line="288" w:lineRule="exact"/>
              <w:jc w:val="both"/>
              <w:rPr>
                <w:rFonts w:ascii="Times New Roman" w:hAnsi="Times New Roman" w:cs="Times New Roman"/>
                <w:sz w:val="24"/>
              </w:rPr>
            </w:pPr>
            <w:r w:rsidRPr="009E3A86">
              <w:rPr>
                <w:rFonts w:ascii="Times New Roman" w:hAnsi="Times New Roman"/>
                <w:sz w:val="24"/>
              </w:rPr>
              <w:t>Iestādes atklāj kā svērto vērtību šādu posteņu kopsummu:</w:t>
            </w:r>
          </w:p>
          <w:p w14:paraId="7A115CD7"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ienākošās naudas plūsmas no nodrošinātiem kreditēšanas un kapitāla tirgus darījumiem, kuru atlikušais termiņš nav ilgāks par 30 dienām, kā paredzēts Komisijas Deleģētās regulas (ES) 2015/61 32. panta 3. punkta b), c) un f) apakšpunktā;</w:t>
            </w:r>
          </w:p>
          <w:p w14:paraId="07238B5C"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E3A86">
              <w:rPr>
                <w:rFonts w:ascii="Times New Roman" w:hAnsi="Times New Roman"/>
                <w:sz w:val="24"/>
              </w:rPr>
              <w:lastRenderedPageBreak/>
              <w:t>ienākošās naudas plūsmas no nodrošinājuma mijmaiņas darījumiem, kā paredzēts Komisijas Deleģētās regulas (ES) 2015/61 32. panta 3. punktā.</w:t>
            </w:r>
          </w:p>
        </w:tc>
      </w:tr>
      <w:tr w:rsidR="007E1815" w:rsidRPr="009E3A86" w14:paraId="001A0BC1" w14:textId="77777777" w:rsidTr="00D819DE">
        <w:trPr>
          <w:trHeight w:val="316"/>
        </w:trPr>
        <w:tc>
          <w:tcPr>
            <w:tcW w:w="1384" w:type="dxa"/>
          </w:tcPr>
          <w:p w14:paraId="717DE40D"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lastRenderedPageBreak/>
              <w:t>18.</w:t>
            </w:r>
          </w:p>
        </w:tc>
        <w:tc>
          <w:tcPr>
            <w:tcW w:w="7655" w:type="dxa"/>
          </w:tcPr>
          <w:p w14:paraId="05A2A98F" w14:textId="77777777" w:rsidR="007E1815" w:rsidRPr="009E3A86" w:rsidRDefault="007E1815" w:rsidP="00D819DE">
            <w:pPr>
              <w:spacing w:before="120" w:after="120" w:line="190" w:lineRule="exact"/>
              <w:rPr>
                <w:rFonts w:ascii="Times New Roman" w:hAnsi="Times New Roman"/>
                <w:b/>
                <w:sz w:val="24"/>
              </w:rPr>
            </w:pPr>
            <w:r w:rsidRPr="009E3A86">
              <w:rPr>
                <w:rFonts w:ascii="Times New Roman" w:hAnsi="Times New Roman"/>
                <w:b/>
                <w:sz w:val="24"/>
              </w:rPr>
              <w:t>Ienākošās naudas plūsmas no pilnībā ienākumus nesošiem riska darījumiem</w:t>
            </w:r>
          </w:p>
          <w:p w14:paraId="4C4F768A" w14:textId="77777777" w:rsidR="007E1815" w:rsidRPr="009E3A86" w:rsidRDefault="007E1815" w:rsidP="00D819DE">
            <w:pPr>
              <w:spacing w:after="120" w:line="278" w:lineRule="exact"/>
              <w:jc w:val="both"/>
              <w:rPr>
                <w:rFonts w:ascii="Times New Roman" w:hAnsi="Times New Roman" w:cs="Times New Roman"/>
                <w:sz w:val="24"/>
              </w:rPr>
            </w:pPr>
            <w:r w:rsidRPr="009E3A86">
              <w:rPr>
                <w:rFonts w:ascii="Times New Roman" w:hAnsi="Times New Roman"/>
                <w:sz w:val="24"/>
              </w:rPr>
              <w:t>Iestādes atklāj kā nesvērto vērtību un kā svērto vērtību šādu posteņu attiecīgi kopējo summu un ienākošo naudas plūsmu kopsummu:</w:t>
            </w:r>
          </w:p>
          <w:p w14:paraId="1F8370B0"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naudas līdzekļi, kuri pienākas no </w:t>
            </w:r>
            <w:proofErr w:type="spellStart"/>
            <w:r w:rsidRPr="009E3A86">
              <w:rPr>
                <w:rFonts w:ascii="Times New Roman" w:hAnsi="Times New Roman"/>
                <w:sz w:val="24"/>
              </w:rPr>
              <w:t>nefinanšu</w:t>
            </w:r>
            <w:proofErr w:type="spellEnd"/>
            <w:r w:rsidRPr="009E3A86">
              <w:rPr>
                <w:rFonts w:ascii="Times New Roman" w:hAnsi="Times New Roman"/>
                <w:sz w:val="24"/>
              </w:rPr>
              <w:t xml:space="preserve"> klientiem (izņemot centrālās bankas), kā paredzēts Komisijas Deleģētās regulas (ES) 2015/61 32. panta 3. punkta a) apakšpunktā; </w:t>
            </w:r>
          </w:p>
          <w:p w14:paraId="1086E0A3"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naudas līdzekļi, kuri pienākas no centrālajām bankām un finanšu klientiem, kā paredzēts Komisijas Deleģētās regulas (ES) 2015/61 32. panta 2. punkta a) apakšpunktā; </w:t>
            </w:r>
          </w:p>
          <w:p w14:paraId="216498BF"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naudas līdzekļi, kuri pienākas no tirdzniecības finansēšanas darījumiem, kā paredzēts Komisijas Deleģētās regulas (ES) 2015/61 32. panta 2. punkta b) apakšpunktā, un kuru atlikušais termiņš nav ilgāks par 30 dienām;</w:t>
            </w:r>
          </w:p>
          <w:p w14:paraId="2B448E76"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E3A86">
              <w:rPr>
                <w:rFonts w:ascii="Times New Roman" w:hAnsi="Times New Roman"/>
                <w:sz w:val="24"/>
              </w:rPr>
              <w:t>ienākošās naudas plūsmas, kas atbilst izejošajām naudas plūsmām saskaņā ar attīstību veicinošo aizdevumu saistībām, kā minēts Komisijas Deleģētās regulas (ES) 2015/61 31. panta 9. punktā.</w:t>
            </w:r>
          </w:p>
        </w:tc>
      </w:tr>
      <w:tr w:rsidR="007E1815" w:rsidRPr="009E3A86" w14:paraId="63C35840" w14:textId="77777777" w:rsidTr="00D819DE">
        <w:trPr>
          <w:trHeight w:val="316"/>
        </w:trPr>
        <w:tc>
          <w:tcPr>
            <w:tcW w:w="1384" w:type="dxa"/>
          </w:tcPr>
          <w:p w14:paraId="02419826"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19.</w:t>
            </w:r>
          </w:p>
        </w:tc>
        <w:tc>
          <w:tcPr>
            <w:tcW w:w="7655" w:type="dxa"/>
          </w:tcPr>
          <w:p w14:paraId="2976A3A7" w14:textId="77777777" w:rsidR="007E1815" w:rsidRPr="009E3A86" w:rsidRDefault="007E1815" w:rsidP="00D819DE">
            <w:pPr>
              <w:spacing w:before="120" w:after="120" w:line="190" w:lineRule="exact"/>
              <w:rPr>
                <w:rFonts w:ascii="Times New Roman" w:hAnsi="Times New Roman"/>
                <w:sz w:val="24"/>
              </w:rPr>
            </w:pPr>
            <w:r w:rsidRPr="009E3A86">
              <w:rPr>
                <w:rFonts w:ascii="Times New Roman" w:hAnsi="Times New Roman"/>
                <w:b/>
                <w:sz w:val="24"/>
              </w:rPr>
              <w:t>Citas ienākošās naudas plūsmas</w:t>
            </w:r>
          </w:p>
          <w:p w14:paraId="47710836" w14:textId="77777777" w:rsidR="007E1815" w:rsidRPr="009E3A86" w:rsidRDefault="007E1815" w:rsidP="00D819DE">
            <w:pPr>
              <w:spacing w:after="120" w:line="278" w:lineRule="exact"/>
              <w:jc w:val="both"/>
              <w:rPr>
                <w:rFonts w:ascii="Times New Roman" w:hAnsi="Times New Roman" w:cs="Times New Roman"/>
                <w:sz w:val="24"/>
              </w:rPr>
            </w:pPr>
            <w:r w:rsidRPr="009E3A86">
              <w:rPr>
                <w:rFonts w:ascii="Times New Roman" w:hAnsi="Times New Roman"/>
                <w:sz w:val="24"/>
              </w:rPr>
              <w:t>Iestādes atklāj kā nesvērto vērtību un kā svērto vērtību šādu posteņu attiecīgi kopējo summu un ienākošo naudas plūsmu kopsummu:</w:t>
            </w:r>
          </w:p>
          <w:p w14:paraId="5654CF4D"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naudas līdzekļi, kuri pienākas no vērtspapīriem ar dzēšanas termiņu 30 kalendāro dienu laikā, kā paredzēts Komisijas Deleģētās regulas (ES) 2015/61 32. panta 2. punkta c) apakšpunktā; </w:t>
            </w:r>
          </w:p>
          <w:p w14:paraId="0EA1B0AA"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aizdevumi, kuriem nav līgumā noteikta konkrēta termiņa, kā paredzēts Komisijas Deleģētās regulas (ES) 2015/61 32. panta 3. punkta i) punktā;</w:t>
            </w:r>
          </w:p>
          <w:p w14:paraId="6C032E9D"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naudas līdzekļi, kuri pienākas no būtiska indeksa kapitāla vērtspapīru instrumentu pozīcijām, ar nosacījumu, ka tos neuzskaita divreiz – arī kā likvīdos aktīvus, kā paredzēts Komisijas Deleģētās regulas (ES) 2015/61 32. panta 2. punkta d) apakšpunktā. Šī pozīcija ietver naudas līdzekļus, kuri saskaņā ar līgumu pienākas 30 kalendāro dienu laikā, piemēram, dividendes skaidrā naudā no minētajiem būtiskiem indeksiem un naudas līdzekļus no minētajiem pašu kapitāla instrumentiem, kas ir pārdoti, bet par kuriem vēl nav veikts norēķins, ja tie netiek atzīti par likvīdiem aktīviem saskaņā ar Komisijas Deleģētās regulas (ES) 2015/61 II sadaļu;</w:t>
            </w:r>
          </w:p>
          <w:p w14:paraId="51203A77"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ienākošās naudas plūsmas no atsevišķos kontos turēto atlikumu atbrīvošanas saskaņā ar regulatīvajām prasībām par klientu tirdzniecībai paredzēto aktīvu aizsardzību, kā paredzēts Komisijas Deleģētās regulas (ES) 2015/61 32. panta 4. punktā. Ienākošās naudas plūsmas ņem vērā tikai tad, ja šie atsevišķie atlikumi tiek turēti likvīdos aktīvos, kā noteikts Komisijas Deleģētās regulas (ES) 2015/61 II sadaļā; </w:t>
            </w:r>
          </w:p>
          <w:p w14:paraId="5C6FC3C4"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lastRenderedPageBreak/>
              <w:t>ienākošās naudas plūsmas no atvasinātajiem instrumentiem, kā paredzēts Komisijas Deleģētās regulas (ES) 2015/61 32. panta 5. punktā saistībā ar 21. pantu;</w:t>
            </w:r>
          </w:p>
          <w:p w14:paraId="46B61C8E"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ienākošās naudas plūsmas no neizmantotām </w:t>
            </w:r>
            <w:proofErr w:type="spellStart"/>
            <w:r w:rsidRPr="009E3A86">
              <w:rPr>
                <w:rFonts w:ascii="Times New Roman" w:hAnsi="Times New Roman"/>
                <w:sz w:val="24"/>
              </w:rPr>
              <w:t>kredītiespējām</w:t>
            </w:r>
            <w:proofErr w:type="spellEnd"/>
            <w:r w:rsidRPr="009E3A86">
              <w:rPr>
                <w:rFonts w:ascii="Times New Roman" w:hAnsi="Times New Roman"/>
                <w:sz w:val="24"/>
              </w:rPr>
              <w:t xml:space="preserve"> vai likviditātes iespējām, ko sniedz grupas vai institucionālās aizsardzības shēmas locekļi, ja kompetentās iestādes ir piešķīrušas atļauju piemērot augstāku ienākošo naudas plūsmu likmi saskaņā ar Komisijas Deleģētās regulas (ES) 2015/61 34. pantu; </w:t>
            </w:r>
          </w:p>
          <w:p w14:paraId="53725212"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E3A86">
              <w:rPr>
                <w:rFonts w:ascii="Times New Roman" w:hAnsi="Times New Roman"/>
                <w:sz w:val="24"/>
              </w:rPr>
              <w:t xml:space="preserve">citas ienākošās naudas plūsmas atbilstoši Komisijas Deleģētās regulas (ES) 2015/61 32. panta 2. punktam. </w:t>
            </w:r>
          </w:p>
        </w:tc>
      </w:tr>
      <w:tr w:rsidR="007E1815" w:rsidRPr="009E3A86" w14:paraId="64E3E330" w14:textId="77777777" w:rsidTr="00D819DE">
        <w:trPr>
          <w:trHeight w:val="316"/>
        </w:trPr>
        <w:tc>
          <w:tcPr>
            <w:tcW w:w="1384" w:type="dxa"/>
          </w:tcPr>
          <w:p w14:paraId="581D75AD"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lastRenderedPageBreak/>
              <w:t>EU-19.a</w:t>
            </w:r>
          </w:p>
        </w:tc>
        <w:tc>
          <w:tcPr>
            <w:tcW w:w="7655" w:type="dxa"/>
          </w:tcPr>
          <w:p w14:paraId="7D38534C" w14:textId="77777777" w:rsidR="007E1815" w:rsidRPr="009E3A86" w:rsidRDefault="007E1815" w:rsidP="00D819DE">
            <w:pPr>
              <w:spacing w:before="120" w:after="120" w:line="278" w:lineRule="exact"/>
              <w:rPr>
                <w:rFonts w:ascii="Times New Roman" w:hAnsi="Times New Roman" w:cs="Times New Roman"/>
                <w:b/>
                <w:sz w:val="24"/>
              </w:rPr>
            </w:pPr>
            <w:r w:rsidRPr="009E3A86">
              <w:rPr>
                <w:rFonts w:ascii="Times New Roman" w:hAnsi="Times New Roman"/>
                <w:b/>
                <w:sz w:val="24"/>
              </w:rPr>
              <w:t xml:space="preserve">(Starpība starp kopējām svērtajām ienākošajām naudas plūsmām un kopējām svērtajām izejošajām naudas plūsmām, kas izriet no darījumiem trešās valstīs, kurās pastāv pārvedumu ierobežojumi, vai kas ir </w:t>
            </w:r>
            <w:proofErr w:type="spellStart"/>
            <w:r w:rsidRPr="009E3A86">
              <w:rPr>
                <w:rFonts w:ascii="Times New Roman" w:hAnsi="Times New Roman"/>
                <w:b/>
                <w:sz w:val="24"/>
              </w:rPr>
              <w:t>denominētas</w:t>
            </w:r>
            <w:proofErr w:type="spellEnd"/>
            <w:r w:rsidRPr="009E3A86">
              <w:rPr>
                <w:rFonts w:ascii="Times New Roman" w:hAnsi="Times New Roman"/>
                <w:b/>
                <w:sz w:val="24"/>
              </w:rPr>
              <w:t xml:space="preserve"> nekonvertējamās valūtās)</w:t>
            </w:r>
          </w:p>
          <w:p w14:paraId="74E08890" w14:textId="77777777" w:rsidR="007E1815" w:rsidRPr="009E3A86" w:rsidRDefault="007E1815" w:rsidP="00D819DE">
            <w:pPr>
              <w:spacing w:after="120" w:line="278" w:lineRule="exact"/>
              <w:jc w:val="both"/>
              <w:rPr>
                <w:rFonts w:ascii="Times New Roman" w:hAnsi="Times New Roman" w:cs="Times New Roman"/>
                <w:sz w:val="24"/>
              </w:rPr>
            </w:pPr>
            <w:r w:rsidRPr="009E3A86">
              <w:rPr>
                <w:rFonts w:ascii="Times New Roman" w:hAnsi="Times New Roman"/>
                <w:sz w:val="24"/>
              </w:rPr>
              <w:t>Kā paredzēts Komisijas Deleģētās regulas (ES) 2015/61 32. panta 8. punktā, iestādes atklāj kā svērto vērtību minēto svērto ienākošo naudas plūsmu pārpalikumu attiecībā pret minētajām izejošajām naudas plūsmām.</w:t>
            </w:r>
          </w:p>
        </w:tc>
      </w:tr>
      <w:tr w:rsidR="007E1815" w:rsidRPr="009E3A86" w14:paraId="2E7E87F2" w14:textId="77777777" w:rsidTr="00D819DE">
        <w:trPr>
          <w:trHeight w:val="316"/>
        </w:trPr>
        <w:tc>
          <w:tcPr>
            <w:tcW w:w="1384" w:type="dxa"/>
          </w:tcPr>
          <w:p w14:paraId="158F916A"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EU-19.b</w:t>
            </w:r>
          </w:p>
        </w:tc>
        <w:tc>
          <w:tcPr>
            <w:tcW w:w="7655" w:type="dxa"/>
          </w:tcPr>
          <w:p w14:paraId="3FCA5557" w14:textId="77777777" w:rsidR="007E1815" w:rsidRPr="009E3A86" w:rsidRDefault="007E1815" w:rsidP="00D819DE">
            <w:pPr>
              <w:spacing w:before="120" w:after="120" w:line="190" w:lineRule="exact"/>
              <w:jc w:val="both"/>
              <w:rPr>
                <w:rFonts w:ascii="Times New Roman" w:hAnsi="Times New Roman" w:cs="Times New Roman"/>
                <w:b/>
                <w:sz w:val="24"/>
              </w:rPr>
            </w:pPr>
            <w:r w:rsidRPr="009E3A86">
              <w:rPr>
                <w:rFonts w:ascii="Times New Roman" w:hAnsi="Times New Roman"/>
                <w:b/>
                <w:sz w:val="24"/>
              </w:rPr>
              <w:t>(No saistītas specializētas kredītiestādes izrietošu ienākošo naudas plūsmu pārsniegums)</w:t>
            </w:r>
          </w:p>
          <w:p w14:paraId="5038CF89" w14:textId="45416A12"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Kā paredzēts Komisijas Deleģētās regulas (ES) 2015/61 2. panta 3. punkta e)</w:t>
            </w:r>
            <w:r w:rsidR="009E3A86" w:rsidRPr="009E3A86">
              <w:rPr>
                <w:rFonts w:ascii="Times New Roman" w:hAnsi="Times New Roman"/>
                <w:sz w:val="24"/>
              </w:rPr>
              <w:t> </w:t>
            </w:r>
            <w:r w:rsidRPr="009E3A86">
              <w:rPr>
                <w:rFonts w:ascii="Times New Roman" w:hAnsi="Times New Roman"/>
                <w:sz w:val="24"/>
              </w:rPr>
              <w:t>apakšpunktā un 33. panta 6. punktā, kredītiestādes konsolidētas informācijas atklāšanas nolūkos atklāj kā svērto vērtību ienākošās naudas plūsmas, kas izriet no saistītas specializētas kredītiestādes, kā minēts Komisijas Deleģētās regulas (ES) 2015/61 33. panta 3. un 4. punktā, un kas pārsniedz no tā paša uzņēmuma izrietošo izejošo naudas plūsmu summu.</w:t>
            </w:r>
          </w:p>
        </w:tc>
      </w:tr>
      <w:tr w:rsidR="007E1815" w:rsidRPr="009E3A86" w14:paraId="707030E1" w14:textId="77777777" w:rsidTr="00D819DE">
        <w:trPr>
          <w:trHeight w:val="316"/>
        </w:trPr>
        <w:tc>
          <w:tcPr>
            <w:tcW w:w="1384" w:type="dxa"/>
          </w:tcPr>
          <w:p w14:paraId="47322C33"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20.</w:t>
            </w:r>
          </w:p>
        </w:tc>
        <w:tc>
          <w:tcPr>
            <w:tcW w:w="7655" w:type="dxa"/>
          </w:tcPr>
          <w:p w14:paraId="6AD67FD5" w14:textId="77777777" w:rsidR="007E1815" w:rsidRPr="009E3A86" w:rsidRDefault="007E1815" w:rsidP="00D819DE">
            <w:pPr>
              <w:spacing w:before="120" w:after="120" w:line="190" w:lineRule="exact"/>
              <w:rPr>
                <w:rFonts w:ascii="Times New Roman" w:hAnsi="Times New Roman" w:cs="Times New Roman"/>
                <w:b/>
                <w:sz w:val="24"/>
              </w:rPr>
            </w:pPr>
            <w:r w:rsidRPr="009E3A86">
              <w:rPr>
                <w:rFonts w:ascii="Times New Roman" w:hAnsi="Times New Roman"/>
                <w:b/>
                <w:sz w:val="24"/>
              </w:rPr>
              <w:t>IENĀKOŠĀS NAUDAS PLŪSMAS KOPĀ</w:t>
            </w:r>
          </w:p>
          <w:p w14:paraId="41F31061" w14:textId="77777777" w:rsidR="007E1815" w:rsidRPr="009E3A86" w:rsidRDefault="007E1815" w:rsidP="00D819DE">
            <w:pPr>
              <w:spacing w:after="120" w:line="288" w:lineRule="exact"/>
              <w:rPr>
                <w:rFonts w:ascii="Times New Roman" w:hAnsi="Times New Roman" w:cs="Times New Roman"/>
                <w:sz w:val="24"/>
              </w:rPr>
            </w:pPr>
            <w:r w:rsidRPr="009E3A86">
              <w:rPr>
                <w:rFonts w:ascii="Times New Roman" w:hAnsi="Times New Roman"/>
                <w:sz w:val="24"/>
              </w:rPr>
              <w:t>Iestādes atklāj to nesvērto un svērto vērtību kopsummu, kas prasītas šādās šo norādījumu rindās:</w:t>
            </w:r>
          </w:p>
          <w:p w14:paraId="24C838C6"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šīs veidnes 17. rinda: nodrošināti aizdevumi (piem., aktīvu pirkšana ar </w:t>
            </w:r>
            <w:proofErr w:type="spellStart"/>
            <w:r w:rsidRPr="009E3A86">
              <w:rPr>
                <w:rFonts w:ascii="Times New Roman" w:hAnsi="Times New Roman"/>
                <w:sz w:val="24"/>
              </w:rPr>
              <w:t>atpārdošanu</w:t>
            </w:r>
            <w:proofErr w:type="spellEnd"/>
            <w:r w:rsidRPr="009E3A86">
              <w:rPr>
                <w:rFonts w:ascii="Times New Roman" w:hAnsi="Times New Roman"/>
                <w:sz w:val="24"/>
              </w:rPr>
              <w:t>);</w:t>
            </w:r>
          </w:p>
          <w:p w14:paraId="3036CE1C"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šīs veidnes 18. rinda: ienākošās naudas plūsmas no pilnībā ienākumus nesošiem riska darījumiem;</w:t>
            </w:r>
          </w:p>
          <w:p w14:paraId="418DDB45"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šīs veidnes 19. rinda: citas ienākošās naudas plūsmas;</w:t>
            </w:r>
          </w:p>
          <w:p w14:paraId="7A21AA66"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atskaitot:</w:t>
            </w:r>
          </w:p>
          <w:p w14:paraId="7892FE11"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 xml:space="preserve">šīs veidnes EU-19.a rindu: (Starpība starp kopējām svērtajām ienākošajām naudas plūsmām un kopējām svērtajām izejošajām naudas plūsmām, kas izriet no darījumiem trešās valstīs, kurās pastāv pārvedumu ierobežojumi, vai kas ir </w:t>
            </w:r>
            <w:proofErr w:type="spellStart"/>
            <w:r w:rsidRPr="009E3A86">
              <w:rPr>
                <w:rFonts w:ascii="Times New Roman" w:hAnsi="Times New Roman"/>
                <w:sz w:val="24"/>
              </w:rPr>
              <w:t>denominētas</w:t>
            </w:r>
            <w:proofErr w:type="spellEnd"/>
            <w:r w:rsidRPr="009E3A86">
              <w:rPr>
                <w:rFonts w:ascii="Times New Roman" w:hAnsi="Times New Roman"/>
                <w:sz w:val="24"/>
              </w:rPr>
              <w:t xml:space="preserve"> nekonvertējamās valūtās);</w:t>
            </w:r>
          </w:p>
          <w:p w14:paraId="3A29CB7C" w14:textId="77777777" w:rsidR="007E1815" w:rsidRPr="009E3A86"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E3A86">
              <w:rPr>
                <w:rFonts w:ascii="Times New Roman" w:hAnsi="Times New Roman"/>
                <w:sz w:val="24"/>
              </w:rPr>
              <w:t>šīs veidnes EU-19.b rindu: (No saistītas specializētas kredītiestādes izrietošu ienākošo naudas plūsmu pārsniegums).</w:t>
            </w:r>
          </w:p>
        </w:tc>
      </w:tr>
      <w:tr w:rsidR="007E1815" w:rsidRPr="009E3A86" w14:paraId="69EE9490" w14:textId="77777777" w:rsidTr="00D819DE">
        <w:trPr>
          <w:trHeight w:val="316"/>
        </w:trPr>
        <w:tc>
          <w:tcPr>
            <w:tcW w:w="1384" w:type="dxa"/>
          </w:tcPr>
          <w:p w14:paraId="1B1029F7"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EU-20.a</w:t>
            </w:r>
          </w:p>
        </w:tc>
        <w:tc>
          <w:tcPr>
            <w:tcW w:w="7655" w:type="dxa"/>
          </w:tcPr>
          <w:p w14:paraId="5626B6E1" w14:textId="77777777" w:rsidR="007E1815" w:rsidRPr="009E3A86" w:rsidRDefault="007E1815" w:rsidP="00D819DE">
            <w:pPr>
              <w:spacing w:before="120" w:after="120" w:line="190" w:lineRule="exact"/>
              <w:rPr>
                <w:rFonts w:ascii="Times New Roman" w:hAnsi="Times New Roman" w:cs="Times New Roman"/>
                <w:b/>
                <w:sz w:val="24"/>
              </w:rPr>
            </w:pPr>
            <w:r w:rsidRPr="009E3A86">
              <w:rPr>
                <w:rFonts w:ascii="Times New Roman" w:hAnsi="Times New Roman"/>
                <w:b/>
                <w:sz w:val="24"/>
              </w:rPr>
              <w:t>Pilnībā atbrīvotās ienākošās naudas plūsmas</w:t>
            </w:r>
          </w:p>
          <w:p w14:paraId="2642C0E3" w14:textId="77777777" w:rsidR="007E1815" w:rsidRPr="009E3A86" w:rsidRDefault="007E1815" w:rsidP="00D819DE">
            <w:pPr>
              <w:spacing w:after="120"/>
              <w:jc w:val="both"/>
              <w:rPr>
                <w:rFonts w:ascii="Times New Roman" w:hAnsi="Times New Roman" w:cs="Times New Roman"/>
                <w:b/>
                <w:sz w:val="24"/>
              </w:rPr>
            </w:pPr>
            <w:r w:rsidRPr="009E3A86">
              <w:rPr>
                <w:rFonts w:ascii="Times New Roman" w:hAnsi="Times New Roman"/>
                <w:sz w:val="24"/>
              </w:rPr>
              <w:t xml:space="preserve">Iestādes atklāj kā nesvērto vērtību un kā svērto vērtību attiecīgi to aktīvu / saņemamo naudas līdzekļu / maksimālās summas, ko var izņemt, kopsummu un to attiecīgās kopējās ienākošās naudas plūsmas, kuri ir atbrīvoti no </w:t>
            </w:r>
            <w:r w:rsidRPr="009E3A86">
              <w:rPr>
                <w:rFonts w:ascii="Times New Roman" w:hAnsi="Times New Roman"/>
                <w:sz w:val="24"/>
              </w:rPr>
              <w:lastRenderedPageBreak/>
              <w:t>ienākošo naudas plūsmu maksimālās robežvērtības piemērošanas saskaņā ar Komisijas Deleģētās regulas (ES) 2015/61 32., 33. un 34. pantu.</w:t>
            </w:r>
          </w:p>
        </w:tc>
      </w:tr>
      <w:tr w:rsidR="007E1815" w:rsidRPr="009E3A86" w14:paraId="00E79BE0" w14:textId="77777777" w:rsidTr="00D819DE">
        <w:trPr>
          <w:trHeight w:val="316"/>
        </w:trPr>
        <w:tc>
          <w:tcPr>
            <w:tcW w:w="1384" w:type="dxa"/>
          </w:tcPr>
          <w:p w14:paraId="00C638D3"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lastRenderedPageBreak/>
              <w:t>EU-20.b</w:t>
            </w:r>
          </w:p>
        </w:tc>
        <w:tc>
          <w:tcPr>
            <w:tcW w:w="7655" w:type="dxa"/>
          </w:tcPr>
          <w:p w14:paraId="4F7EA854" w14:textId="77777777" w:rsidR="007E1815" w:rsidRPr="009E3A86" w:rsidRDefault="007E1815" w:rsidP="00D819DE">
            <w:pPr>
              <w:spacing w:before="120" w:after="120" w:line="190" w:lineRule="exact"/>
              <w:rPr>
                <w:rFonts w:ascii="Times New Roman" w:hAnsi="Times New Roman" w:cs="Times New Roman"/>
                <w:b/>
                <w:sz w:val="24"/>
              </w:rPr>
            </w:pPr>
            <w:r w:rsidRPr="009E3A86">
              <w:rPr>
                <w:rFonts w:ascii="Times New Roman" w:hAnsi="Times New Roman"/>
                <w:b/>
                <w:sz w:val="24"/>
              </w:rPr>
              <w:t>Ienākošās naudas plūsmas, kurām piemēro maksimālo robežvērtību 90 %</w:t>
            </w:r>
          </w:p>
          <w:p w14:paraId="490C88C4" w14:textId="77777777" w:rsidR="007E1815" w:rsidRPr="009E3A86" w:rsidRDefault="007E1815" w:rsidP="00D819DE">
            <w:pPr>
              <w:spacing w:after="120"/>
              <w:jc w:val="both"/>
              <w:rPr>
                <w:rFonts w:ascii="Times New Roman" w:hAnsi="Times New Roman" w:cs="Times New Roman"/>
                <w:b/>
                <w:sz w:val="24"/>
              </w:rPr>
            </w:pPr>
            <w:r w:rsidRPr="009E3A86">
              <w:rPr>
                <w:rFonts w:ascii="Times New Roman" w:hAnsi="Times New Roman"/>
                <w:sz w:val="24"/>
              </w:rPr>
              <w:t>Iestādes atklāj kā nesvērto vērtību un kā svērto vērtību attiecīgi to aktīvu / saņemamo naudas līdzekļu / maksimālās summas, ko var izņemt, kopsummu un to attiecīgās kopējās ienākošās naudas plūsmas, kuriem piemēro maksimālo robežvērtību 90 % saskaņā ar Komisijas Deleģētās regulas (ES) 2015/61 32., 33. un 34. pantu.</w:t>
            </w:r>
          </w:p>
        </w:tc>
      </w:tr>
      <w:tr w:rsidR="007E1815" w:rsidRPr="009E3A86" w14:paraId="7677F56D" w14:textId="77777777" w:rsidTr="00D819DE">
        <w:trPr>
          <w:trHeight w:val="316"/>
        </w:trPr>
        <w:tc>
          <w:tcPr>
            <w:tcW w:w="1384" w:type="dxa"/>
          </w:tcPr>
          <w:p w14:paraId="50539D97"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EU-20.c</w:t>
            </w:r>
          </w:p>
        </w:tc>
        <w:tc>
          <w:tcPr>
            <w:tcW w:w="7655" w:type="dxa"/>
          </w:tcPr>
          <w:p w14:paraId="32D1930F" w14:textId="77777777" w:rsidR="007E1815" w:rsidRPr="009E3A86" w:rsidRDefault="007E1815" w:rsidP="00D819DE">
            <w:pPr>
              <w:spacing w:before="120" w:after="120" w:line="190" w:lineRule="exact"/>
              <w:rPr>
                <w:rFonts w:ascii="Times New Roman" w:hAnsi="Times New Roman" w:cs="Times New Roman"/>
                <w:b/>
                <w:sz w:val="24"/>
              </w:rPr>
            </w:pPr>
            <w:r w:rsidRPr="009E3A86">
              <w:rPr>
                <w:rFonts w:ascii="Times New Roman" w:hAnsi="Times New Roman"/>
                <w:b/>
                <w:sz w:val="24"/>
              </w:rPr>
              <w:t>Ienākošās naudas plūsmas, kurām piemēro maksimālo robežvērtību 75 %</w:t>
            </w:r>
          </w:p>
          <w:p w14:paraId="2D03664A" w14:textId="77777777" w:rsidR="007E1815" w:rsidRPr="009E3A86" w:rsidRDefault="007E1815" w:rsidP="00D819DE">
            <w:pPr>
              <w:spacing w:after="120" w:line="288" w:lineRule="exact"/>
              <w:jc w:val="both"/>
              <w:rPr>
                <w:rFonts w:ascii="Times New Roman" w:hAnsi="Times New Roman" w:cs="Times New Roman"/>
                <w:b/>
                <w:sz w:val="24"/>
              </w:rPr>
            </w:pPr>
            <w:r w:rsidRPr="009E3A86">
              <w:rPr>
                <w:rFonts w:ascii="Times New Roman" w:hAnsi="Times New Roman"/>
                <w:sz w:val="24"/>
              </w:rPr>
              <w:t>Iestādes atklāj kā nesvērto vērtību un kā svērto vērtību attiecīgi to aktīvu / saņemamo naudas līdzekļu / maksimālās summas, ko var izņemt, kopsummu un to attiecīgās kopējās ienākošās naudas plūsmas, kuriem piemēro maksimālo robežvērtību 75 % saskaņā ar Komisijas Deleģētās regulas (ES) 2015/61 32., 33. un 34. pantu.</w:t>
            </w:r>
          </w:p>
        </w:tc>
      </w:tr>
      <w:tr w:rsidR="007E1815" w:rsidRPr="009E3A86" w14:paraId="520F14A1" w14:textId="77777777" w:rsidTr="00D819DE">
        <w:trPr>
          <w:trHeight w:val="316"/>
        </w:trPr>
        <w:tc>
          <w:tcPr>
            <w:tcW w:w="1384" w:type="dxa"/>
          </w:tcPr>
          <w:p w14:paraId="730F60EA"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EU-21.</w:t>
            </w:r>
          </w:p>
        </w:tc>
        <w:tc>
          <w:tcPr>
            <w:tcW w:w="7655" w:type="dxa"/>
          </w:tcPr>
          <w:p w14:paraId="3005D6D6" w14:textId="77777777" w:rsidR="007E1815" w:rsidRPr="009E3A86" w:rsidRDefault="007E1815" w:rsidP="00D819DE">
            <w:pPr>
              <w:spacing w:before="120" w:after="120" w:line="190" w:lineRule="exact"/>
              <w:rPr>
                <w:rFonts w:ascii="Times New Roman" w:hAnsi="Times New Roman"/>
                <w:sz w:val="24"/>
              </w:rPr>
            </w:pPr>
            <w:r w:rsidRPr="009E3A86">
              <w:rPr>
                <w:rFonts w:ascii="Times New Roman" w:hAnsi="Times New Roman"/>
                <w:b/>
                <w:sz w:val="24"/>
              </w:rPr>
              <w:t>LIKVIDITĀTES REZERVES</w:t>
            </w:r>
          </w:p>
          <w:p w14:paraId="6B0FA3E2" w14:textId="77777777" w:rsidR="007E1815" w:rsidRPr="009E3A86" w:rsidRDefault="007E1815" w:rsidP="00D819DE">
            <w:pPr>
              <w:autoSpaceDE w:val="0"/>
              <w:autoSpaceDN w:val="0"/>
              <w:adjustRightInd w:val="0"/>
              <w:spacing w:after="120"/>
              <w:jc w:val="both"/>
              <w:rPr>
                <w:rFonts w:ascii="Times New Roman" w:hAnsi="Times New Roman" w:cs="Times New Roman"/>
                <w:b/>
                <w:sz w:val="24"/>
              </w:rPr>
            </w:pPr>
            <w:r w:rsidRPr="009E3A86">
              <w:rPr>
                <w:rFonts w:ascii="Times New Roman" w:hAnsi="Times New Roman"/>
                <w:sz w:val="24"/>
              </w:rPr>
              <w:t>Iestādes atklāj kā koriģēto vērtību to iestādes likviditātes rezervju vērtību, kuras aprēķinātas saskaņā ar Komisijas Deleģētās regulas (ES) 2015/61 I pielikumu “Formulas likviditātes rezervju sastāva noteikšanai”.</w:t>
            </w:r>
          </w:p>
        </w:tc>
      </w:tr>
      <w:tr w:rsidR="007E1815" w:rsidRPr="009E3A86" w14:paraId="1BE8238A" w14:textId="77777777" w:rsidTr="00D819DE">
        <w:trPr>
          <w:trHeight w:val="316"/>
        </w:trPr>
        <w:tc>
          <w:tcPr>
            <w:tcW w:w="1384" w:type="dxa"/>
          </w:tcPr>
          <w:p w14:paraId="27974453"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22.</w:t>
            </w:r>
          </w:p>
        </w:tc>
        <w:tc>
          <w:tcPr>
            <w:tcW w:w="7655" w:type="dxa"/>
          </w:tcPr>
          <w:p w14:paraId="7124E3D7" w14:textId="77777777" w:rsidR="007E1815" w:rsidRPr="009E3A86" w:rsidRDefault="007E1815" w:rsidP="00D819DE">
            <w:pPr>
              <w:spacing w:before="120" w:after="120" w:line="190" w:lineRule="exact"/>
              <w:rPr>
                <w:rFonts w:ascii="Times New Roman" w:hAnsi="Times New Roman"/>
                <w:sz w:val="24"/>
              </w:rPr>
            </w:pPr>
            <w:r w:rsidRPr="009E3A86">
              <w:rPr>
                <w:rFonts w:ascii="Times New Roman" w:hAnsi="Times New Roman"/>
                <w:b/>
                <w:sz w:val="24"/>
              </w:rPr>
              <w:t>IZEJOŠĀS NETO NAUDAS PLŪSMAS KOPĀ</w:t>
            </w:r>
          </w:p>
          <w:p w14:paraId="2F459815"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Iestādes atklāj kā koriģēto vērtību neto likviditātes izejošo plūsmu, kas vienāda ar kopējo izejošo plūsmu, atskaitot samazinājumu par pilnībā atbrīvotajām ienākošajām plūsmām, atskaitot samazinājumu par ienākošajām plūsmām, kam piemēro 90 % maksimālo robežvērtību, un atskaitot samazinājumu par ienākošajām plūsmām, kam piemēro 75 % maksimālo robežvērtību.</w:t>
            </w:r>
          </w:p>
        </w:tc>
      </w:tr>
      <w:tr w:rsidR="007E1815" w:rsidRPr="009E3A86" w14:paraId="2D61E9FD" w14:textId="77777777" w:rsidTr="00D819DE">
        <w:trPr>
          <w:trHeight w:val="316"/>
        </w:trPr>
        <w:tc>
          <w:tcPr>
            <w:tcW w:w="1384" w:type="dxa"/>
          </w:tcPr>
          <w:p w14:paraId="33A82AAB" w14:textId="77777777" w:rsidR="007E1815" w:rsidRPr="009E3A86" w:rsidRDefault="007E1815" w:rsidP="00D819DE">
            <w:pPr>
              <w:autoSpaceDE w:val="0"/>
              <w:autoSpaceDN w:val="0"/>
              <w:adjustRightInd w:val="0"/>
              <w:spacing w:after="120"/>
              <w:jc w:val="center"/>
              <w:rPr>
                <w:rFonts w:ascii="Times New Roman" w:eastAsia="Times New Roman" w:hAnsi="Times New Roman" w:cs="Times New Roman"/>
                <w:sz w:val="24"/>
              </w:rPr>
            </w:pPr>
            <w:r w:rsidRPr="009E3A86">
              <w:rPr>
                <w:rFonts w:ascii="Times New Roman" w:hAnsi="Times New Roman"/>
                <w:sz w:val="24"/>
              </w:rPr>
              <w:t>23.</w:t>
            </w:r>
          </w:p>
        </w:tc>
        <w:tc>
          <w:tcPr>
            <w:tcW w:w="7655" w:type="dxa"/>
          </w:tcPr>
          <w:p w14:paraId="5579AB2D" w14:textId="77777777" w:rsidR="007E1815" w:rsidRPr="009E3A86" w:rsidRDefault="007E1815" w:rsidP="00D819DE">
            <w:pPr>
              <w:autoSpaceDE w:val="0"/>
              <w:autoSpaceDN w:val="0"/>
              <w:adjustRightInd w:val="0"/>
              <w:spacing w:before="120" w:after="120"/>
              <w:jc w:val="both"/>
              <w:rPr>
                <w:rFonts w:ascii="Times New Roman" w:hAnsi="Times New Roman"/>
                <w:sz w:val="24"/>
              </w:rPr>
            </w:pPr>
            <w:r w:rsidRPr="009E3A86">
              <w:rPr>
                <w:rFonts w:ascii="Times New Roman" w:hAnsi="Times New Roman"/>
                <w:b/>
                <w:sz w:val="24"/>
              </w:rPr>
              <w:t>LIKVIDITĀTES SEGUMA RĀDĪTĀJS (%)</w:t>
            </w:r>
          </w:p>
          <w:p w14:paraId="37A8BB02"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Iestādes atklāj kā koriģēto vērtību Komisijas Deleģētās regulas (ES) 2015/61 4. panta 1. punktā definētā posteņa “Likviditātes seguma rādītājs (%)” procentuālo daļu.</w:t>
            </w:r>
          </w:p>
          <w:p w14:paraId="5F1B1783" w14:textId="77777777" w:rsidR="007E1815" w:rsidRPr="009E3A86" w:rsidRDefault="007E1815" w:rsidP="00D819DE">
            <w:pPr>
              <w:autoSpaceDE w:val="0"/>
              <w:autoSpaceDN w:val="0"/>
              <w:adjustRightInd w:val="0"/>
              <w:spacing w:after="120"/>
              <w:jc w:val="both"/>
              <w:rPr>
                <w:rFonts w:ascii="Times New Roman" w:hAnsi="Times New Roman" w:cs="Times New Roman"/>
                <w:sz w:val="24"/>
              </w:rPr>
            </w:pPr>
            <w:r w:rsidRPr="009E3A86">
              <w:rPr>
                <w:rFonts w:ascii="Times New Roman" w:hAnsi="Times New Roman"/>
                <w:sz w:val="24"/>
              </w:rPr>
              <w:t>Likviditātes seguma rādītājs ir vienāds ar kredītiestādes likviditātes rezervju attiecību pret tās neto likviditātes izejošajām naudas plūsmām 30 kalendāro dienu spriedzes periodā, un to izsaka procentos.</w:t>
            </w:r>
          </w:p>
        </w:tc>
      </w:tr>
    </w:tbl>
    <w:p w14:paraId="205A49E2" w14:textId="77777777" w:rsidR="007E1815" w:rsidRPr="009E3A86" w:rsidRDefault="007E1815" w:rsidP="007E1815">
      <w:pPr>
        <w:rPr>
          <w:rFonts w:ascii="Times New Roman" w:hAnsi="Times New Roman" w:cs="Times New Roman"/>
          <w:sz w:val="24"/>
        </w:rPr>
      </w:pPr>
    </w:p>
    <w:p w14:paraId="42D114B4" w14:textId="77777777" w:rsidR="007E1815" w:rsidRPr="009E3A86" w:rsidRDefault="007E1815" w:rsidP="007E1815">
      <w:pPr>
        <w:pStyle w:val="Titlelevel2"/>
        <w:spacing w:before="120" w:after="120"/>
        <w:rPr>
          <w:rFonts w:ascii="Times New Roman" w:hAnsi="Times New Roman"/>
          <w:b/>
          <w:color w:val="auto"/>
          <w:sz w:val="24"/>
        </w:rPr>
      </w:pPr>
      <w:r w:rsidRPr="009E3A86">
        <w:rPr>
          <w:rFonts w:ascii="Times New Roman" w:hAnsi="Times New Roman"/>
          <w:b/>
          <w:color w:val="auto"/>
          <w:sz w:val="24"/>
        </w:rPr>
        <w:t xml:space="preserve">Tabula EU LIQB, kas attiecas uz kvalitatīvo informāciju par likviditātes seguma rādītāju un kas papildina veidni EU LIQ1. </w:t>
      </w:r>
    </w:p>
    <w:p w14:paraId="6A1420AB"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Iestādes, uz kurām attiecas </w:t>
      </w:r>
      <w:r w:rsidRPr="009E3A86">
        <w:rPr>
          <w:rFonts w:ascii="Times New Roman" w:hAnsi="Times New Roman"/>
          <w:i/>
          <w:sz w:val="24"/>
        </w:rPr>
        <w:t>CRR</w:t>
      </w:r>
      <w:r w:rsidRPr="009E3A86">
        <w:rPr>
          <w:rFonts w:ascii="Times New Roman" w:hAnsi="Times New Roman"/>
          <w:sz w:val="24"/>
        </w:rPr>
        <w:t xml:space="preserve"> sestā daļa, atklāj </w:t>
      </w:r>
      <w:r w:rsidRPr="009E3A86">
        <w:rPr>
          <w:rFonts w:ascii="Times New Roman" w:hAnsi="Times New Roman"/>
          <w:i/>
          <w:sz w:val="24"/>
        </w:rPr>
        <w:t>CRR</w:t>
      </w:r>
      <w:r w:rsidRPr="009E3A86">
        <w:rPr>
          <w:rFonts w:ascii="Times New Roman" w:hAnsi="Times New Roman"/>
          <w:sz w:val="24"/>
        </w:rPr>
        <w:t xml:space="preserve"> 451.a panta 2. punktā minēto informāciju, ievērojot norādījumus, kas sniegti turpmāk šajā pielikumā, lai aizpildītu tabulu EU LIQB, kura ietverta šīs īstenošanas regulas XIII pielikumā.</w:t>
      </w:r>
    </w:p>
    <w:p w14:paraId="213633D0"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Tabulā EU LIQB sniedz kvalitatīvu informāciju par posteņiem, kas iekļauti veidnē EU LIQ1 attiecībā uz kvantitatīvo informāciju par likviditātes seguma rādītāju.</w:t>
      </w:r>
    </w:p>
    <w:p w14:paraId="376E776C"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lastRenderedPageBreak/>
        <w:t xml:space="preserve">Iestādes, uz kurām attiecas </w:t>
      </w:r>
      <w:r w:rsidRPr="009E3A86">
        <w:rPr>
          <w:rFonts w:ascii="Times New Roman" w:hAnsi="Times New Roman"/>
          <w:i/>
          <w:sz w:val="24"/>
        </w:rPr>
        <w:t>CRR</w:t>
      </w:r>
      <w:r w:rsidRPr="009E3A86">
        <w:rPr>
          <w:rFonts w:ascii="Times New Roman" w:hAnsi="Times New Roman"/>
          <w:sz w:val="24"/>
        </w:rPr>
        <w:t xml:space="preserve"> sestā daļa, šajā tabulā ietvertos teksta lodziņus uzskata par brīva teksta lodziņiem un veidnes posteņus, ja iespējams, atklāj atbilstoši tam, kā tie tiek ņemti vērā, nosakot likviditātes seguma rādītāju saskaņā ar Komisijas Deleģēto regulu (ES) 2015/61 un papildu likviditātes novērtēšanas rīkus, kā noteikts Komisijas Īstenošanas regulas (ES) Nr. 680/2014</w:t>
      </w:r>
      <w:r w:rsidRPr="009E3A86">
        <w:rPr>
          <w:rStyle w:val="FootnoteReference"/>
          <w:rFonts w:ascii="Times New Roman" w:hAnsi="Times New Roman" w:cs="Times New Roman"/>
          <w:sz w:val="24"/>
        </w:rPr>
        <w:footnoteReference w:id="6"/>
      </w:r>
      <w:r w:rsidRPr="009E3A86">
        <w:rPr>
          <w:rFonts w:ascii="Times New Roman" w:hAnsi="Times New Roman"/>
          <w:sz w:val="24"/>
        </w:rPr>
        <w:t xml:space="preserve"> 7.b nodaļā.</w:t>
      </w:r>
    </w:p>
    <w:p w14:paraId="23E8414E" w14:textId="77777777" w:rsidR="007E1815" w:rsidRPr="009E3A86" w:rsidRDefault="007E1815" w:rsidP="007E1815">
      <w:pPr>
        <w:pStyle w:val="ListNumber"/>
        <w:numPr>
          <w:ilvl w:val="0"/>
          <w:numId w:val="0"/>
        </w:numPr>
        <w:ind w:left="357" w:hanging="357"/>
        <w:jc w:val="both"/>
        <w:rPr>
          <w:rFonts w:ascii="Times New Roman" w:hAnsi="Times New Roman"/>
          <w:b/>
          <w:sz w:val="24"/>
        </w:rPr>
      </w:pPr>
      <w:r w:rsidRPr="009E3A86">
        <w:rPr>
          <w:rFonts w:ascii="Times New Roman" w:hAnsi="Times New Roman"/>
          <w:b/>
          <w:sz w:val="24"/>
        </w:rPr>
        <w:t>Norādījumi par veidni EU LIQ2, kurā atklāj informāciju par neto stabila finansējuma rādītāju (NSFR)</w:t>
      </w:r>
    </w:p>
    <w:p w14:paraId="201E035D"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Iestādes, uz kurām attiecas </w:t>
      </w:r>
      <w:r w:rsidRPr="009E3A86">
        <w:rPr>
          <w:rFonts w:ascii="Times New Roman" w:hAnsi="Times New Roman"/>
          <w:i/>
          <w:sz w:val="24"/>
        </w:rPr>
        <w:t>CRR</w:t>
      </w:r>
      <w:r w:rsidRPr="009E3A86">
        <w:rPr>
          <w:rFonts w:ascii="Times New Roman" w:hAnsi="Times New Roman"/>
          <w:sz w:val="24"/>
        </w:rPr>
        <w:t xml:space="preserve"> sestā daļa, atklāj veidnē EU LIQ2 ietverto informāciju, piemērojot </w:t>
      </w:r>
      <w:r w:rsidRPr="009E3A86">
        <w:rPr>
          <w:rFonts w:ascii="Times New Roman" w:hAnsi="Times New Roman"/>
          <w:i/>
          <w:sz w:val="24"/>
        </w:rPr>
        <w:t>CRR</w:t>
      </w:r>
      <w:r w:rsidRPr="009E3A86">
        <w:rPr>
          <w:rFonts w:ascii="Times New Roman" w:hAnsi="Times New Roman"/>
          <w:sz w:val="24"/>
        </w:rPr>
        <w:t xml:space="preserve"> 451.a panta 3. punktu, saskaņā ar šajā pielikumā ietvertajiem norādījumiem. Atklāj ceturkšņa beigu skaitļus par katru attiecīgā informācijas atklāšanas perioda ceturksni. Piemēram, attiecībā uz reizi gadā atklājamo informāciju tas ietver četras datu kopas, kas aptver pēdējo un trīs iepriekšējos ceturkšņus. </w:t>
      </w:r>
    </w:p>
    <w:p w14:paraId="3A73B8D7"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Veidnē EU LIQ2 prasītajā informācijā iekļauj visus aktīvu, saistību un ārpusbilances posteņus neatkarīgi no valūtas, kādā tie </w:t>
      </w:r>
      <w:proofErr w:type="spellStart"/>
      <w:r w:rsidRPr="009E3A86">
        <w:rPr>
          <w:rFonts w:ascii="Times New Roman" w:hAnsi="Times New Roman"/>
          <w:sz w:val="24"/>
        </w:rPr>
        <w:t>denominēti</w:t>
      </w:r>
      <w:proofErr w:type="spellEnd"/>
      <w:r w:rsidRPr="009E3A86">
        <w:rPr>
          <w:rFonts w:ascii="Times New Roman" w:hAnsi="Times New Roman"/>
          <w:sz w:val="24"/>
        </w:rPr>
        <w:t xml:space="preserve">, un tos norāda pārskata sniegšanas valūtā, kas definēta </w:t>
      </w:r>
      <w:r w:rsidRPr="009E3A86">
        <w:rPr>
          <w:rFonts w:ascii="Times New Roman" w:hAnsi="Times New Roman"/>
          <w:i/>
          <w:sz w:val="24"/>
        </w:rPr>
        <w:t>CRR</w:t>
      </w:r>
      <w:r w:rsidRPr="009E3A86">
        <w:rPr>
          <w:rFonts w:ascii="Times New Roman" w:hAnsi="Times New Roman"/>
          <w:sz w:val="24"/>
        </w:rPr>
        <w:t xml:space="preserve"> 411. panta 15. punktā.</w:t>
      </w:r>
    </w:p>
    <w:p w14:paraId="0486D079"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Lai izvairītos no dubultas uzskaites, iestādes neatklāj aktīvus vai saistības, kas saistīti ar nodrošinājumu, kurš iesniegts vai saņemts kā mainīgā drošības rezerve saskaņā ar </w:t>
      </w:r>
      <w:r w:rsidRPr="009E3A86">
        <w:rPr>
          <w:rFonts w:ascii="Times New Roman" w:hAnsi="Times New Roman"/>
          <w:i/>
          <w:sz w:val="24"/>
        </w:rPr>
        <w:t>CRR</w:t>
      </w:r>
      <w:r w:rsidRPr="009E3A86">
        <w:rPr>
          <w:rFonts w:ascii="Times New Roman" w:hAnsi="Times New Roman"/>
          <w:sz w:val="24"/>
        </w:rPr>
        <w:t xml:space="preserve"> 428.k panta 4. punktu un 428.ah panta 2. punktu, sākotnējā drošības rezerve un iemaksa </w:t>
      </w:r>
      <w:r w:rsidRPr="009E3A86">
        <w:rPr>
          <w:rFonts w:ascii="Times New Roman" w:hAnsi="Times New Roman"/>
          <w:i/>
          <w:sz w:val="24"/>
        </w:rPr>
        <w:t>CCP</w:t>
      </w:r>
      <w:r w:rsidRPr="009E3A86">
        <w:rPr>
          <w:rFonts w:ascii="Times New Roman" w:hAnsi="Times New Roman"/>
          <w:sz w:val="24"/>
        </w:rPr>
        <w:t xml:space="preserve"> saistību neizpildes fondā saskaņā ar </w:t>
      </w:r>
      <w:r w:rsidRPr="009E3A86">
        <w:rPr>
          <w:rFonts w:ascii="Times New Roman" w:hAnsi="Times New Roman"/>
          <w:i/>
          <w:sz w:val="24"/>
        </w:rPr>
        <w:t>CRR</w:t>
      </w:r>
      <w:r w:rsidRPr="009E3A86">
        <w:rPr>
          <w:rFonts w:ascii="Times New Roman" w:hAnsi="Times New Roman"/>
          <w:sz w:val="24"/>
        </w:rPr>
        <w:t xml:space="preserve"> 428.ag panta a) punktu un 428.ag panta b) punktu.</w:t>
      </w:r>
    </w:p>
    <w:p w14:paraId="42F8668F"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Noguldījumus, ko uztur saistībā ar institucionālu aizsardzības shēmu vai kooperatīvu tīklu un ko uzskata par likvīdiem aktīviem, atklāj kā tādus. Citus posteņus grupas vai institucionālas aizsardzības shēmas ietvaros atklāj attiecīgajās vispārējās kategorijās vajadzīgā vai pieejamā stabilā finansējuma veidnē.</w:t>
      </w:r>
    </w:p>
    <w:p w14:paraId="4E83430E"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Iestādes vienmēr atklāj uzskaites vērtības kā “nesvērto vērtību sadalījumā pēc atlikušā termiņa” veidnes a, b, c un d ailēs, izņemot atvasināto līgumu gadījumus, attiecībā uz kuriem iestādes izmanto patieso vērtību, kā norādīts </w:t>
      </w:r>
      <w:r w:rsidRPr="009E3A86">
        <w:rPr>
          <w:rFonts w:ascii="Times New Roman" w:hAnsi="Times New Roman"/>
          <w:i/>
          <w:sz w:val="24"/>
        </w:rPr>
        <w:t>CRR</w:t>
      </w:r>
      <w:r w:rsidRPr="009E3A86">
        <w:rPr>
          <w:rFonts w:ascii="Times New Roman" w:hAnsi="Times New Roman"/>
          <w:sz w:val="24"/>
        </w:rPr>
        <w:t xml:space="preserve"> 428.d panta 2. punktā.</w:t>
      </w:r>
    </w:p>
    <w:p w14:paraId="1CB05863"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Iestādes atklāj “svērto vērtību” šīs veidnes e ailē. Šī vērtība atspoguļo to vērtību saskaņā ar </w:t>
      </w:r>
      <w:r w:rsidRPr="009E3A86">
        <w:rPr>
          <w:rFonts w:ascii="Times New Roman" w:hAnsi="Times New Roman"/>
          <w:i/>
          <w:sz w:val="24"/>
        </w:rPr>
        <w:t>CRR</w:t>
      </w:r>
      <w:r w:rsidRPr="009E3A86">
        <w:rPr>
          <w:rFonts w:ascii="Times New Roman" w:hAnsi="Times New Roman"/>
          <w:sz w:val="24"/>
        </w:rPr>
        <w:t xml:space="preserve"> 428.c panta 2. punktu, kura tiek iegūta, nesvērto vērtību reizinot ar stabila finansējuma koeficientiem.</w:t>
      </w:r>
    </w:p>
    <w:p w14:paraId="343BA1D0"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To aktīvu un saistību summu, kuri izriet no vērtspapīru finansēšanas darījumiem (VFD) ar vienu darījuma partneri, ņem vērā pēc neto principa, ja piemēro </w:t>
      </w:r>
      <w:r w:rsidRPr="009E3A86">
        <w:rPr>
          <w:rFonts w:ascii="Times New Roman" w:hAnsi="Times New Roman"/>
          <w:i/>
          <w:sz w:val="24"/>
        </w:rPr>
        <w:t>CRR</w:t>
      </w:r>
      <w:r w:rsidRPr="009E3A86">
        <w:rPr>
          <w:rFonts w:ascii="Times New Roman" w:hAnsi="Times New Roman"/>
          <w:sz w:val="24"/>
        </w:rPr>
        <w:t xml:space="preserve"> 428.e pantu. Gadījumā, ja uz individuāliem darījumiem, par kuriem veikts ieskaits, tiktu attiecināti atšķirīgi vajadzīgā stabilā finansējuma (</w:t>
      </w:r>
      <w:r w:rsidRPr="009E3A86">
        <w:rPr>
          <w:rFonts w:ascii="Times New Roman" w:hAnsi="Times New Roman"/>
          <w:i/>
          <w:sz w:val="24"/>
        </w:rPr>
        <w:t>RSF</w:t>
      </w:r>
      <w:r w:rsidRPr="009E3A86">
        <w:rPr>
          <w:rFonts w:ascii="Times New Roman" w:hAnsi="Times New Roman"/>
          <w:sz w:val="24"/>
        </w:rPr>
        <w:t xml:space="preserve">) koeficienti, ja tos ņemtu vērā atsevišķi, atklājamajai ieskaitītajai summai, ja tā ir aktīvs, piemēro augstāko no šiem </w:t>
      </w:r>
      <w:r w:rsidRPr="009E3A86">
        <w:rPr>
          <w:rFonts w:ascii="Times New Roman" w:hAnsi="Times New Roman"/>
          <w:i/>
          <w:sz w:val="24"/>
        </w:rPr>
        <w:t>RSF</w:t>
      </w:r>
      <w:r w:rsidRPr="009E3A86">
        <w:rPr>
          <w:rFonts w:ascii="Times New Roman" w:hAnsi="Times New Roman"/>
          <w:sz w:val="24"/>
        </w:rPr>
        <w:t xml:space="preserve"> koeficientiem.</w:t>
      </w:r>
    </w:p>
    <w:p w14:paraId="6EBB65DA"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Iestādes šai veidnei pievienotajā izklāsta daļā sniedz jebkādus paskaidrojumus, kas vajadzīgi, lai veicinātu izpratni par rezultātiem un tiem pievienotajiem datiem. Iestādes paskaidro vismaz:</w:t>
      </w:r>
    </w:p>
    <w:p w14:paraId="263F4C5D" w14:textId="77777777" w:rsidR="007E1815" w:rsidRPr="009E3A86" w:rsidRDefault="007E1815" w:rsidP="007E1815">
      <w:pPr>
        <w:pStyle w:val="ListNumber"/>
        <w:numPr>
          <w:ilvl w:val="1"/>
          <w:numId w:val="6"/>
        </w:numPr>
        <w:spacing w:after="150"/>
        <w:jc w:val="both"/>
        <w:rPr>
          <w:rFonts w:ascii="Times New Roman" w:hAnsi="Times New Roman"/>
          <w:sz w:val="24"/>
        </w:rPr>
      </w:pPr>
      <w:r w:rsidRPr="009E3A86">
        <w:rPr>
          <w:rFonts w:ascii="Times New Roman" w:hAnsi="Times New Roman"/>
          <w:sz w:val="24"/>
        </w:rPr>
        <w:lastRenderedPageBreak/>
        <w:t xml:space="preserve">savu NSFR rezultātu </w:t>
      </w:r>
      <w:proofErr w:type="spellStart"/>
      <w:r w:rsidRPr="009E3A86">
        <w:rPr>
          <w:rFonts w:ascii="Times New Roman" w:hAnsi="Times New Roman"/>
          <w:sz w:val="24"/>
        </w:rPr>
        <w:t>virzītājfaktorus</w:t>
      </w:r>
      <w:proofErr w:type="spellEnd"/>
      <w:r w:rsidRPr="009E3A86">
        <w:rPr>
          <w:rFonts w:ascii="Times New Roman" w:hAnsi="Times New Roman"/>
          <w:sz w:val="24"/>
        </w:rPr>
        <w:t xml:space="preserve"> un iemeslus izmaiņām perioda ietvaros, kā arī izmaiņām laika gaitā (piemēram, izmaiņas stratēģijā, finansējuma struktūrā, apstākļos), un</w:t>
      </w:r>
    </w:p>
    <w:p w14:paraId="6561627A" w14:textId="77777777" w:rsidR="007E1815" w:rsidRPr="009E3A86" w:rsidRDefault="007E1815" w:rsidP="007E1815">
      <w:pPr>
        <w:pStyle w:val="ListNumber"/>
        <w:numPr>
          <w:ilvl w:val="0"/>
          <w:numId w:val="0"/>
        </w:numPr>
        <w:ind w:left="1071"/>
        <w:jc w:val="both"/>
        <w:rPr>
          <w:rFonts w:ascii="Times New Roman" w:hAnsi="Times New Roman"/>
          <w:sz w:val="24"/>
        </w:rPr>
      </w:pPr>
    </w:p>
    <w:p w14:paraId="640BC23A" w14:textId="77777777" w:rsidR="007E1815" w:rsidRPr="009E3A86" w:rsidRDefault="007E1815" w:rsidP="007E1815">
      <w:pPr>
        <w:pStyle w:val="ListNumber"/>
        <w:numPr>
          <w:ilvl w:val="1"/>
          <w:numId w:val="6"/>
        </w:numPr>
        <w:spacing w:after="150"/>
        <w:jc w:val="both"/>
        <w:rPr>
          <w:rFonts w:ascii="Times New Roman" w:hAnsi="Times New Roman"/>
          <w:sz w:val="24"/>
        </w:rPr>
      </w:pPr>
      <w:r w:rsidRPr="009E3A86">
        <w:rPr>
          <w:rFonts w:ascii="Times New Roman" w:hAnsi="Times New Roman"/>
          <w:sz w:val="24"/>
        </w:rPr>
        <w:t>iestādes savstarpēji atkarīgo aktīvu un saistību sastāvu un to, ciktāl šie darījumi ir savstarpēji saistīti.</w:t>
      </w:r>
    </w:p>
    <w:p w14:paraId="32271818" w14:textId="77777777" w:rsidR="007E1815" w:rsidRPr="009E3A86" w:rsidRDefault="007E1815" w:rsidP="007E1815">
      <w:pPr>
        <w:rPr>
          <w:rFonts w:ascii="Times New Roman" w:hAnsi="Times New Roman"/>
          <w:b/>
          <w:sz w:val="24"/>
        </w:rPr>
      </w:pPr>
      <w:r w:rsidRPr="009E3A86">
        <w:rPr>
          <w:rFonts w:ascii="Times New Roman" w:hAnsi="Times New Roman"/>
          <w:b/>
          <w:sz w:val="24"/>
        </w:rPr>
        <w:t>Pieejamā stabilā finansējuma (</w:t>
      </w:r>
      <w:r w:rsidRPr="009E3A86">
        <w:rPr>
          <w:rFonts w:ascii="Times New Roman" w:hAnsi="Times New Roman"/>
          <w:b/>
          <w:i/>
          <w:sz w:val="24"/>
        </w:rPr>
        <w:t>ASF</w:t>
      </w:r>
      <w:r w:rsidRPr="009E3A86">
        <w:rPr>
          <w:rFonts w:ascii="Times New Roman" w:hAnsi="Times New Roman"/>
          <w:b/>
          <w:sz w:val="24"/>
        </w:rPr>
        <w:t>) posteņi</w:t>
      </w:r>
    </w:p>
    <w:p w14:paraId="20D40F36"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Saskaņā ar </w:t>
      </w:r>
      <w:r w:rsidRPr="009E3A86">
        <w:rPr>
          <w:rFonts w:ascii="Times New Roman" w:hAnsi="Times New Roman"/>
          <w:i/>
          <w:sz w:val="24"/>
        </w:rPr>
        <w:t>CRR</w:t>
      </w:r>
      <w:r w:rsidRPr="009E3A86">
        <w:rPr>
          <w:rFonts w:ascii="Times New Roman" w:hAnsi="Times New Roman"/>
          <w:sz w:val="24"/>
        </w:rPr>
        <w:t xml:space="preserve"> 428.i pantu, ja vien </w:t>
      </w:r>
      <w:r w:rsidRPr="009E3A86">
        <w:rPr>
          <w:rFonts w:ascii="Times New Roman" w:hAnsi="Times New Roman"/>
          <w:i/>
          <w:sz w:val="24"/>
        </w:rPr>
        <w:t>CRR</w:t>
      </w:r>
      <w:r w:rsidRPr="009E3A86">
        <w:rPr>
          <w:rFonts w:ascii="Times New Roman" w:hAnsi="Times New Roman"/>
          <w:sz w:val="24"/>
        </w:rPr>
        <w:t xml:space="preserve"> sestās daļas IV sadaļas 3. nodaļā nav paredzēts citādi, pieejamā stabilā finansējuma (</w:t>
      </w:r>
      <w:r w:rsidRPr="009E3A86">
        <w:rPr>
          <w:rFonts w:ascii="Times New Roman" w:hAnsi="Times New Roman"/>
          <w:i/>
          <w:sz w:val="24"/>
        </w:rPr>
        <w:t>ASF</w:t>
      </w:r>
      <w:r w:rsidRPr="009E3A86">
        <w:rPr>
          <w:rFonts w:ascii="Times New Roman" w:hAnsi="Times New Roman"/>
          <w:sz w:val="24"/>
        </w:rPr>
        <w:t>) summu aprēķina, saistību un pašu kapitāla summu kā nesvērto vērtību reizinot ar pieejamā stabilā finansējuma koeficientiem. Svērtā vērtība šīs veidnes “e” ailē atspoguļo pieejamā stabilā finansējuma summu.</w:t>
      </w:r>
    </w:p>
    <w:p w14:paraId="025850D4"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Visas saistības un pašu kapitālu atklāj sadalījumā pēc to atlikušā termiņa šīs veidnes a, b, c un d ailē, aprēķinot saskaņā ar </w:t>
      </w:r>
      <w:r w:rsidRPr="009E3A86">
        <w:rPr>
          <w:rFonts w:ascii="Times New Roman" w:hAnsi="Times New Roman"/>
          <w:i/>
          <w:sz w:val="24"/>
        </w:rPr>
        <w:t>CRR</w:t>
      </w:r>
      <w:r w:rsidRPr="009E3A86">
        <w:rPr>
          <w:rFonts w:ascii="Times New Roman" w:hAnsi="Times New Roman"/>
          <w:sz w:val="24"/>
        </w:rPr>
        <w:t xml:space="preserve"> 428.j, 428.o un 428.ak pantu, ievērojot šādu sadalījumu pa termiņu grupām:</w:t>
      </w:r>
    </w:p>
    <w:p w14:paraId="11219010" w14:textId="77777777" w:rsidR="007E1815" w:rsidRPr="009E3A86" w:rsidRDefault="007E1815" w:rsidP="007E1815">
      <w:pPr>
        <w:pStyle w:val="ListNumber"/>
        <w:numPr>
          <w:ilvl w:val="0"/>
          <w:numId w:val="0"/>
        </w:numPr>
        <w:ind w:left="714"/>
        <w:jc w:val="both"/>
        <w:rPr>
          <w:rFonts w:ascii="Times New Roman" w:hAnsi="Times New Roman"/>
          <w:sz w:val="24"/>
        </w:rPr>
      </w:pPr>
    </w:p>
    <w:p w14:paraId="4FA06E63" w14:textId="77777777" w:rsidR="007E1815" w:rsidRPr="009E3A86" w:rsidRDefault="007E1815" w:rsidP="007E1815">
      <w:pPr>
        <w:pStyle w:val="ListNumber"/>
        <w:numPr>
          <w:ilvl w:val="1"/>
          <w:numId w:val="12"/>
        </w:numPr>
        <w:spacing w:after="150"/>
        <w:jc w:val="both"/>
        <w:rPr>
          <w:rFonts w:ascii="Times New Roman" w:hAnsi="Times New Roman"/>
          <w:sz w:val="24"/>
        </w:rPr>
      </w:pPr>
      <w:r w:rsidRPr="009E3A86">
        <w:rPr>
          <w:rFonts w:ascii="Times New Roman" w:hAnsi="Times New Roman"/>
          <w:sz w:val="24"/>
        </w:rPr>
        <w:t>beztermiņa – posteņi, kas jāatklāj termiņa grupā “beztermiņa” un kam nav noteikta termiņa vai kas ir beztermiņa posteņi;</w:t>
      </w:r>
    </w:p>
    <w:p w14:paraId="58B79BC3" w14:textId="77777777" w:rsidR="007E1815" w:rsidRPr="009E3A86" w:rsidRDefault="007E1815" w:rsidP="007E1815">
      <w:pPr>
        <w:pStyle w:val="ListNumber"/>
        <w:numPr>
          <w:ilvl w:val="0"/>
          <w:numId w:val="0"/>
        </w:numPr>
        <w:ind w:left="1071"/>
        <w:jc w:val="both"/>
        <w:rPr>
          <w:rFonts w:ascii="Times New Roman" w:hAnsi="Times New Roman"/>
          <w:sz w:val="24"/>
        </w:rPr>
      </w:pPr>
    </w:p>
    <w:p w14:paraId="16DF72D7" w14:textId="77777777" w:rsidR="007E1815" w:rsidRPr="009E3A86" w:rsidRDefault="007E1815" w:rsidP="007E1815">
      <w:pPr>
        <w:pStyle w:val="ListNumber"/>
        <w:numPr>
          <w:ilvl w:val="1"/>
          <w:numId w:val="6"/>
        </w:numPr>
        <w:spacing w:after="150"/>
        <w:jc w:val="both"/>
        <w:rPr>
          <w:rFonts w:ascii="Times New Roman" w:hAnsi="Times New Roman"/>
          <w:sz w:val="24"/>
        </w:rPr>
      </w:pPr>
      <w:r w:rsidRPr="009E3A86">
        <w:rPr>
          <w:rFonts w:ascii="Times New Roman" w:hAnsi="Times New Roman"/>
          <w:sz w:val="24"/>
        </w:rPr>
        <w:t>atlikušais termiņš nepārsniedz sešus mēnešus;</w:t>
      </w:r>
    </w:p>
    <w:p w14:paraId="15456445" w14:textId="77777777" w:rsidR="007E1815" w:rsidRPr="009E3A86" w:rsidRDefault="007E1815" w:rsidP="007E1815">
      <w:pPr>
        <w:pStyle w:val="ListNumber"/>
        <w:numPr>
          <w:ilvl w:val="0"/>
          <w:numId w:val="0"/>
        </w:numPr>
        <w:ind w:left="1071"/>
        <w:jc w:val="both"/>
        <w:rPr>
          <w:rFonts w:ascii="Times New Roman" w:hAnsi="Times New Roman"/>
          <w:sz w:val="24"/>
        </w:rPr>
      </w:pPr>
    </w:p>
    <w:p w14:paraId="22246D74" w14:textId="77777777" w:rsidR="007E1815" w:rsidRPr="009E3A86" w:rsidRDefault="007E1815" w:rsidP="007E1815">
      <w:pPr>
        <w:pStyle w:val="ListNumber"/>
        <w:numPr>
          <w:ilvl w:val="1"/>
          <w:numId w:val="6"/>
        </w:numPr>
        <w:spacing w:after="150"/>
        <w:jc w:val="both"/>
        <w:rPr>
          <w:rFonts w:ascii="Times New Roman" w:hAnsi="Times New Roman"/>
          <w:sz w:val="24"/>
        </w:rPr>
      </w:pPr>
      <w:r w:rsidRPr="009E3A86">
        <w:rPr>
          <w:rFonts w:ascii="Times New Roman" w:hAnsi="Times New Roman"/>
          <w:sz w:val="24"/>
        </w:rPr>
        <w:t>atlikušais termiņš ir vismaz seši mēneši, bet mazāk par vienu gadu, un</w:t>
      </w:r>
    </w:p>
    <w:p w14:paraId="6A87D26E" w14:textId="77777777" w:rsidR="007E1815" w:rsidRPr="009E3A86" w:rsidRDefault="007E1815" w:rsidP="007E1815">
      <w:pPr>
        <w:pStyle w:val="ListNumber"/>
        <w:numPr>
          <w:ilvl w:val="0"/>
          <w:numId w:val="0"/>
        </w:numPr>
        <w:ind w:left="1071"/>
        <w:jc w:val="both"/>
        <w:rPr>
          <w:rFonts w:ascii="Times New Roman" w:hAnsi="Times New Roman"/>
          <w:sz w:val="24"/>
        </w:rPr>
      </w:pPr>
    </w:p>
    <w:p w14:paraId="77A0B740" w14:textId="77777777" w:rsidR="007E1815" w:rsidRPr="009E3A86" w:rsidRDefault="007E1815" w:rsidP="007E1815">
      <w:pPr>
        <w:pStyle w:val="ListNumber"/>
        <w:numPr>
          <w:ilvl w:val="1"/>
          <w:numId w:val="6"/>
        </w:numPr>
        <w:spacing w:after="150"/>
        <w:jc w:val="both"/>
        <w:rPr>
          <w:rFonts w:ascii="Times New Roman" w:hAnsi="Times New Roman"/>
          <w:sz w:val="24"/>
        </w:rPr>
      </w:pPr>
      <w:r w:rsidRPr="009E3A86">
        <w:rPr>
          <w:rFonts w:ascii="Times New Roman" w:hAnsi="Times New Roman"/>
          <w:sz w:val="24"/>
        </w:rPr>
        <w:tab/>
        <w:t>atlikušais termiņš ir viens gads vai vairāk.</w:t>
      </w:r>
    </w:p>
    <w:p w14:paraId="6BA304AA" w14:textId="77777777" w:rsidR="007E1815" w:rsidRPr="009E3A86" w:rsidRDefault="007E1815" w:rsidP="007E1815">
      <w:pPr>
        <w:pStyle w:val="ListNumber"/>
        <w:numPr>
          <w:ilvl w:val="0"/>
          <w:numId w:val="0"/>
        </w:numPr>
        <w:rPr>
          <w:rFonts w:ascii="Times New Roman" w:hAnsi="Times New Roman"/>
          <w:sz w:val="24"/>
        </w:rPr>
      </w:pPr>
    </w:p>
    <w:p w14:paraId="67F6D5AE" w14:textId="77777777" w:rsidR="007E1815" w:rsidRPr="009E3A86" w:rsidRDefault="007E1815" w:rsidP="007E1815">
      <w:pPr>
        <w:pStyle w:val="ListNumber"/>
        <w:numPr>
          <w:ilvl w:val="0"/>
          <w:numId w:val="0"/>
        </w:numPr>
        <w:ind w:left="357" w:hanging="357"/>
        <w:jc w:val="both"/>
        <w:rPr>
          <w:rFonts w:ascii="Times New Roman" w:hAnsi="Times New Roman"/>
          <w:b/>
          <w:sz w:val="24"/>
        </w:rPr>
      </w:pPr>
      <w:r w:rsidRPr="009E3A86">
        <w:rPr>
          <w:rFonts w:ascii="Times New Roman" w:hAnsi="Times New Roman"/>
          <w:b/>
          <w:sz w:val="24"/>
        </w:rPr>
        <w:t>Nepieciešamā stabilā finansējuma (</w:t>
      </w:r>
      <w:r w:rsidRPr="009E3A86">
        <w:rPr>
          <w:rFonts w:ascii="Times New Roman" w:hAnsi="Times New Roman"/>
          <w:b/>
          <w:i/>
          <w:sz w:val="24"/>
        </w:rPr>
        <w:t>RSF</w:t>
      </w:r>
      <w:r w:rsidRPr="009E3A86">
        <w:rPr>
          <w:rFonts w:ascii="Times New Roman" w:hAnsi="Times New Roman"/>
          <w:b/>
          <w:sz w:val="24"/>
        </w:rPr>
        <w:t>) posteņi</w:t>
      </w:r>
    </w:p>
    <w:p w14:paraId="03707205"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Iestādes atklāj attiecīgajā kategorijā visus aktīvus, uz kuriem tās patur faktiskās īpašumtiesības, pat ja tie nav uzskaitīti to bilancē. Aktīvus, uz kuriem iestādes nepatur faktiskās īpašumtiesības, neatklāj, pat ja šie aktīvi ir uzskaitīti to bilancē.</w:t>
      </w:r>
    </w:p>
    <w:p w14:paraId="0BD2DC52"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Saskaņā ar </w:t>
      </w:r>
      <w:r w:rsidRPr="009E3A86">
        <w:rPr>
          <w:rFonts w:ascii="Times New Roman" w:hAnsi="Times New Roman"/>
          <w:i/>
          <w:sz w:val="24"/>
        </w:rPr>
        <w:t>CRR</w:t>
      </w:r>
      <w:r w:rsidRPr="009E3A86">
        <w:rPr>
          <w:rFonts w:ascii="Times New Roman" w:hAnsi="Times New Roman"/>
          <w:sz w:val="24"/>
        </w:rPr>
        <w:t xml:space="preserve"> 428.p pantu, ja vien </w:t>
      </w:r>
      <w:r w:rsidRPr="009E3A86">
        <w:rPr>
          <w:rFonts w:ascii="Times New Roman" w:hAnsi="Times New Roman"/>
          <w:i/>
          <w:sz w:val="24"/>
        </w:rPr>
        <w:t>CRR</w:t>
      </w:r>
      <w:r w:rsidRPr="009E3A86">
        <w:rPr>
          <w:rFonts w:ascii="Times New Roman" w:hAnsi="Times New Roman"/>
          <w:sz w:val="24"/>
        </w:rPr>
        <w:t xml:space="preserve"> sestās daļas IV sadaļas 4. nodaļā nav paredzēts citādi, nepieciešamā stabilā finansējuma (</w:t>
      </w:r>
      <w:r w:rsidRPr="009E3A86">
        <w:rPr>
          <w:rFonts w:ascii="Times New Roman" w:hAnsi="Times New Roman"/>
          <w:i/>
          <w:sz w:val="24"/>
        </w:rPr>
        <w:t>RSF</w:t>
      </w:r>
      <w:r w:rsidRPr="009E3A86">
        <w:rPr>
          <w:rFonts w:ascii="Times New Roman" w:hAnsi="Times New Roman"/>
          <w:sz w:val="24"/>
        </w:rPr>
        <w:t>) summu aprēķina, aktīvu un ārpusbilances posteņu nesvērto vērtību reizinot ar nepieciešamā stabilā finansējuma koeficientiem.</w:t>
      </w:r>
    </w:p>
    <w:p w14:paraId="335AF99A"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Aktīvus, kurus var uzskatīt par augstas kvalitātes likvīdajiem aktīviem (</w:t>
      </w:r>
      <w:r w:rsidRPr="009E3A86">
        <w:rPr>
          <w:rFonts w:ascii="Times New Roman" w:hAnsi="Times New Roman"/>
          <w:i/>
          <w:sz w:val="24"/>
        </w:rPr>
        <w:t>HQLA</w:t>
      </w:r>
      <w:r w:rsidRPr="009E3A86">
        <w:rPr>
          <w:rFonts w:ascii="Times New Roman" w:hAnsi="Times New Roman"/>
          <w:sz w:val="24"/>
        </w:rPr>
        <w:t>) saskaņā ar Komisijas Deleģēto regulu (ES) 2015/61, atklāj kā tādus īpašā rindā neatkarīgi no to atlikušā termiņa.</w:t>
      </w:r>
    </w:p>
    <w:p w14:paraId="44264B2F" w14:textId="77777777" w:rsidR="007E1815" w:rsidRPr="009E3A86"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E3A86">
        <w:rPr>
          <w:rFonts w:ascii="Times New Roman" w:hAnsi="Times New Roman"/>
          <w:sz w:val="24"/>
        </w:rPr>
        <w:t xml:space="preserve">Visus aktīvus, kas nav </w:t>
      </w:r>
      <w:r w:rsidRPr="009E3A86">
        <w:rPr>
          <w:rFonts w:ascii="Times New Roman" w:hAnsi="Times New Roman"/>
          <w:i/>
          <w:sz w:val="24"/>
        </w:rPr>
        <w:t>HQLA</w:t>
      </w:r>
      <w:r w:rsidRPr="009E3A86">
        <w:rPr>
          <w:rFonts w:ascii="Times New Roman" w:hAnsi="Times New Roman"/>
          <w:sz w:val="24"/>
        </w:rPr>
        <w:t xml:space="preserve"> aktīvi, un ārpusbilances posteņus atklāj sadalījumā pēc to atlikušā termiņa saskaņā ar </w:t>
      </w:r>
      <w:r w:rsidRPr="009E3A86">
        <w:rPr>
          <w:rFonts w:ascii="Times New Roman" w:hAnsi="Times New Roman"/>
          <w:i/>
          <w:sz w:val="24"/>
        </w:rPr>
        <w:t>CRR</w:t>
      </w:r>
      <w:r w:rsidRPr="009E3A86">
        <w:rPr>
          <w:rFonts w:ascii="Times New Roman" w:hAnsi="Times New Roman"/>
          <w:sz w:val="24"/>
        </w:rPr>
        <w:t xml:space="preserve"> 428.q pantu. Summu, standarta koeficientu un piemērojamo koeficientu termiņa grupas ir šādas:</w:t>
      </w:r>
    </w:p>
    <w:p w14:paraId="0C1F136F" w14:textId="77777777" w:rsidR="007E1815" w:rsidRPr="009E3A86" w:rsidRDefault="007E1815" w:rsidP="007E1815">
      <w:pPr>
        <w:pStyle w:val="ListNumber"/>
        <w:numPr>
          <w:ilvl w:val="0"/>
          <w:numId w:val="0"/>
        </w:numPr>
        <w:ind w:left="1071"/>
        <w:jc w:val="both"/>
        <w:rPr>
          <w:rFonts w:ascii="Times New Roman" w:hAnsi="Times New Roman"/>
          <w:sz w:val="24"/>
        </w:rPr>
      </w:pPr>
    </w:p>
    <w:p w14:paraId="1F393622" w14:textId="77777777" w:rsidR="007E1815" w:rsidRPr="009E3A86" w:rsidRDefault="007E1815" w:rsidP="007E1815">
      <w:pPr>
        <w:pStyle w:val="ListNumber"/>
        <w:numPr>
          <w:ilvl w:val="1"/>
          <w:numId w:val="13"/>
        </w:numPr>
        <w:spacing w:after="150"/>
        <w:jc w:val="both"/>
        <w:rPr>
          <w:rFonts w:ascii="Times New Roman" w:hAnsi="Times New Roman"/>
          <w:sz w:val="24"/>
        </w:rPr>
      </w:pPr>
      <w:r w:rsidRPr="009E3A86">
        <w:rPr>
          <w:rFonts w:ascii="Times New Roman" w:hAnsi="Times New Roman"/>
          <w:sz w:val="24"/>
        </w:rPr>
        <w:t>atlikušais termiņš nepārsniedz sešus mēnešus vai bez noteikta termiņa;</w:t>
      </w:r>
    </w:p>
    <w:p w14:paraId="70DE81A7" w14:textId="77777777" w:rsidR="007E1815" w:rsidRPr="009E3A86" w:rsidRDefault="007E1815" w:rsidP="007E1815">
      <w:pPr>
        <w:pStyle w:val="ListNumber"/>
        <w:numPr>
          <w:ilvl w:val="0"/>
          <w:numId w:val="0"/>
        </w:numPr>
        <w:ind w:left="1071"/>
        <w:jc w:val="both"/>
        <w:rPr>
          <w:rFonts w:ascii="Times New Roman" w:hAnsi="Times New Roman"/>
          <w:sz w:val="24"/>
        </w:rPr>
      </w:pPr>
    </w:p>
    <w:p w14:paraId="2320D290" w14:textId="77777777" w:rsidR="007E1815" w:rsidRPr="009E3A86" w:rsidRDefault="007E1815" w:rsidP="007E1815">
      <w:pPr>
        <w:pStyle w:val="ListNumber"/>
        <w:numPr>
          <w:ilvl w:val="1"/>
          <w:numId w:val="6"/>
        </w:numPr>
        <w:spacing w:after="150"/>
        <w:jc w:val="both"/>
        <w:rPr>
          <w:rFonts w:ascii="Times New Roman" w:hAnsi="Times New Roman"/>
          <w:sz w:val="24"/>
        </w:rPr>
      </w:pPr>
      <w:r w:rsidRPr="009E3A86">
        <w:rPr>
          <w:rFonts w:ascii="Times New Roman" w:hAnsi="Times New Roman"/>
          <w:sz w:val="24"/>
        </w:rPr>
        <w:t>atlikušais termiņš ir vismaz seši mēneši, bet mazāk par vienu gadu, un</w:t>
      </w:r>
    </w:p>
    <w:p w14:paraId="3D3AB18F" w14:textId="77777777" w:rsidR="007E1815" w:rsidRPr="009E3A86" w:rsidRDefault="007E1815" w:rsidP="007E1815">
      <w:pPr>
        <w:pStyle w:val="ListNumber"/>
        <w:numPr>
          <w:ilvl w:val="0"/>
          <w:numId w:val="0"/>
        </w:numPr>
        <w:ind w:left="1071"/>
        <w:jc w:val="both"/>
        <w:rPr>
          <w:rFonts w:ascii="Times New Roman" w:hAnsi="Times New Roman"/>
          <w:sz w:val="24"/>
        </w:rPr>
      </w:pPr>
    </w:p>
    <w:p w14:paraId="0FBA8D39" w14:textId="77777777" w:rsidR="007E1815" w:rsidRPr="009E3A86" w:rsidRDefault="007E1815" w:rsidP="007E1815">
      <w:pPr>
        <w:pStyle w:val="ListNumber"/>
        <w:numPr>
          <w:ilvl w:val="1"/>
          <w:numId w:val="6"/>
        </w:numPr>
        <w:spacing w:after="150"/>
        <w:jc w:val="both"/>
        <w:rPr>
          <w:rFonts w:ascii="Times New Roman" w:hAnsi="Times New Roman"/>
          <w:sz w:val="24"/>
        </w:rPr>
      </w:pPr>
      <w:r w:rsidRPr="009E3A86">
        <w:rPr>
          <w:rFonts w:ascii="Times New Roman" w:hAnsi="Times New Roman"/>
          <w:sz w:val="24"/>
        </w:rPr>
        <w:t>atlikušais termiņš ir viens gads vai vairāk.</w:t>
      </w:r>
    </w:p>
    <w:p w14:paraId="02C8881F" w14:textId="77777777" w:rsidR="007E1815" w:rsidRPr="009E3A86"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1"/>
        <w:gridCol w:w="7665"/>
      </w:tblGrid>
      <w:tr w:rsidR="007E1815" w:rsidRPr="009E3A86"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9E3A86" w:rsidRDefault="007E1815" w:rsidP="00D819DE">
            <w:pPr>
              <w:rPr>
                <w:rFonts w:ascii="Times New Roman" w:hAnsi="Times New Roman"/>
                <w:sz w:val="24"/>
                <w:lang w:val="lv-LV"/>
              </w:rPr>
            </w:pPr>
            <w:r w:rsidRPr="009E3A86">
              <w:rPr>
                <w:rFonts w:ascii="Times New Roman" w:hAnsi="Times New Roman"/>
                <w:b/>
                <w:sz w:val="24"/>
                <w:lang w:val="lv-LV"/>
              </w:rPr>
              <w:lastRenderedPageBreak/>
              <w:t>Atsauces uz tiesību aktiem un norādījumi</w:t>
            </w:r>
          </w:p>
        </w:tc>
      </w:tr>
      <w:tr w:rsidR="007E1815" w:rsidRPr="009E3A86" w14:paraId="4222DCCE" w14:textId="77777777" w:rsidTr="00D819DE">
        <w:trPr>
          <w:trHeight w:val="567"/>
        </w:trPr>
        <w:tc>
          <w:tcPr>
            <w:tcW w:w="1355" w:type="dxa"/>
            <w:shd w:val="clear" w:color="auto" w:fill="D9D9D9" w:themeFill="background1" w:themeFillShade="D9"/>
          </w:tcPr>
          <w:p w14:paraId="5A502C58" w14:textId="77777777" w:rsidR="007E1815" w:rsidRPr="009E3A86" w:rsidRDefault="007E1815" w:rsidP="00D819DE">
            <w:pPr>
              <w:rPr>
                <w:rFonts w:ascii="Times New Roman" w:hAnsi="Times New Roman"/>
                <w:b/>
                <w:sz w:val="24"/>
                <w:lang w:val="lv-LV"/>
              </w:rPr>
            </w:pPr>
            <w:r w:rsidRPr="009E3A86">
              <w:rPr>
                <w:rFonts w:ascii="Times New Roman" w:hAnsi="Times New Roman"/>
                <w:b/>
                <w:sz w:val="24"/>
                <w:lang w:val="lv-LV"/>
              </w:rPr>
              <w:t>Rinda</w:t>
            </w:r>
          </w:p>
        </w:tc>
        <w:tc>
          <w:tcPr>
            <w:tcW w:w="7705" w:type="dxa"/>
            <w:shd w:val="clear" w:color="auto" w:fill="D0CECE"/>
          </w:tcPr>
          <w:p w14:paraId="50C21EC2" w14:textId="77777777" w:rsidR="007E1815" w:rsidRPr="009E3A86" w:rsidRDefault="007E1815" w:rsidP="00D819DE">
            <w:pPr>
              <w:rPr>
                <w:rFonts w:ascii="Times New Roman" w:hAnsi="Times New Roman"/>
                <w:sz w:val="24"/>
                <w:lang w:val="lv-LV"/>
              </w:rPr>
            </w:pPr>
            <w:r w:rsidRPr="009E3A86">
              <w:rPr>
                <w:rFonts w:ascii="Times New Roman" w:hAnsi="Times New Roman"/>
                <w:b/>
                <w:sz w:val="24"/>
                <w:lang w:val="lv-LV"/>
              </w:rPr>
              <w:t>Paskaidrojums</w:t>
            </w:r>
          </w:p>
        </w:tc>
      </w:tr>
      <w:tr w:rsidR="007E1815" w:rsidRPr="009E3A86" w14:paraId="47A97B92" w14:textId="77777777" w:rsidTr="00D819DE">
        <w:trPr>
          <w:trHeight w:val="567"/>
        </w:trPr>
        <w:tc>
          <w:tcPr>
            <w:tcW w:w="1355" w:type="dxa"/>
            <w:shd w:val="clear" w:color="auto" w:fill="D0CECE"/>
          </w:tcPr>
          <w:p w14:paraId="4E7DACFE" w14:textId="77777777" w:rsidR="007E1815" w:rsidRPr="009E3A86" w:rsidRDefault="007E1815" w:rsidP="00D819DE">
            <w:pPr>
              <w:rPr>
                <w:rFonts w:ascii="Times New Roman" w:hAnsi="Times New Roman"/>
                <w:sz w:val="24"/>
                <w:lang w:val="lv-LV"/>
              </w:rPr>
            </w:pPr>
          </w:p>
        </w:tc>
        <w:tc>
          <w:tcPr>
            <w:tcW w:w="7705" w:type="dxa"/>
            <w:shd w:val="clear" w:color="auto" w:fill="D0CECE"/>
          </w:tcPr>
          <w:p w14:paraId="4662642A" w14:textId="77777777" w:rsidR="007E1815" w:rsidRPr="009E3A86" w:rsidRDefault="007E1815" w:rsidP="00D819DE">
            <w:pPr>
              <w:rPr>
                <w:rFonts w:ascii="Times New Roman" w:hAnsi="Times New Roman"/>
                <w:b/>
                <w:sz w:val="24"/>
                <w:lang w:val="lv-LV"/>
              </w:rPr>
            </w:pPr>
            <w:r w:rsidRPr="009E3A86">
              <w:rPr>
                <w:rFonts w:ascii="Times New Roman" w:hAnsi="Times New Roman"/>
                <w:b/>
                <w:sz w:val="24"/>
                <w:lang w:val="lv-LV"/>
              </w:rPr>
              <w:t>Pieejamā stabilā finansējuma (</w:t>
            </w:r>
            <w:r w:rsidRPr="009E3A86">
              <w:rPr>
                <w:rFonts w:ascii="Times New Roman" w:hAnsi="Times New Roman"/>
                <w:b/>
                <w:i/>
                <w:sz w:val="24"/>
                <w:lang w:val="lv-LV"/>
              </w:rPr>
              <w:t>ASF</w:t>
            </w:r>
            <w:r w:rsidRPr="009E3A86">
              <w:rPr>
                <w:rFonts w:ascii="Times New Roman" w:hAnsi="Times New Roman"/>
                <w:b/>
                <w:sz w:val="24"/>
                <w:lang w:val="lv-LV"/>
              </w:rPr>
              <w:t>) posteņi</w:t>
            </w:r>
          </w:p>
        </w:tc>
      </w:tr>
      <w:tr w:rsidR="007E1815" w:rsidRPr="009E3A86" w14:paraId="33C4FE49" w14:textId="77777777" w:rsidTr="00D819DE">
        <w:tc>
          <w:tcPr>
            <w:tcW w:w="1355" w:type="dxa"/>
          </w:tcPr>
          <w:p w14:paraId="4BF6617C"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1.</w:t>
            </w:r>
          </w:p>
        </w:tc>
        <w:tc>
          <w:tcPr>
            <w:tcW w:w="7705" w:type="dxa"/>
          </w:tcPr>
          <w:p w14:paraId="4606BCE5"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Kapitāla posteņi un instrumenti</w:t>
            </w:r>
          </w:p>
          <w:p w14:paraId="0B8977C9"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šīs veidnes 2. un 3. rindas summu.</w:t>
            </w:r>
          </w:p>
        </w:tc>
      </w:tr>
      <w:tr w:rsidR="007E1815" w:rsidRPr="009E3A86" w14:paraId="1969A8FD" w14:textId="77777777" w:rsidTr="00D819DE">
        <w:tc>
          <w:tcPr>
            <w:tcW w:w="1355" w:type="dxa"/>
          </w:tcPr>
          <w:p w14:paraId="275C0D10"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2.</w:t>
            </w:r>
          </w:p>
        </w:tc>
        <w:tc>
          <w:tcPr>
            <w:tcW w:w="7705" w:type="dxa"/>
          </w:tcPr>
          <w:p w14:paraId="116DF0CA"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Pašu kapitāls</w:t>
            </w:r>
          </w:p>
          <w:p w14:paraId="41BB1DEB"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428.o panta a), b) un c) punkts</w:t>
            </w:r>
          </w:p>
          <w:p w14:paraId="4277A47A"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šādu posteņu kopsummu:</w:t>
            </w:r>
          </w:p>
          <w:p w14:paraId="02EDA993" w14:textId="77777777" w:rsidR="007E1815" w:rsidRPr="009E3A86" w:rsidRDefault="007E1815" w:rsidP="007E1815">
            <w:pPr>
              <w:pStyle w:val="ListParagraph"/>
              <w:numPr>
                <w:ilvl w:val="0"/>
                <w:numId w:val="10"/>
              </w:numPr>
              <w:spacing w:after="240"/>
              <w:contextualSpacing/>
              <w:jc w:val="both"/>
              <w:rPr>
                <w:rFonts w:ascii="Times New Roman" w:hAnsi="Times New Roman"/>
                <w:sz w:val="24"/>
                <w:lang w:val="lv-LV"/>
              </w:rPr>
            </w:pPr>
            <w:r w:rsidRPr="009E3A86">
              <w:rPr>
                <w:rFonts w:ascii="Times New Roman" w:hAnsi="Times New Roman"/>
                <w:sz w:val="24"/>
                <w:lang w:val="lv-LV"/>
              </w:rPr>
              <w:t>pirmā līmeņa pamata kapitāla (</w:t>
            </w:r>
            <w:r w:rsidRPr="009E3A86">
              <w:rPr>
                <w:rFonts w:ascii="Times New Roman" w:hAnsi="Times New Roman"/>
                <w:i/>
                <w:sz w:val="24"/>
                <w:lang w:val="lv-LV"/>
              </w:rPr>
              <w:t>CET1</w:t>
            </w:r>
            <w:r w:rsidRPr="009E3A86">
              <w:rPr>
                <w:rFonts w:ascii="Times New Roman" w:hAnsi="Times New Roman"/>
                <w:sz w:val="24"/>
                <w:lang w:val="lv-LV"/>
              </w:rPr>
              <w:t xml:space="preserve">) posteņi pirms </w:t>
            </w:r>
            <w:r w:rsidRPr="009E3A86">
              <w:rPr>
                <w:rFonts w:ascii="Times New Roman" w:hAnsi="Times New Roman"/>
                <w:i/>
                <w:sz w:val="24"/>
                <w:lang w:val="lv-LV"/>
              </w:rPr>
              <w:t>CRR</w:t>
            </w:r>
            <w:r w:rsidRPr="009E3A86">
              <w:rPr>
                <w:rFonts w:ascii="Times New Roman" w:hAnsi="Times New Roman"/>
                <w:sz w:val="24"/>
                <w:lang w:val="lv-LV"/>
              </w:rPr>
              <w:t xml:space="preserve"> 32.–36., 48., 49. un 79. pantā paredzētajiem </w:t>
            </w:r>
            <w:proofErr w:type="spellStart"/>
            <w:r w:rsidRPr="009E3A86">
              <w:rPr>
                <w:rFonts w:ascii="Times New Roman" w:hAnsi="Times New Roman"/>
                <w:sz w:val="24"/>
                <w:lang w:val="lv-LV"/>
              </w:rPr>
              <w:t>prudenciālajiem</w:t>
            </w:r>
            <w:proofErr w:type="spellEnd"/>
            <w:r w:rsidRPr="009E3A86">
              <w:rPr>
                <w:rFonts w:ascii="Times New Roman" w:hAnsi="Times New Roman"/>
                <w:sz w:val="24"/>
                <w:lang w:val="lv-LV"/>
              </w:rPr>
              <w:t xml:space="preserve"> filtriem, atskaitījumiem un atbrīvojumiem vai alternatīvām;</w:t>
            </w:r>
          </w:p>
          <w:p w14:paraId="728F2A4A" w14:textId="77777777" w:rsidR="007E1815" w:rsidRPr="009E3A86" w:rsidRDefault="007E1815" w:rsidP="007E1815">
            <w:pPr>
              <w:pStyle w:val="ListParagraph"/>
              <w:numPr>
                <w:ilvl w:val="0"/>
                <w:numId w:val="10"/>
              </w:numPr>
              <w:spacing w:after="240"/>
              <w:contextualSpacing/>
              <w:jc w:val="both"/>
              <w:rPr>
                <w:rFonts w:ascii="Times New Roman" w:hAnsi="Times New Roman"/>
                <w:sz w:val="24"/>
                <w:lang w:val="lv-LV"/>
              </w:rPr>
            </w:pPr>
            <w:r w:rsidRPr="009E3A86">
              <w:rPr>
                <w:rFonts w:ascii="Times New Roman" w:hAnsi="Times New Roman"/>
                <w:sz w:val="24"/>
                <w:lang w:val="lv-LV"/>
              </w:rPr>
              <w:t>pirmā līmeņa papildu kapitāla (</w:t>
            </w:r>
            <w:r w:rsidRPr="009E3A86">
              <w:rPr>
                <w:rFonts w:ascii="Times New Roman" w:hAnsi="Times New Roman"/>
                <w:i/>
                <w:sz w:val="24"/>
                <w:lang w:val="lv-LV"/>
              </w:rPr>
              <w:t>AT1</w:t>
            </w:r>
            <w:r w:rsidRPr="009E3A86">
              <w:rPr>
                <w:rFonts w:ascii="Times New Roman" w:hAnsi="Times New Roman"/>
                <w:sz w:val="24"/>
                <w:lang w:val="lv-LV"/>
              </w:rPr>
              <w:t xml:space="preserve">) posteņi pirms </w:t>
            </w:r>
            <w:r w:rsidRPr="009E3A86">
              <w:rPr>
                <w:rFonts w:ascii="Times New Roman" w:hAnsi="Times New Roman"/>
                <w:i/>
                <w:sz w:val="24"/>
                <w:lang w:val="lv-LV"/>
              </w:rPr>
              <w:t>CRR</w:t>
            </w:r>
            <w:r w:rsidRPr="009E3A86">
              <w:rPr>
                <w:rFonts w:ascii="Times New Roman" w:hAnsi="Times New Roman"/>
                <w:sz w:val="24"/>
                <w:lang w:val="lv-LV"/>
              </w:rPr>
              <w:t xml:space="preserve"> 56. un 79. pantā paredzēto atskaitījumu un atbrīvojumu piemērošanas, un</w:t>
            </w:r>
          </w:p>
          <w:p w14:paraId="79565A6F" w14:textId="77777777" w:rsidR="007E1815" w:rsidRPr="009E3A86" w:rsidRDefault="007E1815" w:rsidP="007E1815">
            <w:pPr>
              <w:pStyle w:val="ListParagraph"/>
              <w:numPr>
                <w:ilvl w:val="0"/>
                <w:numId w:val="10"/>
              </w:numPr>
              <w:spacing w:after="240"/>
              <w:contextualSpacing/>
              <w:jc w:val="both"/>
              <w:rPr>
                <w:rFonts w:ascii="Times New Roman" w:hAnsi="Times New Roman"/>
                <w:sz w:val="24"/>
                <w:lang w:val="lv-LV"/>
              </w:rPr>
            </w:pPr>
            <w:r w:rsidRPr="009E3A86">
              <w:rPr>
                <w:rFonts w:ascii="Times New Roman" w:hAnsi="Times New Roman"/>
                <w:sz w:val="24"/>
                <w:lang w:val="lv-LV"/>
              </w:rPr>
              <w:t>otrā līmeņa kapitāla (</w:t>
            </w:r>
            <w:r w:rsidRPr="009E3A86">
              <w:rPr>
                <w:rFonts w:ascii="Times New Roman" w:hAnsi="Times New Roman"/>
                <w:i/>
                <w:sz w:val="24"/>
                <w:lang w:val="lv-LV"/>
              </w:rPr>
              <w:t>T2</w:t>
            </w:r>
            <w:r w:rsidRPr="009E3A86">
              <w:rPr>
                <w:rFonts w:ascii="Times New Roman" w:hAnsi="Times New Roman"/>
                <w:sz w:val="24"/>
                <w:lang w:val="lv-LV"/>
              </w:rPr>
              <w:t xml:space="preserve">) pozīcijas pirms </w:t>
            </w:r>
            <w:r w:rsidRPr="009E3A86">
              <w:rPr>
                <w:rFonts w:ascii="Times New Roman" w:hAnsi="Times New Roman"/>
                <w:i/>
                <w:sz w:val="24"/>
                <w:lang w:val="lv-LV"/>
              </w:rPr>
              <w:t>CRR</w:t>
            </w:r>
            <w:r w:rsidRPr="009E3A86">
              <w:rPr>
                <w:rFonts w:ascii="Times New Roman" w:hAnsi="Times New Roman"/>
                <w:sz w:val="24"/>
                <w:lang w:val="lv-LV"/>
              </w:rPr>
              <w:t xml:space="preserve"> 66. un 79. pantā paredzēto atskaitījumu un atbrīvojumu piemērošanas, kuriem atlikušais termiņš informācijas atklāšanas atsauces datumā ir viens gads vai vairāk.</w:t>
            </w:r>
          </w:p>
          <w:p w14:paraId="00D84758"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Pirmā līmeņa pamata kapitāla un pirmā līmeņa papildu kapitāla posteņi ir beztermiņa instrumenti, ko atklāj grupā “beztermiņa”. Pirmā līmeņa papildu kapitāla posteņus, kuru atsaukšanu iestāde var pieprasīt, tikai tad, ja laika periods līdz atsaukšanas iespēju datumam ir īsāks par vienu gadu, neatklāj grupā “beztermiņa”, bet atklāj piemērojamajā termiņa grupā (t. i., atlikušais termiņš ir mazāk nekā seši mēneši vai atlikušais termiņš ir vismaz seši mēneši, bet mazāk par vienu gadu). To dara neatkarīgi no tā, vai šī iespēja ir izmantota vai nav.</w:t>
            </w:r>
          </w:p>
          <w:p w14:paraId="0435A78E"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 xml:space="preserve">Attiecībā uz otrā līmeņa kapitāla posteņiem viena gada vai ilgāka termiņa grupa ietver tos instrumentus, kuriem ir vienāds atlikušais termiņš, un – izņēmuma gadījumos attiecībā uz otrā līmeņa kapitāla instrumentiem bez termiņa – arī šos instrumentus. Ja iestāde varēja atsaukt otrā līmeņa kapitāla posteņus, un neatkarīgi no tā, vai iestāde ir izmantojusi šo iespēju, atlikušo termiņu instrumentam nosaka, vadoties no atsaukšanas iespējas datuma. Šādā gadījumā iestāde atklāj šos posteņus attiecīgajā termiņa grupā un nepiemēro 100 % </w:t>
            </w:r>
            <w:r w:rsidRPr="009E3A86">
              <w:rPr>
                <w:rFonts w:ascii="Times New Roman" w:hAnsi="Times New Roman"/>
                <w:i/>
                <w:sz w:val="24"/>
                <w:lang w:val="lv-LV"/>
              </w:rPr>
              <w:t>ASF</w:t>
            </w:r>
            <w:r w:rsidRPr="009E3A86">
              <w:rPr>
                <w:rFonts w:ascii="Times New Roman" w:hAnsi="Times New Roman"/>
                <w:sz w:val="24"/>
                <w:lang w:val="lv-LV"/>
              </w:rPr>
              <w:t xml:space="preserve"> koeficientu, ja iespēju var izmantot viena gada laikā.</w:t>
            </w:r>
          </w:p>
        </w:tc>
      </w:tr>
      <w:tr w:rsidR="007E1815" w:rsidRPr="009E3A86" w14:paraId="2550E7B9" w14:textId="77777777" w:rsidTr="00D819DE">
        <w:tc>
          <w:tcPr>
            <w:tcW w:w="1355" w:type="dxa"/>
          </w:tcPr>
          <w:p w14:paraId="0584ABF1"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3.</w:t>
            </w:r>
          </w:p>
        </w:tc>
        <w:tc>
          <w:tcPr>
            <w:tcW w:w="7705" w:type="dxa"/>
          </w:tcPr>
          <w:p w14:paraId="4DC4EF55"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Citi kapitāla instrumenti</w:t>
            </w:r>
          </w:p>
          <w:p w14:paraId="171E776A"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428.o panta d) punkts un 428.k panta 3. punkta d) apakšpunkts</w:t>
            </w:r>
          </w:p>
          <w:p w14:paraId="06D7D9E7"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sz w:val="24"/>
                <w:lang w:val="lv-LV"/>
              </w:rPr>
              <w:t>Citi kapitāla instrumenti, kuriem atlikušais termiņš informācijas atklāšanas atsauces datumā ir viens gads vai vairāk.</w:t>
            </w:r>
          </w:p>
          <w:p w14:paraId="21CF35D5"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sz w:val="24"/>
                <w:lang w:val="lv-LV"/>
              </w:rPr>
              <w:lastRenderedPageBreak/>
              <w:t xml:space="preserve">Ja iestāde varēja atsaukt citus kapitāla instrumentus, un neatkarīgi no tā, vai iestāde ir izmantojusi šo iespēju, atlikušo termiņu instrumentam nosaka, vadoties no atsaukšanas iespējas datuma. Šādā gadījumā iestāde atklāj šos posteņus attiecīgajā termiņa grupā un nepiemēro 100 % </w:t>
            </w:r>
            <w:r w:rsidRPr="009E3A86">
              <w:rPr>
                <w:rFonts w:ascii="Times New Roman" w:hAnsi="Times New Roman"/>
                <w:i/>
                <w:sz w:val="24"/>
                <w:lang w:val="lv-LV"/>
              </w:rPr>
              <w:t>ASF</w:t>
            </w:r>
            <w:r w:rsidRPr="009E3A86">
              <w:rPr>
                <w:rFonts w:ascii="Times New Roman" w:hAnsi="Times New Roman"/>
                <w:sz w:val="24"/>
                <w:lang w:val="lv-LV"/>
              </w:rPr>
              <w:t xml:space="preserve"> koeficientu, ja iespēju var izmantot viena gada laikā.</w:t>
            </w:r>
          </w:p>
        </w:tc>
      </w:tr>
      <w:tr w:rsidR="007E1815" w:rsidRPr="009E3A86" w14:paraId="4A44833C" w14:textId="77777777" w:rsidTr="00D819DE">
        <w:tc>
          <w:tcPr>
            <w:tcW w:w="1355" w:type="dxa"/>
          </w:tcPr>
          <w:p w14:paraId="2BD678A7"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lastRenderedPageBreak/>
              <w:t>4.</w:t>
            </w:r>
          </w:p>
        </w:tc>
        <w:tc>
          <w:tcPr>
            <w:tcW w:w="7705" w:type="dxa"/>
          </w:tcPr>
          <w:p w14:paraId="5DDF6D57"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Privātpersonu vai MVU noguldījumi</w:t>
            </w:r>
          </w:p>
          <w:p w14:paraId="5F72982B" w14:textId="77777777" w:rsidR="007E1815" w:rsidRPr="009E3A86" w:rsidRDefault="007E1815" w:rsidP="00D819DE">
            <w:pPr>
              <w:spacing w:after="240"/>
              <w:jc w:val="both"/>
              <w:rPr>
                <w:lang w:val="lv-LV"/>
              </w:rPr>
            </w:pPr>
            <w:r w:rsidRPr="009E3A86">
              <w:rPr>
                <w:rFonts w:ascii="Times New Roman" w:hAnsi="Times New Roman"/>
                <w:sz w:val="24"/>
                <w:lang w:val="lv-LV"/>
              </w:rPr>
              <w:t>Iestādes šeit atklāj šīs veidnes 5. un 6. rindas summu.</w:t>
            </w:r>
          </w:p>
        </w:tc>
      </w:tr>
      <w:tr w:rsidR="007E1815" w:rsidRPr="009E3A86" w14:paraId="55F43930" w14:textId="77777777" w:rsidTr="00D819DE">
        <w:tc>
          <w:tcPr>
            <w:tcW w:w="1355" w:type="dxa"/>
          </w:tcPr>
          <w:p w14:paraId="416B77ED"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5.</w:t>
            </w:r>
          </w:p>
        </w:tc>
        <w:tc>
          <w:tcPr>
            <w:tcW w:w="7705" w:type="dxa"/>
          </w:tcPr>
          <w:p w14:paraId="52E4A4D9"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Stabili privātpersonu vai MVU noguldījumi</w:t>
            </w:r>
          </w:p>
          <w:p w14:paraId="28950C4C" w14:textId="77777777" w:rsidR="007E1815" w:rsidRPr="009E3A86" w:rsidRDefault="007E1815" w:rsidP="00D819DE">
            <w:pPr>
              <w:pStyle w:val="TableParagraph"/>
              <w:spacing w:after="240"/>
              <w:jc w:val="both"/>
              <w:rPr>
                <w:rFonts w:ascii="Times New Roman" w:hAnsi="Times New Roman"/>
                <w:sz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428.n pants</w:t>
            </w:r>
          </w:p>
          <w:p w14:paraId="790595EC"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sz w:val="24"/>
                <w:lang w:val="lv-LV"/>
              </w:rPr>
              <w:t>Iestādes iekļauj to privātpersonu vai MVU noguldījumu summu daļu, uz ko attiecas noguldījumu garantiju sistēma saskaņā ar Direktīvu 94/19/EK vai Direktīvu 2014/49/ES vai līdzvērtīga noguldījumu garantiju sistēma trešā valstī un kas ietilpst iedibinātās attiecībās, kā rezultātā izņemšana ir maz ticama, vai ko tur darījumu kontā attiecīgi saskaņā ar Komisijas Deleģētās regulas (ES) 2015/61 24. panta 2. un 3. punktu, un ja:</w:t>
            </w:r>
          </w:p>
          <w:p w14:paraId="66558887" w14:textId="77777777" w:rsidR="007E1815" w:rsidRPr="009E3A86" w:rsidRDefault="007E1815" w:rsidP="007E1815">
            <w:pPr>
              <w:pStyle w:val="TableParagraph"/>
              <w:numPr>
                <w:ilvl w:val="0"/>
                <w:numId w:val="7"/>
              </w:numPr>
              <w:spacing w:after="240"/>
              <w:ind w:left="714" w:hanging="357"/>
              <w:jc w:val="both"/>
              <w:rPr>
                <w:rFonts w:ascii="Times New Roman" w:hAnsi="Times New Roman"/>
                <w:sz w:val="24"/>
                <w:szCs w:val="24"/>
                <w:lang w:val="lv-LV"/>
              </w:rPr>
            </w:pPr>
            <w:r w:rsidRPr="009E3A86">
              <w:rPr>
                <w:rFonts w:ascii="Times New Roman" w:hAnsi="Times New Roman"/>
                <w:sz w:val="24"/>
                <w:lang w:val="lv-LV"/>
              </w:rPr>
              <w:t>šie noguldījumi neatbilst augstākas izejošās naudas plūsmas likmes kritērijiem saskaņā ar Komisijas Deleģētās regulas (ES) 2015/61 25. panta 2., 3. un 5. pantu, – tādā gadījumā tos iekļauj kā “mazāk stabilus noguldījumus”, vai</w:t>
            </w:r>
          </w:p>
          <w:p w14:paraId="7A637E61" w14:textId="77777777" w:rsidR="007E1815" w:rsidRPr="009E3A86" w:rsidRDefault="007E1815" w:rsidP="007E1815">
            <w:pPr>
              <w:pStyle w:val="TableParagraph"/>
              <w:numPr>
                <w:ilvl w:val="0"/>
                <w:numId w:val="7"/>
              </w:numPr>
              <w:spacing w:after="240"/>
              <w:ind w:left="714" w:hanging="357"/>
              <w:jc w:val="both"/>
              <w:rPr>
                <w:rFonts w:ascii="Times New Roman" w:hAnsi="Times New Roman"/>
                <w:sz w:val="24"/>
                <w:szCs w:val="24"/>
                <w:lang w:val="lv-LV"/>
              </w:rPr>
            </w:pPr>
            <w:r w:rsidRPr="009E3A86">
              <w:rPr>
                <w:rFonts w:ascii="Times New Roman" w:hAnsi="Times New Roman"/>
                <w:sz w:val="24"/>
                <w:lang w:val="lv-LV"/>
              </w:rPr>
              <w:t>minētie noguldījumi nav saņemti trešās valstīs, kurās piemēro augstāku izejošo naudas plūsmas likmi saskaņā ar Deleģētās regulas (ES) 2015/61 25. panta 5. punktu, – tādā gadījumā tos iekļauj kā “mazāk stabilus noguldījumus”.</w:t>
            </w:r>
          </w:p>
        </w:tc>
      </w:tr>
      <w:tr w:rsidR="007E1815" w:rsidRPr="009E3A86" w14:paraId="194C8C25" w14:textId="77777777" w:rsidTr="00D819DE">
        <w:tc>
          <w:tcPr>
            <w:tcW w:w="1355" w:type="dxa"/>
          </w:tcPr>
          <w:p w14:paraId="1542BA49"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6.</w:t>
            </w:r>
          </w:p>
        </w:tc>
        <w:tc>
          <w:tcPr>
            <w:tcW w:w="7705" w:type="dxa"/>
          </w:tcPr>
          <w:p w14:paraId="3BF13FD0"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Mazāk stabili privātpersonu vai MVU noguldījumi</w:t>
            </w:r>
          </w:p>
          <w:p w14:paraId="3129D85E"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428.m pants</w:t>
            </w:r>
          </w:p>
          <w:p w14:paraId="2D5E64C4"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atklāj to citu privātpersonu vai MVU noguldījumu summu, kuri nav norādīti kā “mazāk stabili noguldījumi” šīs veidnes 5. rindā.</w:t>
            </w:r>
          </w:p>
        </w:tc>
      </w:tr>
      <w:tr w:rsidR="007E1815" w:rsidRPr="009E3A86" w14:paraId="73E8C93F" w14:textId="77777777" w:rsidTr="00D819DE">
        <w:tc>
          <w:tcPr>
            <w:tcW w:w="1355" w:type="dxa"/>
          </w:tcPr>
          <w:p w14:paraId="28A93239"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7.</w:t>
            </w:r>
          </w:p>
        </w:tc>
        <w:tc>
          <w:tcPr>
            <w:tcW w:w="7705" w:type="dxa"/>
          </w:tcPr>
          <w:p w14:paraId="7DF872D2"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Korporatīvais finansējums</w:t>
            </w:r>
          </w:p>
          <w:p w14:paraId="3F59D262"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šīs veidnes 8. un 9. rindas summu.</w:t>
            </w:r>
          </w:p>
        </w:tc>
      </w:tr>
      <w:tr w:rsidR="007E1815" w:rsidRPr="009E3A86" w14:paraId="394C1803" w14:textId="77777777" w:rsidTr="00D819DE">
        <w:tc>
          <w:tcPr>
            <w:tcW w:w="1355" w:type="dxa"/>
          </w:tcPr>
          <w:p w14:paraId="447D7950"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8.</w:t>
            </w:r>
          </w:p>
        </w:tc>
        <w:tc>
          <w:tcPr>
            <w:tcW w:w="7705" w:type="dxa"/>
          </w:tcPr>
          <w:p w14:paraId="1CA3BC9E" w14:textId="77777777" w:rsidR="007E1815" w:rsidRPr="009E3A86" w:rsidRDefault="007E1815" w:rsidP="00D819DE">
            <w:pPr>
              <w:spacing w:after="240"/>
              <w:jc w:val="both"/>
              <w:rPr>
                <w:rFonts w:ascii="Times New Roman" w:hAnsi="Times New Roman"/>
                <w:b/>
                <w:sz w:val="24"/>
                <w:u w:val="single"/>
                <w:lang w:val="lv-LV"/>
              </w:rPr>
            </w:pPr>
            <w:r w:rsidRPr="009E3A86">
              <w:rPr>
                <w:rFonts w:ascii="Times New Roman" w:hAnsi="Times New Roman"/>
                <w:b/>
                <w:sz w:val="24"/>
                <w:lang w:val="lv-LV"/>
              </w:rPr>
              <w:t>Operacionālie noguldījumi</w:t>
            </w:r>
          </w:p>
          <w:p w14:paraId="5087C8F9"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428.l panta a) punkts</w:t>
            </w:r>
          </w:p>
          <w:p w14:paraId="0435CE8E"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sz w:val="24"/>
                <w:lang w:val="lv-LV"/>
              </w:rPr>
              <w:t xml:space="preserve">Iestādes šeit atklāj to saņemto (gan no finanšu klientiem, gan no citiem </w:t>
            </w:r>
            <w:proofErr w:type="spellStart"/>
            <w:r w:rsidRPr="009E3A86">
              <w:rPr>
                <w:rFonts w:ascii="Times New Roman" w:hAnsi="Times New Roman"/>
                <w:sz w:val="24"/>
                <w:lang w:val="lv-LV"/>
              </w:rPr>
              <w:t>nefinanšu</w:t>
            </w:r>
            <w:proofErr w:type="spellEnd"/>
            <w:r w:rsidRPr="009E3A86">
              <w:rPr>
                <w:rFonts w:ascii="Times New Roman" w:hAnsi="Times New Roman"/>
                <w:sz w:val="24"/>
                <w:lang w:val="lv-LV"/>
              </w:rPr>
              <w:t xml:space="preserve"> klientiem) un Komisijas Deleģētās regulas (ES) 2015/61 27. pantā noteiktajiem operacionālo noguldījumu kritērijiem atbilstošo operacionālo noguldījumu daļu, kas ir nepieciešama operacionālo pakalpojumu sniegšanai. Operacionālo noguldījumu daļu, kas pārsniedz operacionālo pakalpojumu sniegšanai nepieciešamo summu, neiekļauj šeit, bet iekļauj šīs veidnes 9. rindā </w:t>
            </w:r>
            <w:r w:rsidRPr="009E3A86">
              <w:rPr>
                <w:rFonts w:ascii="Times New Roman" w:hAnsi="Times New Roman"/>
                <w:sz w:val="24"/>
                <w:lang w:val="lv-LV"/>
              </w:rPr>
              <w:lastRenderedPageBreak/>
              <w:t>“Cits korporatīvais finansējums”.</w:t>
            </w:r>
          </w:p>
          <w:p w14:paraId="1F41C5C0"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sz w:val="24"/>
                <w:lang w:val="lv-LV"/>
              </w:rPr>
              <w:t>Noguldījumus, kas izriet no korespondentbanku attiecībām vai no specializēto brokeru pakalpojumu sniegšanas, uzskata par neoperacionāliem noguldījumiem saskaņā ar Komisijas Deleģētās regulas (ES) 2015/61 27. panta 5. punktu un atklāj šīs veidnes 9. rindā “Cits korporatīvais finansējums”.</w:t>
            </w:r>
          </w:p>
        </w:tc>
      </w:tr>
      <w:tr w:rsidR="007E1815" w:rsidRPr="009E3A86" w14:paraId="77301B7B" w14:textId="77777777" w:rsidTr="00D819DE">
        <w:tc>
          <w:tcPr>
            <w:tcW w:w="1355" w:type="dxa"/>
          </w:tcPr>
          <w:p w14:paraId="37420CF2"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lastRenderedPageBreak/>
              <w:t>9.</w:t>
            </w:r>
          </w:p>
        </w:tc>
        <w:tc>
          <w:tcPr>
            <w:tcW w:w="7705" w:type="dxa"/>
          </w:tcPr>
          <w:p w14:paraId="7BF7824B"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Cits korporatīvais finansējums</w:t>
            </w:r>
          </w:p>
          <w:p w14:paraId="614E640A"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428.l panta b)–d) punkts, 428.g pants un 428.k panta 3. punkta c) un d) apakšpunkts</w:t>
            </w:r>
          </w:p>
          <w:p w14:paraId="1760C9F3"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 xml:space="preserve">Iestādes šeit atklāj korporatīvo finansējumu, kas nav operacionālo noguldījumu summa, kura nepieciešama operacionālo pakalpojumu sniegšanai. Tas ietver saistības, ko nodrošina centrālās valdības, reģionālās pašvaldības, vietējās iestādes, publiskā sektora struktūras, daudzpusējās attīstības bankas, starptautiskas organizācijas, centrālās bankas un jebkādi citi </w:t>
            </w:r>
            <w:proofErr w:type="spellStart"/>
            <w:r w:rsidRPr="009E3A86">
              <w:rPr>
                <w:rFonts w:ascii="Times New Roman" w:hAnsi="Times New Roman"/>
                <w:sz w:val="24"/>
                <w:lang w:val="lv-LV"/>
              </w:rPr>
              <w:t>nefinanšu</w:t>
            </w:r>
            <w:proofErr w:type="spellEnd"/>
            <w:r w:rsidRPr="009E3A86">
              <w:rPr>
                <w:rFonts w:ascii="Times New Roman" w:hAnsi="Times New Roman"/>
                <w:sz w:val="24"/>
                <w:lang w:val="lv-LV"/>
              </w:rPr>
              <w:t xml:space="preserve"> vai finanšu klienti, kā arī saistības, kurās darījuma partneri nevar noteikt, tajā skaitā vērtspapīrus, kas emitēti darījumos, kuros turētāju nevar noteikt.</w:t>
            </w:r>
          </w:p>
        </w:tc>
      </w:tr>
      <w:tr w:rsidR="007E1815" w:rsidRPr="009E3A86" w14:paraId="432CD3F5" w14:textId="77777777" w:rsidTr="00D819DE">
        <w:tc>
          <w:tcPr>
            <w:tcW w:w="1355" w:type="dxa"/>
          </w:tcPr>
          <w:p w14:paraId="0B9B4455"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10.</w:t>
            </w:r>
          </w:p>
        </w:tc>
        <w:tc>
          <w:tcPr>
            <w:tcW w:w="7705" w:type="dxa"/>
          </w:tcPr>
          <w:p w14:paraId="5E993417"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Savstarpēji atkarīgas saistības</w:t>
            </w:r>
            <w:r w:rsidRPr="009E3A86">
              <w:rPr>
                <w:rFonts w:ascii="Times New Roman" w:hAnsi="Times New Roman"/>
                <w:sz w:val="24"/>
                <w:lang w:val="lv-LV"/>
              </w:rPr>
              <w:t xml:space="preserve"> </w:t>
            </w:r>
          </w:p>
          <w:p w14:paraId="36702D93"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428.k panta 3. punkta b) apakšpunkts</w:t>
            </w:r>
          </w:p>
          <w:p w14:paraId="0891245E" w14:textId="77777777" w:rsidR="007E1815" w:rsidRPr="009E3A86" w:rsidRDefault="007E1815" w:rsidP="00D819DE">
            <w:pPr>
              <w:pStyle w:val="TableParagraph"/>
              <w:spacing w:after="240"/>
              <w:jc w:val="both"/>
              <w:rPr>
                <w:rFonts w:ascii="Times New Roman" w:hAnsi="Times New Roman"/>
                <w:sz w:val="24"/>
                <w:lang w:val="lv-LV"/>
              </w:rPr>
            </w:pPr>
            <w:r w:rsidRPr="009E3A86">
              <w:rPr>
                <w:rFonts w:ascii="Times New Roman" w:hAnsi="Times New Roman"/>
                <w:sz w:val="24"/>
                <w:lang w:val="lv-LV"/>
              </w:rPr>
              <w:t xml:space="preserve">Iestādes atklāj saistības, ko ir apstiprinājusi attiecīgā kompetentā iestāde un ko uzskata par savstarpēji atkarīgām no aktīviem saskaņā ar </w:t>
            </w:r>
            <w:r w:rsidRPr="009E3A86">
              <w:rPr>
                <w:rFonts w:ascii="Times New Roman" w:hAnsi="Times New Roman"/>
                <w:i/>
                <w:sz w:val="24"/>
                <w:lang w:val="lv-LV"/>
              </w:rPr>
              <w:t>CRR</w:t>
            </w:r>
            <w:r w:rsidRPr="009E3A86">
              <w:rPr>
                <w:rFonts w:ascii="Times New Roman" w:hAnsi="Times New Roman"/>
                <w:sz w:val="24"/>
                <w:lang w:val="lv-LV"/>
              </w:rPr>
              <w:t xml:space="preserve"> 428.f pantu.</w:t>
            </w:r>
          </w:p>
        </w:tc>
      </w:tr>
      <w:tr w:rsidR="007E1815" w:rsidRPr="009E3A86" w14:paraId="321417B9" w14:textId="77777777" w:rsidTr="00D819DE">
        <w:tc>
          <w:tcPr>
            <w:tcW w:w="1355" w:type="dxa"/>
          </w:tcPr>
          <w:p w14:paraId="29CC457B"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11.</w:t>
            </w:r>
          </w:p>
        </w:tc>
        <w:tc>
          <w:tcPr>
            <w:tcW w:w="7705" w:type="dxa"/>
          </w:tcPr>
          <w:p w14:paraId="1C92539B"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 xml:space="preserve">Citas saistības </w:t>
            </w:r>
          </w:p>
          <w:p w14:paraId="349E2592"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šīs veidnes 12. un 13. rindā norādīto vērtību summu.</w:t>
            </w:r>
          </w:p>
        </w:tc>
      </w:tr>
      <w:tr w:rsidR="007E1815" w:rsidRPr="009E3A86" w14:paraId="6ABB8278" w14:textId="77777777" w:rsidTr="00D819DE">
        <w:tc>
          <w:tcPr>
            <w:tcW w:w="1355" w:type="dxa"/>
          </w:tcPr>
          <w:p w14:paraId="47DEEB33"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12.</w:t>
            </w:r>
          </w:p>
        </w:tc>
        <w:tc>
          <w:tcPr>
            <w:tcW w:w="7705" w:type="dxa"/>
          </w:tcPr>
          <w:p w14:paraId="4DF1D8F2" w14:textId="77777777" w:rsidR="007E1815" w:rsidRPr="009E3A86" w:rsidRDefault="007E1815" w:rsidP="00D819DE">
            <w:pPr>
              <w:spacing w:after="240"/>
              <w:jc w:val="both"/>
              <w:rPr>
                <w:rFonts w:ascii="Times New Roman" w:hAnsi="Times New Roman"/>
                <w:b/>
                <w:sz w:val="24"/>
                <w:u w:val="single"/>
                <w:lang w:val="lv-LV"/>
              </w:rPr>
            </w:pPr>
            <w:r w:rsidRPr="009E3A86">
              <w:rPr>
                <w:rFonts w:ascii="Times New Roman" w:hAnsi="Times New Roman"/>
                <w:b/>
                <w:sz w:val="24"/>
                <w:lang w:val="lv-LV"/>
              </w:rPr>
              <w:t>NSFR atvasināto instrumentu saistības</w:t>
            </w:r>
          </w:p>
          <w:p w14:paraId="521C9873"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428.k panta 4. punkts</w:t>
            </w:r>
          </w:p>
          <w:p w14:paraId="2E115A21"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 xml:space="preserve">Iestādes atklāj negatīvās starpības starp savstarpējo prasījumu ieskaita kopām, kas aprēķinātas saskaņā ar </w:t>
            </w:r>
            <w:r w:rsidRPr="009E3A86">
              <w:rPr>
                <w:rFonts w:ascii="Times New Roman" w:hAnsi="Times New Roman"/>
                <w:i/>
                <w:sz w:val="24"/>
                <w:lang w:val="lv-LV"/>
              </w:rPr>
              <w:t>CRR</w:t>
            </w:r>
            <w:r w:rsidRPr="009E3A86">
              <w:rPr>
                <w:rFonts w:ascii="Times New Roman" w:hAnsi="Times New Roman"/>
                <w:sz w:val="24"/>
                <w:lang w:val="lv-LV"/>
              </w:rPr>
              <w:t xml:space="preserve"> 428.k panta 4. punktu, absolūto summu.</w:t>
            </w:r>
          </w:p>
        </w:tc>
      </w:tr>
      <w:tr w:rsidR="007E1815" w:rsidRPr="009E3A86" w14:paraId="48B82AAB" w14:textId="77777777" w:rsidTr="00D819DE">
        <w:tc>
          <w:tcPr>
            <w:tcW w:w="1355" w:type="dxa"/>
          </w:tcPr>
          <w:p w14:paraId="368937AC"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13.</w:t>
            </w:r>
          </w:p>
        </w:tc>
        <w:tc>
          <w:tcPr>
            <w:tcW w:w="7705" w:type="dxa"/>
          </w:tcPr>
          <w:p w14:paraId="4929818C"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Visas pārējās saistības un kapitāla instrumenti, kas nav iekļauti iepriekš minētajās kategorijās</w:t>
            </w:r>
          </w:p>
          <w:p w14:paraId="585BBD50"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428.k panta 1. punkts un 428.k panta 3. punkts</w:t>
            </w:r>
          </w:p>
          <w:p w14:paraId="527A7DA7"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šādu posteņu summu:</w:t>
            </w:r>
          </w:p>
          <w:p w14:paraId="40335678" w14:textId="77777777" w:rsidR="007E1815" w:rsidRPr="009E3A86" w:rsidRDefault="007E1815" w:rsidP="007E1815">
            <w:pPr>
              <w:pStyle w:val="ListParagraph"/>
              <w:numPr>
                <w:ilvl w:val="0"/>
                <w:numId w:val="9"/>
              </w:numPr>
              <w:spacing w:after="240"/>
              <w:contextualSpacing/>
              <w:jc w:val="both"/>
              <w:rPr>
                <w:rFonts w:ascii="Times New Roman" w:hAnsi="Times New Roman"/>
                <w:sz w:val="24"/>
                <w:lang w:val="lv-LV"/>
              </w:rPr>
            </w:pPr>
            <w:r w:rsidRPr="009E3A86">
              <w:rPr>
                <w:rFonts w:ascii="Times New Roman" w:hAnsi="Times New Roman"/>
                <w:sz w:val="24"/>
                <w:lang w:val="lv-LV"/>
              </w:rPr>
              <w:t xml:space="preserve">darījuma datuma saistības, kas rodas, iegādājoties finanšu instrumentus, kā arī ārvalstu valūtas un preces, par kurām paredzēts norēķināties standarta norēķinu cikla laikā vai periodā, kādu parasti nosaka attiecīgajiem norēķiniem vai darījumu veidam, vai par kurām </w:t>
            </w:r>
            <w:r w:rsidRPr="009E3A86">
              <w:rPr>
                <w:rFonts w:ascii="Times New Roman" w:hAnsi="Times New Roman"/>
                <w:sz w:val="24"/>
                <w:lang w:val="lv-LV"/>
              </w:rPr>
              <w:lastRenderedPageBreak/>
              <w:t xml:space="preserve">norēķini vēl nav notikuši, taču ir paredzams, ka tie notiks, saskaņā ar </w:t>
            </w:r>
            <w:r w:rsidRPr="009E3A86">
              <w:rPr>
                <w:rFonts w:ascii="Times New Roman" w:hAnsi="Times New Roman"/>
                <w:i/>
                <w:sz w:val="24"/>
                <w:lang w:val="lv-LV"/>
              </w:rPr>
              <w:t>CRR</w:t>
            </w:r>
            <w:r w:rsidRPr="009E3A86">
              <w:rPr>
                <w:rFonts w:ascii="Times New Roman" w:hAnsi="Times New Roman"/>
                <w:sz w:val="24"/>
                <w:lang w:val="lv-LV"/>
              </w:rPr>
              <w:t xml:space="preserve"> 428.k panta 3. punkta a) apakšpunktu;</w:t>
            </w:r>
          </w:p>
          <w:p w14:paraId="0C891B87" w14:textId="77777777" w:rsidR="007E1815" w:rsidRPr="009E3A86" w:rsidRDefault="007E1815" w:rsidP="007E1815">
            <w:pPr>
              <w:pStyle w:val="ListParagraph"/>
              <w:numPr>
                <w:ilvl w:val="0"/>
                <w:numId w:val="9"/>
              </w:numPr>
              <w:spacing w:after="240"/>
              <w:contextualSpacing/>
              <w:jc w:val="both"/>
              <w:rPr>
                <w:rFonts w:ascii="Times New Roman" w:hAnsi="Times New Roman"/>
                <w:sz w:val="24"/>
                <w:lang w:val="lv-LV"/>
              </w:rPr>
            </w:pPr>
            <w:r w:rsidRPr="009E3A86">
              <w:rPr>
                <w:rFonts w:ascii="Times New Roman" w:hAnsi="Times New Roman"/>
                <w:sz w:val="24"/>
                <w:lang w:val="lv-LV"/>
              </w:rPr>
              <w:t xml:space="preserve">atliktās nodokļu saistības, uzskatot agrāko iespējamo datumu, kurā to summu var realizēt, par atlikušo termiņu, saskaņā ar </w:t>
            </w:r>
            <w:r w:rsidRPr="009E3A86">
              <w:rPr>
                <w:rFonts w:ascii="Times New Roman" w:hAnsi="Times New Roman"/>
                <w:i/>
                <w:sz w:val="24"/>
                <w:lang w:val="lv-LV"/>
              </w:rPr>
              <w:t>CRR</w:t>
            </w:r>
            <w:r w:rsidRPr="009E3A86">
              <w:rPr>
                <w:rFonts w:ascii="Times New Roman" w:hAnsi="Times New Roman"/>
                <w:sz w:val="24"/>
                <w:lang w:val="lv-LV"/>
              </w:rPr>
              <w:t xml:space="preserve"> 428.k panta 2. punkta a) apakšpunktu;</w:t>
            </w:r>
          </w:p>
          <w:p w14:paraId="02F1CD08" w14:textId="77777777" w:rsidR="007E1815" w:rsidRPr="009E3A86" w:rsidRDefault="007E1815" w:rsidP="007E1815">
            <w:pPr>
              <w:pStyle w:val="ListParagraph"/>
              <w:numPr>
                <w:ilvl w:val="0"/>
                <w:numId w:val="9"/>
              </w:numPr>
              <w:spacing w:after="240"/>
              <w:contextualSpacing/>
              <w:jc w:val="both"/>
              <w:rPr>
                <w:rFonts w:ascii="Times New Roman" w:hAnsi="Times New Roman"/>
                <w:sz w:val="24"/>
                <w:lang w:val="lv-LV"/>
              </w:rPr>
            </w:pPr>
            <w:r w:rsidRPr="009E3A86">
              <w:rPr>
                <w:rFonts w:ascii="Times New Roman" w:hAnsi="Times New Roman"/>
                <w:sz w:val="24"/>
                <w:lang w:val="lv-LV"/>
              </w:rPr>
              <w:t xml:space="preserve">mazākuma līdzdalības daļa, uzskatot instrumenta termiņu par atlikušo termiņu, saskaņā ar </w:t>
            </w:r>
            <w:r w:rsidRPr="009E3A86">
              <w:rPr>
                <w:rFonts w:ascii="Times New Roman" w:hAnsi="Times New Roman"/>
                <w:i/>
                <w:sz w:val="24"/>
                <w:lang w:val="lv-LV"/>
              </w:rPr>
              <w:t>CRR</w:t>
            </w:r>
            <w:r w:rsidRPr="009E3A86">
              <w:rPr>
                <w:rFonts w:ascii="Times New Roman" w:hAnsi="Times New Roman"/>
                <w:sz w:val="24"/>
                <w:lang w:val="lv-LV"/>
              </w:rPr>
              <w:t xml:space="preserve"> 428.k panta 1. punkta b) apakšpunktu, un</w:t>
            </w:r>
          </w:p>
          <w:p w14:paraId="11536E39" w14:textId="77777777" w:rsidR="007E1815" w:rsidRPr="009E3A86" w:rsidRDefault="007E1815" w:rsidP="007E1815">
            <w:pPr>
              <w:pStyle w:val="ListParagraph"/>
              <w:numPr>
                <w:ilvl w:val="0"/>
                <w:numId w:val="9"/>
              </w:numPr>
              <w:spacing w:after="240"/>
              <w:contextualSpacing/>
              <w:jc w:val="both"/>
              <w:rPr>
                <w:rFonts w:ascii="Times New Roman" w:hAnsi="Times New Roman"/>
                <w:sz w:val="24"/>
                <w:lang w:val="lv-LV"/>
              </w:rPr>
            </w:pPr>
            <w:r w:rsidRPr="009E3A86">
              <w:rPr>
                <w:rFonts w:ascii="Times New Roman" w:hAnsi="Times New Roman"/>
                <w:sz w:val="24"/>
                <w:lang w:val="lv-LV"/>
              </w:rPr>
              <w:t xml:space="preserve">citas saistības, piemēram, īsās pozīcijas un nenoteikta termiņa pozīcijas, saskaņā ar </w:t>
            </w:r>
            <w:r w:rsidRPr="009E3A86">
              <w:rPr>
                <w:rFonts w:ascii="Times New Roman" w:hAnsi="Times New Roman"/>
                <w:i/>
                <w:sz w:val="24"/>
                <w:lang w:val="lv-LV"/>
              </w:rPr>
              <w:t>CRR</w:t>
            </w:r>
            <w:r w:rsidRPr="009E3A86">
              <w:rPr>
                <w:rFonts w:ascii="Times New Roman" w:hAnsi="Times New Roman"/>
                <w:sz w:val="24"/>
                <w:lang w:val="lv-LV"/>
              </w:rPr>
              <w:t xml:space="preserve"> 428.k panta 1. punktu un 428.k panta 3. punktu.</w:t>
            </w:r>
          </w:p>
        </w:tc>
      </w:tr>
      <w:tr w:rsidR="007E1815" w:rsidRPr="009E3A86" w14:paraId="654FDDC1" w14:textId="77777777" w:rsidTr="00D819DE">
        <w:tc>
          <w:tcPr>
            <w:tcW w:w="1355" w:type="dxa"/>
          </w:tcPr>
          <w:p w14:paraId="5C49C82C"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lastRenderedPageBreak/>
              <w:t>14.</w:t>
            </w:r>
          </w:p>
        </w:tc>
        <w:tc>
          <w:tcPr>
            <w:tcW w:w="7705" w:type="dxa"/>
          </w:tcPr>
          <w:p w14:paraId="159128F6"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Kopējais pieejamais stabilais finansējums (</w:t>
            </w:r>
            <w:r w:rsidRPr="009E3A86">
              <w:rPr>
                <w:rFonts w:ascii="Times New Roman" w:hAnsi="Times New Roman"/>
                <w:b/>
                <w:i/>
                <w:sz w:val="24"/>
                <w:lang w:val="lv-LV"/>
              </w:rPr>
              <w:t>ASF</w:t>
            </w:r>
            <w:r w:rsidRPr="009E3A86">
              <w:rPr>
                <w:rFonts w:ascii="Times New Roman" w:hAnsi="Times New Roman"/>
                <w:b/>
                <w:sz w:val="24"/>
                <w:lang w:val="lv-LV"/>
              </w:rPr>
              <w:t>)</w:t>
            </w:r>
          </w:p>
          <w:p w14:paraId="7CDD2B32" w14:textId="77777777" w:rsidR="007E1815" w:rsidRPr="009E3A86" w:rsidRDefault="007E1815" w:rsidP="00D819DE">
            <w:pPr>
              <w:pStyle w:val="TableParagraph"/>
              <w:spacing w:after="240"/>
              <w:jc w:val="both"/>
              <w:rPr>
                <w:rFonts w:ascii="Times New Roman" w:eastAsia="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sestās daļas IV sadaļas 3. nodaļa</w:t>
            </w:r>
          </w:p>
          <w:p w14:paraId="4BCF2875" w14:textId="77777777" w:rsidR="007E1815" w:rsidRPr="009E3A86" w:rsidRDefault="007E1815" w:rsidP="00D819DE">
            <w:pPr>
              <w:pStyle w:val="TableParagraph"/>
              <w:spacing w:after="240"/>
              <w:jc w:val="both"/>
              <w:rPr>
                <w:rFonts w:ascii="Times New Roman" w:hAnsi="Times New Roman"/>
                <w:sz w:val="24"/>
                <w:lang w:val="lv-LV"/>
              </w:rPr>
            </w:pPr>
            <w:r w:rsidRPr="009E3A86">
              <w:rPr>
                <w:rFonts w:ascii="Times New Roman" w:hAnsi="Times New Roman"/>
                <w:sz w:val="24"/>
                <w:lang w:val="lv-LV"/>
              </w:rPr>
              <w:t xml:space="preserve">Iestādes šeit atklāj to posteņu summu, kuri nodrošina pieejamo stabilo finansējumu saskaņā ar </w:t>
            </w:r>
            <w:r w:rsidRPr="009E3A86">
              <w:rPr>
                <w:rFonts w:ascii="Times New Roman" w:hAnsi="Times New Roman"/>
                <w:i/>
                <w:sz w:val="24"/>
                <w:lang w:val="lv-LV"/>
              </w:rPr>
              <w:t>CRR</w:t>
            </w:r>
            <w:r w:rsidRPr="009E3A86">
              <w:rPr>
                <w:rFonts w:ascii="Times New Roman" w:hAnsi="Times New Roman"/>
                <w:sz w:val="24"/>
                <w:lang w:val="lv-LV"/>
              </w:rPr>
              <w:t xml:space="preserve"> sestās daļas IV sadaļas 3. nodaļu (šīs veidnes 1., 4., 7., 10. un 11. rindā norādīto vērtību kopsumma).</w:t>
            </w:r>
          </w:p>
        </w:tc>
      </w:tr>
      <w:tr w:rsidR="007E1815" w:rsidRPr="009E3A86" w14:paraId="5C44ED41" w14:textId="77777777" w:rsidTr="00D819DE">
        <w:trPr>
          <w:trHeight w:val="567"/>
        </w:trPr>
        <w:tc>
          <w:tcPr>
            <w:tcW w:w="1355" w:type="dxa"/>
            <w:shd w:val="clear" w:color="auto" w:fill="D0CECE"/>
          </w:tcPr>
          <w:p w14:paraId="43FB195E" w14:textId="77777777" w:rsidR="007E1815" w:rsidRPr="009E3A86" w:rsidRDefault="007E1815" w:rsidP="00D819DE">
            <w:pPr>
              <w:spacing w:after="240"/>
              <w:rPr>
                <w:rFonts w:ascii="Times New Roman" w:hAnsi="Times New Roman"/>
                <w:color w:val="000000" w:themeColor="text1"/>
                <w:sz w:val="24"/>
                <w:lang w:val="lv-LV"/>
              </w:rPr>
            </w:pPr>
          </w:p>
        </w:tc>
        <w:tc>
          <w:tcPr>
            <w:tcW w:w="7705" w:type="dxa"/>
            <w:shd w:val="clear" w:color="auto" w:fill="D0CECE"/>
          </w:tcPr>
          <w:p w14:paraId="13090657" w14:textId="77777777" w:rsidR="007E1815" w:rsidRPr="009E3A86" w:rsidRDefault="007E1815" w:rsidP="00D819DE">
            <w:pPr>
              <w:spacing w:after="240"/>
              <w:rPr>
                <w:rFonts w:ascii="Times New Roman" w:hAnsi="Times New Roman"/>
                <w:b/>
                <w:color w:val="000000" w:themeColor="text1"/>
                <w:sz w:val="24"/>
                <w:lang w:val="lv-LV"/>
              </w:rPr>
            </w:pPr>
            <w:r w:rsidRPr="009E3A86">
              <w:rPr>
                <w:rFonts w:ascii="Times New Roman" w:hAnsi="Times New Roman"/>
                <w:b/>
                <w:color w:val="000000" w:themeColor="text1"/>
                <w:sz w:val="24"/>
                <w:lang w:val="lv-LV"/>
              </w:rPr>
              <w:t>Nepieciešamā stabilā finansējuma (</w:t>
            </w:r>
            <w:r w:rsidRPr="009E3A86">
              <w:rPr>
                <w:rFonts w:ascii="Times New Roman" w:hAnsi="Times New Roman"/>
                <w:b/>
                <w:i/>
                <w:color w:val="000000" w:themeColor="text1"/>
                <w:sz w:val="24"/>
                <w:lang w:val="lv-LV"/>
              </w:rPr>
              <w:t>RSF</w:t>
            </w:r>
            <w:r w:rsidRPr="009E3A86">
              <w:rPr>
                <w:rFonts w:ascii="Times New Roman" w:hAnsi="Times New Roman"/>
                <w:b/>
                <w:color w:val="000000" w:themeColor="text1"/>
                <w:sz w:val="24"/>
                <w:lang w:val="lv-LV"/>
              </w:rPr>
              <w:t>) posteņi</w:t>
            </w:r>
          </w:p>
        </w:tc>
      </w:tr>
      <w:tr w:rsidR="007E1815" w:rsidRPr="009E3A86" w14:paraId="5486139E" w14:textId="77777777" w:rsidTr="00D819DE">
        <w:tc>
          <w:tcPr>
            <w:tcW w:w="1355" w:type="dxa"/>
          </w:tcPr>
          <w:p w14:paraId="5B4EB28D"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15.</w:t>
            </w:r>
          </w:p>
        </w:tc>
        <w:tc>
          <w:tcPr>
            <w:tcW w:w="7705" w:type="dxa"/>
          </w:tcPr>
          <w:p w14:paraId="7524A030"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Augstas kvalitātes likvīdo aktīvu (</w:t>
            </w:r>
            <w:r w:rsidRPr="009E3A86">
              <w:rPr>
                <w:rFonts w:ascii="Times New Roman" w:hAnsi="Times New Roman"/>
                <w:b/>
                <w:i/>
                <w:sz w:val="24"/>
                <w:lang w:val="lv-LV"/>
              </w:rPr>
              <w:t>HQLA</w:t>
            </w:r>
            <w:r w:rsidRPr="009E3A86">
              <w:rPr>
                <w:rFonts w:ascii="Times New Roman" w:hAnsi="Times New Roman"/>
                <w:b/>
                <w:sz w:val="24"/>
                <w:lang w:val="lv-LV"/>
              </w:rPr>
              <w:t>) kopējā vērtība</w:t>
            </w:r>
          </w:p>
          <w:p w14:paraId="192250E5"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 xml:space="preserve">Iestādes šeit iekļauj arī apgrūtinātus un neapgrūtinātus augstas kvalitātes likvīdos aktīvus saskaņā ar Komisijas Deleģēto regulu (ES) 2015/61 neatkarīgi no tā, vai tie atbilst minētās deleģētās regulas 8. pantā minētajām operacionālajām prasībām, saskaņā ar </w:t>
            </w:r>
            <w:r w:rsidRPr="009E3A86">
              <w:rPr>
                <w:rFonts w:ascii="Times New Roman" w:hAnsi="Times New Roman"/>
                <w:i/>
                <w:sz w:val="24"/>
                <w:lang w:val="lv-LV"/>
              </w:rPr>
              <w:t>CRR</w:t>
            </w:r>
            <w:r w:rsidRPr="009E3A86">
              <w:rPr>
                <w:rFonts w:ascii="Times New Roman" w:hAnsi="Times New Roman"/>
                <w:sz w:val="24"/>
                <w:lang w:val="lv-LV"/>
              </w:rPr>
              <w:t xml:space="preserve"> 428.r–428.ae pantu.</w:t>
            </w:r>
          </w:p>
        </w:tc>
      </w:tr>
      <w:tr w:rsidR="007E1815" w:rsidRPr="009E3A86" w14:paraId="1652C25E" w14:textId="77777777" w:rsidTr="00D819DE">
        <w:tc>
          <w:tcPr>
            <w:tcW w:w="1355" w:type="dxa"/>
          </w:tcPr>
          <w:p w14:paraId="36AB779B"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EU-15.a</w:t>
            </w:r>
          </w:p>
        </w:tc>
        <w:tc>
          <w:tcPr>
            <w:tcW w:w="7705" w:type="dxa"/>
          </w:tcPr>
          <w:p w14:paraId="6B183BAA"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Apgrūtināti aktīvi ar atlikušo termiņu, kas ir viens gads, seguma portfelī</w:t>
            </w:r>
          </w:p>
          <w:p w14:paraId="1BB5D81B"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428.ag panta h) punkts</w:t>
            </w:r>
          </w:p>
          <w:p w14:paraId="2A30344A" w14:textId="77777777" w:rsidR="007E1815" w:rsidRPr="009E3A86" w:rsidRDefault="007E1815" w:rsidP="00D819DE">
            <w:pPr>
              <w:pStyle w:val="TableParagraph"/>
              <w:spacing w:after="240"/>
              <w:jc w:val="both"/>
              <w:rPr>
                <w:rFonts w:ascii="Times New Roman" w:hAnsi="Times New Roman"/>
                <w:sz w:val="24"/>
                <w:lang w:val="lv-LV"/>
              </w:rPr>
            </w:pPr>
            <w:r w:rsidRPr="009E3A86">
              <w:rPr>
                <w:rFonts w:ascii="Times New Roman" w:hAnsi="Times New Roman"/>
                <w:sz w:val="24"/>
                <w:lang w:val="lv-LV"/>
              </w:rPr>
              <w:t xml:space="preserve">Iestādes šeit atklāj to naudas līdzekļu summu, kas pienākas par aizdevumiem, kuriem nav iestājusies saistību neizpilde saskaņā ar </w:t>
            </w:r>
            <w:r w:rsidRPr="009E3A86">
              <w:rPr>
                <w:rFonts w:ascii="Times New Roman" w:hAnsi="Times New Roman"/>
                <w:i/>
                <w:sz w:val="24"/>
                <w:lang w:val="lv-LV"/>
              </w:rPr>
              <w:t>CRR</w:t>
            </w:r>
            <w:r w:rsidRPr="009E3A86">
              <w:rPr>
                <w:rFonts w:ascii="Times New Roman" w:hAnsi="Times New Roman"/>
                <w:sz w:val="24"/>
                <w:lang w:val="lv-LV"/>
              </w:rPr>
              <w:t xml:space="preserve"> 178. pantu, un likvīdos aktīvus, kam atlikušais apgrūtinājuma termiņš ir viens gads vai vairāk, seguma portfelī, kuru finansē ar segtām obligācijām, kā minēts Direktīvas 2009/65/EK</w:t>
            </w:r>
            <w:r w:rsidRPr="009E3A86">
              <w:rPr>
                <w:rStyle w:val="FootnoteReference"/>
                <w:rFonts w:ascii="Times New Roman" w:eastAsia="Times New Roman" w:hAnsi="Times New Roman"/>
                <w:sz w:val="24"/>
                <w:szCs w:val="24"/>
                <w:lang w:val="lv-LV" w:eastAsia="sv-SE"/>
              </w:rPr>
              <w:footnoteReference w:id="7"/>
            </w:r>
            <w:r w:rsidRPr="009E3A86">
              <w:rPr>
                <w:rFonts w:ascii="Times New Roman" w:hAnsi="Times New Roman"/>
                <w:sz w:val="24"/>
                <w:lang w:val="lv-LV"/>
              </w:rPr>
              <w:t xml:space="preserve"> 52. panta 4. punktā, vai segtām obligācijām, kas atbilst atbilstības prasībām, kuras dod tiesības ar tām rīkoties, kā izklāstīts </w:t>
            </w:r>
            <w:r w:rsidRPr="009E3A86">
              <w:rPr>
                <w:rFonts w:ascii="Times New Roman" w:hAnsi="Times New Roman"/>
                <w:i/>
                <w:sz w:val="24"/>
                <w:lang w:val="lv-LV"/>
              </w:rPr>
              <w:t>CRR</w:t>
            </w:r>
            <w:r w:rsidRPr="009E3A86">
              <w:rPr>
                <w:rFonts w:ascii="Times New Roman" w:hAnsi="Times New Roman"/>
                <w:sz w:val="24"/>
                <w:lang w:val="lv-LV"/>
              </w:rPr>
              <w:t xml:space="preserve"> 129. panta 4. vai 5. punktā.</w:t>
            </w:r>
          </w:p>
        </w:tc>
      </w:tr>
      <w:tr w:rsidR="007E1815" w:rsidRPr="009E3A86" w14:paraId="2122B833" w14:textId="77777777" w:rsidTr="00D819DE">
        <w:tc>
          <w:tcPr>
            <w:tcW w:w="1355" w:type="dxa"/>
          </w:tcPr>
          <w:p w14:paraId="7FF74E8F"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16.</w:t>
            </w:r>
          </w:p>
        </w:tc>
        <w:tc>
          <w:tcPr>
            <w:tcW w:w="7705" w:type="dxa"/>
          </w:tcPr>
          <w:p w14:paraId="4D8DCFEA"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Noguldījumi, kas tiek turēti citās finanšu iestādēs operacionāliem nolūkiem</w:t>
            </w:r>
          </w:p>
          <w:p w14:paraId="546E2989"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428.ad panta b) punkts</w:t>
            </w:r>
          </w:p>
          <w:p w14:paraId="213C4B55"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 xml:space="preserve">Iestādes šeit atklāj naudas līdzekļu summas, kas pienākas par aizdevumiem, kuriem nav iestājusies saistību neizpilde saskaņā ar </w:t>
            </w:r>
            <w:r w:rsidRPr="009E3A86">
              <w:rPr>
                <w:rFonts w:ascii="Times New Roman" w:hAnsi="Times New Roman"/>
                <w:i/>
                <w:sz w:val="24"/>
                <w:lang w:val="lv-LV"/>
              </w:rPr>
              <w:t>CRR</w:t>
            </w:r>
            <w:r w:rsidRPr="009E3A86">
              <w:rPr>
                <w:rFonts w:ascii="Times New Roman" w:hAnsi="Times New Roman"/>
                <w:sz w:val="24"/>
                <w:lang w:val="lv-LV"/>
              </w:rPr>
              <w:t xml:space="preserve"> 178. pantu, kas ir </w:t>
            </w:r>
            <w:r w:rsidRPr="009E3A86">
              <w:rPr>
                <w:rFonts w:ascii="Times New Roman" w:hAnsi="Times New Roman"/>
                <w:sz w:val="24"/>
                <w:lang w:val="lv-LV"/>
              </w:rPr>
              <w:lastRenderedPageBreak/>
              <w:t>operacionālie noguldījumi atbilstoši Komisijas Deleģētajai regulai (ES) 2015/61 un kas ir nepieciešamas operacionālo pakalpojumu sniegšanai.</w:t>
            </w:r>
          </w:p>
        </w:tc>
      </w:tr>
      <w:tr w:rsidR="007E1815" w:rsidRPr="009E3A86" w14:paraId="51365A88" w14:textId="77777777" w:rsidTr="00D819DE">
        <w:tc>
          <w:tcPr>
            <w:tcW w:w="1355" w:type="dxa"/>
          </w:tcPr>
          <w:p w14:paraId="4C013878"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lastRenderedPageBreak/>
              <w:t>17.</w:t>
            </w:r>
          </w:p>
        </w:tc>
        <w:tc>
          <w:tcPr>
            <w:tcW w:w="7705" w:type="dxa"/>
          </w:tcPr>
          <w:p w14:paraId="65E0396B"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Ienākumus nesoši aizdevumi un vērtspapīri:</w:t>
            </w:r>
          </w:p>
          <w:p w14:paraId="6607B84D"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šīs veidnes 18., 19., 20., 22. un 24. rindā norādīto vērtību kopsummu.</w:t>
            </w:r>
          </w:p>
        </w:tc>
      </w:tr>
      <w:tr w:rsidR="007E1815" w:rsidRPr="009E3A86" w14:paraId="4BAAFBF3" w14:textId="77777777" w:rsidTr="00D819DE">
        <w:tc>
          <w:tcPr>
            <w:tcW w:w="1355" w:type="dxa"/>
          </w:tcPr>
          <w:p w14:paraId="2D3BF736"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18.</w:t>
            </w:r>
          </w:p>
        </w:tc>
        <w:tc>
          <w:tcPr>
            <w:tcW w:w="7705" w:type="dxa"/>
          </w:tcPr>
          <w:p w14:paraId="7087AA5B"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 xml:space="preserve">Ienākumus nesoši vērtspapīru finansēšanas darījumi ar finanšu klientiem, kas nodrošināti ar 1. līmeņa </w:t>
            </w:r>
            <w:r w:rsidRPr="009E3A86">
              <w:rPr>
                <w:rFonts w:ascii="Times New Roman" w:hAnsi="Times New Roman"/>
                <w:b/>
                <w:i/>
                <w:sz w:val="24"/>
                <w:lang w:val="lv-LV"/>
              </w:rPr>
              <w:t>HQLA</w:t>
            </w:r>
            <w:r w:rsidRPr="009E3A86">
              <w:rPr>
                <w:rFonts w:ascii="Times New Roman" w:hAnsi="Times New Roman"/>
                <w:b/>
                <w:sz w:val="24"/>
                <w:lang w:val="lv-LV"/>
              </w:rPr>
              <w:t>, piemērojot 0 % diskontu</w:t>
            </w:r>
          </w:p>
          <w:p w14:paraId="1F9F59CD" w14:textId="77777777" w:rsidR="007E1815" w:rsidRPr="009E3A86" w:rsidRDefault="007E1815" w:rsidP="00D819DE">
            <w:pPr>
              <w:spacing w:after="240"/>
              <w:jc w:val="both"/>
              <w:rPr>
                <w:lang w:val="lv-LV"/>
              </w:rPr>
            </w:pPr>
            <w:r w:rsidRPr="009E3A86">
              <w:rPr>
                <w:rFonts w:ascii="Times New Roman" w:hAnsi="Times New Roman"/>
                <w:i/>
                <w:sz w:val="24"/>
                <w:lang w:val="lv-LV"/>
              </w:rPr>
              <w:t>CRR</w:t>
            </w:r>
            <w:r w:rsidRPr="009E3A86">
              <w:rPr>
                <w:rFonts w:ascii="Times New Roman" w:hAnsi="Times New Roman"/>
                <w:sz w:val="24"/>
                <w:lang w:val="lv-LV"/>
              </w:rPr>
              <w:t xml:space="preserve"> 428.e pants, 428.r panta 1. punkta g) apakšpunkts un 428.s panta b) punkts</w:t>
            </w:r>
          </w:p>
          <w:p w14:paraId="3F44C0F3"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 xml:space="preserve">Iestādes šeit atklāj naudas līdzekļu summas, kas pienākas no vērtspapīru finansēšanas darījumiem, kuriem nav iestājusies saistību neizpilde saskaņā ar </w:t>
            </w:r>
            <w:r w:rsidRPr="009E3A86">
              <w:rPr>
                <w:rFonts w:ascii="Times New Roman" w:hAnsi="Times New Roman"/>
                <w:i/>
                <w:sz w:val="24"/>
                <w:lang w:val="lv-LV"/>
              </w:rPr>
              <w:t>CRR</w:t>
            </w:r>
            <w:r w:rsidRPr="009E3A86">
              <w:rPr>
                <w:rFonts w:ascii="Times New Roman" w:hAnsi="Times New Roman"/>
                <w:sz w:val="24"/>
                <w:lang w:val="lv-LV"/>
              </w:rPr>
              <w:t xml:space="preserve"> 178. pantu, ar finanšu klientiem un kas ir nodrošināti ar 1. līmeņa aktīviem, kuriem var piemērot 0 % diskontu saskaņā ar Komisijas Deleģēto regulu (ES) 2015/61.</w:t>
            </w:r>
          </w:p>
        </w:tc>
      </w:tr>
      <w:tr w:rsidR="007E1815" w:rsidRPr="009E3A86" w14:paraId="3C902540" w14:textId="77777777" w:rsidTr="00D819DE">
        <w:tc>
          <w:tcPr>
            <w:tcW w:w="1355" w:type="dxa"/>
          </w:tcPr>
          <w:p w14:paraId="799072AA"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19.</w:t>
            </w:r>
          </w:p>
        </w:tc>
        <w:tc>
          <w:tcPr>
            <w:tcW w:w="7705" w:type="dxa"/>
          </w:tcPr>
          <w:p w14:paraId="358BD859" w14:textId="77777777" w:rsidR="007E1815" w:rsidRPr="009E3A86" w:rsidRDefault="007E1815" w:rsidP="00D819DE">
            <w:pPr>
              <w:pStyle w:val="TableParagraph"/>
              <w:spacing w:after="240"/>
              <w:ind w:right="96"/>
              <w:jc w:val="both"/>
              <w:rPr>
                <w:rFonts w:ascii="Times New Roman" w:hAnsi="Times New Roman"/>
                <w:sz w:val="24"/>
                <w:szCs w:val="24"/>
                <w:lang w:val="lv-LV"/>
              </w:rPr>
            </w:pPr>
            <w:r w:rsidRPr="009E3A86">
              <w:rPr>
                <w:rFonts w:ascii="Times New Roman" w:hAnsi="Times New Roman"/>
                <w:b/>
                <w:sz w:val="24"/>
                <w:lang w:val="lv-LV"/>
              </w:rPr>
              <w:t>Ienākumus nesoši vērtspapīru finansēšanas darījumi ar finanšu klientiem, kas nodrošināti ar citiem aktīviem un citiem aizdevumiem un avansa maksājumiem finanšu iestādēm</w:t>
            </w:r>
          </w:p>
          <w:p w14:paraId="50F79A15" w14:textId="77777777" w:rsidR="007E1815" w:rsidRPr="009E3A86" w:rsidRDefault="007E1815" w:rsidP="00D819DE">
            <w:pPr>
              <w:pStyle w:val="TableParagraph"/>
              <w:spacing w:after="240"/>
              <w:ind w:right="96"/>
              <w:jc w:val="both"/>
              <w:rPr>
                <w:rFonts w:ascii="Times New Roman" w:hAnsi="Times New Roman"/>
                <w:sz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428.s panta b) punkts, 428.ad panta d) punkts, 428.ah panta 1. punkta b) apakšpunkts un 428.v panta a) punkts</w:t>
            </w:r>
          </w:p>
          <w:p w14:paraId="45DF09F8"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šādu posteņu summu:</w:t>
            </w:r>
          </w:p>
          <w:p w14:paraId="188E4FFB" w14:textId="77777777" w:rsidR="007E1815" w:rsidRPr="009E3A86" w:rsidRDefault="007E1815" w:rsidP="007E1815">
            <w:pPr>
              <w:pStyle w:val="ListParagraph"/>
              <w:numPr>
                <w:ilvl w:val="0"/>
                <w:numId w:val="8"/>
              </w:numPr>
              <w:spacing w:after="240"/>
              <w:contextualSpacing/>
              <w:jc w:val="both"/>
              <w:rPr>
                <w:rFonts w:ascii="Times New Roman" w:hAnsi="Times New Roman"/>
                <w:sz w:val="24"/>
                <w:lang w:val="lv-LV"/>
              </w:rPr>
            </w:pPr>
            <w:r w:rsidRPr="009E3A86">
              <w:rPr>
                <w:rFonts w:ascii="Times New Roman" w:hAnsi="Times New Roman"/>
                <w:sz w:val="24"/>
                <w:lang w:val="lv-LV"/>
              </w:rPr>
              <w:t xml:space="preserve">naudas līdzekļu summas, kas pienākas no vērtspapīru finansēšanas darījumiem, kuriem nav iestājusies saistību neizpilde saskaņā ar </w:t>
            </w:r>
            <w:r w:rsidRPr="009E3A86">
              <w:rPr>
                <w:rFonts w:ascii="Times New Roman" w:hAnsi="Times New Roman"/>
                <w:i/>
                <w:sz w:val="24"/>
                <w:lang w:val="lv-LV"/>
              </w:rPr>
              <w:t>CRR</w:t>
            </w:r>
            <w:r w:rsidRPr="009E3A86">
              <w:rPr>
                <w:rFonts w:ascii="Times New Roman" w:hAnsi="Times New Roman"/>
                <w:sz w:val="24"/>
                <w:lang w:val="lv-LV"/>
              </w:rPr>
              <w:t xml:space="preserve"> 178. pantu, ar finanšu klientiem un kas ir nodrošināti ar aktīviem, kuri nav 1. līmeņa aktīvi, kam var piemērot 0 % diskontu saskaņā ar Komisijas Deleģēto regulu (ES) 2015/61, un</w:t>
            </w:r>
          </w:p>
          <w:p w14:paraId="269EFE57" w14:textId="77777777" w:rsidR="007E1815" w:rsidRPr="009E3A86" w:rsidRDefault="007E1815" w:rsidP="007E1815">
            <w:pPr>
              <w:pStyle w:val="ListParagraph"/>
              <w:numPr>
                <w:ilvl w:val="0"/>
                <w:numId w:val="8"/>
              </w:numPr>
              <w:spacing w:after="240"/>
              <w:contextualSpacing/>
              <w:jc w:val="both"/>
              <w:rPr>
                <w:rFonts w:ascii="Times New Roman" w:hAnsi="Times New Roman"/>
                <w:sz w:val="24"/>
                <w:lang w:val="lv-LV"/>
              </w:rPr>
            </w:pPr>
            <w:r w:rsidRPr="009E3A86">
              <w:rPr>
                <w:rFonts w:ascii="Times New Roman" w:hAnsi="Times New Roman"/>
                <w:sz w:val="24"/>
                <w:lang w:val="lv-LV"/>
              </w:rPr>
              <w:t xml:space="preserve">naudas līdzekļu summas, kas pienākas no citiem aizdevumiem un avansa maksājumiem, kuriem nav iestājusies saistību neizpilde saskaņā ar </w:t>
            </w:r>
            <w:r w:rsidRPr="009E3A86">
              <w:rPr>
                <w:rFonts w:ascii="Times New Roman" w:hAnsi="Times New Roman"/>
                <w:i/>
                <w:sz w:val="24"/>
                <w:lang w:val="lv-LV"/>
              </w:rPr>
              <w:t>CRR</w:t>
            </w:r>
            <w:r w:rsidRPr="009E3A86">
              <w:rPr>
                <w:rFonts w:ascii="Times New Roman" w:hAnsi="Times New Roman"/>
                <w:sz w:val="24"/>
                <w:lang w:val="lv-LV"/>
              </w:rPr>
              <w:t xml:space="preserve"> 178. pantu, finanšu klientiem saskaņā ar </w:t>
            </w:r>
            <w:r w:rsidRPr="009E3A86">
              <w:rPr>
                <w:rFonts w:ascii="Times New Roman" w:hAnsi="Times New Roman"/>
                <w:i/>
                <w:sz w:val="24"/>
                <w:lang w:val="lv-LV"/>
              </w:rPr>
              <w:t>CRR</w:t>
            </w:r>
            <w:r w:rsidRPr="009E3A86">
              <w:rPr>
                <w:rFonts w:ascii="Times New Roman" w:hAnsi="Times New Roman"/>
                <w:sz w:val="24"/>
                <w:lang w:val="lv-LV"/>
              </w:rPr>
              <w:t xml:space="preserve"> 428.v panta a) punktu un 428.ad panta d) punkta iii) apakšpunktu.</w:t>
            </w:r>
          </w:p>
        </w:tc>
      </w:tr>
      <w:tr w:rsidR="007E1815" w:rsidRPr="009E3A86" w14:paraId="16173500" w14:textId="77777777" w:rsidTr="00D819DE">
        <w:tc>
          <w:tcPr>
            <w:tcW w:w="1355" w:type="dxa"/>
          </w:tcPr>
          <w:p w14:paraId="00F1D355"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20.</w:t>
            </w:r>
          </w:p>
        </w:tc>
        <w:tc>
          <w:tcPr>
            <w:tcW w:w="7705" w:type="dxa"/>
          </w:tcPr>
          <w:p w14:paraId="58451781" w14:textId="129C7942"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 xml:space="preserve">Ienākumus nesoši aizdevumi </w:t>
            </w:r>
            <w:proofErr w:type="spellStart"/>
            <w:r w:rsidRPr="009E3A86">
              <w:rPr>
                <w:rFonts w:ascii="Times New Roman" w:hAnsi="Times New Roman"/>
                <w:b/>
                <w:sz w:val="24"/>
                <w:lang w:val="lv-LV"/>
              </w:rPr>
              <w:t>nefinanšu</w:t>
            </w:r>
            <w:proofErr w:type="spellEnd"/>
            <w:r w:rsidRPr="009E3A86">
              <w:rPr>
                <w:rFonts w:ascii="Times New Roman" w:hAnsi="Times New Roman"/>
                <w:b/>
                <w:sz w:val="24"/>
                <w:lang w:val="lv-LV"/>
              </w:rPr>
              <w:t xml:space="preserve"> korporatīvajiem klientiem, aizdevumi privātajiem klientiem un mazajiem uzņēmumiem, aizdevumi valstij un PSS, t.</w:t>
            </w:r>
            <w:r w:rsidR="009E3A86">
              <w:rPr>
                <w:rFonts w:ascii="Times New Roman" w:hAnsi="Times New Roman"/>
                <w:b/>
                <w:sz w:val="24"/>
                <w:lang w:val="lv-LV"/>
              </w:rPr>
              <w:t> </w:t>
            </w:r>
            <w:r w:rsidRPr="009E3A86">
              <w:rPr>
                <w:rFonts w:ascii="Times New Roman" w:hAnsi="Times New Roman"/>
                <w:b/>
                <w:sz w:val="24"/>
                <w:lang w:val="lv-LV"/>
              </w:rPr>
              <w:t>sk.:</w:t>
            </w:r>
          </w:p>
          <w:p w14:paraId="6DA38F78"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428.ad panta c) punkts, 428.af pants un 428.ag panta c) punkts</w:t>
            </w:r>
          </w:p>
          <w:p w14:paraId="36C3F192"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 xml:space="preserve">Iestādes šeit atklāj naudas līdzekļu summas, kas pienākas no aizdevumiem, kuriem nav iestājusies saistību neizpilde saskaņā ar </w:t>
            </w:r>
            <w:r w:rsidRPr="009E3A86">
              <w:rPr>
                <w:rFonts w:ascii="Times New Roman" w:hAnsi="Times New Roman"/>
                <w:i/>
                <w:sz w:val="24"/>
                <w:lang w:val="lv-LV"/>
              </w:rPr>
              <w:t>CRR</w:t>
            </w:r>
            <w:r w:rsidRPr="009E3A86">
              <w:rPr>
                <w:rFonts w:ascii="Times New Roman" w:hAnsi="Times New Roman"/>
                <w:sz w:val="24"/>
                <w:lang w:val="lv-LV"/>
              </w:rPr>
              <w:t xml:space="preserve"> 178. pantu, kas ir kredīti mājokļa iegādei, kuru atmaksu pilnībā garantē atbilstošs aizsardzības devējs, kā minēts </w:t>
            </w:r>
            <w:r w:rsidRPr="009E3A86">
              <w:rPr>
                <w:rFonts w:ascii="Times New Roman" w:hAnsi="Times New Roman"/>
                <w:i/>
                <w:sz w:val="24"/>
                <w:lang w:val="lv-LV"/>
              </w:rPr>
              <w:t>CRR</w:t>
            </w:r>
            <w:r w:rsidRPr="009E3A86">
              <w:rPr>
                <w:rFonts w:ascii="Times New Roman" w:hAnsi="Times New Roman"/>
                <w:sz w:val="24"/>
                <w:lang w:val="lv-LV"/>
              </w:rPr>
              <w:t xml:space="preserve"> 129. panta 1. punkta e) apakšpunktā, vai aizdevumi, izņemot aizdevumus finanšu klientiem un aizdevumus, kas minēti </w:t>
            </w:r>
            <w:r w:rsidRPr="009E3A86">
              <w:rPr>
                <w:rFonts w:ascii="Times New Roman" w:hAnsi="Times New Roman"/>
                <w:i/>
                <w:sz w:val="24"/>
                <w:lang w:val="lv-LV"/>
              </w:rPr>
              <w:t>CRR</w:t>
            </w:r>
            <w:r w:rsidRPr="009E3A86">
              <w:rPr>
                <w:rFonts w:ascii="Times New Roman" w:hAnsi="Times New Roman"/>
                <w:sz w:val="24"/>
                <w:lang w:val="lv-LV"/>
              </w:rPr>
              <w:t xml:space="preserve"> 428.r–428.ad pantā, izņemot </w:t>
            </w:r>
            <w:r w:rsidRPr="009E3A86">
              <w:rPr>
                <w:rFonts w:ascii="Times New Roman" w:hAnsi="Times New Roman"/>
                <w:i/>
                <w:sz w:val="24"/>
                <w:lang w:val="lv-LV"/>
              </w:rPr>
              <w:t>CRR</w:t>
            </w:r>
            <w:r w:rsidRPr="009E3A86">
              <w:rPr>
                <w:rFonts w:ascii="Times New Roman" w:hAnsi="Times New Roman"/>
                <w:sz w:val="24"/>
                <w:lang w:val="lv-LV"/>
              </w:rPr>
              <w:t xml:space="preserve"> 428.ad panta c) punktu, neatkarīgi no šiem </w:t>
            </w:r>
            <w:r w:rsidRPr="009E3A86">
              <w:rPr>
                <w:rFonts w:ascii="Times New Roman" w:hAnsi="Times New Roman"/>
                <w:sz w:val="24"/>
                <w:lang w:val="lv-LV"/>
              </w:rPr>
              <w:lastRenderedPageBreak/>
              <w:t>aizdevumiem piešķirtās riska pakāpes. Šajā summā neiekļauj riska darījumus, kas nodrošināti ar mājokļa nekustamā īpašuma hipotēku.</w:t>
            </w:r>
          </w:p>
        </w:tc>
      </w:tr>
      <w:tr w:rsidR="007E1815" w:rsidRPr="009E3A86" w14:paraId="20F6DFE3" w14:textId="77777777" w:rsidTr="00D819DE">
        <w:tc>
          <w:tcPr>
            <w:tcW w:w="1355" w:type="dxa"/>
          </w:tcPr>
          <w:p w14:paraId="1358F501"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lastRenderedPageBreak/>
              <w:t>21.</w:t>
            </w:r>
          </w:p>
        </w:tc>
        <w:tc>
          <w:tcPr>
            <w:tcW w:w="7705" w:type="dxa"/>
          </w:tcPr>
          <w:p w14:paraId="56BBDD16"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Ar riska pakāpi, kas ir 35 % vai mazāka saskaņā ar Bāzeles II standartizēto pieeju attiecībā uz kredītrisku</w:t>
            </w:r>
          </w:p>
          <w:p w14:paraId="001D77E7" w14:textId="77777777" w:rsidR="007E1815" w:rsidRPr="009E3A86" w:rsidRDefault="007E1815" w:rsidP="00D819DE">
            <w:pPr>
              <w:pStyle w:val="TableParagraph"/>
              <w:spacing w:after="240"/>
              <w:ind w:right="99"/>
              <w:jc w:val="both"/>
              <w:rPr>
                <w:rFonts w:ascii="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428.ad panta c) punkts un 428.af pants</w:t>
            </w:r>
          </w:p>
          <w:p w14:paraId="058D8368"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 xml:space="preserve">Iestādes šeit atklāj tās aizdevumu summas no šīs veidnes 21. rindas, kurām ir piešķirta riska pakāpe 35 % vai mazāka saskaņā ar </w:t>
            </w:r>
            <w:r w:rsidRPr="009E3A86">
              <w:rPr>
                <w:rFonts w:ascii="Times New Roman" w:hAnsi="Times New Roman"/>
                <w:i/>
                <w:sz w:val="24"/>
                <w:lang w:val="lv-LV"/>
              </w:rPr>
              <w:t>CRR</w:t>
            </w:r>
            <w:r w:rsidRPr="009E3A86">
              <w:rPr>
                <w:rFonts w:ascii="Times New Roman" w:hAnsi="Times New Roman"/>
                <w:sz w:val="24"/>
                <w:lang w:val="lv-LV"/>
              </w:rPr>
              <w:t xml:space="preserve"> trešās daļas II sadaļas 2. nodaļu.</w:t>
            </w:r>
          </w:p>
        </w:tc>
      </w:tr>
      <w:tr w:rsidR="007E1815" w:rsidRPr="009E3A86" w14:paraId="29C889F9" w14:textId="77777777" w:rsidTr="00D819DE">
        <w:tc>
          <w:tcPr>
            <w:tcW w:w="1355" w:type="dxa"/>
          </w:tcPr>
          <w:p w14:paraId="39F7C4AB"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22.</w:t>
            </w:r>
          </w:p>
        </w:tc>
        <w:tc>
          <w:tcPr>
            <w:tcW w:w="7705" w:type="dxa"/>
          </w:tcPr>
          <w:p w14:paraId="7140A66D" w14:textId="77777777" w:rsidR="007E1815" w:rsidRPr="009E3A86" w:rsidRDefault="007E1815" w:rsidP="00D819DE">
            <w:pPr>
              <w:spacing w:after="240"/>
              <w:jc w:val="both"/>
              <w:rPr>
                <w:rFonts w:ascii="Times New Roman" w:hAnsi="Times New Roman" w:cs="Times New Roman"/>
                <w:b/>
                <w:sz w:val="24"/>
                <w:lang w:val="lv-LV"/>
              </w:rPr>
            </w:pPr>
            <w:r w:rsidRPr="009E3A86">
              <w:rPr>
                <w:rFonts w:ascii="Times New Roman" w:hAnsi="Times New Roman"/>
                <w:b/>
                <w:sz w:val="24"/>
                <w:lang w:val="lv-LV"/>
              </w:rPr>
              <w:t>Ienākumus nesošas mājokļu hipotēkas, t. sk.:</w:t>
            </w:r>
          </w:p>
          <w:p w14:paraId="583DA513"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428.ad panta c) punkts, 428.af panta a) punkts un 428.ag panta c) punkts</w:t>
            </w:r>
          </w:p>
          <w:p w14:paraId="4FF29EF2" w14:textId="77777777" w:rsidR="007E1815" w:rsidRPr="009E3A86" w:rsidRDefault="007E1815" w:rsidP="00D819DE">
            <w:pPr>
              <w:pStyle w:val="TableParagraph"/>
              <w:spacing w:after="240"/>
              <w:ind w:right="99"/>
              <w:jc w:val="both"/>
              <w:rPr>
                <w:rFonts w:ascii="Times New Roman" w:hAnsi="Times New Roman"/>
                <w:sz w:val="24"/>
                <w:szCs w:val="24"/>
                <w:lang w:val="lv-LV"/>
              </w:rPr>
            </w:pPr>
            <w:r w:rsidRPr="009E3A86">
              <w:rPr>
                <w:rFonts w:ascii="Times New Roman" w:hAnsi="Times New Roman"/>
                <w:sz w:val="24"/>
                <w:lang w:val="lv-LV"/>
              </w:rPr>
              <w:t xml:space="preserve">Iestādes šeit atklāj naudas līdzekļu summas, kas pienākas no aizdevumiem, kuriem nav iestājusies saistību neizpilde saskaņā ar </w:t>
            </w:r>
            <w:r w:rsidRPr="009E3A86">
              <w:rPr>
                <w:rFonts w:ascii="Times New Roman" w:hAnsi="Times New Roman"/>
                <w:i/>
                <w:sz w:val="24"/>
                <w:lang w:val="lv-LV"/>
              </w:rPr>
              <w:t>CRR</w:t>
            </w:r>
            <w:r w:rsidRPr="009E3A86">
              <w:rPr>
                <w:rFonts w:ascii="Times New Roman" w:hAnsi="Times New Roman"/>
                <w:sz w:val="24"/>
                <w:lang w:val="lv-LV"/>
              </w:rPr>
              <w:t xml:space="preserve"> 178. pantu, kas ir aizdevumi, kuri nodrošināti ar mājokļa nekustamā īpašuma hipotēku, izņemot aizdevumus finanšu klientiem un aizdevumus, kas minēti </w:t>
            </w:r>
            <w:r w:rsidRPr="009E3A86">
              <w:rPr>
                <w:rFonts w:ascii="Times New Roman" w:hAnsi="Times New Roman"/>
                <w:i/>
                <w:sz w:val="24"/>
                <w:lang w:val="lv-LV"/>
              </w:rPr>
              <w:t>CRR</w:t>
            </w:r>
            <w:r w:rsidRPr="009E3A86">
              <w:rPr>
                <w:rFonts w:ascii="Times New Roman" w:hAnsi="Times New Roman"/>
                <w:sz w:val="24"/>
                <w:lang w:val="lv-LV"/>
              </w:rPr>
              <w:t xml:space="preserve"> 428.r–428.ad pantā, izņemot </w:t>
            </w:r>
            <w:r w:rsidRPr="009E3A86">
              <w:rPr>
                <w:rFonts w:ascii="Times New Roman" w:hAnsi="Times New Roman"/>
                <w:i/>
                <w:sz w:val="24"/>
                <w:lang w:val="lv-LV"/>
              </w:rPr>
              <w:t>CRR</w:t>
            </w:r>
            <w:r w:rsidRPr="009E3A86">
              <w:rPr>
                <w:rFonts w:ascii="Times New Roman" w:hAnsi="Times New Roman"/>
                <w:sz w:val="24"/>
                <w:lang w:val="lv-LV"/>
              </w:rPr>
              <w:t xml:space="preserve"> 428.ad panta c) punktu, neatkarīgi no šiem aizdevumiem piešķirtās riska pakāpes.</w:t>
            </w:r>
          </w:p>
        </w:tc>
      </w:tr>
      <w:tr w:rsidR="007E1815" w:rsidRPr="009E3A86" w14:paraId="54156A49" w14:textId="77777777" w:rsidTr="00D819DE">
        <w:tc>
          <w:tcPr>
            <w:tcW w:w="1355" w:type="dxa"/>
          </w:tcPr>
          <w:p w14:paraId="0D61EA0E"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23.</w:t>
            </w:r>
          </w:p>
        </w:tc>
        <w:tc>
          <w:tcPr>
            <w:tcW w:w="7705" w:type="dxa"/>
          </w:tcPr>
          <w:p w14:paraId="005CD157"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Ar riska pakāpi, kas ir 35 % vai mazāka saskaņā ar Bāzeles II standartizēto pieeju attiecībā uz kredītrisku</w:t>
            </w:r>
          </w:p>
          <w:p w14:paraId="03D79734"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428.ad panta c) punkts un 428.af panta a) punkts</w:t>
            </w:r>
          </w:p>
          <w:p w14:paraId="00D059E6"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 xml:space="preserve">Iestādes šeit iekļauj tās aizdevumu summas no šīs veidnes 22. rindas, kurām ir piešķirta riska pakāpe 35 % vai mazāka saskaņā ar </w:t>
            </w:r>
            <w:r w:rsidRPr="009E3A86">
              <w:rPr>
                <w:rFonts w:ascii="Times New Roman" w:hAnsi="Times New Roman"/>
                <w:i/>
                <w:sz w:val="24"/>
                <w:lang w:val="lv-LV"/>
              </w:rPr>
              <w:t>CRR</w:t>
            </w:r>
            <w:r w:rsidRPr="009E3A86">
              <w:rPr>
                <w:rFonts w:ascii="Times New Roman" w:hAnsi="Times New Roman"/>
                <w:sz w:val="24"/>
                <w:lang w:val="lv-LV"/>
              </w:rPr>
              <w:t xml:space="preserve"> trešās daļas II sadaļas 2. nodaļu.</w:t>
            </w:r>
          </w:p>
        </w:tc>
      </w:tr>
      <w:tr w:rsidR="007E1815" w:rsidRPr="009E3A86" w14:paraId="6434C3BA" w14:textId="77777777" w:rsidTr="00D819DE">
        <w:tc>
          <w:tcPr>
            <w:tcW w:w="1355" w:type="dxa"/>
          </w:tcPr>
          <w:p w14:paraId="549B601B"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24.</w:t>
            </w:r>
          </w:p>
        </w:tc>
        <w:tc>
          <w:tcPr>
            <w:tcW w:w="7705" w:type="dxa"/>
          </w:tcPr>
          <w:p w14:paraId="67C2DE86"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 xml:space="preserve">Citi aizdevumi un vērtspapīri, kam nav iestājusies saistību neizpilde un kas nav kvalificējami kā </w:t>
            </w:r>
            <w:r w:rsidRPr="009E3A86">
              <w:rPr>
                <w:rFonts w:ascii="Times New Roman" w:hAnsi="Times New Roman"/>
                <w:b/>
                <w:i/>
                <w:sz w:val="24"/>
                <w:lang w:val="lv-LV"/>
              </w:rPr>
              <w:t>HQLA</w:t>
            </w:r>
            <w:r w:rsidRPr="009E3A86">
              <w:rPr>
                <w:rFonts w:ascii="Times New Roman" w:hAnsi="Times New Roman"/>
                <w:b/>
                <w:sz w:val="24"/>
                <w:lang w:val="lv-LV"/>
              </w:rPr>
              <w:t>, tajā skaitā biržā tirgoti kapitāla vērtspapīri un produkti, kas saistīti ar tirdzniecības finansējuma bilances posteņiem</w:t>
            </w:r>
          </w:p>
          <w:p w14:paraId="39DF980B"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šādu posteņu kopsummu:</w:t>
            </w:r>
          </w:p>
          <w:p w14:paraId="51D89DE9" w14:textId="77777777" w:rsidR="007E1815" w:rsidRPr="009E3A86" w:rsidRDefault="007E1815" w:rsidP="007E1815">
            <w:pPr>
              <w:pStyle w:val="ListParagraph"/>
              <w:numPr>
                <w:ilvl w:val="0"/>
                <w:numId w:val="8"/>
              </w:numPr>
              <w:spacing w:after="240"/>
              <w:contextualSpacing/>
              <w:jc w:val="both"/>
              <w:rPr>
                <w:rFonts w:ascii="Times New Roman" w:hAnsi="Times New Roman"/>
                <w:sz w:val="24"/>
                <w:lang w:val="lv-LV"/>
              </w:rPr>
            </w:pPr>
            <w:r w:rsidRPr="009E3A86">
              <w:rPr>
                <w:rFonts w:ascii="Times New Roman" w:hAnsi="Times New Roman"/>
                <w:sz w:val="24"/>
                <w:lang w:val="lv-LV"/>
              </w:rPr>
              <w:t xml:space="preserve">ievērojot </w:t>
            </w:r>
            <w:r w:rsidRPr="009E3A86">
              <w:rPr>
                <w:rFonts w:ascii="Times New Roman" w:hAnsi="Times New Roman"/>
                <w:i/>
                <w:sz w:val="24"/>
                <w:lang w:val="lv-LV"/>
              </w:rPr>
              <w:t>CRR</w:t>
            </w:r>
            <w:r w:rsidRPr="009E3A86">
              <w:rPr>
                <w:rFonts w:ascii="Times New Roman" w:hAnsi="Times New Roman"/>
                <w:sz w:val="24"/>
                <w:lang w:val="lv-LV"/>
              </w:rPr>
              <w:t xml:space="preserve"> 428.ag panta e) un f) punktu – vērtspapīri, kam nav iestājies saistību neizpildes termiņš saskaņā ar </w:t>
            </w:r>
            <w:r w:rsidRPr="009E3A86">
              <w:rPr>
                <w:rFonts w:ascii="Times New Roman" w:hAnsi="Times New Roman"/>
                <w:i/>
                <w:sz w:val="24"/>
                <w:lang w:val="lv-LV"/>
              </w:rPr>
              <w:t>CRR</w:t>
            </w:r>
            <w:r w:rsidRPr="009E3A86">
              <w:rPr>
                <w:rFonts w:ascii="Times New Roman" w:hAnsi="Times New Roman"/>
                <w:sz w:val="24"/>
                <w:lang w:val="lv-LV"/>
              </w:rPr>
              <w:t xml:space="preserve"> 178. pantu un kas nav likvīdie aktīvi saskaņā ar Komisijas Deleģēto regulu (ES) 2015/61, neatkarīgi no tā, vai tie atbilst tajā noteiktajām operacionālajām prasībām, un</w:t>
            </w:r>
          </w:p>
          <w:p w14:paraId="7E2ECB28" w14:textId="77777777" w:rsidR="007E1815" w:rsidRPr="009E3A86" w:rsidRDefault="007E1815" w:rsidP="007E1815">
            <w:pPr>
              <w:pStyle w:val="ListParagraph"/>
              <w:numPr>
                <w:ilvl w:val="0"/>
                <w:numId w:val="8"/>
              </w:numPr>
              <w:spacing w:after="240"/>
              <w:contextualSpacing/>
              <w:jc w:val="both"/>
              <w:rPr>
                <w:rFonts w:ascii="Times New Roman" w:hAnsi="Times New Roman"/>
                <w:sz w:val="24"/>
                <w:lang w:val="lv-LV"/>
              </w:rPr>
            </w:pPr>
            <w:r w:rsidRPr="009E3A86">
              <w:rPr>
                <w:rFonts w:ascii="Times New Roman" w:hAnsi="Times New Roman"/>
                <w:sz w:val="24"/>
                <w:lang w:val="lv-LV"/>
              </w:rPr>
              <w:t xml:space="preserve">produkti, kas saistīti ar tirdzniecības finansējuma bilances posteņiem saskaņā ar </w:t>
            </w:r>
            <w:r w:rsidRPr="009E3A86">
              <w:rPr>
                <w:rFonts w:ascii="Times New Roman" w:hAnsi="Times New Roman"/>
                <w:i/>
                <w:sz w:val="24"/>
                <w:lang w:val="lv-LV"/>
              </w:rPr>
              <w:t>CRR</w:t>
            </w:r>
            <w:r w:rsidRPr="009E3A86">
              <w:rPr>
                <w:rFonts w:ascii="Times New Roman" w:hAnsi="Times New Roman"/>
                <w:sz w:val="24"/>
                <w:lang w:val="lv-LV"/>
              </w:rPr>
              <w:t xml:space="preserve"> 428.v panta b) punktu, 428.ad panta e) punktu un 428.ag panta d) punktu.</w:t>
            </w:r>
          </w:p>
        </w:tc>
      </w:tr>
      <w:tr w:rsidR="007E1815" w:rsidRPr="009E3A86" w14:paraId="35E36BF0" w14:textId="77777777" w:rsidTr="00D819DE">
        <w:tc>
          <w:tcPr>
            <w:tcW w:w="1355" w:type="dxa"/>
          </w:tcPr>
          <w:p w14:paraId="57459CB2"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25.</w:t>
            </w:r>
          </w:p>
        </w:tc>
        <w:tc>
          <w:tcPr>
            <w:tcW w:w="7705" w:type="dxa"/>
          </w:tcPr>
          <w:p w14:paraId="2499489C"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Savstarpēji atkarīgi aktīvi</w:t>
            </w:r>
          </w:p>
          <w:p w14:paraId="27834A63" w14:textId="77777777" w:rsidR="007E1815" w:rsidRPr="009E3A86" w:rsidRDefault="007E1815" w:rsidP="00D819DE">
            <w:pPr>
              <w:pStyle w:val="TableParagraph"/>
              <w:spacing w:after="240"/>
              <w:ind w:right="99"/>
              <w:jc w:val="both"/>
              <w:rPr>
                <w:rFonts w:ascii="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428.f pants un 428.r panta 1. punkta f) apakšpunkts</w:t>
            </w:r>
          </w:p>
          <w:p w14:paraId="72C976E7"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lastRenderedPageBreak/>
              <w:t xml:space="preserve">Iestādes šeit atklāj aktīvus, kas saņēmuši kompetentās iestādes apstiprinājumu un uzskatāmi par savstarpēji atkarīgiem ar saistībām saskaņā ar </w:t>
            </w:r>
            <w:r w:rsidRPr="009E3A86">
              <w:rPr>
                <w:rFonts w:ascii="Times New Roman" w:hAnsi="Times New Roman"/>
                <w:i/>
                <w:sz w:val="24"/>
                <w:lang w:val="lv-LV"/>
              </w:rPr>
              <w:t>CRR</w:t>
            </w:r>
            <w:r w:rsidRPr="009E3A86">
              <w:rPr>
                <w:rFonts w:ascii="Times New Roman" w:hAnsi="Times New Roman"/>
                <w:sz w:val="24"/>
                <w:lang w:val="lv-LV"/>
              </w:rPr>
              <w:t xml:space="preserve"> 428.f pantu.</w:t>
            </w:r>
          </w:p>
        </w:tc>
      </w:tr>
      <w:tr w:rsidR="007E1815" w:rsidRPr="009E3A86" w14:paraId="0CF97540" w14:textId="77777777" w:rsidTr="00D819DE">
        <w:tc>
          <w:tcPr>
            <w:tcW w:w="1355" w:type="dxa"/>
          </w:tcPr>
          <w:p w14:paraId="70B09EF1"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lastRenderedPageBreak/>
              <w:t>26.</w:t>
            </w:r>
          </w:p>
        </w:tc>
        <w:tc>
          <w:tcPr>
            <w:tcW w:w="7705" w:type="dxa"/>
          </w:tcPr>
          <w:p w14:paraId="42CE6BB4"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Pārējie aktīvi:</w:t>
            </w:r>
          </w:p>
          <w:p w14:paraId="04069E74"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šīs veidnes 27., 28., 29., 30. un 31. rindā norādīto vērtību kopsummu.</w:t>
            </w:r>
          </w:p>
        </w:tc>
      </w:tr>
      <w:tr w:rsidR="007E1815" w:rsidRPr="009E3A86" w14:paraId="308B373B" w14:textId="77777777" w:rsidTr="00D819DE">
        <w:tc>
          <w:tcPr>
            <w:tcW w:w="1355" w:type="dxa"/>
          </w:tcPr>
          <w:p w14:paraId="5913D910"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27.</w:t>
            </w:r>
          </w:p>
        </w:tc>
        <w:tc>
          <w:tcPr>
            <w:tcW w:w="7705" w:type="dxa"/>
          </w:tcPr>
          <w:p w14:paraId="697B1938"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Fiziski tirgotas preces</w:t>
            </w:r>
          </w:p>
          <w:p w14:paraId="32837474" w14:textId="77777777" w:rsidR="007E1815" w:rsidRPr="009E3A86" w:rsidRDefault="007E1815" w:rsidP="00D819DE">
            <w:pPr>
              <w:pStyle w:val="TableParagraph"/>
              <w:spacing w:after="240"/>
              <w:ind w:right="99"/>
              <w:jc w:val="both"/>
              <w:rPr>
                <w:rFonts w:ascii="Times New Roman" w:hAnsi="Times New Roman"/>
                <w:sz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428.ag panta g) punkts</w:t>
            </w:r>
          </w:p>
          <w:p w14:paraId="78174A53"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fiziski tirgoto preču apjomu. Šis apjoms neietver preču atvasinātos instrumentus.</w:t>
            </w:r>
          </w:p>
        </w:tc>
      </w:tr>
      <w:tr w:rsidR="007E1815" w:rsidRPr="009E3A86" w14:paraId="26AD8E34" w14:textId="77777777" w:rsidTr="00D819DE">
        <w:tc>
          <w:tcPr>
            <w:tcW w:w="1355" w:type="dxa"/>
          </w:tcPr>
          <w:p w14:paraId="67D2AD9F"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28.</w:t>
            </w:r>
          </w:p>
        </w:tc>
        <w:tc>
          <w:tcPr>
            <w:tcW w:w="7705" w:type="dxa"/>
          </w:tcPr>
          <w:p w14:paraId="185B88C7"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 xml:space="preserve">Aktīvi, kas iesniegti kā sākotnējā drošības rezerve atvasinātajiem līgumiem, un iemaksas </w:t>
            </w:r>
            <w:r w:rsidRPr="009E3A86">
              <w:rPr>
                <w:rFonts w:ascii="Times New Roman" w:hAnsi="Times New Roman"/>
                <w:b/>
                <w:i/>
                <w:sz w:val="24"/>
                <w:lang w:val="lv-LV"/>
              </w:rPr>
              <w:t>CCP</w:t>
            </w:r>
            <w:r w:rsidRPr="009E3A86">
              <w:rPr>
                <w:rFonts w:ascii="Times New Roman" w:hAnsi="Times New Roman"/>
                <w:b/>
                <w:sz w:val="24"/>
                <w:lang w:val="lv-LV"/>
              </w:rPr>
              <w:t xml:space="preserve"> saistību neizpildes fondos</w:t>
            </w:r>
          </w:p>
          <w:p w14:paraId="0A9AEFDF" w14:textId="77777777" w:rsidR="007E1815" w:rsidRPr="009E3A86" w:rsidRDefault="007E1815" w:rsidP="00D819DE">
            <w:pPr>
              <w:pStyle w:val="TableParagraph"/>
              <w:spacing w:after="240"/>
              <w:ind w:right="99"/>
              <w:jc w:val="both"/>
              <w:rPr>
                <w:rFonts w:ascii="Times New Roman" w:hAnsi="Times New Roman"/>
                <w:sz w:val="24"/>
                <w:szCs w:val="24"/>
                <w:lang w:val="lv-LV"/>
              </w:rPr>
            </w:pPr>
            <w:r w:rsidRPr="009E3A86">
              <w:rPr>
                <w:rFonts w:ascii="Times New Roman" w:hAnsi="Times New Roman"/>
                <w:sz w:val="24"/>
                <w:lang w:val="lv-LV"/>
              </w:rPr>
              <w:t>Iestādes šeit atklāj šādu summu kopsummu:</w:t>
            </w:r>
          </w:p>
          <w:p w14:paraId="74F0EC9D" w14:textId="77777777" w:rsidR="007E1815" w:rsidRPr="009E3A86" w:rsidRDefault="007E1815" w:rsidP="007E1815">
            <w:pPr>
              <w:pStyle w:val="ListParagraph"/>
              <w:numPr>
                <w:ilvl w:val="0"/>
                <w:numId w:val="8"/>
              </w:numPr>
              <w:jc w:val="both"/>
              <w:rPr>
                <w:rFonts w:ascii="Times New Roman" w:hAnsi="Times New Roman"/>
                <w:sz w:val="24"/>
                <w:lang w:val="lv-LV"/>
              </w:rPr>
            </w:pPr>
            <w:r w:rsidRPr="009E3A86">
              <w:rPr>
                <w:rFonts w:ascii="Times New Roman" w:hAnsi="Times New Roman"/>
                <w:sz w:val="24"/>
                <w:lang w:val="lv-LV"/>
              </w:rPr>
              <w:t xml:space="preserve">nepieciešamā stabilā finansējuma summa, kas izriet no atvasinātajiem instrumentiem saskaņā ar </w:t>
            </w:r>
            <w:r w:rsidRPr="009E3A86">
              <w:rPr>
                <w:rFonts w:ascii="Times New Roman" w:hAnsi="Times New Roman"/>
                <w:i/>
                <w:sz w:val="24"/>
                <w:lang w:val="lv-LV"/>
              </w:rPr>
              <w:t>CRR</w:t>
            </w:r>
            <w:r w:rsidRPr="009E3A86">
              <w:rPr>
                <w:rFonts w:ascii="Times New Roman" w:hAnsi="Times New Roman"/>
                <w:sz w:val="24"/>
                <w:lang w:val="lv-LV"/>
              </w:rPr>
              <w:t xml:space="preserve"> 428.d pantu, 428.s panta 2. punktu, 428.ag panta a) punktu un 428.ah panta 2. punktu un kas ir saistīta ar sākotnējo drošības rezervi atvasinātajiem līgumiem, un</w:t>
            </w:r>
          </w:p>
          <w:p w14:paraId="59B2427D" w14:textId="77777777" w:rsidR="007E1815" w:rsidRPr="009E3A86" w:rsidRDefault="007E1815" w:rsidP="007E1815">
            <w:pPr>
              <w:pStyle w:val="ListParagraph"/>
              <w:numPr>
                <w:ilvl w:val="0"/>
                <w:numId w:val="8"/>
              </w:numPr>
              <w:spacing w:after="240"/>
              <w:jc w:val="both"/>
              <w:rPr>
                <w:rFonts w:ascii="Times New Roman" w:hAnsi="Times New Roman"/>
                <w:sz w:val="24"/>
                <w:lang w:val="lv-LV"/>
              </w:rPr>
            </w:pPr>
            <w:r w:rsidRPr="009E3A86">
              <w:rPr>
                <w:rFonts w:ascii="Times New Roman" w:hAnsi="Times New Roman"/>
                <w:sz w:val="24"/>
                <w:lang w:val="lv-LV"/>
              </w:rPr>
              <w:t xml:space="preserve">summa, kas saistīta ar posteņiem, kuri iesniegti kā iemaksas </w:t>
            </w:r>
            <w:r w:rsidRPr="009E3A86">
              <w:rPr>
                <w:rFonts w:ascii="Times New Roman" w:hAnsi="Times New Roman"/>
                <w:i/>
                <w:sz w:val="24"/>
                <w:lang w:val="lv-LV"/>
              </w:rPr>
              <w:t>CCP</w:t>
            </w:r>
            <w:r w:rsidRPr="009E3A86">
              <w:rPr>
                <w:rFonts w:ascii="Times New Roman" w:hAnsi="Times New Roman"/>
                <w:sz w:val="24"/>
                <w:lang w:val="lv-LV"/>
              </w:rPr>
              <w:t xml:space="preserve"> saistību neizpildes fondā, saskaņā ar </w:t>
            </w:r>
            <w:r w:rsidRPr="009E3A86">
              <w:rPr>
                <w:rFonts w:ascii="Times New Roman" w:hAnsi="Times New Roman"/>
                <w:i/>
                <w:sz w:val="24"/>
                <w:lang w:val="lv-LV"/>
              </w:rPr>
              <w:t>CRR</w:t>
            </w:r>
            <w:r w:rsidRPr="009E3A86">
              <w:rPr>
                <w:rFonts w:ascii="Times New Roman" w:hAnsi="Times New Roman"/>
                <w:sz w:val="24"/>
                <w:lang w:val="lv-LV"/>
              </w:rPr>
              <w:t xml:space="preserve"> 428.ag panta b) punktu.</w:t>
            </w:r>
          </w:p>
        </w:tc>
      </w:tr>
      <w:tr w:rsidR="007E1815" w:rsidRPr="009E3A86" w14:paraId="376E3454" w14:textId="77777777" w:rsidTr="00D819DE">
        <w:tc>
          <w:tcPr>
            <w:tcW w:w="1355" w:type="dxa"/>
          </w:tcPr>
          <w:p w14:paraId="6B351DBB"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29.</w:t>
            </w:r>
          </w:p>
        </w:tc>
        <w:tc>
          <w:tcPr>
            <w:tcW w:w="7705" w:type="dxa"/>
          </w:tcPr>
          <w:p w14:paraId="6FC27BA7"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NSFR atvasināto instrumentu aktīvi</w:t>
            </w:r>
          </w:p>
          <w:p w14:paraId="130EA517" w14:textId="77777777" w:rsidR="007E1815" w:rsidRPr="009E3A86" w:rsidRDefault="007E1815" w:rsidP="00D819DE">
            <w:pPr>
              <w:pStyle w:val="TableParagraph"/>
              <w:spacing w:after="240"/>
              <w:ind w:right="99"/>
              <w:jc w:val="both"/>
              <w:rPr>
                <w:rFonts w:ascii="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428.d pants un 428.ah panta 2. punkts</w:t>
            </w:r>
          </w:p>
          <w:p w14:paraId="33E01ABB" w14:textId="77777777" w:rsidR="007E1815" w:rsidRPr="009E3A86" w:rsidRDefault="007E1815" w:rsidP="00D819DE">
            <w:pPr>
              <w:pStyle w:val="TableParagraph"/>
              <w:spacing w:after="240"/>
              <w:ind w:right="99"/>
              <w:jc w:val="both"/>
              <w:rPr>
                <w:rFonts w:ascii="Times New Roman" w:hAnsi="Times New Roman"/>
                <w:sz w:val="24"/>
                <w:lang w:val="lv-LV"/>
              </w:rPr>
            </w:pPr>
            <w:r w:rsidRPr="009E3A86">
              <w:rPr>
                <w:rFonts w:ascii="Times New Roman" w:hAnsi="Times New Roman"/>
                <w:sz w:val="24"/>
                <w:lang w:val="lv-LV"/>
              </w:rPr>
              <w:t xml:space="preserve">Iestādes šeit atklāj nepieciešamā stabilā finansējuma summu, kas izriet no atvasinātajiem instrumentiem saskaņā ar </w:t>
            </w:r>
            <w:r w:rsidRPr="009E3A86">
              <w:rPr>
                <w:rFonts w:ascii="Times New Roman" w:hAnsi="Times New Roman"/>
                <w:i/>
                <w:sz w:val="24"/>
                <w:lang w:val="lv-LV"/>
              </w:rPr>
              <w:t>CRR</w:t>
            </w:r>
            <w:r w:rsidRPr="009E3A86">
              <w:rPr>
                <w:rFonts w:ascii="Times New Roman" w:hAnsi="Times New Roman"/>
                <w:sz w:val="24"/>
                <w:lang w:val="lv-LV"/>
              </w:rPr>
              <w:t xml:space="preserve"> 428.d pantu, 428.s panta 2. punktu, 428.ag panta a) punktu un 428.ah panta 2. punktu un kas aprēķināta kā saskaņā ar </w:t>
            </w:r>
            <w:r w:rsidRPr="009E3A86">
              <w:rPr>
                <w:rFonts w:ascii="Times New Roman" w:hAnsi="Times New Roman"/>
                <w:i/>
                <w:sz w:val="24"/>
                <w:lang w:val="lv-LV"/>
              </w:rPr>
              <w:t>CRR</w:t>
            </w:r>
            <w:r w:rsidRPr="009E3A86">
              <w:rPr>
                <w:rFonts w:ascii="Times New Roman" w:hAnsi="Times New Roman"/>
                <w:sz w:val="24"/>
                <w:lang w:val="lv-LV"/>
              </w:rPr>
              <w:t xml:space="preserve"> 428.ah panta 2. punktu aprēķināto savstarpējo prasījumu ieskaita kopu pozitīvās starpības absolūtā summa.</w:t>
            </w:r>
          </w:p>
        </w:tc>
      </w:tr>
      <w:tr w:rsidR="007E1815" w:rsidRPr="009E3A86" w14:paraId="68225B13" w14:textId="77777777" w:rsidTr="00D819DE">
        <w:tc>
          <w:tcPr>
            <w:tcW w:w="1355" w:type="dxa"/>
          </w:tcPr>
          <w:p w14:paraId="19DA3D6E"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30.</w:t>
            </w:r>
          </w:p>
        </w:tc>
        <w:tc>
          <w:tcPr>
            <w:tcW w:w="7705" w:type="dxa"/>
          </w:tcPr>
          <w:p w14:paraId="6473604D"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NSFR atvasināto instrumentu saistības pirms iesniegtās mainīgās drošības rezerves atskaitīšanas</w:t>
            </w:r>
          </w:p>
          <w:p w14:paraId="394264C8" w14:textId="77777777" w:rsidR="007E1815" w:rsidRPr="009E3A86" w:rsidRDefault="007E1815" w:rsidP="00D819DE">
            <w:pPr>
              <w:pStyle w:val="TableParagraph"/>
              <w:spacing w:after="240"/>
              <w:ind w:right="99"/>
              <w:jc w:val="both"/>
              <w:rPr>
                <w:rFonts w:ascii="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428.s panta 2. punkts</w:t>
            </w:r>
          </w:p>
          <w:p w14:paraId="43211B55"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 xml:space="preserve">Iestādes šeit atklāj ar atvasināto instrumentu saistībām saistītā nepieciešamā stabilā finansējuma summu saskaņā ar </w:t>
            </w:r>
            <w:r w:rsidRPr="009E3A86">
              <w:rPr>
                <w:rFonts w:ascii="Times New Roman" w:hAnsi="Times New Roman"/>
                <w:i/>
                <w:sz w:val="24"/>
                <w:lang w:val="lv-LV"/>
              </w:rPr>
              <w:t>CRR</w:t>
            </w:r>
            <w:r w:rsidRPr="009E3A86">
              <w:rPr>
                <w:rFonts w:ascii="Times New Roman" w:hAnsi="Times New Roman"/>
                <w:sz w:val="24"/>
                <w:lang w:val="lv-LV"/>
              </w:rPr>
              <w:t xml:space="preserve"> 428.d pantu, 428.s panta 2. punktu, 428.ag panta a) punktu un 428.ah panta 2. punktu, kas ir saskaņā ar </w:t>
            </w:r>
            <w:r w:rsidRPr="009E3A86">
              <w:rPr>
                <w:rFonts w:ascii="Times New Roman" w:hAnsi="Times New Roman"/>
                <w:i/>
                <w:sz w:val="24"/>
                <w:lang w:val="lv-LV"/>
              </w:rPr>
              <w:t>CRR</w:t>
            </w:r>
            <w:r w:rsidRPr="009E3A86">
              <w:rPr>
                <w:rFonts w:ascii="Times New Roman" w:hAnsi="Times New Roman"/>
                <w:sz w:val="24"/>
                <w:lang w:val="lv-LV"/>
              </w:rPr>
              <w:t xml:space="preserve"> 428.s panta 2. punktu aprēķināto savstarpējo prasījumu ieskaita kopu ar negatīvu patieso vērtību absolūtā patiesā vērtība.</w:t>
            </w:r>
          </w:p>
        </w:tc>
      </w:tr>
      <w:tr w:rsidR="007E1815" w:rsidRPr="009E3A86" w14:paraId="12F08601" w14:textId="77777777" w:rsidTr="00D819DE">
        <w:tc>
          <w:tcPr>
            <w:tcW w:w="1355" w:type="dxa"/>
          </w:tcPr>
          <w:p w14:paraId="090CE7E2"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31.</w:t>
            </w:r>
          </w:p>
        </w:tc>
        <w:tc>
          <w:tcPr>
            <w:tcW w:w="7705" w:type="dxa"/>
          </w:tcPr>
          <w:p w14:paraId="4F2885DE"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Visi pārējie aktīvi, kas nav iekļauti iepriekš minētajās kategorijās</w:t>
            </w:r>
          </w:p>
          <w:p w14:paraId="60A47B66" w14:textId="77777777" w:rsidR="007E1815" w:rsidRPr="009E3A86" w:rsidRDefault="007E1815" w:rsidP="00D819DE">
            <w:pPr>
              <w:jc w:val="both"/>
              <w:rPr>
                <w:rFonts w:ascii="Times New Roman" w:hAnsi="Times New Roman"/>
                <w:sz w:val="24"/>
                <w:lang w:val="lv-LV"/>
              </w:rPr>
            </w:pPr>
            <w:r w:rsidRPr="009E3A86">
              <w:rPr>
                <w:rFonts w:ascii="Times New Roman" w:hAnsi="Times New Roman"/>
                <w:sz w:val="24"/>
                <w:lang w:val="lv-LV"/>
              </w:rPr>
              <w:t>Iestādes šeit atklāj šādu posteņu kopsummu:</w:t>
            </w:r>
          </w:p>
          <w:p w14:paraId="211EEB85" w14:textId="77777777" w:rsidR="007E1815" w:rsidRPr="009E3A86" w:rsidRDefault="007E1815" w:rsidP="007E1815">
            <w:pPr>
              <w:pStyle w:val="ListParagraph"/>
              <w:numPr>
                <w:ilvl w:val="0"/>
                <w:numId w:val="11"/>
              </w:numPr>
              <w:jc w:val="both"/>
              <w:rPr>
                <w:rFonts w:ascii="Times New Roman" w:hAnsi="Times New Roman"/>
                <w:sz w:val="24"/>
                <w:lang w:val="lv-LV"/>
              </w:rPr>
            </w:pPr>
            <w:r w:rsidRPr="009E3A86">
              <w:rPr>
                <w:rFonts w:ascii="Times New Roman" w:hAnsi="Times New Roman"/>
                <w:sz w:val="24"/>
                <w:lang w:val="lv-LV"/>
              </w:rPr>
              <w:lastRenderedPageBreak/>
              <w:t xml:space="preserve">tirdzniecības dienas debitoru parādi saskaņā ar </w:t>
            </w:r>
            <w:r w:rsidRPr="009E3A86">
              <w:rPr>
                <w:rFonts w:ascii="Times New Roman" w:hAnsi="Times New Roman"/>
                <w:i/>
                <w:sz w:val="24"/>
                <w:lang w:val="lv-LV"/>
              </w:rPr>
              <w:t>CRR</w:t>
            </w:r>
            <w:r w:rsidRPr="009E3A86">
              <w:rPr>
                <w:rFonts w:ascii="Times New Roman" w:hAnsi="Times New Roman"/>
                <w:sz w:val="24"/>
                <w:lang w:val="lv-LV"/>
              </w:rPr>
              <w:t xml:space="preserve"> 428r. panta 1. punkta e) apakšpunktu;</w:t>
            </w:r>
          </w:p>
          <w:p w14:paraId="3A3E23A2" w14:textId="77777777" w:rsidR="007E1815" w:rsidRPr="009E3A86" w:rsidRDefault="007E1815" w:rsidP="007E1815">
            <w:pPr>
              <w:pStyle w:val="ListParagraph"/>
              <w:numPr>
                <w:ilvl w:val="0"/>
                <w:numId w:val="11"/>
              </w:numPr>
              <w:jc w:val="both"/>
              <w:rPr>
                <w:rFonts w:ascii="Times New Roman" w:hAnsi="Times New Roman"/>
                <w:sz w:val="24"/>
                <w:lang w:val="lv-LV"/>
              </w:rPr>
            </w:pPr>
            <w:r w:rsidRPr="009E3A86">
              <w:rPr>
                <w:rFonts w:ascii="Times New Roman" w:hAnsi="Times New Roman"/>
                <w:sz w:val="24"/>
                <w:lang w:val="lv-LV"/>
              </w:rPr>
              <w:t xml:space="preserve">ienākumus nenesoši aktīvi saskaņā ar </w:t>
            </w:r>
            <w:r w:rsidRPr="009E3A86">
              <w:rPr>
                <w:rFonts w:ascii="Times New Roman" w:hAnsi="Times New Roman"/>
                <w:i/>
                <w:sz w:val="24"/>
                <w:lang w:val="lv-LV"/>
              </w:rPr>
              <w:t>CRR</w:t>
            </w:r>
            <w:r w:rsidRPr="009E3A86">
              <w:rPr>
                <w:rFonts w:ascii="Times New Roman" w:hAnsi="Times New Roman"/>
                <w:sz w:val="24"/>
                <w:lang w:val="lv-LV"/>
              </w:rPr>
              <w:t xml:space="preserve"> 428.ah panta 1. punkta b) apakšpunktu;</w:t>
            </w:r>
          </w:p>
          <w:p w14:paraId="7CE9E147" w14:textId="77777777" w:rsidR="007E1815" w:rsidRPr="009E3A86" w:rsidRDefault="007E1815" w:rsidP="007E1815">
            <w:pPr>
              <w:pStyle w:val="ListParagraph"/>
              <w:numPr>
                <w:ilvl w:val="0"/>
                <w:numId w:val="11"/>
              </w:numPr>
              <w:jc w:val="both"/>
              <w:rPr>
                <w:rFonts w:ascii="Times New Roman" w:hAnsi="Times New Roman"/>
                <w:sz w:val="24"/>
                <w:lang w:val="lv-LV"/>
              </w:rPr>
            </w:pPr>
            <w:r w:rsidRPr="009E3A86">
              <w:rPr>
                <w:rFonts w:ascii="Times New Roman" w:hAnsi="Times New Roman"/>
                <w:sz w:val="24"/>
                <w:lang w:val="lv-LV"/>
              </w:rPr>
              <w:t xml:space="preserve">rezerves centrālajās bankās, ko neuzskata par </w:t>
            </w:r>
            <w:r w:rsidRPr="009E3A86">
              <w:rPr>
                <w:rFonts w:ascii="Times New Roman" w:hAnsi="Times New Roman"/>
                <w:i/>
                <w:sz w:val="24"/>
                <w:lang w:val="lv-LV"/>
              </w:rPr>
              <w:t>HQLA</w:t>
            </w:r>
            <w:r w:rsidRPr="009E3A86">
              <w:rPr>
                <w:rFonts w:ascii="Times New Roman" w:hAnsi="Times New Roman"/>
                <w:sz w:val="24"/>
                <w:lang w:val="lv-LV"/>
              </w:rPr>
              <w:t>, un</w:t>
            </w:r>
          </w:p>
          <w:p w14:paraId="3374626C" w14:textId="77777777" w:rsidR="007E1815" w:rsidRPr="009E3A86" w:rsidRDefault="007E1815" w:rsidP="007E1815">
            <w:pPr>
              <w:pStyle w:val="ListParagraph"/>
              <w:numPr>
                <w:ilvl w:val="0"/>
                <w:numId w:val="11"/>
              </w:numPr>
              <w:spacing w:after="240"/>
              <w:jc w:val="both"/>
              <w:rPr>
                <w:rFonts w:ascii="Times New Roman" w:hAnsi="Times New Roman"/>
                <w:sz w:val="24"/>
                <w:lang w:val="lv-LV"/>
              </w:rPr>
            </w:pPr>
            <w:r w:rsidRPr="009E3A86">
              <w:rPr>
                <w:rFonts w:ascii="Times New Roman" w:hAnsi="Times New Roman"/>
                <w:sz w:val="24"/>
                <w:lang w:val="lv-LV"/>
              </w:rPr>
              <w:t>pārējie aktīvi, kas nav minēti iepriekš uzskaitītajās pozīcijās.</w:t>
            </w:r>
          </w:p>
        </w:tc>
      </w:tr>
      <w:tr w:rsidR="007E1815" w:rsidRPr="009E3A86" w14:paraId="107FAB0B" w14:textId="77777777" w:rsidTr="00D819DE">
        <w:tc>
          <w:tcPr>
            <w:tcW w:w="1355" w:type="dxa"/>
          </w:tcPr>
          <w:p w14:paraId="305193C1"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lastRenderedPageBreak/>
              <w:t>32.</w:t>
            </w:r>
          </w:p>
        </w:tc>
        <w:tc>
          <w:tcPr>
            <w:tcW w:w="7705" w:type="dxa"/>
          </w:tcPr>
          <w:p w14:paraId="449E2037" w14:textId="77777777" w:rsidR="007E1815" w:rsidRPr="009E3A86" w:rsidRDefault="007E1815" w:rsidP="00D819DE">
            <w:pPr>
              <w:spacing w:after="240"/>
              <w:jc w:val="both"/>
              <w:rPr>
                <w:rFonts w:ascii="Times New Roman" w:hAnsi="Times New Roman"/>
                <w:b/>
                <w:sz w:val="24"/>
                <w:lang w:val="lv-LV"/>
              </w:rPr>
            </w:pPr>
            <w:r w:rsidRPr="009E3A86">
              <w:rPr>
                <w:rFonts w:ascii="Times New Roman" w:hAnsi="Times New Roman"/>
                <w:b/>
                <w:sz w:val="24"/>
                <w:lang w:val="lv-LV"/>
              </w:rPr>
              <w:t>Ārpusbilances posteņi</w:t>
            </w:r>
          </w:p>
          <w:p w14:paraId="0146B44D"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Iestādes šeit atklāj to ārpusbilances posteņu summu, kuriem piemēro nepieciešamā stabilā finansējuma prasības.</w:t>
            </w:r>
          </w:p>
        </w:tc>
      </w:tr>
      <w:tr w:rsidR="007E1815" w:rsidRPr="009E3A86" w14:paraId="3AA0FBAF" w14:textId="77777777" w:rsidTr="00D819DE">
        <w:tc>
          <w:tcPr>
            <w:tcW w:w="1355" w:type="dxa"/>
          </w:tcPr>
          <w:p w14:paraId="0CD179E6"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33.</w:t>
            </w:r>
          </w:p>
        </w:tc>
        <w:tc>
          <w:tcPr>
            <w:tcW w:w="7705" w:type="dxa"/>
          </w:tcPr>
          <w:p w14:paraId="5B3E34AC"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Kopējais nepieciešamais stabilais finansējums (</w:t>
            </w:r>
            <w:r w:rsidRPr="009E3A86">
              <w:rPr>
                <w:rFonts w:ascii="Times New Roman" w:hAnsi="Times New Roman"/>
                <w:b/>
                <w:i/>
                <w:sz w:val="24"/>
                <w:lang w:val="lv-LV"/>
              </w:rPr>
              <w:t>RSF</w:t>
            </w:r>
            <w:r w:rsidRPr="009E3A86">
              <w:rPr>
                <w:rFonts w:ascii="Times New Roman" w:hAnsi="Times New Roman"/>
                <w:b/>
                <w:sz w:val="24"/>
                <w:lang w:val="lv-LV"/>
              </w:rPr>
              <w:t>)</w:t>
            </w:r>
          </w:p>
          <w:p w14:paraId="7C7790F2" w14:textId="77777777" w:rsidR="007E1815" w:rsidRPr="009E3A86" w:rsidRDefault="007E1815" w:rsidP="00D819DE">
            <w:pPr>
              <w:pStyle w:val="TableParagraph"/>
              <w:spacing w:after="240"/>
              <w:jc w:val="both"/>
              <w:rPr>
                <w:rFonts w:ascii="Times New Roman" w:eastAsia="Times New Roman" w:hAnsi="Times New Roman"/>
                <w:sz w:val="24"/>
                <w:szCs w:val="24"/>
                <w:lang w:val="lv-LV"/>
              </w:rPr>
            </w:pPr>
            <w:r w:rsidRPr="009E3A86">
              <w:rPr>
                <w:rFonts w:ascii="Times New Roman" w:hAnsi="Times New Roman"/>
                <w:i/>
                <w:sz w:val="24"/>
                <w:lang w:val="lv-LV"/>
              </w:rPr>
              <w:t>CRR</w:t>
            </w:r>
            <w:r w:rsidRPr="009E3A86">
              <w:rPr>
                <w:rFonts w:ascii="Times New Roman" w:hAnsi="Times New Roman"/>
                <w:sz w:val="24"/>
                <w:lang w:val="lv-LV"/>
              </w:rPr>
              <w:t xml:space="preserve"> sestās daļas IV sadaļas 4. nodaļa</w:t>
            </w:r>
          </w:p>
          <w:p w14:paraId="12009000"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sz w:val="24"/>
                <w:lang w:val="lv-LV"/>
              </w:rPr>
              <w:t xml:space="preserve">Iestādes šeit atklāj kopējos posteņus, kuriem piemēro nepieciešamo stabilo finansējumu saskaņā ar </w:t>
            </w:r>
            <w:r w:rsidRPr="009E3A86">
              <w:rPr>
                <w:rFonts w:ascii="Times New Roman" w:hAnsi="Times New Roman"/>
                <w:i/>
                <w:sz w:val="24"/>
                <w:lang w:val="lv-LV"/>
              </w:rPr>
              <w:t>CRR</w:t>
            </w:r>
            <w:r w:rsidRPr="009E3A86">
              <w:rPr>
                <w:rFonts w:ascii="Times New Roman" w:hAnsi="Times New Roman"/>
                <w:sz w:val="24"/>
                <w:lang w:val="lv-LV"/>
              </w:rPr>
              <w:t xml:space="preserve"> sestās daļas IV sadaļas 4. nodaļu (šīs veidnes 15., EU-15.a, 16., 17., 25., 26. un 32. rindā norādīto vērtību kopsumma).</w:t>
            </w:r>
          </w:p>
        </w:tc>
      </w:tr>
      <w:tr w:rsidR="007E1815" w:rsidRPr="009E3A86" w14:paraId="3116BCED" w14:textId="77777777" w:rsidTr="00D819DE">
        <w:trPr>
          <w:trHeight w:val="274"/>
        </w:trPr>
        <w:tc>
          <w:tcPr>
            <w:tcW w:w="1355" w:type="dxa"/>
          </w:tcPr>
          <w:p w14:paraId="4CE43E71"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sz w:val="24"/>
                <w:lang w:val="lv-LV"/>
              </w:rPr>
              <w:t>34.</w:t>
            </w:r>
          </w:p>
        </w:tc>
        <w:tc>
          <w:tcPr>
            <w:tcW w:w="7705" w:type="dxa"/>
          </w:tcPr>
          <w:p w14:paraId="6B3C5508" w14:textId="77777777" w:rsidR="007E1815" w:rsidRPr="009E3A86" w:rsidRDefault="007E1815" w:rsidP="00D819DE">
            <w:pPr>
              <w:spacing w:after="240"/>
              <w:jc w:val="both"/>
              <w:rPr>
                <w:rFonts w:ascii="Times New Roman" w:hAnsi="Times New Roman"/>
                <w:sz w:val="24"/>
                <w:lang w:val="lv-LV"/>
              </w:rPr>
            </w:pPr>
            <w:r w:rsidRPr="009E3A86">
              <w:rPr>
                <w:rFonts w:ascii="Times New Roman" w:hAnsi="Times New Roman"/>
                <w:b/>
                <w:sz w:val="24"/>
                <w:lang w:val="lv-LV"/>
              </w:rPr>
              <w:t>Neto stabila finansējuma rādītājs (%)</w:t>
            </w:r>
          </w:p>
          <w:p w14:paraId="049707E6" w14:textId="77777777" w:rsidR="007E1815" w:rsidRPr="009E3A86" w:rsidRDefault="007E1815" w:rsidP="00D819DE">
            <w:pPr>
              <w:pStyle w:val="TableParagraph"/>
              <w:spacing w:after="240"/>
              <w:jc w:val="both"/>
              <w:rPr>
                <w:rFonts w:ascii="Times New Roman" w:hAnsi="Times New Roman"/>
                <w:sz w:val="24"/>
                <w:szCs w:val="24"/>
                <w:lang w:val="lv-LV"/>
              </w:rPr>
            </w:pPr>
            <w:r w:rsidRPr="009E3A86">
              <w:rPr>
                <w:rFonts w:ascii="Times New Roman" w:hAnsi="Times New Roman"/>
                <w:sz w:val="24"/>
                <w:lang w:val="lv-LV"/>
              </w:rPr>
              <w:t xml:space="preserve">NSFR, kas aprēķināts saskaņā ar </w:t>
            </w:r>
            <w:r w:rsidRPr="009E3A86">
              <w:rPr>
                <w:rFonts w:ascii="Times New Roman" w:hAnsi="Times New Roman"/>
                <w:i/>
                <w:sz w:val="24"/>
                <w:lang w:val="lv-LV"/>
              </w:rPr>
              <w:t>CRR</w:t>
            </w:r>
            <w:r w:rsidRPr="009E3A86">
              <w:rPr>
                <w:rFonts w:ascii="Times New Roman" w:hAnsi="Times New Roman"/>
                <w:sz w:val="24"/>
                <w:lang w:val="lv-LV"/>
              </w:rPr>
              <w:t xml:space="preserve"> 428.b panta 1. punktu.</w:t>
            </w:r>
          </w:p>
        </w:tc>
      </w:tr>
    </w:tbl>
    <w:p w14:paraId="505A96AE" w14:textId="77777777" w:rsidR="004E3F4D" w:rsidRPr="009E3A86" w:rsidRDefault="004E3F4D"/>
    <w:sectPr w:rsidR="004E3F4D" w:rsidRPr="009E3A8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t>2</w:t>
        </w:r>
        <w:r w:rsidR="004B5B4C">
          <w:t>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Eiropas Parlamenta un Padomes Regula (ES) Nr. 575/2013 (2013. gada 26. jūnijs) par </w:t>
      </w:r>
      <w:proofErr w:type="spellStart"/>
      <w:r>
        <w:t>prudenciālajām</w:t>
      </w:r>
      <w:proofErr w:type="spellEnd"/>
      <w:r>
        <w:t xml:space="preserve"> prasībām attiecībā uz kredītiestādēm, un ar ko groza Regulu (ES) Nr. 648/2012, kas grozīta ar Regulu (ES) 2024/1623 </w:t>
      </w:r>
      <w:r>
        <w:rPr>
          <w:color w:val="444444"/>
        </w:rPr>
        <w:t>(</w:t>
      </w:r>
      <w:hyperlink r:id="rId1" w:history="1">
        <w:r>
          <w:rPr>
            <w:rStyle w:val="Hyperlink"/>
            <w:color w:val="800080"/>
          </w:rPr>
          <w:t>OV L 176, 27.6.2013., 1. lpp.</w:t>
        </w:r>
      </w:hyperlink>
      <w:r>
        <w:rPr>
          <w:color w:val="800080"/>
          <w:u w:val="single"/>
        </w:rPr>
        <w:t xml:space="preserve">; </w:t>
      </w:r>
      <w:hyperlink r:id="rId2" w:history="1">
        <w:r>
          <w:rPr>
            <w:rStyle w:val="Hyperlink"/>
          </w:rPr>
          <w:t>Regula – ES – 2024/1623 – LV – EUR-</w:t>
        </w:r>
        <w:proofErr w:type="spellStart"/>
        <w:r>
          <w:rPr>
            <w:rStyle w:val="Hyperlink"/>
          </w:rPr>
          <w:t>Lex</w:t>
        </w:r>
        <w:proofErr w:type="spellEnd"/>
        <w:r>
          <w:rPr>
            <w:rStyle w:val="Hyperlink"/>
          </w:rPr>
          <w:t xml:space="preserve"> (europa.eu)</w:t>
        </w:r>
      </w:hyperlink>
      <w:r>
        <w:rPr>
          <w:color w:val="444444"/>
        </w:rPr>
        <w:t>)</w:t>
      </w:r>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 xml:space="preserve">KOMISIJAS DELEĢĒTĀ REGULA (ES) 2015/61 (2014. gada 10. oktobris), ar ko papildina Eiropas Parlamenta un Padomes Regulu (ES) Nr. 575/2013 attiecībā uz likviditātes seguma prasību kredītiestādēm (OV L 11, 17.1.2015., 1. lpp.).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EIROPAS PARLAMENTA UN PADOMES DIREKTĪVA 94/19/EK (1994. gada 30. maijs) par noguldījumu garantiju sistēmām (OV L135, 31.5.1994., 5. lpp.).</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EIROPAS PARLAMENTA UN PADOMES DIREKTĪVA 2014/49/ES (2014. gada 16. aprīlis) par noguldījumu garantiju sistēmām (OV L 173, 12.6.2014., 149. lpp.).</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KOMISIJAS DELEĢĒTĀ REGULA (ES) 2017/208 (2016. gada 31. oktobris), ar ko Eiropas Parlamenta un Padomes Regulu (ES) Nr. 575/2013 papildina attiecībā uz regulatīvajiem tehniskajiem standartiem par papildu likviditātes izejošām plūsmām atbilstīgi nodrošinājuma vajadzībām, kas izriet no nelabvēlīgu tirgus apstākļu scenārija ietekmes uz finanšu iestādes darījumiem ar atvasinātajiem instrumentiem (OV L 33, 8.2.2017., 14. lpp.).</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KOMISIJAS ĪSTENOŠANAS REGULA (ES) Nr. 680/2014 (2014. gada 16. aprīlis), ar ko nosaka īstenošanas tehniskos standartus attiecībā uz iestāžu sniegtajiem uzraudzības pārskatiem saskaņā ar Eiropas Parlamenta un Padomes Regulu (ES) Nr. 575/2013 (OV L 191, 28.6.2014., 1. lpp.).</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EIROPAS PARLAMENTA UN PADOMES DIREKTĪVA 2009/65/EK (2009. gada 13. jūlijs) par normatīvo un administratīvo aktu koordināciju attiecībā uz pārvedamu vērtspapīru kolektīvo ieguldījumu uzņēmumiem (PVKIU) (OV L 302, 17.11.2009., 32.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E088A6"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9903643" w14:textId="0C7E959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50BF424"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14C209D5" w14:textId="72FFFDC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14A0BC8"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56F2BF3" w14:textId="44F604B9"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fr-B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7A2766"/>
    <w:rsid w:val="007E1815"/>
    <w:rsid w:val="009674B5"/>
    <w:rsid w:val="009E3A86"/>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7CF079-8B20-479D-8D8C-BA5F84AE0452}"/>
</file>

<file path=customXml/itemProps2.xml><?xml version="1.0" encoding="utf-8"?>
<ds:datastoreItem xmlns:ds="http://schemas.openxmlformats.org/officeDocument/2006/customXml" ds:itemID="{C08C10E7-CC66-4FA8-BCDD-81479290C461}"/>
</file>

<file path=customXml/itemProps3.xml><?xml version="1.0" encoding="utf-8"?>
<ds:datastoreItem xmlns:ds="http://schemas.openxmlformats.org/officeDocument/2006/customXml" ds:itemID="{BE6C0577-20A1-406A-8B0F-BC469448A22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10</TotalTime>
  <Pages>20</Pages>
  <Words>6442</Words>
  <Characters>39879</Characters>
  <Application>Microsoft Office Word</Application>
  <DocSecurity>0</DocSecurity>
  <Lines>848</Lines>
  <Paragraphs>406</Paragraphs>
  <ScaleCrop>false</ScaleCrop>
  <Company>XXXXXXX</Company>
  <LinksUpToDate>false</LinksUpToDate>
  <CharactersWithSpaces>45915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KALLUDRA Ilir (LUX-S2FRC)</cp:lastModifiedBy>
  <cp:revision>7</cp:revision>
  <dcterms:created xsi:type="dcterms:W3CDTF">2021-03-11T12:04:00Z</dcterms:created>
  <dcterms:modified xsi:type="dcterms:W3CDTF">2024-10-18T11:54:00Z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