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XXVI PILIKUMS – Tabulas un veidnes informācijas atklāšanai par darījuma partnera kredītrisku:</w:t>
      </w:r>
      <w:r>
        <w:rPr>
          <w:b/>
          <w:color w:val="auto"/>
          <w:sz w:val="24"/>
          <w:u w:val="single"/>
          <w:rFonts w:ascii="Times New Roman" w:hAnsi="Times New Roman"/>
        </w:rPr>
        <w:t xml:space="preserve"> </w:t>
      </w:r>
      <w:r>
        <w:rPr>
          <w:b/>
          <w:color w:val="auto"/>
          <w:sz w:val="24"/>
          <w:u w:val="single"/>
          <w:rFonts w:ascii="Times New Roman" w:hAnsi="Times New Roman"/>
        </w:rPr>
        <w:t xml:space="preserve">norādījumi</w:t>
      </w:r>
    </w:p>
    <w:p w14:paraId="4C2BDA19" w14:textId="77B83EEA"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Iestādes atklāj Regulas (ES) Nr. 575/2013 439. pantā minēto informāciju par saviem riska darījumiem ar darījuma partnera kredītrisku, kā minēts Regulas (ES) Nr. 575/2013</w:t>
      </w:r>
      <w:r w:rsidRPr="007F4CC8">
        <w:rPr>
          <w:rStyle w:val="FootnoteReference"/>
          <w:color w:val="auto"/>
          <w:lang w:val="en-GB"/>
        </w:rPr>
        <w:footnoteReference w:id="1"/>
      </w:r>
      <w:r>
        <w:rPr>
          <w:color w:val="auto"/>
          <w:sz w:val="24"/>
          <w:rFonts w:ascii="Times New Roman" w:hAnsi="Times New Roman"/>
        </w:rPr>
        <w:t xml:space="preserve"> (“</w:t>
      </w:r>
      <w:r>
        <w:rPr>
          <w:color w:val="auto"/>
          <w:sz w:val="24"/>
          <w:i/>
          <w:rFonts w:ascii="Times New Roman" w:hAnsi="Times New Roman"/>
        </w:rPr>
        <w:t xml:space="preserve">CRR</w:t>
      </w:r>
      <w:r>
        <w:rPr>
          <w:color w:val="auto"/>
          <w:sz w:val="24"/>
          <w:rFonts w:ascii="Times New Roman" w:hAnsi="Times New Roman"/>
        </w:rPr>
        <w:t xml:space="preserve">”) trešās daļas II sadaļas 6. nodaļā, ievērojot šajā pielikumā sniegtos norādījumus, lai aizpildītu EBI IT risinājumu XXV pielikumā ietvertās veidnes un tabulas.</w:t>
      </w:r>
      <w:r>
        <w:rPr>
          <w:color w:val="auto"/>
          <w:sz w:val="24"/>
          <w:rFonts w:ascii="Times New Roman" w:hAnsi="Times New Roman"/>
        </w:rPr>
        <w:t xml:space="preserve"> </w:t>
      </w:r>
    </w:p>
    <w:p w14:paraId="495AC274" w14:textId="77777777" w:rsidR="00F43911" w:rsidRPr="007F4CC8" w:rsidRDefault="00F43911" w:rsidP="00F43911">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Tabula EU CCRA – Kvalitatīva informācija saistībā ar darījuma partnera kredītrisku (</w:t>
      </w:r>
      <w:r>
        <w:rPr>
          <w:sz w:val="24"/>
          <w:b/>
          <w:color w:val="auto"/>
          <w:i/>
          <w:rFonts w:ascii="Times New Roman" w:hAnsi="Times New Roman"/>
        </w:rPr>
        <w:t xml:space="preserve">CCR</w:t>
      </w:r>
      <w:r>
        <w:rPr>
          <w:sz w:val="24"/>
          <w:b/>
          <w:color w:val="auto"/>
          <w:rFonts w:ascii="Times New Roman" w:hAnsi="Times New Roman"/>
        </w:rPr>
        <w:t xml:space="preserve">).</w:t>
      </w:r>
      <w:r>
        <w:rPr>
          <w:sz w:val="24"/>
          <w:rFonts w:ascii="Times New Roman" w:hAnsi="Times New Roman"/>
        </w:rPr>
        <w:t xml:space="preserve"> </w:t>
      </w:r>
      <w:r>
        <w:rPr>
          <w:sz w:val="24"/>
          <w:color w:val="000000"/>
          <w:rFonts w:ascii="Times New Roman" w:hAnsi="Times New Roman"/>
        </w:rPr>
        <w:t xml:space="preserve">Brīva formāta tekstlogi.</w:t>
      </w:r>
      <w:r>
        <w:rPr>
          <w:sz w:val="24"/>
          <w:color w:val="000000"/>
          <w:rFonts w:ascii="Times New Roman" w:hAnsi="Times New Roman"/>
        </w:rPr>
        <w:t xml:space="preserve"> </w:t>
      </w:r>
    </w:p>
    <w:p w14:paraId="39E2C005" w14:textId="60AA582D" w:rsidR="00F43911" w:rsidRPr="007F4CC8" w:rsidRDefault="00F43911" w:rsidP="00F43911">
      <w:pPr>
        <w:pStyle w:val="Titlelevel2"/>
        <w:numPr>
          <w:ilvl w:val="0"/>
          <w:numId w:val="2"/>
        </w:numPr>
        <w:spacing w:before="0"/>
        <w:jc w:val="both"/>
        <w:rPr>
          <w:sz w:val="24"/>
          <w:rFonts w:ascii="Times New Roman" w:hAnsi="Times New Roman" w:cs="Times New Roman"/>
        </w:rPr>
      </w:pPr>
      <w:r>
        <w:rPr>
          <w:sz w:val="24"/>
          <w:color w:val="000000"/>
          <w:rFonts w:ascii="Times New Roman" w:hAnsi="Times New Roman"/>
        </w:rPr>
        <w:t xml:space="preserve">Iestādes atklāj Regulas (ES) Nr. 575/2013 </w:t>
      </w:r>
      <w:r>
        <w:rPr>
          <w:sz w:val="24"/>
          <w:color w:val="000000"/>
          <w:color w:val="000000"/>
          <w:rFonts w:ascii="Times New Roman" w:hAnsi="Times New Roman"/>
        </w:rPr>
        <w:t xml:space="preserve">439. panta a)–d) punktā</w:t>
      </w:r>
      <w:r>
        <w:rPr>
          <w:sz w:val="24"/>
          <w:color w:val="000000"/>
          <w:rFonts w:ascii="Times New Roman" w:hAnsi="Times New Roman"/>
        </w:rPr>
        <w:t xml:space="preserve"> minēto informāciju, ievērojot turpmāk šajā pielikumā sniegtos norādījumus, lai aizpildītu EBI IT risinājumu XXV pielikumā ietverto tabulu EU CCRA</w:t>
      </w:r>
      <w:r>
        <w:rPr>
          <w:sz w:val="24"/>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 xml:space="preserve">a)</w:t>
            </w:r>
          </w:p>
        </w:tc>
        <w:tc>
          <w:tcPr>
            <w:tcW w:w="7655" w:type="dxa"/>
            <w:vAlign w:val="center"/>
          </w:tcPr>
          <w:p w14:paraId="0A6613B2" w14:textId="69564A45"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Atklājot informāciju, kas prasīta Regulas (ES) Nr. 575/2013 439. panta a) punktā, iestādes sniedz aprakstu par metodiku, kura izmantota, lai piešķirtu iekšējo kapitālu un kredītlimitus darījuma partnera kredītriska darījumiem, tajā skaitā par metodēm, ko izmanto, lai minētos limitus piešķirtu centrālo darījuma partneru riska darījumiem.</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 xml:space="preserve">b)</w:t>
            </w:r>
          </w:p>
        </w:tc>
        <w:tc>
          <w:tcPr>
            <w:tcW w:w="7655" w:type="dxa"/>
          </w:tcPr>
          <w:p w14:paraId="4FB7E2EC" w14:textId="2E6C1B13"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Atklājot informāciju, kas prasīta Regulas (ES) Nr. 575/2013 439. panta b) punktā, iestādes sniedz </w:t>
            </w:r>
            <w:r>
              <w:rPr>
                <w:sz w:val="24"/>
                <w:color w:val="000000"/>
                <w:rFonts w:ascii="Times New Roman" w:hAnsi="Times New Roman"/>
              </w:rPr>
              <w:t xml:space="preserve">aprakstu par politiku, kura attiecas uz garantijām un citiem kredītriska mazināšanas pasākumiem, piemēram, attiecībā uz nodrošinājuma piesaisti un kredītrezervju izveidi.</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 xml:space="preserve">c)</w:t>
            </w:r>
          </w:p>
        </w:tc>
        <w:tc>
          <w:tcPr>
            <w:tcW w:w="7655" w:type="dxa"/>
          </w:tcPr>
          <w:p w14:paraId="41EF016F" w14:textId="29B7C31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Atklājot informāciju, kas prasīta Regulas (ES) Nr. 575/2013 439. panta c) punktā, iestādes sniedz aprakstu par politiku, kura attiecas uz Regulas (ES) Nr. 575/2013 291. pantā definētajiem korelācijas riska darījumiem.</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 xml:space="preserve">d)</w:t>
            </w:r>
          </w:p>
        </w:tc>
        <w:tc>
          <w:tcPr>
            <w:tcW w:w="7655" w:type="dxa"/>
          </w:tcPr>
          <w:p w14:paraId="00928C41" w14:textId="09C5003D"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Saskaņā ar Regulas (ES) Nr. 575/2013 431. panta 3. un 4. punktu iestādes papildina iepriekš minēto informāciju ar informāciju par jebkādiem citiem riska pārvaldības mērķiem un attiecīgu politiku, kas saistīta ar </w:t>
            </w:r>
            <w:r>
              <w:rPr>
                <w:sz w:val="24"/>
                <w:color w:val="000000"/>
                <w:i/>
                <w:rFonts w:ascii="Times New Roman" w:hAnsi="Times New Roman"/>
              </w:rPr>
              <w:t xml:space="preserve">CCR</w:t>
            </w:r>
            <w:r>
              <w:rPr>
                <w:sz w:val="24"/>
                <w:color w:val="000000"/>
                <w:rFonts w:ascii="Times New Roman" w:hAnsi="Times New Roman"/>
              </w:rPr>
              <w:t xml:space="preserve">.</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 xml:space="preserve">e)</w:t>
            </w:r>
          </w:p>
        </w:tc>
        <w:tc>
          <w:tcPr>
            <w:tcW w:w="7655" w:type="dxa"/>
          </w:tcPr>
          <w:p w14:paraId="4E0DF669" w14:textId="65A6C953"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Atklājot informāciju, kas prasīta Regulas (ES) Nr. 575/2013 439. panta d) punktā, iestādes norāda nodrošinājuma vērtību, kura tām būtu jānorāda, ja to kredītreitings tiktu samazināts.</w:t>
            </w:r>
            <w:r>
              <w:rPr>
                <w:sz w:val="24"/>
                <w:color w:val="000000"/>
                <w:rFonts w:ascii="Times New Roman" w:hAnsi="Times New Roman"/>
              </w:rPr>
              <w:t xml:space="preserve"> </w:t>
            </w:r>
          </w:p>
          <w:p w14:paraId="08B2F868" w14:textId="77777777" w:rsidR="00F43911" w:rsidRPr="007F4CC8" w:rsidRDefault="00F43911" w:rsidP="004F3087">
            <w:pPr>
              <w:spacing w:after="240"/>
              <w:jc w:val="both"/>
              <w:rPr>
                <w:sz w:val="24"/>
                <w:rFonts w:ascii="Times New Roman" w:eastAsia="Times New Roman" w:hAnsi="Times New Roman" w:cs="Times New Roman"/>
              </w:rPr>
            </w:pPr>
            <w:r>
              <w:rPr>
                <w:color w:val="000000"/>
                <w:sz w:val="24"/>
                <w:rFonts w:ascii="Times New Roman" w:hAnsi="Times New Roman"/>
              </w:rPr>
              <w:t xml:space="preserve">Ja dalībvalsts centrālā banka sniedz likviditātes palīdzību nodrošinājuma mijmaiņas darījumu veidā, kompetentā iestāde var atbrīvot iestādes no pienākuma sniegt šo informāciju, ja tā uzskata, ka minētās informācijas atklāšana varētu atklāt to, ka tiek sniegta ārkārtas likviditātes palīdzība.</w:t>
            </w:r>
            <w:r>
              <w:rPr>
                <w:color w:val="000000"/>
                <w:sz w:val="24"/>
                <w:rFonts w:ascii="Times New Roman" w:hAnsi="Times New Roman"/>
              </w:rPr>
              <w:t xml:space="preserve"> </w:t>
            </w:r>
            <w:r>
              <w:rPr>
                <w:color w:val="000000"/>
                <w:sz w:val="24"/>
                <w:rFonts w:ascii="Times New Roman" w:hAnsi="Times New Roman"/>
              </w:rPr>
              <w:t xml:space="preserve">Šajā nolūkā kompetentā iestāde nosaka attiecīgas robežvērtības un objektīvus kritērijus.</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Veidne EU CCR1 – </w:t>
      </w:r>
      <w:r>
        <w:rPr>
          <w:color w:val="auto"/>
          <w:sz w:val="24"/>
          <w:b/>
          <w:i/>
          <w:rFonts w:ascii="Times New Roman" w:hAnsi="Times New Roman"/>
        </w:rPr>
        <w:t xml:space="preserve">CCR</w:t>
      </w:r>
      <w:r>
        <w:rPr>
          <w:color w:val="auto"/>
          <w:sz w:val="24"/>
          <w:b/>
          <w:rFonts w:ascii="Times New Roman" w:hAnsi="Times New Roman"/>
        </w:rPr>
        <w:t xml:space="preserve"> riska darījumu analīze pieeju dalījumā.</w:t>
      </w:r>
      <w:r>
        <w:rPr>
          <w:color w:val="auto"/>
          <w:sz w:val="24"/>
          <w:b/>
          <w:rFonts w:ascii="Times New Roman" w:hAnsi="Times New Roman"/>
        </w:rPr>
        <w:t xml:space="preserve"> </w:t>
      </w:r>
      <w:r>
        <w:rPr>
          <w:color w:val="auto"/>
          <w:sz w:val="24"/>
          <w:rFonts w:ascii="Times New Roman" w:hAnsi="Times New Roman"/>
        </w:rPr>
        <w:t xml:space="preserve">Fiksēts formāts.</w:t>
      </w:r>
    </w:p>
    <w:p w14:paraId="5F298634" w14:textId="50AAEB3C"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439. panta f), g) un k) punktā minēto informāciju, ievērojot turpmāk šajā pielikumā sniegtos norādījumus, lai aizpildītu EBI IT risinājumu XXV pielikumā ietverto veidni EU CCR1.</w:t>
      </w:r>
    </w:p>
    <w:p w14:paraId="570E50EE" w14:textId="6EAB5FC6"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sz w:val="24"/>
          <w:color w:val="000000"/>
          <w:rFonts w:ascii="Times New Roman" w:hAnsi="Times New Roman"/>
        </w:rPr>
        <w:t xml:space="preserve">Šajā veidnē neiekļauj pašu kapitāla prasības attiecībā uz </w:t>
      </w:r>
      <w:r>
        <w:rPr>
          <w:sz w:val="24"/>
          <w:color w:val="000000"/>
          <w:i/>
          <w:rFonts w:ascii="Times New Roman" w:hAnsi="Times New Roman"/>
        </w:rPr>
        <w:t xml:space="preserve">CVA</w:t>
      </w:r>
      <w:r>
        <w:rPr>
          <w:sz w:val="24"/>
          <w:color w:val="000000"/>
          <w:rFonts w:ascii="Times New Roman" w:hAnsi="Times New Roman"/>
        </w:rPr>
        <w:t xml:space="preserve"> risku (</w:t>
      </w:r>
      <w:r>
        <w:rPr>
          <w:sz w:val="24"/>
          <w:color w:val="auto"/>
          <w:rFonts w:ascii="Times New Roman" w:hAnsi="Times New Roman"/>
        </w:rPr>
        <w:t xml:space="preserve">Regulas (ES) Nr. 575/2013</w:t>
      </w:r>
      <w:r>
        <w:rPr>
          <w:sz w:val="24"/>
          <w:color w:val="000000"/>
          <w:rFonts w:ascii="Times New Roman" w:hAnsi="Times New Roman"/>
        </w:rPr>
        <w:t xml:space="preserve"> trešās daļas VI sadaļa) un riska darījumus ar centrālajiem darījumu partneriem (</w:t>
      </w:r>
      <w:r>
        <w:rPr>
          <w:sz w:val="24"/>
          <w:color w:val="auto"/>
          <w:rFonts w:ascii="Times New Roman" w:hAnsi="Times New Roman"/>
        </w:rPr>
        <w:t xml:space="preserve">Regulas (ES) Nr. 575/2013</w:t>
      </w:r>
      <w:r>
        <w:rPr>
          <w:sz w:val="24"/>
          <w:color w:val="000000"/>
          <w:rFonts w:ascii="Times New Roman" w:hAnsi="Times New Roman"/>
        </w:rPr>
        <w:t xml:space="preserve"> trešās daļas II sadaļas 6. nodaļas 9. iedaļa), kā definēts veidnes EU CCR8 nolūkos.</w:t>
      </w:r>
      <w:r>
        <w:t xml:space="preserve"> </w:t>
      </w:r>
      <w:r>
        <w:rPr>
          <w:sz w:val="24"/>
          <w:color w:val="000000"/>
          <w:rFonts w:ascii="Times New Roman" w:hAnsi="Times New Roman"/>
        </w:rPr>
        <w:t xml:space="preserve">Attiecībā uz vērtspapīru finansēšanas darījumiem veidnē iekļauj riska darījumu vērtības pirms un pēc to kredītriska mazināšanas metožu piemērošanas, kas noteiktas </w:t>
      </w:r>
      <w:r>
        <w:rPr>
          <w:sz w:val="24"/>
          <w:color w:val="000000"/>
          <w:color w:val="auto"/>
          <w:rFonts w:ascii="Times New Roman" w:hAnsi="Times New Roman"/>
        </w:rPr>
        <w:t xml:space="preserve">Regulas (ES) Nr. 575/2013</w:t>
      </w:r>
      <w:r>
        <w:rPr>
          <w:sz w:val="24"/>
          <w:color w:val="000000"/>
          <w:rFonts w:ascii="Times New Roman" w:hAnsi="Times New Roman"/>
        </w:rPr>
        <w:t xml:space="preserve"> trešās daļas II sadaļas 4.un 6. nodaļā, atkarībā no tā, kura metode ir izmantota, saskaņā ar </w:t>
      </w:r>
      <w:r>
        <w:rPr>
          <w:sz w:val="24"/>
          <w:color w:val="000000"/>
          <w:color w:val="auto"/>
          <w:rFonts w:ascii="Times New Roman" w:hAnsi="Times New Roman"/>
        </w:rPr>
        <w:t xml:space="preserve">Regulas (ES) Nr. 575/2013</w:t>
      </w:r>
      <w:r>
        <w:rPr>
          <w:sz w:val="24"/>
          <w:color w:val="000000"/>
          <w:rFonts w:ascii="Times New Roman" w:hAnsi="Times New Roman"/>
        </w:rPr>
        <w:t xml:space="preserve"> 439. panta g) punktu, un saistītās riska darījumu vērtības, kas sadalītas pēc piemērojamās metodes.</w:t>
      </w:r>
    </w:p>
    <w:p w14:paraId="5B43A4B5" w14:textId="294B364B"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Iestādes, kas izmanto Regulas (ES) Nr. 575/2013 trešās daļas II sadaļas 6. nodaļas 4. un 5. iedaļā noteiktās metodes, veidnei pievienotajā izklāsta daļā norāda savu bilances un ārpusbilances atvasināto instrumentu darījumu apmēru, kurš aprēķināts saskaņā ar Regulas (ES) Nr. 575/2013 273.a panta attiecīgi 1. vai 2. punktu, piemērojot Regulas (ES) Nr. 575/2013 439. panta m) 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 xml:space="preserve">EU-1.</w:t>
            </w:r>
          </w:p>
        </w:tc>
        <w:tc>
          <w:tcPr>
            <w:tcW w:w="7655" w:type="dxa"/>
          </w:tcPr>
          <w:p w14:paraId="632808E1"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Sākotnējās riska darījuma vērtības metode (atvasinātajiem instrumentiem)</w:t>
            </w:r>
          </w:p>
          <w:p w14:paraId="11E99694" w14:textId="456EAC3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Atvasinātie instrumenti un ilgstošo norēķinu darījumi, par kuriem iestādes izvēlējušās aprēķināt riska darījumu vērtību kā </w:t>
            </w:r>
            <w:r>
              <w:rPr>
                <w:sz w:val="24"/>
                <w:color w:val="000000"/>
                <w:rFonts w:ascii="Times New Roman" w:hAnsi="Times New Roman"/>
              </w:rPr>
              <w:t xml:space="preserve">alfa</w:t>
            </w:r>
            <w:r>
              <w:rPr>
                <w:sz w:val="24"/>
                <w:rFonts w:ascii="Times New Roman" w:hAnsi="Times New Roman"/>
              </w:rPr>
              <w:t xml:space="preserve">*</w:t>
            </w:r>
            <w:r>
              <w:rPr>
                <w:sz w:val="24"/>
                <w:color w:val="000000"/>
                <w:rFonts w:ascii="Times New Roman" w:hAnsi="Times New Roman"/>
              </w:rPr>
              <w:t xml:space="preserve">(</w:t>
            </w:r>
            <w:r>
              <w:rPr>
                <w:sz w:val="24"/>
                <w:i/>
                <w:rFonts w:ascii="Times New Roman" w:hAnsi="Times New Roman"/>
              </w:rPr>
              <w:t xml:space="preserve">RC</w:t>
            </w:r>
            <w:r>
              <w:rPr>
                <w:sz w:val="24"/>
                <w:rFonts w:ascii="Times New Roman" w:hAnsi="Times New Roman"/>
              </w:rPr>
              <w:t xml:space="preserve">+</w:t>
            </w:r>
            <w:r>
              <w:rPr>
                <w:sz w:val="24"/>
                <w:i/>
                <w:rFonts w:ascii="Times New Roman" w:hAnsi="Times New Roman"/>
              </w:rPr>
              <w:t xml:space="preserve">PFE</w:t>
            </w:r>
            <w:r>
              <w:rPr>
                <w:sz w:val="24"/>
                <w:rFonts w:ascii="Times New Roman" w:hAnsi="Times New Roman"/>
              </w:rPr>
              <w:t xml:space="preserve">), </w:t>
            </w:r>
            <w:r>
              <w:rPr>
                <w:sz w:val="24"/>
                <w:color w:val="000000"/>
                <w:rFonts w:ascii="Times New Roman" w:hAnsi="Times New Roman"/>
              </w:rPr>
              <w:t xml:space="preserve">kur α=1,4</w:t>
            </w:r>
            <w:r>
              <w:rPr>
                <w:sz w:val="24"/>
                <w:rFonts w:ascii="Times New Roman" w:hAnsi="Times New Roman"/>
              </w:rPr>
              <w:t xml:space="preserve"> un </w:t>
            </w:r>
            <w:r>
              <w:rPr>
                <w:sz w:val="24"/>
                <w:i/>
                <w:rFonts w:ascii="Times New Roman" w:hAnsi="Times New Roman"/>
              </w:rPr>
              <w:t xml:space="preserve">RC</w:t>
            </w:r>
            <w:r>
              <w:rPr>
                <w:sz w:val="24"/>
                <w:rFonts w:ascii="Times New Roman" w:hAnsi="Times New Roman"/>
              </w:rPr>
              <w:t xml:space="preserve"> un </w:t>
            </w:r>
            <w:r>
              <w:rPr>
                <w:sz w:val="24"/>
                <w:i/>
                <w:rFonts w:ascii="Times New Roman" w:hAnsi="Times New Roman"/>
              </w:rPr>
              <w:t xml:space="preserve">PFE</w:t>
            </w:r>
            <w:r>
              <w:rPr>
                <w:sz w:val="24"/>
                <w:rFonts w:ascii="Times New Roman" w:hAnsi="Times New Roman"/>
              </w:rPr>
              <w:t xml:space="preserve"> aprēķina saskaņā ar Regulas (ES) Nr. 575/2013 trešās daļas II sadaļas 6. nodaļas 5. iedaļas 282. pantu.</w:t>
            </w:r>
          </w:p>
          <w:p w14:paraId="49426263" w14:textId="41D2ADED"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Šo vienkāršoto metodi atvasināto instrumentu pozīciju riska darījumu vērtības aprēķināšanai var izmantot tikai iestādes, kas atbilst Regulas (ES) Nr. 575/2013 trešās daļas II sadaļas 6. nodaļas 273.a panta 2. vai 4. punktā paredzētajiem nosacījumiem.</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 xml:space="preserve">EU-2.</w:t>
            </w:r>
          </w:p>
        </w:tc>
        <w:tc>
          <w:tcPr>
            <w:tcW w:w="7655" w:type="dxa"/>
          </w:tcPr>
          <w:p w14:paraId="1180B055"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Vienkāršotā standartizētā pieeja attiecībā uz </w:t>
            </w:r>
            <w:r>
              <w:rPr>
                <w:b/>
                <w:sz w:val="24"/>
                <w:i/>
                <w:rFonts w:ascii="Times New Roman" w:hAnsi="Times New Roman"/>
              </w:rPr>
              <w:t xml:space="preserve">CCR</w:t>
            </w:r>
            <w:r>
              <w:rPr>
                <w:b/>
                <w:sz w:val="24"/>
                <w:rFonts w:ascii="Times New Roman" w:hAnsi="Times New Roman"/>
              </w:rPr>
              <w:t xml:space="preserve"> (vienkāršotā </w:t>
            </w:r>
            <w:r>
              <w:rPr>
                <w:b/>
                <w:sz w:val="24"/>
                <w:i/>
                <w:rFonts w:ascii="Times New Roman" w:hAnsi="Times New Roman"/>
              </w:rPr>
              <w:t xml:space="preserve">SA-CCR</w:t>
            </w:r>
            <w:r>
              <w:rPr>
                <w:b/>
                <w:sz w:val="24"/>
                <w:rFonts w:ascii="Times New Roman" w:hAnsi="Times New Roman"/>
              </w:rPr>
              <w:t xml:space="preserve"> atvasinātajiem instrumentiem)</w:t>
            </w:r>
          </w:p>
          <w:p w14:paraId="10F957D1" w14:textId="4A672A0C"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Atvasinātie instrumenti un ilgstošo norēķinu darījumi, par kuriem iestādes izvēlējušās aprēķināt riska darījumu vērtību kā </w:t>
            </w:r>
            <w:r>
              <w:rPr>
                <w:sz w:val="24"/>
                <w:color w:val="000000"/>
                <w:rFonts w:ascii="Times New Roman" w:hAnsi="Times New Roman"/>
              </w:rPr>
              <w:t xml:space="preserve">alfa</w:t>
            </w:r>
            <w:r>
              <w:rPr>
                <w:sz w:val="24"/>
                <w:rFonts w:ascii="Times New Roman" w:hAnsi="Times New Roman"/>
              </w:rPr>
              <w:t xml:space="preserve">*</w:t>
            </w:r>
            <w:r>
              <w:rPr>
                <w:sz w:val="24"/>
                <w:color w:val="000000"/>
                <w:rFonts w:ascii="Times New Roman" w:hAnsi="Times New Roman"/>
              </w:rPr>
              <w:t xml:space="preserve">(</w:t>
            </w:r>
            <w:r>
              <w:rPr>
                <w:sz w:val="24"/>
                <w:i/>
                <w:rFonts w:ascii="Times New Roman" w:hAnsi="Times New Roman"/>
              </w:rPr>
              <w:t xml:space="preserve">RC</w:t>
            </w:r>
            <w:r>
              <w:rPr>
                <w:sz w:val="24"/>
                <w:rFonts w:ascii="Times New Roman" w:hAnsi="Times New Roman"/>
              </w:rPr>
              <w:t xml:space="preserve">+</w:t>
            </w:r>
            <w:r>
              <w:rPr>
                <w:sz w:val="24"/>
                <w:i/>
                <w:rFonts w:ascii="Times New Roman" w:hAnsi="Times New Roman"/>
              </w:rPr>
              <w:t xml:space="preserve">PFE</w:t>
            </w:r>
            <w:r>
              <w:rPr>
                <w:sz w:val="24"/>
                <w:rFonts w:ascii="Times New Roman" w:hAnsi="Times New Roman"/>
              </w:rPr>
              <w:t xml:space="preserve">), </w:t>
            </w:r>
            <w:r>
              <w:rPr>
                <w:sz w:val="24"/>
                <w:color w:val="000000"/>
                <w:rFonts w:ascii="Times New Roman" w:hAnsi="Times New Roman"/>
              </w:rPr>
              <w:t xml:space="preserve">kur α=1,4</w:t>
            </w:r>
            <w:r>
              <w:rPr>
                <w:sz w:val="24"/>
                <w:rFonts w:ascii="Times New Roman" w:hAnsi="Times New Roman"/>
              </w:rPr>
              <w:t xml:space="preserve"> un </w:t>
            </w:r>
            <w:r>
              <w:rPr>
                <w:sz w:val="24"/>
                <w:i/>
                <w:rFonts w:ascii="Times New Roman" w:hAnsi="Times New Roman"/>
              </w:rPr>
              <w:t xml:space="preserve">RC</w:t>
            </w:r>
            <w:r>
              <w:rPr>
                <w:sz w:val="24"/>
                <w:rFonts w:ascii="Times New Roman" w:hAnsi="Times New Roman"/>
              </w:rPr>
              <w:t xml:space="preserve"> un </w:t>
            </w:r>
            <w:r>
              <w:rPr>
                <w:sz w:val="24"/>
                <w:i/>
                <w:rFonts w:ascii="Times New Roman" w:hAnsi="Times New Roman"/>
              </w:rPr>
              <w:t xml:space="preserve">PFE</w:t>
            </w:r>
            <w:r>
              <w:rPr>
                <w:sz w:val="24"/>
                <w:rFonts w:ascii="Times New Roman" w:hAnsi="Times New Roman"/>
              </w:rPr>
              <w:t xml:space="preserve"> aprēķina saskaņā ar Regulas (ES) Nr. 575/2013 trešās daļas II sadaļas 6. nodaļas 4. iedaļas 281. pantu.</w:t>
            </w:r>
          </w:p>
          <w:p w14:paraId="48AAA379" w14:textId="72C4FD1A"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Šo vienkāršoto standartizēto pieeju atvasināto instrumentu pozīciju riska darījumu vērtības aprēķināšanai var izmantot tikai iestādes, kas atbilst Regulas (ES) Nr. 575/2013 trešās daļas II sadaļas 6. nodaļas 273.a panta 1. vai 4. punktā paredzētajiem nosacījumiem.</w:t>
            </w:r>
            <w:r>
              <w:rPr>
                <w:sz w:val="24"/>
                <w:rFonts w:ascii="Times New Roman" w:hAnsi="Times New Roman"/>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 xml:space="preserve">1.</w:t>
            </w:r>
          </w:p>
        </w:tc>
        <w:tc>
          <w:tcPr>
            <w:tcW w:w="7655" w:type="dxa"/>
          </w:tcPr>
          <w:p w14:paraId="1EF0ADED"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Standartizētā pieeja attiecībā uz </w:t>
            </w:r>
            <w:r>
              <w:rPr>
                <w:b/>
                <w:i/>
                <w:rFonts w:ascii="Times New Roman" w:hAnsi="Times New Roman"/>
              </w:rPr>
              <w:t xml:space="preserve">CCR</w:t>
            </w:r>
            <w:r>
              <w:rPr>
                <w:b/>
                <w:rFonts w:ascii="Times New Roman" w:hAnsi="Times New Roman"/>
              </w:rPr>
              <w:t xml:space="preserve"> (</w:t>
            </w:r>
            <w:r>
              <w:rPr>
                <w:b/>
                <w:i/>
                <w:rFonts w:ascii="Times New Roman" w:hAnsi="Times New Roman"/>
              </w:rPr>
              <w:t xml:space="preserve">SA-CCR</w:t>
            </w:r>
            <w:r>
              <w:rPr>
                <w:b/>
                <w:rFonts w:ascii="Times New Roman" w:hAnsi="Times New Roman"/>
              </w:rPr>
              <w:t xml:space="preserve"> atvasinātajiem instrumentiem)</w:t>
            </w:r>
          </w:p>
          <w:p w14:paraId="124D31EB" w14:textId="0A2EBA1F"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Atvasinātie instrumenti un ilgstošo norēķinu darījumi, par kuriem iestādes izvēlējušās aprēķināt riska darījumu vērtību kā alfa*(</w:t>
            </w:r>
            <w:r>
              <w:rPr>
                <w:i/>
                <w:rFonts w:ascii="Times New Roman" w:hAnsi="Times New Roman"/>
              </w:rPr>
              <w:t xml:space="preserve">RC</w:t>
            </w:r>
            <w:r>
              <w:rPr>
                <w:rFonts w:ascii="Times New Roman" w:hAnsi="Times New Roman"/>
              </w:rPr>
              <w:t xml:space="preserve">+</w:t>
            </w:r>
            <w:r>
              <w:rPr>
                <w:i/>
                <w:rFonts w:ascii="Times New Roman" w:hAnsi="Times New Roman"/>
              </w:rPr>
              <w:t xml:space="preserve">PFE</w:t>
            </w:r>
            <w:r>
              <w:rPr>
                <w:rFonts w:ascii="Times New Roman" w:hAnsi="Times New Roman"/>
              </w:rPr>
              <w:t xml:space="preserve">), kur α=1,4 un </w:t>
            </w:r>
            <w:r>
              <w:rPr>
                <w:i/>
                <w:rFonts w:ascii="Times New Roman" w:hAnsi="Times New Roman"/>
              </w:rPr>
              <w:t xml:space="preserve">RC</w:t>
            </w:r>
            <w:r>
              <w:rPr>
                <w:rFonts w:ascii="Times New Roman" w:hAnsi="Times New Roman"/>
              </w:rPr>
              <w:t xml:space="preserve"> un </w:t>
            </w:r>
            <w:r>
              <w:rPr>
                <w:i/>
                <w:rFonts w:ascii="Times New Roman" w:hAnsi="Times New Roman"/>
              </w:rPr>
              <w:t xml:space="preserve">PFE</w:t>
            </w:r>
            <w:r>
              <w:rPr>
                <w:rFonts w:ascii="Times New Roman" w:hAnsi="Times New Roman"/>
              </w:rPr>
              <w:t xml:space="preserve"> aprēķina saskaņā ar </w:t>
            </w:r>
            <w:r>
              <w:rPr>
                <w:color w:val="auto"/>
                <w:rFonts w:ascii="Times New Roman" w:hAnsi="Times New Roman"/>
              </w:rPr>
              <w:t xml:space="preserve">Regulas (ES) Nr. 575/2013</w:t>
            </w:r>
            <w:r>
              <w:rPr>
                <w:rFonts w:ascii="Times New Roman" w:hAnsi="Times New Roman"/>
              </w:rPr>
              <w:t xml:space="preserve"> trešās daļas II sadaļas 6. nodaļas 3. iedaļu.</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 xml:space="preserve">2.</w:t>
            </w:r>
          </w:p>
        </w:tc>
        <w:tc>
          <w:tcPr>
            <w:tcW w:w="7655" w:type="dxa"/>
          </w:tcPr>
          <w:p w14:paraId="2F71D0B4"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IMM (atvasinātajiem instrumentiem un VFD)</w:t>
            </w:r>
          </w:p>
          <w:p w14:paraId="3C605AEA" w14:textId="3DA6EB7D" w:rsidR="00F43911" w:rsidRPr="007F4CC8" w:rsidRDefault="00F43911" w:rsidP="004F3087">
            <w:pPr>
              <w:autoSpaceDE w:val="0"/>
              <w:autoSpaceDN w:val="0"/>
              <w:adjustRightInd w:val="0"/>
              <w:spacing w:after="240"/>
              <w:jc w:val="both"/>
              <w:rPr>
                <w:i/>
                <w:sz w:val="24"/>
                <w:rFonts w:ascii="Times New Roman" w:hAnsi="Times New Roman" w:cs="Times New Roman"/>
              </w:rPr>
            </w:pPr>
            <w:r>
              <w:rPr>
                <w:sz w:val="24"/>
                <w:color w:val="000000"/>
                <w:rFonts w:ascii="Times New Roman" w:hAnsi="Times New Roman"/>
              </w:rPr>
              <w:t xml:space="preserve">Atvasinātie instrumenti un ilgstošo norēķinu darījumi un VFD, par kuriem iestādēm ir atļauts aprēķināt riska darījumu vērtību, izmantojot iekšējo modeļu metodi (IMM) saskaņā ar Regulas (ES) Nr. 575/2013 trešās daļas II sadaļas 6. nodaļas 6. iedaļu.</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 xml:space="preserve">EU-2.a</w:t>
            </w:r>
          </w:p>
        </w:tc>
        <w:tc>
          <w:tcPr>
            <w:tcW w:w="7655" w:type="dxa"/>
          </w:tcPr>
          <w:p w14:paraId="711F7D3E"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T. sk. vērtspapīru finansēšanas darījumu savstarpējo prasījumu ieskaita kopas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Savstarpējo prasījumu ieskaita kopas, kuras satur tikai VFD, kā definēts </w:t>
            </w:r>
            <w:r>
              <w:rPr>
                <w:color w:val="auto"/>
                <w:rFonts w:ascii="Times New Roman" w:hAnsi="Times New Roman"/>
              </w:rPr>
              <w:t xml:space="preserve">Regulas (ES) Nr. 575/2013</w:t>
            </w:r>
            <w:r>
              <w:rPr>
                <w:rFonts w:ascii="Times New Roman" w:hAnsi="Times New Roman"/>
              </w:rPr>
              <w:t xml:space="preserve"> 4. panta 1. punkta 139. apakšpunktā, un par kurām iestādēm ir atļauts noteikt riska darījumu vērtību, izmantojot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 xml:space="preserve">EU-2.b</w:t>
            </w:r>
          </w:p>
        </w:tc>
        <w:tc>
          <w:tcPr>
            <w:tcW w:w="7655" w:type="dxa"/>
          </w:tcPr>
          <w:p w14:paraId="112B8BC9"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T. sk. atvasināto instrumentu un ilgstošo norēķinu darījumu savstarpējo prasījumu ieskaita kopas</w:t>
            </w:r>
          </w:p>
          <w:p w14:paraId="4E9E50F8" w14:textId="68959B51"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Savstarpējo prasījumu ieskaita kopas, kuras satur tikai atvasinātos instrumentus, kas uzskaitīti </w:t>
            </w:r>
            <w:r>
              <w:rPr>
                <w:color w:val="auto"/>
                <w:rFonts w:ascii="Times New Roman" w:hAnsi="Times New Roman"/>
              </w:rPr>
              <w:t xml:space="preserve">Regulas (ES) Nr. 575/2013</w:t>
            </w:r>
            <w:r>
              <w:rPr>
                <w:rFonts w:ascii="Times New Roman" w:hAnsi="Times New Roman"/>
              </w:rPr>
              <w:t xml:space="preserve"> II pielikumā, un ilgstošo norēķinu darījumus, kā definēts </w:t>
            </w:r>
            <w:r>
              <w:rPr>
                <w:color w:val="auto"/>
                <w:rFonts w:ascii="Times New Roman" w:hAnsi="Times New Roman"/>
              </w:rPr>
              <w:t xml:space="preserve">Regulas (ES) Nr. 575/2013</w:t>
            </w:r>
            <w:r>
              <w:rPr>
                <w:rFonts w:ascii="Times New Roman" w:hAnsi="Times New Roman"/>
              </w:rPr>
              <w:t xml:space="preserve"> 272. panta 2. punktā, un par kurām iestādēm ir atļauts noteikt riska darījumu vērtību, izmantojot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 xml:space="preserve">EU-2.c</w:t>
            </w:r>
          </w:p>
        </w:tc>
        <w:tc>
          <w:tcPr>
            <w:tcW w:w="7655" w:type="dxa"/>
          </w:tcPr>
          <w:p w14:paraId="1786D9AA"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T. sk. no dažādu produktu savstarpējo prasījumu līgumiskā ieskaita kopām</w:t>
            </w:r>
          </w:p>
          <w:p w14:paraId="2B590CCD" w14:textId="62BAAF0A"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Savstarpējo prasījumu ieskaita kopas, kuras satur darījumus ar dažādām produktu kategorijām (</w:t>
            </w:r>
            <w:r>
              <w:rPr>
                <w:color w:val="auto"/>
                <w:rFonts w:ascii="Times New Roman" w:hAnsi="Times New Roman"/>
              </w:rPr>
              <w:t xml:space="preserve">Regulas (ES) Nr. 575/2013</w:t>
            </w:r>
            <w:r>
              <w:rPr>
                <w:rFonts w:ascii="Times New Roman" w:hAnsi="Times New Roman"/>
              </w:rPr>
              <w:t xml:space="preserve"> 272. panta 11. punkts), t. i., atvasinātos instrumentus un VFD, par kurām pastāv dažādu produktu savstarpējo prasījumu līgumiskā ieskaita līgums, kā definēts </w:t>
            </w:r>
            <w:r>
              <w:rPr>
                <w:color w:val="auto"/>
                <w:rFonts w:ascii="Times New Roman" w:hAnsi="Times New Roman"/>
              </w:rPr>
              <w:t xml:space="preserve">Regulas (ES) Nr. 575/2013</w:t>
            </w:r>
            <w:r>
              <w:rPr>
                <w:rFonts w:ascii="Times New Roman" w:hAnsi="Times New Roman"/>
              </w:rPr>
              <w:t xml:space="preserve"> 272. panta 25. punktā, un par kurām iestādei ir atļauts noteikt riska darījumu vērtību, izmantojot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 xml:space="preserve">3., 4.</w:t>
            </w:r>
          </w:p>
        </w:tc>
        <w:tc>
          <w:tcPr>
            <w:tcW w:w="7655" w:type="dxa"/>
          </w:tcPr>
          <w:p w14:paraId="3125535D" w14:textId="77777777" w:rsidR="00F43911" w:rsidRPr="00A03D37"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Finanšu nodrošinājuma vienkāršā metode (attiecībā uz VFD) un finanšu nodrošinājuma paplašinātā metode (attiecībā uz VFD)</w:t>
            </w:r>
          </w:p>
          <w:p w14:paraId="7FFBE4B5" w14:textId="7D2E8323" w:rsidR="00F43911" w:rsidRPr="007F4CC8" w:rsidRDefault="00F43911" w:rsidP="004F3087">
            <w:pPr>
              <w:pStyle w:val="TableMainHeading"/>
              <w:spacing w:before="0" w:after="240"/>
              <w:jc w:val="both"/>
              <w:rPr>
                <w:i/>
                <w:sz w:val="24"/>
                <w:szCs w:val="24"/>
                <w:rFonts w:ascii="Times New Roman" w:hAnsi="Times New Roman"/>
              </w:rPr>
            </w:pPr>
            <w:r>
              <w:rPr>
                <w:sz w:val="24"/>
                <w:i/>
                <w:rFonts w:ascii="Times New Roman" w:hAnsi="Times New Roman"/>
              </w:rPr>
              <w:t xml:space="preserve">Repo</w:t>
            </w:r>
            <w:r>
              <w:rPr>
                <w:sz w:val="24"/>
                <w:rFonts w:ascii="Times New Roman" w:hAnsi="Times New Roman"/>
              </w:rPr>
              <w:t xml:space="preserve"> darījumi, vērtspapīru vai preču aizdevuma vai aizņēmuma darījumi un maržinālo aizdevumu darījumi, par kuriem iestādes ir izvēlējušās noteikt riska darījumu vērtību saskaņā ar Regulas (ES) Nr. 575/2013 trešās daļas II sadaļas 4. nodaļas 222. un 223. pantu, nevis Regulas (ES) Nr. 575/2013 trešās daļas II sadaļas 6. nodaļas 271. panta 2. punktu.</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 xml:space="preserve">5.</w:t>
            </w:r>
          </w:p>
        </w:tc>
        <w:tc>
          <w:tcPr>
            <w:tcW w:w="7655" w:type="dxa"/>
          </w:tcPr>
          <w:p w14:paraId="7192FE6E"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i/>
                <w:rFonts w:ascii="Times New Roman" w:hAnsi="Times New Roman"/>
              </w:rPr>
              <w:t xml:space="preserve">VaR</w:t>
            </w:r>
            <w:r>
              <w:rPr>
                <w:b/>
                <w:sz w:val="24"/>
                <w:rFonts w:ascii="Times New Roman" w:hAnsi="Times New Roman"/>
              </w:rPr>
              <w:t xml:space="preserve"> attiecībā uz VFD</w:t>
            </w:r>
          </w:p>
          <w:p w14:paraId="2F37A77D" w14:textId="7C69D743" w:rsidR="00F43911" w:rsidRPr="007F4CC8" w:rsidRDefault="00F43911" w:rsidP="004F3087">
            <w:pPr>
              <w:pStyle w:val="TableMainHeading"/>
              <w:spacing w:before="0" w:after="240"/>
              <w:jc w:val="both"/>
              <w:rPr>
                <w:i/>
                <w:sz w:val="24"/>
                <w:szCs w:val="24"/>
                <w:rFonts w:ascii="Times New Roman" w:hAnsi="Times New Roman"/>
              </w:rPr>
            </w:pPr>
            <w:r>
              <w:rPr>
                <w:sz w:val="24"/>
                <w:i/>
                <w:rFonts w:ascii="Times New Roman" w:hAnsi="Times New Roman"/>
              </w:rPr>
              <w:t xml:space="preserve">Repo</w:t>
            </w:r>
            <w:r>
              <w:rPr>
                <w:sz w:val="24"/>
                <w:rFonts w:ascii="Times New Roman" w:hAnsi="Times New Roman"/>
              </w:rPr>
              <w:t xml:space="preserve"> darījumi, vērtspapīru vai preču aizdevuma vai aizņēmuma darījumi un maržinālo aizdevumu darījumi vai citi kapitāla tirgus darījumi, izņemot atvasināto instrumentu darījumus, par kuriem (saskaņā ar Regulas (ES) Nr. 575/2013 221. pantu) riska darījumu vērtību aprēķina, izmantojot uz iekšējiem modeļiem balstītu pieeju (</w:t>
            </w:r>
            <w:r>
              <w:rPr>
                <w:sz w:val="24"/>
                <w:i/>
                <w:rFonts w:ascii="Times New Roman" w:hAnsi="Times New Roman"/>
              </w:rPr>
              <w:t xml:space="preserve">IMA</w:t>
            </w:r>
            <w:r>
              <w:rPr>
                <w:sz w:val="24"/>
                <w:rFonts w:ascii="Times New Roman" w:hAnsi="Times New Roman"/>
              </w:rPr>
              <w:t xml:space="preserve">), kurā ņemta vērā ietekme, kas rodas no korelācijas starp vērtspapīru pozīcijām, uz kurām neattiecas savstarpējo prasījumu ieskaita jumta līgums, kā arī attiecīgo instrumentu likviditāte.</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 xml:space="preserve">6.</w:t>
            </w:r>
          </w:p>
        </w:tc>
        <w:tc>
          <w:tcPr>
            <w:tcW w:w="7655" w:type="dxa"/>
          </w:tcPr>
          <w:p w14:paraId="2AB9B821"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Kopā</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 xml:space="preserve">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Aizvietošanas vērtība (</w:t>
            </w:r>
            <w:r>
              <w:rPr>
                <w:b/>
                <w:sz w:val="24"/>
                <w:i/>
                <w:rFonts w:ascii="Times New Roman" w:hAnsi="Times New Roman"/>
              </w:rPr>
              <w:t xml:space="preserve">RC</w:t>
            </w:r>
            <w:r>
              <w:rPr>
                <w:b/>
                <w:sz w:val="24"/>
                <w:rFonts w:ascii="Times New Roman" w:hAnsi="Times New Roman"/>
              </w:rPr>
              <w:t xml:space="preserve">) un potenciālā nākotnes kredītriska darījumu vērtība (</w:t>
            </w:r>
            <w:r>
              <w:rPr>
                <w:b/>
                <w:sz w:val="24"/>
                <w:i/>
                <w:rFonts w:ascii="Times New Roman" w:hAnsi="Times New Roman"/>
              </w:rPr>
              <w:t xml:space="preserve">PFE</w:t>
            </w:r>
            <w:r>
              <w:rPr>
                <w:b/>
                <w:sz w:val="24"/>
                <w:rFonts w:ascii="Times New Roman" w:hAnsi="Times New Roman"/>
              </w:rPr>
              <w:t xml:space="preserve">)</w:t>
            </w:r>
            <w:r>
              <w:rPr>
                <w:b/>
                <w:sz w:val="24"/>
                <w:rFonts w:ascii="Times New Roman" w:hAnsi="Times New Roman"/>
              </w:rPr>
              <w:t xml:space="preserve"> </w:t>
            </w:r>
          </w:p>
          <w:p w14:paraId="366AE0A2" w14:textId="77777777" w:rsidR="00F43911" w:rsidRPr="007F4CC8" w:rsidRDefault="00F43911" w:rsidP="004F3087">
            <w:pPr>
              <w:pStyle w:val="TableMainHeading"/>
              <w:spacing w:before="0" w:after="240"/>
              <w:jc w:val="both"/>
              <w:rPr>
                <w:sz w:val="24"/>
                <w:szCs w:val="24"/>
                <w:rFonts w:ascii="Times New Roman" w:hAnsi="Times New Roman"/>
              </w:rPr>
            </w:pPr>
            <w:r>
              <w:rPr>
                <w:sz w:val="24"/>
                <w:i/>
                <w:rFonts w:ascii="Times New Roman" w:hAnsi="Times New Roman"/>
              </w:rPr>
              <w:t xml:space="preserve">RC</w:t>
            </w:r>
            <w:r>
              <w:rPr>
                <w:sz w:val="24"/>
                <w:rFonts w:ascii="Times New Roman" w:hAnsi="Times New Roman"/>
              </w:rPr>
              <w:t xml:space="preserve"> un </w:t>
            </w:r>
            <w:r>
              <w:rPr>
                <w:sz w:val="24"/>
                <w:i/>
                <w:rFonts w:ascii="Times New Roman" w:hAnsi="Times New Roman"/>
              </w:rPr>
              <w:t xml:space="preserve">PFE</w:t>
            </w:r>
            <w:r>
              <w:rPr>
                <w:sz w:val="24"/>
                <w:rFonts w:ascii="Times New Roman" w:hAnsi="Times New Roman"/>
              </w:rPr>
              <w:t xml:space="preserve"> aprēķina:</w:t>
            </w:r>
          </w:p>
          <w:p w14:paraId="3D3887A9" w14:textId="037427CB"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saskaņā ar Regulas (ES) Nr. 575/2013 trešās daļas II sadaļas 6. nodaļas 5. iedaļas 282. panta 3. un 4. punktu attiecībā uz sākotnējās riska darījuma vērtības metodi (šīs veidnes EU-1. rinda),</w:t>
            </w:r>
            <w:r>
              <w:rPr>
                <w:sz w:val="24"/>
                <w:rFonts w:ascii="Times New Roman" w:hAnsi="Times New Roman"/>
              </w:rPr>
              <w:t xml:space="preserve"> </w:t>
            </w:r>
          </w:p>
          <w:p w14:paraId="3CB92BF2" w14:textId="1A27535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saskaņā ar Regulas (ES) Nr. 575/2013 trešās daļas II sadaļas 6. nodaļas 5. iedaļas 281. pantu attiecībā uz vienkāršoto </w:t>
            </w:r>
            <w:r>
              <w:rPr>
                <w:sz w:val="24"/>
                <w:i/>
                <w:rFonts w:ascii="Times New Roman" w:hAnsi="Times New Roman"/>
              </w:rPr>
              <w:t xml:space="preserve">SA-CCR</w:t>
            </w:r>
            <w:r>
              <w:rPr>
                <w:sz w:val="24"/>
                <w:rFonts w:ascii="Times New Roman" w:hAnsi="Times New Roman"/>
              </w:rPr>
              <w:t xml:space="preserve"> (šīs veidnes EU-2. rinda),</w:t>
            </w:r>
          </w:p>
          <w:p w14:paraId="26D7BCAE" w14:textId="71B5EE99"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saskaņā ar Regulas (ES) Nr. 575/2013 trešās daļas II sadaļas 6. nodaļas 4. un 5. iedaļas 275. un 278. pantu attiecībā uz </w:t>
            </w:r>
            <w:r>
              <w:rPr>
                <w:sz w:val="24"/>
                <w:i/>
                <w:rFonts w:ascii="Times New Roman" w:hAnsi="Times New Roman"/>
              </w:rPr>
              <w:t xml:space="preserve">SA-CCR</w:t>
            </w:r>
            <w:r>
              <w:rPr>
                <w:sz w:val="24"/>
                <w:rFonts w:ascii="Times New Roman" w:hAnsi="Times New Roman"/>
              </w:rPr>
              <w:t xml:space="preserve"> (šīs veidnes 1. rinda).</w:t>
            </w:r>
          </w:p>
          <w:p w14:paraId="3D6E29EA" w14:textId="77777777" w:rsidR="00F43911" w:rsidRPr="007F4CC8" w:rsidRDefault="00F43911" w:rsidP="004F3087">
            <w:pPr>
              <w:spacing w:after="240"/>
            </w:pPr>
            <w:r>
              <w:rPr>
                <w:sz w:val="24"/>
                <w:rFonts w:ascii="Times New Roman" w:hAnsi="Times New Roman"/>
              </w:rPr>
              <w:t xml:space="preserve">Iestādes atklāj aizvietošanas vērtības summu par visām savstarpējo prasījumu ieskaita kopām atbilstošajās rindās.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Efektīvā sagaidāmā pozitīvā riska darījumu vērtība (</w:t>
            </w:r>
            <w:r>
              <w:rPr>
                <w:b/>
                <w:i/>
                <w:rFonts w:ascii="Times New Roman" w:hAnsi="Times New Roman"/>
              </w:rPr>
              <w:t xml:space="preserve">EEPE</w:t>
            </w:r>
            <w:r>
              <w:rPr>
                <w:b/>
                <w:rFonts w:ascii="Times New Roman" w:hAnsi="Times New Roman"/>
              </w:rPr>
              <w:t xml:space="preserve">)</w:t>
            </w:r>
          </w:p>
          <w:p w14:paraId="457B2CC6" w14:textId="76476F86" w:rsidR="00F43911" w:rsidRPr="007F4CC8" w:rsidRDefault="00F43911" w:rsidP="004F3087">
            <w:pPr>
              <w:pStyle w:val="Default"/>
              <w:spacing w:after="240"/>
              <w:jc w:val="both"/>
              <w:rPr>
                <w:rFonts w:ascii="Times New Roman" w:hAnsi="Times New Roman" w:cs="Times New Roman"/>
              </w:rPr>
            </w:pPr>
            <w:r>
              <w:rPr>
                <w:i/>
                <w:rFonts w:ascii="Times New Roman" w:hAnsi="Times New Roman"/>
              </w:rPr>
              <w:t xml:space="preserve">EEPE</w:t>
            </w:r>
            <w:r>
              <w:rPr>
                <w:rFonts w:ascii="Times New Roman" w:hAnsi="Times New Roman"/>
              </w:rPr>
              <w:t xml:space="preserve"> katrai savstarpējo prasījumu ieskaita kopai ir noteikta </w:t>
            </w:r>
            <w:r>
              <w:rPr>
                <w:color w:val="auto"/>
                <w:rFonts w:ascii="Times New Roman" w:hAnsi="Times New Roman"/>
              </w:rPr>
              <w:t xml:space="preserve">Regulas (ES) Nr. 575/2013</w:t>
            </w:r>
            <w:r>
              <w:rPr>
                <w:rFonts w:ascii="Times New Roman" w:hAnsi="Times New Roman"/>
              </w:rPr>
              <w:t xml:space="preserve"> 272. panta 22. punktā, un to aprēķina saskaņā ar </w:t>
            </w:r>
            <w:r>
              <w:rPr>
                <w:color w:val="auto"/>
                <w:rFonts w:ascii="Times New Roman" w:hAnsi="Times New Roman"/>
              </w:rPr>
              <w:t xml:space="preserve">Regulas (ES) Nr. 575/2013</w:t>
            </w:r>
            <w:r>
              <w:rPr>
                <w:rFonts w:ascii="Times New Roman" w:hAnsi="Times New Roman"/>
              </w:rPr>
              <w:t xml:space="preserve"> 284. panta 6. punktu.</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Šeit norāda </w:t>
            </w:r>
            <w:r>
              <w:rPr>
                <w:i/>
                <w:rFonts w:ascii="Times New Roman" w:hAnsi="Times New Roman"/>
              </w:rPr>
              <w:t xml:space="preserve">EEPE</w:t>
            </w:r>
            <w:r>
              <w:rPr>
                <w:rFonts w:ascii="Times New Roman" w:hAnsi="Times New Roman"/>
              </w:rPr>
              <w:t xml:space="preserve">, ko piemēro pašu kapitāla prasību noteikšanai saskaņā ar </w:t>
            </w:r>
            <w:r>
              <w:rPr>
                <w:color w:val="auto"/>
                <w:rFonts w:ascii="Times New Roman" w:hAnsi="Times New Roman"/>
              </w:rPr>
              <w:t xml:space="preserve">Regulas (ES) Nr. 575/2013</w:t>
            </w:r>
            <w:r>
              <w:rPr>
                <w:rFonts w:ascii="Times New Roman" w:hAnsi="Times New Roman"/>
              </w:rPr>
              <w:t xml:space="preserve"> 284. panta 3. punktu, t. i., vai nu </w:t>
            </w:r>
            <w:r>
              <w:rPr>
                <w:i/>
                <w:rFonts w:ascii="Times New Roman" w:hAnsi="Times New Roman"/>
              </w:rPr>
              <w:t xml:space="preserve">EEPE</w:t>
            </w:r>
            <w:r>
              <w:rPr>
                <w:rFonts w:ascii="Times New Roman" w:hAnsi="Times New Roman"/>
              </w:rPr>
              <w:t xml:space="preserve">, kas aprēķināta, izmantojot aktuālos tirgus datus, vai </w:t>
            </w:r>
            <w:r>
              <w:rPr>
                <w:i/>
                <w:rFonts w:ascii="Times New Roman" w:hAnsi="Times New Roman"/>
              </w:rPr>
              <w:t xml:space="preserve">EEPE</w:t>
            </w:r>
            <w:r>
              <w:rPr>
                <w:rFonts w:ascii="Times New Roman" w:hAnsi="Times New Roman"/>
              </w:rPr>
              <w:t xml:space="preserve">, kas aprēķināta, izmantojot spriedzes kalibrēšanu, atkarībā no tā, kura rada lielāku pašu kapitāla prasību.</w:t>
            </w:r>
          </w:p>
          <w:p w14:paraId="1B528B51" w14:textId="77777777"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Iestādes šai veidnei pievienotajā izklāsta daļā norāda, kura </w:t>
            </w:r>
            <w:r>
              <w:rPr>
                <w:i/>
                <w:rFonts w:ascii="Times New Roman" w:hAnsi="Times New Roman"/>
              </w:rPr>
              <w:t xml:space="preserve">EEPE</w:t>
            </w:r>
            <w:r>
              <w:rPr>
                <w:rFonts w:ascii="Times New Roman" w:hAnsi="Times New Roman"/>
              </w:rPr>
              <w:t xml:space="preserve"> ir ierakstīta.</w:t>
            </w:r>
            <w:r>
              <w:rPr>
                <w:rFonts w:ascii="Times New Roman" w:hAnsi="Times New Roman"/>
              </w:rPr>
              <w:t xml:space="preserv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Regulatīvās riska darījumu vērtības aprēķiniem izmantotā alfa</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Alfa vērtība ir noteikta kā 1,4 šīs veidnes EU-1., EU-2. un 1. rindā saskaņā ar </w:t>
            </w:r>
            <w:r>
              <w:rPr>
                <w:color w:val="auto"/>
                <w:rFonts w:ascii="Times New Roman" w:hAnsi="Times New Roman"/>
              </w:rPr>
              <w:t xml:space="preserve">Regulas (ES) Nr. 575/2013</w:t>
            </w:r>
            <w:r>
              <w:rPr>
                <w:rFonts w:ascii="Times New Roman" w:hAnsi="Times New Roman"/>
              </w:rPr>
              <w:t xml:space="preserve"> 282. panta 2. punktu, 281. panta 1. punktu un 274. panta 2. punktu.</w:t>
            </w:r>
          </w:p>
          <w:p w14:paraId="3D498F38" w14:textId="1A3CD52A"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IMM nolūkos α vērtība var būt vai nu noklusējuma vērtība – 1,4, vai arī atšķirīga, ja kompetentās iestādes pieprasa augstāku α saskaņā ar </w:t>
            </w:r>
            <w:r>
              <w:rPr>
                <w:color w:val="auto"/>
                <w:rFonts w:ascii="Times New Roman" w:hAnsi="Times New Roman"/>
              </w:rPr>
              <w:t xml:space="preserve">Regulas (ES) Nr. 575/2013</w:t>
            </w:r>
            <w:r>
              <w:rPr>
                <w:rFonts w:ascii="Times New Roman" w:hAnsi="Times New Roman"/>
              </w:rPr>
              <w:t xml:space="preserve"> 284. panta 4. punktu vai ļauj iestādēm izmantot pašu aplēses saskaņā ar </w:t>
            </w:r>
            <w:r>
              <w:rPr>
                <w:color w:val="auto"/>
                <w:rFonts w:ascii="Times New Roman" w:hAnsi="Times New Roman"/>
              </w:rPr>
              <w:t xml:space="preserve">Regulas (ES) Nr. 575/2013</w:t>
            </w:r>
            <w:r>
              <w:rPr>
                <w:rFonts w:ascii="Times New Roman" w:hAnsi="Times New Roman"/>
              </w:rPr>
              <w:t xml:space="preserve"> trešās daļas II sadaļas 6. nodaļas 6. iedaļas 284. panta 9. punktu.</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Riska darījumu vērtība pirms kredītriska mazināšanas</w:t>
            </w:r>
          </w:p>
          <w:p w14:paraId="4D1BA8A2" w14:textId="2ACA7816"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Riska darījumu vērtību pirms kredītriska mazināšanas attiecībā uz </w:t>
            </w:r>
            <w:r>
              <w:rPr>
                <w:sz w:val="24"/>
                <w:i/>
                <w:rFonts w:ascii="Times New Roman" w:hAnsi="Times New Roman"/>
              </w:rPr>
              <w:t xml:space="preserve">CCR</w:t>
            </w:r>
            <w:r>
              <w:rPr>
                <w:sz w:val="24"/>
                <w:rFonts w:ascii="Times New Roman" w:hAnsi="Times New Roman"/>
              </w:rPr>
              <w:t xml:space="preserve"> darījumiem aprēķina saskaņā ar Regulas (ES) Nr. 575/2013 trešās daļas II sadaļas 4. un 6. nodaļā noteiktajām metodēm, ņemot vērā ieskaita radīto ietekmi, bet neņemot vērā nekādas citas kredītriska mazināšanas metodes (piemēram, drošības rezerves nodrošinājuma izmantošanu).</w:t>
            </w:r>
          </w:p>
          <w:p w14:paraId="392128FE"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VFD gadījumā vērtspapīru pozīciju neņem vērā, lai noteiktu riska darījumu vērtību pirms kredītriska mazināšanas, ja nodrošinājums ir saņemts, un tāpēc tā nesamazina riska darījumu vērtību.</w:t>
            </w:r>
            <w:r>
              <w:rPr>
                <w:sz w:val="24"/>
                <w:rFonts w:ascii="Times New Roman" w:hAnsi="Times New Roman"/>
              </w:rPr>
              <w:t xml:space="preserve"> </w:t>
            </w:r>
            <w:r>
              <w:rPr>
                <w:sz w:val="24"/>
                <w:rFonts w:ascii="Times New Roman" w:hAnsi="Times New Roman"/>
              </w:rPr>
              <w:t xml:space="preserve">Turpretī VFD vērtspapīru pozīciju ņem vērā, lai noteiktu riska darījumu vērtību pirms kredītriska mazināšanas parastajā veidā, ja nodrošinājums ir iesniegts.</w:t>
            </w:r>
            <w:r>
              <w:rPr>
                <w:sz w:val="24"/>
                <w:rFonts w:ascii="Times New Roman" w:hAnsi="Times New Roman"/>
              </w:rPr>
              <w:t xml:space="preserve"> </w:t>
            </w:r>
          </w:p>
          <w:p w14:paraId="482E5F75"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Turklāt nodrošinātus darījumus uzskata par nenodrošinātiem, t. i., nepiemēro drošības rezerves noteikšanas ietekmi.</w:t>
            </w:r>
          </w:p>
          <w:p w14:paraId="3610D469" w14:textId="346DB6F0"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Darījumiem, kuros identificēts specifiskais korelācijas risks, riska darījumu vērtība pirms kredītriska mazināšanas jānosaka saskaņā ar Regulas (ES) Nr. 575/2013 291. pantu.</w:t>
            </w:r>
          </w:p>
          <w:p w14:paraId="3EB18FDE" w14:textId="700FF1F2"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Riska darījumu vērtībā pirms kredītriska mazināšanas neņem vērā radušos </w:t>
            </w:r>
            <w:r>
              <w:rPr>
                <w:sz w:val="24"/>
                <w:i/>
                <w:rFonts w:ascii="Times New Roman" w:hAnsi="Times New Roman"/>
              </w:rPr>
              <w:t xml:space="preserve">CVA</w:t>
            </w:r>
            <w:r>
              <w:rPr>
                <w:sz w:val="24"/>
                <w:rFonts w:ascii="Times New Roman" w:hAnsi="Times New Roman"/>
              </w:rPr>
              <w:t xml:space="preserve"> zaudējumu atskaitījumu saskaņā ar Regulas (ES) Nr. 575/2013 273. panta 6. punktu.</w:t>
            </w:r>
          </w:p>
          <w:p w14:paraId="3CE91BAE"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Iestāde atklāj visu riska darījumu vērtību pirms kredītriska mazināšanas summu attiecīgajā rindā.</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Riska darījumu vērtība pēc kredītriska mazināšanas</w:t>
            </w:r>
          </w:p>
          <w:p w14:paraId="4C374AEE" w14:textId="5BC2862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Riska darījumu vērtību pēc kredītriska mazināšanas </w:t>
            </w:r>
            <w:r>
              <w:rPr>
                <w:sz w:val="24"/>
                <w:i/>
                <w:rFonts w:ascii="Times New Roman" w:hAnsi="Times New Roman"/>
              </w:rPr>
              <w:t xml:space="preserve">CCR</w:t>
            </w:r>
            <w:r>
              <w:rPr>
                <w:sz w:val="24"/>
                <w:rFonts w:ascii="Times New Roman" w:hAnsi="Times New Roman"/>
              </w:rPr>
              <w:t xml:space="preserve"> darījumiem aprēķina saskaņā ar metodēm, kas noteiktas Regulas (ES) Nr. 575/2013 trešās daļas II sadaļas 4. un 6. nodaļā, pirms tam piemērojot kredītriska mazināšanas metodes, kas piemērojamas saskaņā ar Regulas (ES) Nr. 575/2013 trešās daļas II sadaļas 4. un 6. nodaļu.</w:t>
            </w:r>
          </w:p>
          <w:p w14:paraId="00427D02" w14:textId="50A27684"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Darījumiem, kuros identificēts specifiskais korelācijas risks, riska darījumu vērtību nosaka saskaņā ar Regulas (ES) Nr. 575/2013 291. pantu.</w:t>
            </w:r>
          </w:p>
          <w:p w14:paraId="11C26276" w14:textId="03A97DB3"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Saskaņā ar Regulas (ES) Nr. 575/2013 273. panta 6. punktu radušos </w:t>
            </w:r>
            <w:r>
              <w:rPr>
                <w:sz w:val="24"/>
                <w:i/>
                <w:rFonts w:ascii="Times New Roman" w:hAnsi="Times New Roman"/>
              </w:rPr>
              <w:t xml:space="preserve">CVA</w:t>
            </w:r>
            <w:r>
              <w:rPr>
                <w:sz w:val="24"/>
                <w:rFonts w:ascii="Times New Roman" w:hAnsi="Times New Roman"/>
              </w:rPr>
              <w:t xml:space="preserve"> zaudējumus neatskaita no riska darījumu vērtības pēc kredītriska mazināšanas.</w:t>
            </w:r>
          </w:p>
          <w:p w14:paraId="69480D33"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Iestāde atklāj visu riska darījumu vērtību pēc kredītriska mazināšanas summu attiecīgajā rindā.</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Riska darījumu vērtība</w:t>
            </w:r>
          </w:p>
          <w:p w14:paraId="48F8B1EB" w14:textId="504B8CE3"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Riska darījumu vērtība </w:t>
            </w:r>
            <w:r>
              <w:rPr>
                <w:sz w:val="24"/>
                <w:i/>
                <w:rFonts w:ascii="Times New Roman" w:hAnsi="Times New Roman"/>
              </w:rPr>
              <w:t xml:space="preserve">CCR</w:t>
            </w:r>
            <w:r>
              <w:rPr>
                <w:sz w:val="24"/>
                <w:rFonts w:ascii="Times New Roman" w:hAnsi="Times New Roman"/>
              </w:rPr>
              <w:t xml:space="preserve"> darījumiem, kas aprēķināta saskaņā ar Regulas (ES) Nr. 575/2013 trešās daļas II sadaļas 4. un 6. nodaļā noteiktajām metodēm un kas ir būtiskā summa pašu kapitāla prasības aprēķināšanai, t. i., pēc tam, kad piemērotas riska mazināšanas metodes, kuras piemērojamas saskaņā ar Regulas (ES) Nr. 575/2013 trešās daļas 4. un 6. nodaļu, un ir ņemts vērā radušos </w:t>
            </w:r>
            <w:r>
              <w:rPr>
                <w:sz w:val="24"/>
                <w:i/>
                <w:rFonts w:ascii="Times New Roman" w:hAnsi="Times New Roman"/>
              </w:rPr>
              <w:t xml:space="preserve">CVA</w:t>
            </w:r>
            <w:r>
              <w:rPr>
                <w:sz w:val="24"/>
                <w:rFonts w:ascii="Times New Roman" w:hAnsi="Times New Roman"/>
              </w:rPr>
              <w:t xml:space="preserve"> zaudējumu atskaitījums saskaņā ar Regulas (ES) Nr. 575/2013 273. panta 6. punktu.</w:t>
            </w:r>
          </w:p>
          <w:p w14:paraId="07CE657B" w14:textId="7D68C21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Riska darījumu vērtību darījumiem, kuros identificēts specifiskais korelācijas risks, nosaka saskaņā ar Regulas (ES) Nr. 575/2013 291. pantu.</w:t>
            </w:r>
          </w:p>
          <w:p w14:paraId="1417E2B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Gadījumos, kad vienam darījumu partnerim izmanto vairāk nekā vienu </w:t>
            </w:r>
            <w:r>
              <w:rPr>
                <w:sz w:val="24"/>
                <w:i/>
                <w:rFonts w:ascii="Times New Roman" w:hAnsi="Times New Roman"/>
              </w:rPr>
              <w:t xml:space="preserve">CCR</w:t>
            </w:r>
            <w:r>
              <w:rPr>
                <w:sz w:val="24"/>
                <w:rFonts w:ascii="Times New Roman" w:hAnsi="Times New Roman"/>
              </w:rPr>
              <w:t xml:space="preserve"> pieeju, radušos </w:t>
            </w:r>
            <w:r>
              <w:rPr>
                <w:sz w:val="24"/>
                <w:i/>
                <w:rFonts w:ascii="Times New Roman" w:hAnsi="Times New Roman"/>
              </w:rPr>
              <w:t xml:space="preserve">CVA</w:t>
            </w:r>
            <w:r>
              <w:rPr>
                <w:sz w:val="24"/>
                <w:rFonts w:ascii="Times New Roman" w:hAnsi="Times New Roman"/>
              </w:rPr>
              <w:t xml:space="preserve"> zaudējumus, ko atskaita darījuma partnera līmenī, iedala dažādo savstarpējā ieskaita kopu riska darījumu vērtībā katrā </w:t>
            </w:r>
            <w:r>
              <w:rPr>
                <w:sz w:val="24"/>
                <w:i/>
                <w:rFonts w:ascii="Times New Roman" w:hAnsi="Times New Roman"/>
              </w:rPr>
              <w:t xml:space="preserve">CCR</w:t>
            </w:r>
            <w:r>
              <w:rPr>
                <w:sz w:val="24"/>
                <w:rFonts w:ascii="Times New Roman" w:hAnsi="Times New Roman"/>
              </w:rPr>
              <w:t xml:space="preserve"> pieejā, kas atspoguļo attiecīgo savstarpējā ieskaita kopu riska darījumu vērtības pēc riska mazināšanas īpatsvaru attiecībā pret darījuma partnera kopējo riska darījumu vērtību pēc kredītriska mazināšanas.</w:t>
            </w:r>
          </w:p>
          <w:p w14:paraId="736282AA"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Iestāde atklāj visu riska darījumu vērtību pēc kredītriska mazināšanas summu attiecīgajā rindā.</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Riska darījumu riska svērtā vērtība</w:t>
            </w:r>
          </w:p>
          <w:p w14:paraId="26B75465" w14:textId="746E1CA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Riska darījumu riska svērtās vērtības, kā definēts Regulas (ES) Nr. 575/2013 92. panta 3. un 4. punktā, kas aprēķinātas saskaņā ar Regulas (ES) Nr. 575/2013 107. pantu, tiem elementiem, kuru riska pakāpes aplēstas, pamatojoties uz Regulas (ES) Nr. 575/2013 trešās daļas II sadaļas 2. un 3. nodaļas prasībām, un kuriem riska darījumu vērtība </w:t>
            </w:r>
            <w:r>
              <w:rPr>
                <w:sz w:val="24"/>
                <w:i/>
                <w:rFonts w:ascii="Times New Roman" w:hAnsi="Times New Roman"/>
              </w:rPr>
              <w:t xml:space="preserve">CCR</w:t>
            </w:r>
            <w:r>
              <w:rPr>
                <w:sz w:val="24"/>
                <w:rFonts w:ascii="Times New Roman" w:hAnsi="Times New Roman"/>
              </w:rPr>
              <w:t xml:space="preserve"> darījumiem tiek aprēķināta saskaņā ar Regulas (ES) Nr. 575/2013 trešās daļas II sadaļas 4. un 6. nodaļu.</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color w:val="auto"/>
          <w:sz w:val="24"/>
          <w:rFonts w:ascii="Times New Roman" w:hAnsi="Times New Roman" w:cs="Times New Roman"/>
        </w:rPr>
      </w:pPr>
      <w:r>
        <w:rPr>
          <w:color w:val="auto"/>
          <w:sz w:val="24"/>
          <w:b/>
          <w:rFonts w:ascii="Times New Roman" w:hAnsi="Times New Roman"/>
        </w:rPr>
        <w:t xml:space="preserve">Veidne EU CCR3 – Standartizētā pieeja – </w:t>
      </w:r>
      <w:r>
        <w:rPr>
          <w:color w:val="auto"/>
          <w:sz w:val="24"/>
          <w:b/>
          <w:i/>
          <w:rFonts w:ascii="Times New Roman" w:hAnsi="Times New Roman"/>
        </w:rPr>
        <w:t xml:space="preserve">CCR</w:t>
      </w:r>
      <w:r>
        <w:rPr>
          <w:color w:val="auto"/>
          <w:sz w:val="24"/>
          <w:b/>
          <w:rFonts w:ascii="Times New Roman" w:hAnsi="Times New Roman"/>
        </w:rPr>
        <w:t xml:space="preserve"> riska darījumi sadalījumā pa regulatīvajām riska darījumu kategorijām un riska pakāpēm.</w:t>
      </w:r>
      <w:r>
        <w:rPr>
          <w:color w:val="auto"/>
          <w:sz w:val="24"/>
          <w:b/>
          <w:rFonts w:ascii="Times New Roman" w:hAnsi="Times New Roman"/>
        </w:rPr>
        <w:t xml:space="preserve"> </w:t>
      </w:r>
      <w:r>
        <w:rPr>
          <w:color w:val="auto"/>
          <w:sz w:val="24"/>
          <w:rFonts w:ascii="Times New Roman" w:hAnsi="Times New Roman"/>
        </w:rPr>
        <w:t xml:space="preserve">Fiksēts formāts.</w:t>
      </w:r>
    </w:p>
    <w:p w14:paraId="140DD484" w14:textId="71C4BF7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444. panta e) punktā minēto informāciju, ievērojot turpmāk šajā pielikumā sniegtos norādījumus, lai aizpildītu veidni EU CCR3, kas ietverta EBI IT risinājumu XXV pielikumā.</w:t>
      </w:r>
    </w:p>
    <w:p w14:paraId="719E9920" w14:textId="53B7429A"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auto"/>
          <w:rFonts w:ascii="Times New Roman" w:hAnsi="Times New Roman"/>
        </w:rPr>
        <w:t xml:space="preserve">Iestādes, kas izmanto kredītriska standartizēto pieeju, lai aprēķinātu riska darījumu riska svērtās vērtības (izņemot tās, kas atvasinātas no pašu kapitāla prasībām attiecībā uz </w:t>
      </w:r>
      <w:r>
        <w:rPr>
          <w:sz w:val="24"/>
          <w:color w:val="auto"/>
          <w:i/>
          <w:rFonts w:ascii="Times New Roman" w:hAnsi="Times New Roman"/>
        </w:rPr>
        <w:t xml:space="preserve">CVA</w:t>
      </w:r>
      <w:r>
        <w:rPr>
          <w:sz w:val="24"/>
          <w:color w:val="auto"/>
          <w:rFonts w:ascii="Times New Roman" w:hAnsi="Times New Roman"/>
        </w:rPr>
        <w:t xml:space="preserve"> risku un riska darījumiem, kuru tīrvērte veikta ar </w:t>
      </w:r>
      <w:r>
        <w:rPr>
          <w:sz w:val="24"/>
          <w:color w:val="auto"/>
          <w:i/>
          <w:rFonts w:ascii="Times New Roman" w:hAnsi="Times New Roman"/>
        </w:rPr>
        <w:t xml:space="preserve">CCP</w:t>
      </w:r>
      <w:r>
        <w:rPr>
          <w:sz w:val="24"/>
          <w:color w:val="auto"/>
          <w:rFonts w:ascii="Times New Roman" w:hAnsi="Times New Roman"/>
        </w:rPr>
        <w:t xml:space="preserve"> starpniecību) visiem saviem </w:t>
      </w:r>
      <w:r>
        <w:rPr>
          <w:sz w:val="24"/>
          <w:color w:val="auto"/>
          <w:i/>
          <w:rFonts w:ascii="Times New Roman" w:hAnsi="Times New Roman"/>
        </w:rPr>
        <w:t xml:space="preserve">CCR</w:t>
      </w:r>
      <w:r>
        <w:rPr>
          <w:sz w:val="24"/>
          <w:color w:val="auto"/>
          <w:rFonts w:ascii="Times New Roman" w:hAnsi="Times New Roman"/>
        </w:rPr>
        <w:t xml:space="preserve"> riska darījumiem vai to daļai saskaņā ar </w:t>
      </w:r>
      <w:r>
        <w:rPr>
          <w:sz w:val="24"/>
          <w:color w:val="auto"/>
          <w:color w:val="auto"/>
          <w:rFonts w:ascii="Times New Roman" w:hAnsi="Times New Roman"/>
        </w:rPr>
        <w:t xml:space="preserve">Regulas (ES) Nr. 575/2013</w:t>
      </w:r>
      <w:r>
        <w:rPr>
          <w:sz w:val="24"/>
          <w:color w:val="auto"/>
          <w:rFonts w:ascii="Times New Roman" w:hAnsi="Times New Roman"/>
        </w:rPr>
        <w:t xml:space="preserve"> 107. pantu, neatkarīgi no tā, kāda </w:t>
      </w:r>
      <w:r>
        <w:rPr>
          <w:sz w:val="24"/>
          <w:color w:val="auto"/>
          <w:i/>
          <w:rFonts w:ascii="Times New Roman" w:hAnsi="Times New Roman"/>
        </w:rPr>
        <w:t xml:space="preserve">CCR</w:t>
      </w:r>
      <w:r>
        <w:rPr>
          <w:sz w:val="24"/>
          <w:color w:val="auto"/>
          <w:rFonts w:ascii="Times New Roman" w:hAnsi="Times New Roman"/>
        </w:rPr>
        <w:t xml:space="preserve"> pieeja izmantota, lai noteiktu riska darījumu vērtības saskaņā ar Regulas (ES) Nr. 575/2013 trešās daļas II sadaļas 4. un 6. nodaļu, atklāj turpmāk norādīto informāciju.</w:t>
      </w:r>
      <w:r>
        <w:rPr>
          <w:sz w:val="24"/>
          <w:color w:val="auto"/>
          <w:rFonts w:ascii="Times New Roman" w:hAnsi="Times New Roman"/>
        </w:rPr>
        <w:t xml:space="preserve"> </w:t>
      </w:r>
    </w:p>
    <w:p w14:paraId="6C656446"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Ja iestāde uzskata, ka šajā veidnē prasītā informācija nav jēgpilna, jo riska darījumu vērtības un riska darījumu riska svērtās vērtības nav būtiskas, iestāde var izvēlēties neatklāt informāciju šajā veidnē.</w:t>
      </w:r>
      <w:r>
        <w:rPr>
          <w:color w:val="000000"/>
          <w:sz w:val="24"/>
          <w:rFonts w:ascii="Times New Roman" w:hAnsi="Times New Roman"/>
        </w:rPr>
        <w:t xml:space="preserve"> </w:t>
      </w:r>
      <w:r>
        <w:rPr>
          <w:color w:val="000000"/>
          <w:sz w:val="24"/>
          <w:rFonts w:ascii="Times New Roman" w:hAnsi="Times New Roman"/>
        </w:rPr>
        <w:t xml:space="preserve">Tomēr iestādei izklāsta daļā ir jāpaskaidro, kāpēc tā uzskata, ka informācija nav jēgpilna, sniedzot aprakstu par riska darījumiem attiecīgajos portfeļos un agregētajām kopējām riska darījumu riska svērtajām vērtībām no šādiem riska darījumiem.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 xml:space="preserve">1.–9.</w:t>
            </w:r>
          </w:p>
        </w:tc>
        <w:tc>
          <w:tcPr>
            <w:tcW w:w="7655" w:type="dxa"/>
            <w:vAlign w:val="center"/>
          </w:tcPr>
          <w:p w14:paraId="13B7EA16"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Riska darījumu kategorijas</w:t>
            </w:r>
          </w:p>
          <w:p w14:paraId="119BFBA0" w14:textId="3882FF9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Šīs rindas attiecas uz regulatīvajām riska darījumu kategorijām, kā definēts Regulas (ES) Nr. 575/2013 trešās daļas II sadaļas 4. nodaļas 112.–134. pantā.</w:t>
            </w:r>
            <w:r>
              <w:rPr>
                <w:sz w:val="24"/>
                <w:rFonts w:ascii="Times New Roman" w:hAnsi="Times New Roman"/>
              </w:rPr>
              <w:t xml:space="preserve"> </w:t>
            </w:r>
            <w:r>
              <w:rPr>
                <w:sz w:val="24"/>
                <w:rFonts w:ascii="Times New Roman" w:hAnsi="Times New Roman"/>
              </w:rPr>
              <w:t xml:space="preserve">Katrā līnijā atklāj atbilstošās riska darījumu vērtības (sk. definīciju, kas sniegta veidnes EU CCR1 g ailē).</w:t>
            </w:r>
            <w:r>
              <w:rPr>
                <w:sz w:val="24"/>
                <w:rFonts w:ascii="Times New Roman" w:hAnsi="Times New Roman"/>
              </w:rPr>
              <w:t xml:space="preserv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 xml:space="preserve">10.</w:t>
            </w:r>
          </w:p>
        </w:tc>
        <w:tc>
          <w:tcPr>
            <w:tcW w:w="7655" w:type="dxa"/>
            <w:vAlign w:val="center"/>
          </w:tcPr>
          <w:p w14:paraId="6406932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Citi posteņi</w:t>
            </w:r>
          </w:p>
          <w:p w14:paraId="6B472AE2" w14:textId="1813D90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Attiecas uz aktīviem, kam piemēro specifisku riska pakāpi, kā noteikts Regulas (ES) Nr. 575/2013 trešās daļas II sadaļas 4. nodaļas 134. pantā, un jebkuriem citiem posteņiem, kuri nav aptverti šīs veidnes 1.–9. rindā.</w:t>
            </w:r>
            <w:r>
              <w:rPr>
                <w:sz w:val="24"/>
                <w:rFonts w:ascii="Times New Roman" w:hAnsi="Times New Roman"/>
              </w:rPr>
              <w:t xml:space="preserve"> </w:t>
            </w:r>
            <w:r>
              <w:rPr>
                <w:sz w:val="24"/>
                <w:rFonts w:ascii="Times New Roman" w:hAnsi="Times New Roman"/>
              </w:rPr>
              <w:t xml:space="preserve">Attiecas arī uz aktīviem, ko neatskaita, piemērojot Regulas (ES) Nr. 575/2013 39. pantu (nodokļu pārmaksa, nodokļu zaudējumu pārnese uz iepriekšēju periodu un atliktā nodokļa aktīvi, kuru realizācija nav atkarīga no peļņas gūšanas nākotnē), Regulas (ES) Nr. 575/2013 41. pantu (definētu pabalstu pensiju fondu aktīvi), Regulas (ES) Nr. 575/2013 46. un 469. pantu (nebūtiski ieguldījumi finanšu sektora sabiedrību pirmā līmeņa pamata kapitālā), Regulas (ES) Nr. 575/2013 49. un 471. pantu (līdzdalība apdrošināšanas sabiedrībās neatkarīgi no tā, vai apdrošināšanas sabiedrības tiek pārraudzītas saskaņā ar Konglomerātu direktīvu), Regulas (ES) Nr. 575/2013 60. un 475. pantu (nebūtiski un būtiski netiešie ieguldījumi finanšu sektora sabiedrību pirmā līmeņa papildu kapitāla instrumentos), Regulas (ES) Nr. 575/2013 70. un 477. pantu (nebūtiska un būtiska netiešā un sintētiskā līdzdalība finanšu sektora struktūras emitētos otrā līmeņa kapitāla instrumentos), ja tos neiedala citās riska darījumu kategorijās, un uz būtisku līdzdalību ārpus finanšu sektora, ja tai nepiemēro 1250 % riska pakāpi, piemērojot Regulas (ES) Nr. 575/2013 otrās daļas I sadaļas 2. nodaļas 36. panta k) punktu.</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 xml:space="preserve">11.</w:t>
            </w:r>
          </w:p>
        </w:tc>
        <w:tc>
          <w:tcPr>
            <w:tcW w:w="7655" w:type="dxa"/>
            <w:vAlign w:val="center"/>
          </w:tcPr>
          <w:p w14:paraId="0569A44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Kopējā riska darījumu vērtība</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 xml:space="preserve">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Šīs ailes attiecas uz kredītriska kvalitātes pakāpēm / riska pakāpēm, kā noteikts Regulas (ES) Nr. 575/2013 trešās daļas II sadaļas 2. nodaļā, par kurām atklāj atbilstošās riska darījumu vērtības (sk. definīciju, kas sniegta veidnes EU CCR1 g ailē).</w:t>
            </w:r>
            <w:r>
              <w:rPr>
                <w:sz w:val="24"/>
                <w:rFonts w:ascii="Times New Roman" w:hAnsi="Times New Roman"/>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 xml:space="preserve">l</w:t>
            </w:r>
          </w:p>
        </w:tc>
        <w:tc>
          <w:tcPr>
            <w:tcW w:w="7655" w:type="dxa"/>
            <w:vAlign w:val="center"/>
          </w:tcPr>
          <w:p w14:paraId="2AD95FAF"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Kopējā riska darījumu vērtība</w:t>
            </w:r>
            <w:r>
              <w:rPr>
                <w:b/>
                <w:sz w:val="24"/>
                <w:rFonts w:ascii="Times New Roman" w:hAnsi="Times New Roman"/>
              </w:rPr>
              <w:t xml:space="preserv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Veidne EU CCR4 – </w:t>
      </w:r>
      <w:r>
        <w:rPr>
          <w:color w:val="auto"/>
          <w:sz w:val="24"/>
          <w:b/>
          <w:i/>
          <w:rFonts w:ascii="Times New Roman" w:hAnsi="Times New Roman"/>
        </w:rPr>
        <w:t xml:space="preserve">IRB</w:t>
      </w:r>
      <w:r>
        <w:rPr>
          <w:color w:val="auto"/>
          <w:sz w:val="24"/>
          <w:b/>
          <w:rFonts w:ascii="Times New Roman" w:hAnsi="Times New Roman"/>
        </w:rPr>
        <w:t xml:space="preserve"> pieeja – </w:t>
      </w:r>
      <w:r>
        <w:rPr>
          <w:color w:val="auto"/>
          <w:sz w:val="24"/>
          <w:b/>
          <w:i/>
          <w:rFonts w:ascii="Times New Roman" w:hAnsi="Times New Roman"/>
        </w:rPr>
        <w:t xml:space="preserve">CCR</w:t>
      </w:r>
      <w:r>
        <w:rPr>
          <w:color w:val="auto"/>
          <w:sz w:val="24"/>
          <w:b/>
          <w:rFonts w:ascii="Times New Roman" w:hAnsi="Times New Roman"/>
        </w:rPr>
        <w:t xml:space="preserve"> riska darījumi sadalījumā pa riska darījumu kategorijām un </w:t>
      </w:r>
      <w:r>
        <w:rPr>
          <w:color w:val="auto"/>
          <w:sz w:val="24"/>
          <w:b/>
          <w:i/>
          <w:rFonts w:ascii="Times New Roman" w:hAnsi="Times New Roman"/>
        </w:rPr>
        <w:t xml:space="preserve">PD</w:t>
      </w:r>
      <w:r>
        <w:rPr>
          <w:color w:val="auto"/>
          <w:sz w:val="24"/>
          <w:b/>
          <w:rFonts w:ascii="Times New Roman" w:hAnsi="Times New Roman"/>
        </w:rPr>
        <w:t xml:space="preserve"> diapazoniem.</w:t>
      </w:r>
      <w:r>
        <w:rPr>
          <w:color w:val="auto"/>
          <w:sz w:val="24"/>
          <w:b/>
          <w:rFonts w:ascii="Times New Roman" w:hAnsi="Times New Roman"/>
        </w:rPr>
        <w:t xml:space="preserve"> </w:t>
      </w:r>
      <w:r>
        <w:rPr>
          <w:color w:val="auto"/>
          <w:sz w:val="24"/>
          <w:rFonts w:ascii="Times New Roman" w:hAnsi="Times New Roman"/>
        </w:rPr>
        <w:t xml:space="preserve">Fiksēts formāts.</w:t>
      </w:r>
    </w:p>
    <w:p w14:paraId="03E920F2" w14:textId="6901BA2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452. panta g) punktā minēto informāciju, ievērojot turpmāk šajā pielikumā sniegtos norādījumus, lai aizpildītu veidni EU CCR4, kas ietverta EBI IT risinājumu XXV pielikumā.</w:t>
      </w:r>
      <w:r>
        <w:rPr>
          <w:sz w:val="24"/>
          <w:color w:val="000000"/>
          <w:rFonts w:ascii="Times New Roman" w:hAnsi="Times New Roman"/>
        </w:rPr>
        <w:t xml:space="preserve"> </w:t>
      </w:r>
    </w:p>
    <w:p w14:paraId="21A1A0D5" w14:textId="71F1C68D"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auto"/>
          <w:rFonts w:ascii="Times New Roman" w:hAnsi="Times New Roman"/>
        </w:rPr>
        <w:t xml:space="preserve">Iestādes, kas izmanto vai nu attīstīto </w:t>
      </w:r>
      <w:r>
        <w:rPr>
          <w:sz w:val="24"/>
          <w:color w:val="auto"/>
          <w:i/>
          <w:rFonts w:ascii="Times New Roman" w:hAnsi="Times New Roman"/>
        </w:rPr>
        <w:t xml:space="preserve">IRB</w:t>
      </w:r>
      <w:r>
        <w:rPr>
          <w:sz w:val="24"/>
          <w:color w:val="auto"/>
          <w:rFonts w:ascii="Times New Roman" w:hAnsi="Times New Roman"/>
        </w:rPr>
        <w:t xml:space="preserve"> pieeju, vai </w:t>
      </w:r>
      <w:r>
        <w:rPr>
          <w:sz w:val="24"/>
          <w:color w:val="auto"/>
          <w:i/>
          <w:rFonts w:ascii="Times New Roman" w:hAnsi="Times New Roman"/>
        </w:rPr>
        <w:t xml:space="preserve">IRB</w:t>
      </w:r>
      <w:r>
        <w:rPr>
          <w:sz w:val="24"/>
          <w:color w:val="auto"/>
          <w:rFonts w:ascii="Times New Roman" w:hAnsi="Times New Roman"/>
        </w:rPr>
        <w:t xml:space="preserve"> pamatpieeju, lai aprēķinātu riska darījumu riska svērtās vērtības (izņemot tās, kas atvasinātas no pašu kapitāla prasībām attiecībā uz </w:t>
      </w:r>
      <w:r>
        <w:rPr>
          <w:sz w:val="24"/>
          <w:color w:val="auto"/>
          <w:i/>
          <w:rFonts w:ascii="Times New Roman" w:hAnsi="Times New Roman"/>
        </w:rPr>
        <w:t xml:space="preserve">CVA</w:t>
      </w:r>
      <w:r>
        <w:rPr>
          <w:sz w:val="24"/>
          <w:color w:val="auto"/>
          <w:rFonts w:ascii="Times New Roman" w:hAnsi="Times New Roman"/>
        </w:rPr>
        <w:t xml:space="preserve"> risku un riska darījumiem, kuru tīrvērte veikta ar </w:t>
      </w:r>
      <w:r>
        <w:rPr>
          <w:sz w:val="24"/>
          <w:color w:val="auto"/>
          <w:i/>
          <w:rFonts w:ascii="Times New Roman" w:hAnsi="Times New Roman"/>
        </w:rPr>
        <w:t xml:space="preserve">CCP</w:t>
      </w:r>
      <w:r>
        <w:rPr>
          <w:sz w:val="24"/>
          <w:color w:val="auto"/>
          <w:rFonts w:ascii="Times New Roman" w:hAnsi="Times New Roman"/>
        </w:rPr>
        <w:t xml:space="preserve"> starpniecību) visiem saviem </w:t>
      </w:r>
      <w:r>
        <w:rPr>
          <w:sz w:val="24"/>
          <w:color w:val="auto"/>
          <w:i/>
          <w:rFonts w:ascii="Times New Roman" w:hAnsi="Times New Roman"/>
        </w:rPr>
        <w:t xml:space="preserve">CCR</w:t>
      </w:r>
      <w:r>
        <w:rPr>
          <w:sz w:val="24"/>
          <w:color w:val="auto"/>
          <w:rFonts w:ascii="Times New Roman" w:hAnsi="Times New Roman"/>
        </w:rPr>
        <w:t xml:space="preserve"> riska darījumiem vai to daļai saskaņā ar Regulas (ES) Nr. 575/2013 107. pantu, neatkarīgi no tā, kāda </w:t>
      </w:r>
      <w:r>
        <w:rPr>
          <w:sz w:val="24"/>
          <w:color w:val="auto"/>
          <w:i/>
          <w:rFonts w:ascii="Times New Roman" w:hAnsi="Times New Roman"/>
        </w:rPr>
        <w:t xml:space="preserve">CCR</w:t>
      </w:r>
      <w:r>
        <w:rPr>
          <w:sz w:val="24"/>
          <w:color w:val="auto"/>
          <w:rFonts w:ascii="Times New Roman" w:hAnsi="Times New Roman"/>
        </w:rPr>
        <w:t xml:space="preserve"> pieeja izmantota, lai noteiktu riska darījumu vērtības saskaņā ar Regulas (ES) Nr. 575/2013 trešās daļas II sadaļas 4. un 6. nodaļu, atklāj turpmāk norādīto informāciju.</w:t>
      </w:r>
      <w:r>
        <w:rPr>
          <w:sz w:val="24"/>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 xml:space="preserve">1.–8.</w:t>
            </w:r>
          </w:p>
        </w:tc>
        <w:tc>
          <w:tcPr>
            <w:tcW w:w="7655" w:type="dxa"/>
            <w:vAlign w:val="center"/>
          </w:tcPr>
          <w:p w14:paraId="21A090EC" w14:textId="77777777" w:rsidR="00F43911" w:rsidRPr="00880BCD" w:rsidRDefault="00F43911" w:rsidP="004F3087">
            <w:pPr>
              <w:spacing w:after="240"/>
              <w:jc w:val="both"/>
              <w:rPr>
                <w:b/>
                <w:sz w:val="24"/>
                <w:rFonts w:ascii="Times New Roman" w:eastAsia="Times New Roman" w:hAnsi="Times New Roman" w:cs="Times New Roman"/>
              </w:rPr>
            </w:pPr>
            <w:r>
              <w:rPr>
                <w:b/>
                <w:sz w:val="24"/>
                <w:i/>
                <w:rFonts w:ascii="Times New Roman" w:hAnsi="Times New Roman"/>
              </w:rPr>
              <w:t xml:space="preserve">PD</w:t>
            </w:r>
            <w:r>
              <w:rPr>
                <w:b/>
                <w:sz w:val="24"/>
                <w:rFonts w:ascii="Times New Roman" w:hAnsi="Times New Roman"/>
              </w:rPr>
              <w:t xml:space="preserve"> diapazons</w:t>
            </w:r>
          </w:p>
          <w:p w14:paraId="27E474D8"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CCR</w:t>
            </w:r>
            <w:r>
              <w:rPr>
                <w:sz w:val="24"/>
                <w:rFonts w:ascii="Times New Roman" w:hAnsi="Times New Roman"/>
              </w:rPr>
              <w:t xml:space="preserve"> riska darījumus iedala atbilstošajā fiksētā </w:t>
            </w:r>
            <w:r>
              <w:rPr>
                <w:sz w:val="24"/>
                <w:i/>
                <w:rFonts w:ascii="Times New Roman" w:hAnsi="Times New Roman"/>
              </w:rPr>
              <w:t xml:space="preserve">PD</w:t>
            </w:r>
            <w:r>
              <w:rPr>
                <w:sz w:val="24"/>
                <w:rFonts w:ascii="Times New Roman" w:hAnsi="Times New Roman"/>
              </w:rPr>
              <w:t xml:space="preserve"> diapazona grupā, pamatojoties uz </w:t>
            </w:r>
            <w:r>
              <w:rPr>
                <w:sz w:val="24"/>
                <w:i/>
                <w:rFonts w:ascii="Times New Roman" w:hAnsi="Times New Roman"/>
              </w:rPr>
              <w:t xml:space="preserve">PD</w:t>
            </w:r>
            <w:r>
              <w:rPr>
                <w:sz w:val="24"/>
                <w:rFonts w:ascii="Times New Roman" w:hAnsi="Times New Roman"/>
              </w:rPr>
              <w:t xml:space="preserve">, kas aplēsta par katru parādnieku, kurš iedalīts šajā riska darījumu kategorijā (neņemot vērā aizstāšanas ietekmi saistībā ar garantijas vai kredīta atvasinātā instrumenta pastāvēšanu).</w:t>
            </w:r>
            <w:r>
              <w:rPr>
                <w:sz w:val="24"/>
                <w:rFonts w:ascii="Times New Roman" w:hAnsi="Times New Roman"/>
              </w:rPr>
              <w:t xml:space="preserve"> </w:t>
            </w:r>
            <w:r>
              <w:rPr>
                <w:sz w:val="24"/>
                <w:rFonts w:ascii="Times New Roman" w:hAnsi="Times New Roman"/>
              </w:rPr>
              <w:t xml:space="preserve">Iestādes veic sadalījumu pa riska darījumiem </w:t>
            </w:r>
            <w:r>
              <w:rPr>
                <w:sz w:val="24"/>
                <w:i/>
                <w:rFonts w:ascii="Times New Roman" w:hAnsi="Times New Roman"/>
              </w:rPr>
              <w:t xml:space="preserve">PD</w:t>
            </w:r>
            <w:r>
              <w:rPr>
                <w:sz w:val="24"/>
                <w:rFonts w:ascii="Times New Roman" w:hAnsi="Times New Roman"/>
              </w:rPr>
              <w:t xml:space="preserve"> diapazonā, kas sniegts veidnē, ņemot vērā arī nepārtrauktos diapazonus.</w:t>
            </w:r>
            <w:r>
              <w:rPr>
                <w:sz w:val="24"/>
                <w:rFonts w:ascii="Times New Roman" w:hAnsi="Times New Roman"/>
              </w:rPr>
              <w:t xml:space="preserve"> </w:t>
            </w:r>
            <w:r>
              <w:rPr>
                <w:sz w:val="24"/>
                <w:rFonts w:ascii="Times New Roman" w:hAnsi="Times New Roman"/>
              </w:rPr>
              <w:t xml:space="preserve">Visus riska darījumus, kuros netiek pildītas saistības, iekļauj grupā, kur </w:t>
            </w:r>
            <w:r>
              <w:rPr>
                <w:sz w:val="24"/>
                <w:i/>
                <w:rFonts w:ascii="Times New Roman" w:hAnsi="Times New Roman"/>
              </w:rPr>
              <w:t xml:space="preserve">PD</w:t>
            </w:r>
            <w:r>
              <w:rPr>
                <w:sz w:val="24"/>
                <w:rFonts w:ascii="Times New Roman" w:hAnsi="Times New Roman"/>
              </w:rPr>
              <w:t xml:space="preserve"> ir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1.–x</w:t>
            </w:r>
          </w:p>
        </w:tc>
        <w:tc>
          <w:tcPr>
            <w:tcW w:w="7655" w:type="dxa"/>
            <w:vAlign w:val="center"/>
          </w:tcPr>
          <w:p w14:paraId="113166C9"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Riska darījumu kategorija X</w:t>
            </w:r>
          </w:p>
          <w:p w14:paraId="2F40E777" w14:textId="635AFB9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Attiecas uz dažādajām riska darījumu kategorijām, kas uzskaitītas Regulas (ES) Nr. 575/2013 trešās daļas II sadaļas 3. nodaļas 147. pantā.</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 xml:space="preserve">x un y</w:t>
            </w:r>
          </w:p>
        </w:tc>
        <w:tc>
          <w:tcPr>
            <w:tcW w:w="7655" w:type="dxa"/>
            <w:vAlign w:val="center"/>
          </w:tcPr>
          <w:p w14:paraId="213AF8F1"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Starpsumma (Riska darījumu kategorija X) / kopā (visas attiecīgās </w:t>
            </w:r>
            <w:r>
              <w:rPr>
                <w:b/>
                <w:sz w:val="24"/>
                <w:i/>
                <w:rFonts w:ascii="Times New Roman" w:hAnsi="Times New Roman"/>
              </w:rPr>
              <w:t xml:space="preserve">CCR</w:t>
            </w:r>
            <w:r>
              <w:rPr>
                <w:b/>
                <w:sz w:val="24"/>
                <w:rFonts w:ascii="Times New Roman" w:hAnsi="Times New Roman"/>
              </w:rPr>
              <w:t xml:space="preserve"> būtiskās riska darījumu kategorijas)</w:t>
            </w:r>
          </w:p>
          <w:p w14:paraId="6E6CECB2"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(Starp-)summa par riska darījumu kopējām vērtībām, riska darījumu riska svērtajām vērtībām un parādnieku skaitu ir attiecīgo aiļu kopsumma.</w:t>
            </w:r>
            <w:r>
              <w:rPr>
                <w:sz w:val="24"/>
                <w:rFonts w:ascii="Times New Roman" w:hAnsi="Times New Roman"/>
              </w:rPr>
              <w:t xml:space="preserve"> </w:t>
            </w:r>
            <w:r>
              <w:rPr>
                <w:sz w:val="24"/>
                <w:rFonts w:ascii="Times New Roman" w:hAnsi="Times New Roman"/>
              </w:rPr>
              <w:t xml:space="preserve">Attiecībā uz dažādajiem parametriem – vidējā </w:t>
            </w:r>
            <w:r>
              <w:rPr>
                <w:sz w:val="24"/>
                <w:i/>
                <w:rFonts w:ascii="Times New Roman" w:hAnsi="Times New Roman"/>
              </w:rPr>
              <w:t xml:space="preserve">PD</w:t>
            </w:r>
            <w:r>
              <w:rPr>
                <w:sz w:val="24"/>
                <w:rFonts w:ascii="Times New Roman" w:hAnsi="Times New Roman"/>
              </w:rPr>
              <w:t xml:space="preserve">, vidējie </w:t>
            </w:r>
            <w:r>
              <w:rPr>
                <w:sz w:val="24"/>
                <w:i/>
                <w:rFonts w:ascii="Times New Roman" w:hAnsi="Times New Roman"/>
              </w:rPr>
              <w:t xml:space="preserve">LGD</w:t>
            </w:r>
            <w:r>
              <w:rPr>
                <w:sz w:val="24"/>
                <w:rFonts w:ascii="Times New Roman" w:hAnsi="Times New Roman"/>
              </w:rPr>
              <w:t xml:space="preserve">, vidējais termiņš un </w:t>
            </w:r>
            <w:r>
              <w:rPr>
                <w:sz w:val="24"/>
                <w:i/>
                <w:rFonts w:ascii="Times New Roman" w:hAnsi="Times New Roman"/>
              </w:rPr>
              <w:t xml:space="preserve">RWEA</w:t>
            </w:r>
            <w:r>
              <w:rPr>
                <w:sz w:val="24"/>
                <w:rFonts w:ascii="Times New Roman" w:hAnsi="Times New Roman"/>
              </w:rPr>
              <w:t xml:space="preserve"> blīvums – piemēro turpmāk sniegtās definīcijas, kas attiecas uz riska darījumu kategorijas X izlasi vai visām </w:t>
            </w:r>
            <w:r>
              <w:rPr>
                <w:sz w:val="24"/>
                <w:i/>
                <w:rFonts w:ascii="Times New Roman" w:hAnsi="Times New Roman"/>
              </w:rPr>
              <w:t xml:space="preserve">CCR</w:t>
            </w:r>
            <w:r>
              <w:rPr>
                <w:sz w:val="24"/>
                <w:rFonts w:ascii="Times New Roman" w:hAnsi="Times New Roman"/>
              </w:rPr>
              <w:t xml:space="preserve"> būtiskajām riska darījumu kategorijām.</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 xml:space="preserve">a</w:t>
            </w:r>
          </w:p>
        </w:tc>
        <w:tc>
          <w:tcPr>
            <w:tcW w:w="7655" w:type="dxa"/>
            <w:vAlign w:val="center"/>
          </w:tcPr>
          <w:p w14:paraId="2C0818DE" w14:textId="77777777" w:rsidR="00F43911" w:rsidRPr="00880BCD" w:rsidRDefault="00F43911" w:rsidP="004F3087">
            <w:pPr>
              <w:spacing w:after="240"/>
              <w:jc w:val="both"/>
              <w:rPr>
                <w:b/>
                <w:sz w:val="24"/>
                <w:rFonts w:ascii="Times New Roman" w:hAnsi="Times New Roman" w:cs="Times New Roman"/>
              </w:rPr>
            </w:pPr>
            <w:r>
              <w:rPr>
                <w:b/>
                <w:sz w:val="24"/>
                <w:rFonts w:ascii="Times New Roman" w:hAnsi="Times New Roman"/>
              </w:rPr>
              <w:t xml:space="preserve">Riska darījumu vērtība</w:t>
            </w:r>
          </w:p>
          <w:p w14:paraId="4DAED01E" w14:textId="3471DCB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Riska darījumu vērtība (sk. definīciju, kas sniegta veidnes EU CCR1 g ailē), sadalījumā pa riska darījumu kategorijām un konkrēto </w:t>
            </w:r>
            <w:r>
              <w:rPr>
                <w:sz w:val="24"/>
                <w:i/>
                <w:rFonts w:ascii="Times New Roman" w:hAnsi="Times New Roman"/>
              </w:rPr>
              <w:t xml:space="preserve">PD</w:t>
            </w:r>
            <w:r>
              <w:rPr>
                <w:sz w:val="24"/>
                <w:rFonts w:ascii="Times New Roman" w:hAnsi="Times New Roman"/>
              </w:rPr>
              <w:t xml:space="preserve"> diapazonu, kā norādīts Regulas (ES) Nr. 575/2013 trešās daļas II sadaļas 3. nodaļā.</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 xml:space="preserve">b</w:t>
            </w:r>
          </w:p>
        </w:tc>
        <w:tc>
          <w:tcPr>
            <w:tcW w:w="7655" w:type="dxa"/>
            <w:vAlign w:val="center"/>
          </w:tcPr>
          <w:p w14:paraId="7ED972CE"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Riska darījumu svērtie vidējie </w:t>
            </w:r>
            <w:r>
              <w:rPr>
                <w:b/>
                <w:sz w:val="24"/>
                <w:i/>
                <w:rFonts w:ascii="Times New Roman" w:hAnsi="Times New Roman"/>
              </w:rPr>
              <w:t xml:space="preserve">PD</w:t>
            </w:r>
            <w:r>
              <w:rPr>
                <w:b/>
                <w:sz w:val="24"/>
                <w:rFonts w:ascii="Times New Roman" w:hAnsi="Times New Roman"/>
              </w:rPr>
              <w:t xml:space="preserve"> (%)</w:t>
            </w:r>
          </w:p>
          <w:p w14:paraId="77163362" w14:textId="77777777" w:rsidR="00F43911" w:rsidRPr="007F4CC8" w:rsidRDefault="00F43911" w:rsidP="004F3087">
            <w:pPr>
              <w:spacing w:after="240"/>
              <w:rPr>
                <w:sz w:val="24"/>
                <w:rFonts w:ascii="Times New Roman" w:eastAsia="Times New Roman" w:hAnsi="Times New Roman" w:cs="Times New Roman"/>
              </w:rPr>
            </w:pPr>
            <w:r>
              <w:rPr>
                <w:sz w:val="24"/>
                <w:rFonts w:ascii="Times New Roman" w:hAnsi="Times New Roman"/>
              </w:rPr>
              <w:t xml:space="preserve">Individuālu parādnieku pakāpju </w:t>
            </w:r>
            <w:r>
              <w:rPr>
                <w:sz w:val="24"/>
                <w:i/>
                <w:rFonts w:ascii="Times New Roman" w:hAnsi="Times New Roman"/>
              </w:rPr>
              <w:t xml:space="preserve">PD</w:t>
            </w:r>
            <w:r>
              <w:rPr>
                <w:sz w:val="24"/>
                <w:rFonts w:ascii="Times New Roman" w:hAnsi="Times New Roman"/>
              </w:rPr>
              <w:t xml:space="preserve"> svērumā pa to atbilstošo riska darījumu vērtību šīs veidnes a ailē.</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 xml:space="preserve">c</w:t>
            </w:r>
          </w:p>
        </w:tc>
        <w:tc>
          <w:tcPr>
            <w:tcW w:w="7655" w:type="dxa"/>
            <w:vAlign w:val="center"/>
          </w:tcPr>
          <w:p w14:paraId="6153A1D9"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Parādnieku skaits</w:t>
            </w:r>
          </w:p>
          <w:p w14:paraId="6074DEAB"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To juridisko personu vai parādnieku skaits, kuri iedalīti katrā fiksētā </w:t>
            </w:r>
            <w:r>
              <w:rPr>
                <w:sz w:val="24"/>
                <w:i/>
                <w:rFonts w:ascii="Times New Roman" w:hAnsi="Times New Roman"/>
              </w:rPr>
              <w:t xml:space="preserve">PD</w:t>
            </w:r>
            <w:r>
              <w:rPr>
                <w:sz w:val="24"/>
                <w:rFonts w:ascii="Times New Roman" w:hAnsi="Times New Roman"/>
              </w:rPr>
              <w:t xml:space="preserve"> diapazona grupā un kuri novērtēti atsevišķi, neatkarīgi no dažādo piešķirto aizdevumu vai riska darījumu skaita.</w:t>
            </w:r>
          </w:p>
          <w:p w14:paraId="7E8F21FB" w14:textId="0F2C452D"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Ja dažādus riska darījumus ar vienu un to pašu parādnieku novērtē atsevišķi, tos skaita atsevišķi.</w:t>
            </w:r>
            <w:r>
              <w:rPr>
                <w:sz w:val="24"/>
                <w:rFonts w:ascii="Times New Roman" w:hAnsi="Times New Roman"/>
              </w:rPr>
              <w:t xml:space="preserve"> </w:t>
            </w:r>
            <w:r>
              <w:rPr>
                <w:sz w:val="24"/>
                <w:rFonts w:ascii="Times New Roman" w:hAnsi="Times New Roman"/>
              </w:rPr>
              <w:t xml:space="preserve">Šāda situācija var rasties tad, ja atsevišķi riska darījumi ar vienu un to pašu parādnieku tiek iedalīti dažādās parādnieku kategorijās saskaņā ar Regulas (ES) Nr. 575/2013 172. panta 1. punkta e) apakšpunkta otro teikumu.</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 xml:space="preserve">d</w:t>
            </w:r>
          </w:p>
        </w:tc>
        <w:tc>
          <w:tcPr>
            <w:tcW w:w="7655" w:type="dxa"/>
            <w:vAlign w:val="center"/>
          </w:tcPr>
          <w:p w14:paraId="58C260C0"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Riska darījumu svērtie vidējie </w:t>
            </w:r>
            <w:r>
              <w:rPr>
                <w:b/>
                <w:sz w:val="24"/>
                <w:i/>
                <w:rFonts w:ascii="Times New Roman" w:hAnsi="Times New Roman"/>
              </w:rPr>
              <w:t xml:space="preserve">LGD</w:t>
            </w:r>
            <w:r>
              <w:rPr>
                <w:b/>
                <w:sz w:val="24"/>
                <w:rFonts w:ascii="Times New Roman" w:hAnsi="Times New Roman"/>
              </w:rPr>
              <w:t xml:space="preserve"> (%)</w:t>
            </w:r>
          </w:p>
          <w:p w14:paraId="34068163"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Parādnieku kategorijas vidējie </w:t>
            </w:r>
            <w:r>
              <w:rPr>
                <w:sz w:val="24"/>
                <w:i/>
                <w:rFonts w:ascii="Times New Roman" w:hAnsi="Times New Roman"/>
              </w:rPr>
              <w:t xml:space="preserve">LGD</w:t>
            </w:r>
            <w:r>
              <w:rPr>
                <w:sz w:val="24"/>
                <w:rFonts w:ascii="Times New Roman" w:hAnsi="Times New Roman"/>
              </w:rPr>
              <w:t xml:space="preserve"> svērumā pēc to atbilstošās riska darījumu vērtības.</w:t>
            </w:r>
          </w:p>
          <w:p w14:paraId="789E926C"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Atklātie </w:t>
            </w:r>
            <w:r>
              <w:rPr>
                <w:sz w:val="24"/>
                <w:i/>
                <w:rFonts w:ascii="Times New Roman" w:hAnsi="Times New Roman"/>
              </w:rPr>
              <w:t xml:space="preserve">LGD</w:t>
            </w:r>
            <w:r>
              <w:rPr>
                <w:sz w:val="24"/>
                <w:rFonts w:ascii="Times New Roman" w:hAnsi="Times New Roman"/>
              </w:rPr>
              <w:t xml:space="preserve"> atbilst galīgajai </w:t>
            </w:r>
            <w:r>
              <w:rPr>
                <w:sz w:val="24"/>
                <w:i/>
                <w:rFonts w:ascii="Times New Roman" w:hAnsi="Times New Roman"/>
              </w:rPr>
              <w:t xml:space="preserve">LGD</w:t>
            </w:r>
            <w:r>
              <w:rPr>
                <w:sz w:val="24"/>
                <w:rFonts w:ascii="Times New Roman" w:hAnsi="Times New Roman"/>
              </w:rPr>
              <w:t xml:space="preserve"> aplēsei, kas izmantota, lai aprēķinātu pašu kapitāla prasības, ko iegūst pēc tam, kad attiecīgā gadījumā ir ņemta vērā riska mazināšanas pasākumu ietekme un lejupslīdes apstākļi.</w:t>
            </w:r>
            <w:r>
              <w:rPr>
                <w:sz w:val="24"/>
                <w:rFonts w:ascii="Times New Roman" w:hAnsi="Times New Roman"/>
              </w:rPr>
              <w:t xml:space="preserve"> </w:t>
            </w:r>
          </w:p>
          <w:p w14:paraId="766422CE" w14:textId="30667EC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Attiecībā uz riska darījumiem, kuriem piemēro divkāršās saistību neizpildes procedūru, atklājamie </w:t>
            </w:r>
            <w:r>
              <w:rPr>
                <w:sz w:val="24"/>
                <w:i/>
                <w:rFonts w:ascii="Times New Roman" w:hAnsi="Times New Roman"/>
              </w:rPr>
              <w:t xml:space="preserve">LGD</w:t>
            </w:r>
            <w:r>
              <w:rPr>
                <w:sz w:val="24"/>
                <w:rFonts w:ascii="Times New Roman" w:hAnsi="Times New Roman"/>
              </w:rPr>
              <w:t xml:space="preserve"> atbilst tiem, kas izvēlēti saskaņā ar Regulas (ES) Nr. 575/2013 161. panta 4. punktu.</w:t>
            </w:r>
          </w:p>
          <w:p w14:paraId="7A98367D" w14:textId="671A714E"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Attiecībā uz riska darījumiem, kuros netiek pildītas saistības atbilstoši </w:t>
            </w:r>
            <w:r>
              <w:rPr>
                <w:sz w:val="24"/>
                <w:i/>
                <w:rFonts w:ascii="Times New Roman" w:hAnsi="Times New Roman"/>
              </w:rPr>
              <w:t xml:space="preserve">A-IRB</w:t>
            </w:r>
            <w:r>
              <w:rPr>
                <w:sz w:val="24"/>
                <w:rFonts w:ascii="Times New Roman" w:hAnsi="Times New Roman"/>
              </w:rPr>
              <w:t xml:space="preserve"> pieejai, ņem vērā Regulas (ES) Nr. 575/2013 181. panta 1. punkta h) apakšpunkta noteikumus.</w:t>
            </w:r>
            <w:r>
              <w:rPr>
                <w:sz w:val="24"/>
                <w:rFonts w:ascii="Times New Roman" w:hAnsi="Times New Roman"/>
              </w:rPr>
              <w:t xml:space="preserve"> </w:t>
            </w:r>
            <w:r>
              <w:rPr>
                <w:sz w:val="24"/>
                <w:rFonts w:ascii="Times New Roman" w:hAnsi="Times New Roman"/>
              </w:rPr>
              <w:t xml:space="preserve">Atklātie </w:t>
            </w:r>
            <w:r>
              <w:rPr>
                <w:sz w:val="24"/>
                <w:i/>
                <w:rFonts w:ascii="Times New Roman" w:hAnsi="Times New Roman"/>
              </w:rPr>
              <w:t xml:space="preserve">LGD</w:t>
            </w:r>
            <w:r>
              <w:rPr>
                <w:sz w:val="24"/>
                <w:rFonts w:ascii="Times New Roman" w:hAnsi="Times New Roman"/>
              </w:rPr>
              <w:t xml:space="preserve"> atbilst saistību neizpildes </w:t>
            </w:r>
            <w:r>
              <w:rPr>
                <w:sz w:val="24"/>
                <w:i/>
                <w:rFonts w:ascii="Times New Roman" w:hAnsi="Times New Roman"/>
              </w:rPr>
              <w:t xml:space="preserve">LGD</w:t>
            </w:r>
            <w:r>
              <w:rPr>
                <w:sz w:val="24"/>
                <w:rFonts w:ascii="Times New Roman" w:hAnsi="Times New Roman"/>
              </w:rPr>
              <w:t xml:space="preserve"> aplēsei.</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 xml:space="preserve">e</w:t>
            </w:r>
          </w:p>
        </w:tc>
        <w:tc>
          <w:tcPr>
            <w:tcW w:w="7655" w:type="dxa"/>
            <w:vAlign w:val="center"/>
          </w:tcPr>
          <w:p w14:paraId="211ACBAA"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Riska darījumu svērtais vidējais termiņš (gadi)</w:t>
            </w:r>
          </w:p>
          <w:p w14:paraId="1C040569"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Parādnieku vidējais termiņš gados svērumā pēc to atbilstošo riska darījumu vērtības šīs veidnes a ailē.</w:t>
            </w:r>
          </w:p>
          <w:p w14:paraId="61506003" w14:textId="7C79B57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Atklāto termiņa vērtību nosaka saskaņā ar Regulas (ES) Nr. 575/2013 162. pantu.</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 xml:space="preserve">f</w:t>
            </w:r>
          </w:p>
        </w:tc>
        <w:tc>
          <w:tcPr>
            <w:tcW w:w="7655" w:type="dxa"/>
            <w:vAlign w:val="center"/>
          </w:tcPr>
          <w:p w14:paraId="0C2EFBA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Riska darījumu riska svērtā vērtība</w:t>
            </w:r>
          </w:p>
          <w:p w14:paraId="0179891F" w14:textId="5A822C45"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Riska darījumu riska svērtās vērtības, kas aprēķinātas saskaņā ar Regulas (ES) Nr. 575/2013 trešās daļas II sadaļas 3. nodaļā noteiktajām prasībām.</w:t>
            </w:r>
            <w:r>
              <w:rPr>
                <w:sz w:val="24"/>
                <w:rFonts w:ascii="Times New Roman" w:hAnsi="Times New Roman"/>
              </w:rPr>
              <w:t xml:space="preserve"> </w:t>
            </w:r>
            <w:r>
              <w:rPr>
                <w:sz w:val="24"/>
                <w:rFonts w:ascii="Times New Roman" w:hAnsi="Times New Roman"/>
              </w:rPr>
              <w:t xml:space="preserve">Attiecībā uz riska darījumiem ar centrālajām valdībām un centrālajām bankām, iestādēm un komercsabiedrībām – riska darījumu riska svērtā vērtība, kas aprēķināta saskaņā ar Regulas (ES) Nr. 575/2013 153. panta 1.–4. punktu.</w:t>
            </w:r>
            <w:r>
              <w:rPr>
                <w:sz w:val="24"/>
                <w:rFonts w:ascii="Times New Roman" w:hAnsi="Times New Roman"/>
              </w:rPr>
              <w:t xml:space="preserve"> </w:t>
            </w:r>
            <w:r>
              <w:rPr>
                <w:sz w:val="24"/>
                <w:rFonts w:ascii="Times New Roman" w:hAnsi="Times New Roman"/>
              </w:rPr>
              <w:t xml:space="preserve">Ņem vērā MVU un infrastruktūras atbalsta faktorus, kas noteikti saskaņā ar Regulas (ES) Nr. 575/2013 501. un 501.a pantu.</w:t>
            </w:r>
            <w:r>
              <w:rPr>
                <w:sz w:val="24"/>
                <w:rFonts w:ascii="Times New Roman" w:hAnsi="Times New Roman"/>
              </w:rPr>
              <w:t xml:space="preserve"> </w:t>
            </w:r>
            <w:r>
              <w:rPr>
                <w:sz w:val="24"/>
                <w:rFonts w:ascii="Times New Roman" w:hAnsi="Times New Roman"/>
              </w:rPr>
              <w:t xml:space="preserve">Attiecībā uz riska darījumiem, kam piemēro </w:t>
            </w:r>
            <w:r>
              <w:rPr>
                <w:sz w:val="24"/>
                <w:i/>
                <w:rFonts w:ascii="Times New Roman" w:hAnsi="Times New Roman"/>
              </w:rPr>
              <w:t xml:space="preserve">PD</w:t>
            </w:r>
            <w:r>
              <w:rPr>
                <w:sz w:val="24"/>
                <w:rFonts w:ascii="Times New Roman" w:hAnsi="Times New Roman"/>
              </w:rPr>
              <w:t xml:space="preserve">/</w:t>
            </w:r>
            <w:r>
              <w:rPr>
                <w:sz w:val="24"/>
                <w:i/>
                <w:rFonts w:ascii="Times New Roman" w:hAnsi="Times New Roman"/>
              </w:rPr>
              <w:t xml:space="preserve">LGD</w:t>
            </w:r>
            <w:r>
              <w:rPr>
                <w:sz w:val="24"/>
                <w:rFonts w:ascii="Times New Roman" w:hAnsi="Times New Roman"/>
              </w:rPr>
              <w:t xml:space="preserve"> pieeju, – riska darījumu riska svērtā vērtība, kas aprēķināta saskaņā ar Regulas (ES) Nr. 575/2013 155. panta 3. punktu.</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 xml:space="preserve">g</w:t>
            </w:r>
          </w:p>
        </w:tc>
        <w:tc>
          <w:tcPr>
            <w:tcW w:w="7655" w:type="dxa"/>
            <w:vAlign w:val="center"/>
          </w:tcPr>
          <w:p w14:paraId="3A9E9DB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Riska darījumu riska svērto vērtību blīvums</w:t>
            </w:r>
          </w:p>
          <w:p w14:paraId="7215E9DB"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Kopējo riska darījumu riska svērto vērtību (šīs veidnes f ailē) daļa attiecībā pret riska darījumu vērtību (šīs veidnes a daļa).</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Veidne EU CCR5 – </w:t>
      </w:r>
      <w:r>
        <w:rPr>
          <w:color w:val="auto"/>
          <w:sz w:val="24"/>
          <w:b/>
          <w:i/>
          <w:rFonts w:ascii="Times New Roman" w:hAnsi="Times New Roman"/>
        </w:rPr>
        <w:t xml:space="preserve">CCR</w:t>
      </w:r>
      <w:r>
        <w:rPr>
          <w:color w:val="auto"/>
          <w:sz w:val="24"/>
          <w:b/>
          <w:rFonts w:ascii="Times New Roman" w:hAnsi="Times New Roman"/>
        </w:rPr>
        <w:t xml:space="preserve"> nodrošinājuma sastāvs.</w:t>
      </w:r>
      <w:r>
        <w:rPr>
          <w:color w:val="auto"/>
          <w:sz w:val="24"/>
          <w:b/>
          <w:rFonts w:ascii="Times New Roman" w:hAnsi="Times New Roman"/>
        </w:rPr>
        <w:t xml:space="preserve"> </w:t>
      </w:r>
      <w:r>
        <w:rPr>
          <w:color w:val="auto"/>
          <w:sz w:val="24"/>
          <w:rFonts w:ascii="Times New Roman" w:hAnsi="Times New Roman"/>
        </w:rPr>
        <w:t xml:space="preserve">Fiksētas ailes.</w:t>
      </w:r>
    </w:p>
    <w:p w14:paraId="1BA1E0E1" w14:textId="5021D3B2"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439. panta e) punktā minēto informāciju, ievērojot turpmāk šajā pielikumā sniegtos norādījumus, lai aizpildītu veidni EU CCR5, kas ietverta EBI IT risinājumu XXV pielikumā.</w:t>
      </w:r>
    </w:p>
    <w:p w14:paraId="2C3CDB2D"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Šajā veidnē norāda nodrošinājuma (iesniegtā vai saņemtā) patiesās vērtības, kas izmantotas </w:t>
      </w:r>
      <w:r>
        <w:rPr>
          <w:color w:val="000000"/>
          <w:sz w:val="24"/>
          <w:i/>
          <w:rFonts w:ascii="Times New Roman" w:hAnsi="Times New Roman"/>
        </w:rPr>
        <w:t xml:space="preserve">CCR</w:t>
      </w:r>
      <w:r>
        <w:rPr>
          <w:color w:val="000000"/>
          <w:sz w:val="24"/>
          <w:rFonts w:ascii="Times New Roman" w:hAnsi="Times New Roman"/>
        </w:rPr>
        <w:t xml:space="preserve"> riska darījumos, kuri saistīti ar atvasināto instrumentu darījumiem vai VFD, neatkarīgi no tā, vai darījumu tīrvērte ir veikta ar </w:t>
      </w:r>
      <w:r>
        <w:rPr>
          <w:color w:val="000000"/>
          <w:sz w:val="24"/>
          <w:i/>
          <w:rFonts w:ascii="Times New Roman" w:hAnsi="Times New Roman"/>
        </w:rPr>
        <w:t xml:space="preserve">CCP</w:t>
      </w:r>
      <w:r>
        <w:rPr>
          <w:color w:val="000000"/>
          <w:sz w:val="24"/>
          <w:rFonts w:ascii="Times New Roman" w:hAnsi="Times New Roman"/>
        </w:rPr>
        <w:t xml:space="preserve"> starpniecību un vai nodrošinājums ir izvietots </w:t>
      </w:r>
      <w:r>
        <w:rPr>
          <w:color w:val="000000"/>
          <w:sz w:val="24"/>
          <w:i/>
          <w:rFonts w:ascii="Times New Roman" w:hAnsi="Times New Roman"/>
        </w:rPr>
        <w:t xml:space="preserve">CCP</w:t>
      </w:r>
      <w:r>
        <w:rPr>
          <w:color w:val="000000"/>
          <w:sz w:val="24"/>
          <w:rFonts w:ascii="Times New Roman" w:hAnsi="Times New Roman"/>
        </w:rPr>
        <w:t xml:space="preserve">.</w:t>
      </w:r>
      <w:r>
        <w:rPr>
          <w:color w:val="000000"/>
          <w:sz w:val="24"/>
          <w:rFonts w:ascii="Times New Roman" w:hAnsi="Times New Roman"/>
        </w:rPr>
        <w:t xml:space="preserve"> </w:t>
      </w:r>
    </w:p>
    <w:p w14:paraId="35B1131B"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Ja dalībvalsts centrālā banka sniedz likviditātes palīdzību nodrošinājuma mijmaiņas darījumu veidā, kompetentā iestāde var atbrīvot iestādes no pienākuma sniegt informāciju šajā veidnē, ja tā uzskata, ka minētās informācijas atklāšana varētu atklāt ārkārtas likviditātes palīdzības sniegšanu.</w:t>
      </w:r>
      <w:r>
        <w:rPr>
          <w:color w:val="000000"/>
          <w:sz w:val="24"/>
          <w:rFonts w:ascii="Times New Roman" w:hAnsi="Times New Roman"/>
        </w:rPr>
        <w:t xml:space="preserve"> </w:t>
      </w:r>
      <w:r>
        <w:rPr>
          <w:color w:val="000000"/>
          <w:sz w:val="24"/>
          <w:rFonts w:ascii="Times New Roman" w:hAnsi="Times New Roman"/>
        </w:rPr>
        <w:t xml:space="preserve">Šajā nolūkā kompetentā iestāde nosaka attiecīgas robežvērtības un objektīvus kritērijus.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 xml:space="preserve">1.–8.</w:t>
            </w:r>
          </w:p>
        </w:tc>
        <w:tc>
          <w:tcPr>
            <w:tcW w:w="7655" w:type="dxa"/>
            <w:vAlign w:val="center"/>
          </w:tcPr>
          <w:p w14:paraId="5E982962" w14:textId="77777777" w:rsidR="00F43911" w:rsidRPr="00BC5D5C"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Nodrošinājuma veids</w:t>
            </w:r>
          </w:p>
          <w:p w14:paraId="0E78860C"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Sadalījums pa nodrošinājuma veidiem</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 xml:space="preserve">9.</w:t>
            </w:r>
          </w:p>
        </w:tc>
        <w:tc>
          <w:tcPr>
            <w:tcW w:w="7655" w:type="dxa"/>
          </w:tcPr>
          <w:p w14:paraId="16D95BAE" w14:textId="77777777" w:rsidR="00F43911" w:rsidRPr="00BC5D5C"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Kopā</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a, c, e un g</w:t>
            </w:r>
          </w:p>
        </w:tc>
        <w:tc>
          <w:tcPr>
            <w:tcW w:w="7655" w:type="dxa"/>
            <w:vAlign w:val="center"/>
          </w:tcPr>
          <w:p w14:paraId="1C8EF39C"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Nošķirts</w:t>
            </w:r>
          </w:p>
          <w:p w14:paraId="33245F1F" w14:textId="6699E1D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Nodrošinājums, kas tiek turēts tā, lai nodrošinātu neaizskaramību bankrota gadījumā, kā definēts Regulas (ES) Nr. 575/2013 300. panta 1. punktā.</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b, d, f un h</w:t>
            </w:r>
          </w:p>
        </w:tc>
        <w:tc>
          <w:tcPr>
            <w:tcW w:w="7655" w:type="dxa"/>
            <w:vAlign w:val="center"/>
          </w:tcPr>
          <w:p w14:paraId="54374E17"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Nenošķirts</w:t>
            </w:r>
          </w:p>
          <w:p w14:paraId="68BB9947" w14:textId="3879F65C"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Nodrošinājums, kas netiek turēts tā, lai nodrošinātu neaizskaramību bankrota gadījumā, kā definēts Regulas (ES) Nr. 575/2013 300. panta 1. punktā.</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 xml:space="preserve">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Atvasināto instrumentu darījumos izmantotais nodrošinājums</w:t>
            </w:r>
          </w:p>
          <w:p w14:paraId="1A477A5A" w14:textId="507C455F"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Nodrošinājums (ieskaitot sākotnējās drošības rezerves un mainīgās drošības rezerves nodrošinājumu), kas tiek izmantots </w:t>
            </w:r>
            <w:r>
              <w:rPr>
                <w:sz w:val="24"/>
                <w:i/>
                <w:rFonts w:ascii="Times New Roman" w:hAnsi="Times New Roman"/>
              </w:rPr>
              <w:t xml:space="preserve">CCR</w:t>
            </w:r>
            <w:r>
              <w:rPr>
                <w:sz w:val="24"/>
                <w:rFonts w:ascii="Times New Roman" w:hAnsi="Times New Roman"/>
              </w:rPr>
              <w:t xml:space="preserve"> riska darījumos saistībā ar atvasinātajiem instrumentiem, kuri uzskaitīti Regulas (ES) Nr. 575/2013 II pielikumā, vai ilgstošo norēķinu darījumu atbilstoši Regulas (ES) Nr. 575/2013 271. panta 2. punktam, kas nav uzskatāms par VFD.</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 xml:space="preserve">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VFD izmantotais nodrošinājums</w:t>
            </w:r>
          </w:p>
          <w:p w14:paraId="527E4A25" w14:textId="77777777"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Nodrošinājums (ieskaitot sākotnējās drošības rezerves un mainīgās drošības rezerves nodrošinājumu, kā arī nodrošinājumu, kas iekļauts VFD vērtspapīru pozīcijā), kas tiek izmantots </w:t>
            </w:r>
            <w:r>
              <w:rPr>
                <w:sz w:val="24"/>
                <w:i/>
                <w:rFonts w:ascii="Times New Roman" w:hAnsi="Times New Roman"/>
              </w:rPr>
              <w:t xml:space="preserve">CCR</w:t>
            </w:r>
            <w:r>
              <w:rPr>
                <w:sz w:val="24"/>
                <w:rFonts w:ascii="Times New Roman" w:hAnsi="Times New Roman"/>
              </w:rPr>
              <w:t xml:space="preserve"> riska darījumos saistībā ar jebkuru VFD vai ilgstošo norēķinu darījumu, kurš nav uzskatāms par atvasināto instrumentu.</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Veidne EU CCR6 – Kredītu atvasināto instrumentu riska darījumi.</w:t>
      </w:r>
      <w:r>
        <w:rPr>
          <w:color w:val="auto"/>
          <w:sz w:val="24"/>
          <w:b/>
          <w:rFonts w:ascii="Times New Roman" w:hAnsi="Times New Roman"/>
        </w:rPr>
        <w:t xml:space="preserve"> </w:t>
      </w:r>
      <w:r>
        <w:rPr>
          <w:color w:val="auto"/>
          <w:sz w:val="24"/>
          <w:rFonts w:ascii="Times New Roman" w:hAnsi="Times New Roman"/>
        </w:rPr>
        <w:t xml:space="preserve">Fiksēts formāts.</w:t>
      </w:r>
    </w:p>
    <w:p w14:paraId="249E517C" w14:textId="75CDD354"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439. panta j) punktā minēto informāciju, ievērojot turpmāk šajā pielikumā sniegtos norādījumus, lai aizpildītu veidni EU CCR6, kas ietverta EBI IT risinājumu XXV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Nosacītās summas</w:t>
            </w:r>
            <w:r>
              <w:rPr>
                <w:b/>
                <w:sz w:val="24"/>
                <w:rFonts w:ascii="Times New Roman" w:hAnsi="Times New Roman"/>
              </w:rPr>
              <w:t xml:space="preserve"> </w:t>
            </w:r>
          </w:p>
          <w:p w14:paraId="68247A3E" w14:textId="77777777" w:rsidR="00F43911" w:rsidRPr="007F4CC8" w:rsidRDefault="00F43911" w:rsidP="004F3087">
            <w:pPr>
              <w:autoSpaceDE w:val="0"/>
              <w:autoSpaceDN w:val="0"/>
              <w:adjustRightInd w:val="0"/>
              <w:spacing w:after="240"/>
              <w:rPr>
                <w:sz w:val="24"/>
                <w:rFonts w:ascii="Times New Roman" w:hAnsi="Times New Roman" w:cs="Times New Roman"/>
              </w:rPr>
            </w:pPr>
            <w:r>
              <w:rPr>
                <w:sz w:val="24"/>
                <w:rFonts w:ascii="Times New Roman" w:hAnsi="Times New Roman"/>
              </w:rPr>
              <w:t xml:space="preserve">Absolūto nosacīto atvasināto vērtību summa pirms jebkādas tīrvērtes sadalījumā pa produktu veidiem.</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Patiesās vērtības</w:t>
            </w:r>
          </w:p>
          <w:p w14:paraId="43A6974F" w14:textId="77777777" w:rsidR="00F43911" w:rsidRPr="007F4CC8" w:rsidRDefault="00F43911" w:rsidP="004F3087">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Patiesās vērtības sadalījumā pa aktīviem (pozitīvas patiesās vērtības) un saistībām (negatīvas patiesās vērtības).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Kredītu atvasināto instrumentu aizsardzība</w:t>
            </w:r>
          </w:p>
          <w:p w14:paraId="321E0F5D" w14:textId="63C4245C" w:rsidR="00F43911" w:rsidRPr="007F4CC8" w:rsidRDefault="00F43911" w:rsidP="004F3087">
            <w:pPr>
              <w:autoSpaceDE w:val="0"/>
              <w:autoSpaceDN w:val="0"/>
              <w:adjustRightInd w:val="0"/>
              <w:spacing w:after="240"/>
              <w:jc w:val="both"/>
              <w:rPr>
                <w:b/>
                <w:sz w:val="24"/>
                <w:rFonts w:ascii="Times New Roman" w:hAnsi="Times New Roman" w:cs="Times New Roman"/>
              </w:rPr>
            </w:pPr>
            <w:r>
              <w:rPr>
                <w:sz w:val="24"/>
                <w:color w:val="000000"/>
                <w:rFonts w:ascii="Times New Roman" w:hAnsi="Times New Roman"/>
              </w:rPr>
              <w:t xml:space="preserve">Kredītu atvasināto instrumentu aizsardzība, kas nopirkta vai pārdota saskaņā ar Regulas (ES) Nr. 575/2013 trešās daļas II sadaļas 6. nodaļu.</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Veidne EU CCR7 – </w:t>
      </w:r>
      <w:r>
        <w:rPr>
          <w:color w:val="auto"/>
          <w:sz w:val="24"/>
          <w:b/>
          <w:i/>
          <w:rFonts w:ascii="Times New Roman" w:hAnsi="Times New Roman"/>
        </w:rPr>
        <w:t xml:space="preserve">CCR</w:t>
      </w:r>
      <w:r>
        <w:rPr>
          <w:color w:val="auto"/>
          <w:sz w:val="24"/>
          <w:b/>
          <w:rFonts w:ascii="Times New Roman" w:hAnsi="Times New Roman"/>
        </w:rPr>
        <w:t xml:space="preserve"> riska darījumu, kam piemēro IMM, </w:t>
      </w:r>
      <w:r>
        <w:rPr>
          <w:color w:val="auto"/>
          <w:sz w:val="24"/>
          <w:b/>
          <w:i/>
          <w:rFonts w:ascii="Times New Roman" w:hAnsi="Times New Roman"/>
        </w:rPr>
        <w:t xml:space="preserve">RWEA</w:t>
      </w:r>
      <w:r>
        <w:rPr>
          <w:color w:val="auto"/>
          <w:sz w:val="24"/>
          <w:b/>
          <w:rFonts w:ascii="Times New Roman" w:hAnsi="Times New Roman"/>
        </w:rPr>
        <w:t xml:space="preserve"> plūsmas pārskati.</w:t>
      </w:r>
      <w:r>
        <w:rPr>
          <w:color w:val="auto"/>
          <w:sz w:val="24"/>
          <w:b/>
          <w:rFonts w:ascii="Times New Roman" w:hAnsi="Times New Roman"/>
        </w:rPr>
        <w:t xml:space="preserve"> </w:t>
      </w:r>
      <w:r>
        <w:rPr>
          <w:color w:val="auto"/>
          <w:sz w:val="24"/>
          <w:rFonts w:ascii="Times New Roman" w:hAnsi="Times New Roman"/>
        </w:rPr>
        <w:t xml:space="preserve">Fiksēts formāts.</w:t>
      </w:r>
    </w:p>
    <w:p w14:paraId="2FBF77B4" w14:textId="7EA8A8C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438. panta h) punktā minēto informāciju, ievērojot turpmāk šajā pielikumā sniegtos norādījumus, lai aizpildītu veidni EU CCR7, kas ietverta EBI IT risinājumu XXV pielikumā.</w:t>
      </w:r>
    </w:p>
    <w:p w14:paraId="5F6004F0" w14:textId="6839AF1F"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kas izmanto IMM, lai aprēķinātu riska darījumu riska svērtās vērtības par visiem saviem </w:t>
      </w:r>
      <w:r>
        <w:rPr>
          <w:color w:val="auto"/>
          <w:sz w:val="24"/>
          <w:i/>
          <w:rFonts w:ascii="Times New Roman" w:hAnsi="Times New Roman"/>
        </w:rPr>
        <w:t xml:space="preserve">CCR</w:t>
      </w:r>
      <w:r>
        <w:rPr>
          <w:color w:val="auto"/>
          <w:sz w:val="24"/>
          <w:rFonts w:ascii="Times New Roman" w:hAnsi="Times New Roman"/>
        </w:rPr>
        <w:t xml:space="preserve"> riska darījumiem vai to daļu saskaņā ar Regulas (ES) Nr. 575/2013 trešās daļas II sadaļas 6. nodaļu, neatkarīgi no tā, kāda kredītriska pieeja izmantota atbilstošo riska pakāpju noteikšanai, atklāj plūsmas pārskatu, paskaidrojot izmaiņas atvasināto instrumentu un VFD, kam piemēro IMM, riska darījumu riska svērtajās summās sadalījumā pa galvenajiem veicinātājfaktoriem un pamatojoties uz saprātīgām aplēsēm.</w:t>
      </w:r>
    </w:p>
    <w:p w14:paraId="01AA4F25" w14:textId="0847242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Šajā veidnē neiekļauj riska darījumu riska svērtās vērtības attiecībā uz </w:t>
      </w:r>
      <w:r>
        <w:rPr>
          <w:color w:val="auto"/>
          <w:sz w:val="24"/>
          <w:i/>
          <w:rFonts w:ascii="Times New Roman" w:hAnsi="Times New Roman"/>
        </w:rPr>
        <w:t xml:space="preserve">CVA</w:t>
      </w:r>
      <w:r>
        <w:rPr>
          <w:color w:val="auto"/>
          <w:sz w:val="24"/>
          <w:rFonts w:ascii="Times New Roman" w:hAnsi="Times New Roman"/>
        </w:rPr>
        <w:t xml:space="preserve"> risku (Regulas (ES) Nr. 575/2013 trešās daļas VI sadaļa) un riska darījumus ar centrālajiem darījumu partneriem (Regulas (ES) Nr. 575/2013 trešās daļas II sadaļas 6. nodaļas 9. iedaļa).</w:t>
      </w:r>
    </w:p>
    <w:p w14:paraId="7DAAFDC1" w14:textId="7777777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RWEA</w:t>
      </w:r>
      <w:r>
        <w:rPr>
          <w:color w:val="auto"/>
          <w:sz w:val="24"/>
          <w:rFonts w:ascii="Times New Roman" w:hAnsi="Times New Roman"/>
        </w:rPr>
        <w:t xml:space="preserve"> plūsmas kā izmaiņas starp riska darījumu riska svērtajām vērtībām informācijas atklāšanas atsauces perioda beigās (kā norādīts turpmāk šīs veidnes 9. rindā) un riska darījumu riska svērtajām vērtībām iepriekšējā informācijas atklāšanas atsauces perioda beigās (kā norādīts turpmāk šīs veidnes 1. rindā;</w:t>
      </w:r>
      <w:r>
        <w:rPr>
          <w:color w:val="auto"/>
          <w:sz w:val="24"/>
          <w:rFonts w:ascii="Times New Roman" w:hAnsi="Times New Roman"/>
        </w:rPr>
        <w:t xml:space="preserve"> </w:t>
      </w:r>
      <w:r>
        <w:rPr>
          <w:color w:val="auto"/>
          <w:sz w:val="24"/>
          <w:rFonts w:ascii="Times New Roman" w:hAnsi="Times New Roman"/>
        </w:rPr>
        <w:t xml:space="preserve">ja informāciju atklāj pa ceturkšņiem – ceturkšņa beigās pirms informācijas atklāšanas atsauces perioda ceturkšņa).</w:t>
      </w:r>
      <w:r>
        <w:rPr>
          <w:color w:val="auto"/>
          <w:sz w:val="24"/>
          <w:rFonts w:ascii="Times New Roman" w:hAnsi="Times New Roman"/>
        </w:rPr>
        <w:t xml:space="preserve"> </w:t>
      </w:r>
      <w:r>
        <w:rPr>
          <w:color w:val="auto"/>
          <w:sz w:val="24"/>
          <w:rFonts w:ascii="Times New Roman" w:hAnsi="Times New Roman"/>
        </w:rPr>
        <w:t xml:space="preserve">Iestādes var papildināt savu par 3. pīlāru atklāto informāciju, atklājot to pašu informāciju par trīs iepriekšējiem ceturkšņiem.</w:t>
      </w:r>
    </w:p>
    <w:p w14:paraId="23D5C19D" w14:textId="77777777" w:rsidR="00F43911" w:rsidRPr="007F4CC8" w:rsidRDefault="00F43911" w:rsidP="00F43911">
      <w:pPr>
        <w:pStyle w:val="Titlelevel2"/>
        <w:numPr>
          <w:ilvl w:val="0"/>
          <w:numId w:val="2"/>
        </w:numPr>
        <w:spacing w:before="0"/>
        <w:jc w:val="both"/>
        <w:rPr>
          <w:color w:val="auto"/>
          <w:sz w:val="24"/>
          <w:rFonts w:ascii="Times New Roman" w:hAnsi="Times New Roman"/>
        </w:rPr>
      </w:pPr>
      <w:r>
        <w:rPr>
          <w:color w:val="auto"/>
          <w:sz w:val="24"/>
          <w:rFonts w:ascii="Times New Roman" w:hAnsi="Times New Roman"/>
        </w:rPr>
        <w:t xml:space="preserve">Iestādes veidnei pievienotajā izklāsta daļā paskaidro šīs veidnes 8. rindā ietvertos skaitļus, t. i., jebkurus citus faktorus, kas būtiski veicina </w:t>
      </w:r>
      <w:r>
        <w:rPr>
          <w:color w:val="auto"/>
          <w:sz w:val="24"/>
          <w:i/>
          <w:rFonts w:ascii="Times New Roman" w:hAnsi="Times New Roman"/>
        </w:rPr>
        <w:t xml:space="preserve">RWEA</w:t>
      </w:r>
      <w:r>
        <w:rPr>
          <w:color w:val="auto"/>
          <w:sz w:val="24"/>
          <w:rFonts w:ascii="Times New Roman" w:hAnsi="Times New Roman"/>
        </w:rPr>
        <w:t xml:space="preserve"> izmaiņas.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iepriekšējā informācijas atklāšanas perioda beigās</w:t>
            </w:r>
          </w:p>
          <w:p w14:paraId="7F1BADF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Riska darījumu riska svērtās vērtības attiecībā uz </w:t>
            </w:r>
            <w:r>
              <w:rPr>
                <w:sz w:val="24"/>
                <w:i/>
                <w:rFonts w:ascii="Times New Roman" w:hAnsi="Times New Roman"/>
              </w:rPr>
              <w:t xml:space="preserve">CCR</w:t>
            </w:r>
            <w:r>
              <w:rPr>
                <w:sz w:val="24"/>
                <w:rFonts w:ascii="Times New Roman" w:hAnsi="Times New Roman"/>
              </w:rPr>
              <w:t xml:space="preserve"> riska darījumiem, kam piemēro IMM, iepriekšējā informācijas atklāšanas perioda beigās.</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Aktīvu apmērs</w:t>
            </w:r>
          </w:p>
          <w:p w14:paraId="07D133F6"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organiskām izmaiņām portfeļu apmērā un sastāvā (tajā skaitā jaunu uzņēmumu rašanās un riska darījumi, kuriem pienācis termiņš), bet izņemot portfeļa apmēra izmaiņas saistībā ar sabiedrību iegādi un atsavināšanu.</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Darījuma partneru kredītkvalitāte</w:t>
            </w:r>
          </w:p>
          <w:p w14:paraId="70A7587F"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izmaiņām novērtētajā iestādes darījuma partneru kredītkvalitātē, mērot atbilstoši kredītriska regulējumam, neatkarīgi no tā, kādu pieeju iestāde izmanto.</w:t>
            </w:r>
          </w:p>
          <w:p w14:paraId="5EFAE89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Šajā rindā iekļauj iespējamās </w:t>
            </w:r>
            <w:r>
              <w:rPr>
                <w:sz w:val="24"/>
                <w:i/>
                <w:rFonts w:ascii="Times New Roman" w:hAnsi="Times New Roman"/>
              </w:rPr>
              <w:t xml:space="preserve">RWEA</w:t>
            </w:r>
            <w:r>
              <w:rPr>
                <w:sz w:val="24"/>
                <w:rFonts w:ascii="Times New Roman" w:hAnsi="Times New Roman"/>
              </w:rPr>
              <w:t xml:space="preserve"> izmaiņas saistībā ar </w:t>
            </w:r>
            <w:r>
              <w:rPr>
                <w:sz w:val="24"/>
                <w:i/>
                <w:rFonts w:ascii="Times New Roman" w:hAnsi="Times New Roman"/>
              </w:rPr>
              <w:t xml:space="preserve">IRB</w:t>
            </w:r>
            <w:r>
              <w:rPr>
                <w:sz w:val="24"/>
                <w:rFonts w:ascii="Times New Roman" w:hAnsi="Times New Roman"/>
              </w:rPr>
              <w:t xml:space="preserve"> modeļiem, ja iestāde izmanto </w:t>
            </w:r>
            <w:r>
              <w:rPr>
                <w:sz w:val="24"/>
                <w:i/>
                <w:rFonts w:ascii="Times New Roman" w:hAnsi="Times New Roman"/>
              </w:rPr>
              <w:t xml:space="preserve">IRB</w:t>
            </w:r>
            <w:r>
              <w:rPr>
                <w:sz w:val="24"/>
                <w:rFonts w:ascii="Times New Roman" w:hAnsi="Times New Roman"/>
              </w:rPr>
              <w:t xml:space="preserve"> pieeju.</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Modeļu atjauninājumi (tikai IMM)</w:t>
            </w:r>
          </w:p>
          <w:p w14:paraId="58308728"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modeļu ieviešanu, izmaiņām modeļu tvērumā vai jebkurām izmaiņām, kuru mērķis ir novērst modeļu trūkumus.</w:t>
            </w:r>
          </w:p>
          <w:p w14:paraId="58BDFEF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Šajā rindā atspoguļo tikai IMM izmaiņas.</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Metodika un politika (tikai IMM)</w:t>
            </w:r>
          </w:p>
          <w:p w14:paraId="046BC00D"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metodikas izmaiņām aprēķinos, kuras izraisa regulatīvas politikas izmaiņas, piemēram, jauni noteikumi (tikai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Iegāde un atsavināšana</w:t>
            </w:r>
          </w:p>
          <w:p w14:paraId="07E040C6"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izmaiņām portfeļu apmērā, kuras izraisījusi sabiedrību iegāde un atsavināšana.</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Ārvalstu valūtas kursa svārstības</w:t>
            </w:r>
          </w:p>
          <w:p w14:paraId="2A243848" w14:textId="77777777" w:rsidR="00F43911" w:rsidRPr="007F4CC8" w:rsidRDefault="00F43911" w:rsidP="004F3087">
            <w:pPr>
              <w:spacing w:after="240"/>
              <w:jc w:val="both"/>
              <w:rPr>
                <w:sz w:val="24"/>
                <w:rFonts w:ascii="Times New Roman" w:hAnsi="Times New Roman" w:cs="Times New Roman"/>
              </w:rPr>
            </w:pPr>
            <w:r>
              <w:rPr>
                <w:sz w:val="24"/>
                <w:i/>
                <w:rFonts w:ascii="Times New Roman" w:hAnsi="Times New Roman"/>
              </w:rPr>
              <w:t xml:space="preserve">RWEA</w:t>
            </w:r>
            <w:r>
              <w:rPr>
                <w:sz w:val="24"/>
                <w:rFonts w:ascii="Times New Roman" w:hAnsi="Times New Roman"/>
              </w:rPr>
              <w:t xml:space="preserve"> izmaiņas (pozitīvas vai negatīvas) saistībā ar izmaiņām, kas izriet no ārvalstu valūtas kursa svārstībām.</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Citi</w:t>
            </w:r>
          </w:p>
          <w:p w14:paraId="5893661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Šo kategoriju izmanto, lai atspoguļotu </w:t>
            </w:r>
            <w:r>
              <w:rPr>
                <w:sz w:val="24"/>
                <w:i/>
                <w:rFonts w:ascii="Times New Roman" w:hAnsi="Times New Roman"/>
              </w:rPr>
              <w:t xml:space="preserve">RWEA</w:t>
            </w:r>
            <w:r>
              <w:rPr>
                <w:sz w:val="24"/>
                <w:rFonts w:ascii="Times New Roman" w:hAnsi="Times New Roman"/>
              </w:rPr>
              <w:t xml:space="preserve"> izmaiņas (pozitīvas vai negatīvas), ko nevar iedalīt nevienā citā kategorijā.</w:t>
            </w:r>
            <w:r>
              <w:rPr>
                <w:sz w:val="24"/>
                <w:rFonts w:ascii="Times New Roman" w:hAnsi="Times New Roman"/>
              </w:rPr>
              <w:t xml:space="preserve"> </w:t>
            </w:r>
            <w:r>
              <w:rPr>
                <w:sz w:val="24"/>
                <w:rFonts w:ascii="Times New Roman" w:hAnsi="Times New Roman"/>
              </w:rPr>
              <w:t xml:space="preserve">Iestādes šajā rindā norāda šo </w:t>
            </w:r>
            <w:r>
              <w:rPr>
                <w:sz w:val="24"/>
                <w:i/>
                <w:rFonts w:ascii="Times New Roman" w:hAnsi="Times New Roman"/>
              </w:rPr>
              <w:t xml:space="preserve">RWEA</w:t>
            </w:r>
            <w:r>
              <w:rPr>
                <w:sz w:val="24"/>
                <w:rFonts w:ascii="Times New Roman" w:hAnsi="Times New Roman"/>
              </w:rPr>
              <w:t xml:space="preserve"> izmaiņu summu.</w:t>
            </w:r>
            <w:r>
              <w:rPr>
                <w:sz w:val="24"/>
                <w:rFonts w:ascii="Times New Roman" w:hAnsi="Times New Roman"/>
              </w:rPr>
              <w:t xml:space="preserve"> </w:t>
            </w:r>
            <w:r>
              <w:rPr>
                <w:sz w:val="24"/>
                <w:rFonts w:ascii="Times New Roman" w:hAnsi="Times New Roman"/>
              </w:rPr>
              <w:t xml:space="preserve">Iestādes šai veidnei pievienotajā izklāsta daļā plašāk raksturo jebkurus citus būtiskus riska svērto izmaiņu veicinātājfaktorus informācijas atklāšanas periodā.</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pašreizējā informācijas atklāšanas perioda beigās</w:t>
            </w:r>
          </w:p>
          <w:p w14:paraId="1EF927DE" w14:textId="77777777" w:rsidR="00F43911" w:rsidRPr="007F4CC8" w:rsidRDefault="00F43911" w:rsidP="004F3087">
            <w:pPr>
              <w:spacing w:after="240"/>
              <w:jc w:val="both"/>
              <w:rPr>
                <w:i/>
                <w:sz w:val="24"/>
                <w:rFonts w:ascii="Times New Roman" w:hAnsi="Times New Roman" w:cs="Times New Roman"/>
              </w:rPr>
            </w:pPr>
            <w:r>
              <w:rPr>
                <w:sz w:val="24"/>
                <w:rFonts w:ascii="Times New Roman" w:hAnsi="Times New Roman"/>
              </w:rPr>
              <w:t xml:space="preserve">Riska darījumu riska svērtās vērtības attiecībā uz </w:t>
            </w:r>
            <w:r>
              <w:rPr>
                <w:sz w:val="24"/>
                <w:i/>
                <w:rFonts w:ascii="Times New Roman" w:hAnsi="Times New Roman"/>
              </w:rPr>
              <w:t xml:space="preserve">CCR</w:t>
            </w:r>
            <w:r>
              <w:rPr>
                <w:sz w:val="24"/>
                <w:rFonts w:ascii="Times New Roman" w:hAnsi="Times New Roman"/>
              </w:rPr>
              <w:t xml:space="preserve"> riska darījumiem, kam piemēro IMM, pašreizējā informācijas atklāšanas perioda beigās.</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Paskaidrojums</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Riska darījumu riska svērtā vērtība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Veidne EU CCR8 – Riska darījumi ar </w:t>
      </w:r>
      <w:r>
        <w:rPr>
          <w:color w:val="auto"/>
          <w:sz w:val="24"/>
          <w:b/>
          <w:i/>
          <w:rFonts w:ascii="Times New Roman" w:hAnsi="Times New Roman"/>
        </w:rPr>
        <w:t xml:space="preserve">CCP</w:t>
      </w:r>
      <w:r>
        <w:rPr>
          <w:color w:val="auto"/>
          <w:sz w:val="24"/>
          <w:b/>
          <w:rFonts w:ascii="Times New Roman" w:hAnsi="Times New Roman"/>
        </w:rPr>
        <w:t xml:space="preserve">.</w:t>
      </w:r>
      <w:r>
        <w:rPr>
          <w:color w:val="auto"/>
          <w:sz w:val="24"/>
          <w:b/>
          <w:rFonts w:ascii="Times New Roman" w:hAnsi="Times New Roman"/>
        </w:rPr>
        <w:t xml:space="preserve"> </w:t>
      </w:r>
      <w:r>
        <w:rPr>
          <w:color w:val="auto"/>
          <w:sz w:val="24"/>
          <w:rFonts w:ascii="Times New Roman" w:hAnsi="Times New Roman"/>
        </w:rPr>
        <w:t xml:space="preserve">Fiksēts formāts.</w:t>
      </w:r>
      <w:r>
        <w:rPr>
          <w:color w:val="auto"/>
          <w:sz w:val="24"/>
          <w:b/>
          <w:rFonts w:ascii="Times New Roman" w:hAnsi="Times New Roman"/>
        </w:rPr>
        <w:t xml:space="preserve"> </w:t>
      </w:r>
    </w:p>
    <w:p w14:paraId="14C03A10" w14:textId="4291866F"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Iestādes atklāj </w:t>
      </w:r>
      <w:r>
        <w:rPr>
          <w:sz w:val="24"/>
          <w:color w:val="000000"/>
          <w:color w:val="auto"/>
          <w:rFonts w:ascii="Times New Roman" w:hAnsi="Times New Roman"/>
        </w:rPr>
        <w:t xml:space="preserve">Regulas (ES) Nr. 575/2013</w:t>
      </w:r>
      <w:r>
        <w:rPr>
          <w:sz w:val="24"/>
          <w:color w:val="000000"/>
          <w:rFonts w:ascii="Times New Roman" w:hAnsi="Times New Roman"/>
        </w:rPr>
        <w:t xml:space="preserve"> 439. panta i) punktā minēto informāciju, ievērojot turpmāk šajā pielikumā sniegtos norādījumus, lai aizpildītu veidni EU CCR8, kas ietverta EBI IT risinājumu XXV pielikumā.</w:t>
      </w:r>
    </w:p>
    <w:p w14:paraId="2D8023A6" w14:textId="13DE5A1F" w:rsidR="00F43911" w:rsidRPr="007F4CC8" w:rsidRDefault="00F43911" w:rsidP="00F43911">
      <w:pPr>
        <w:pStyle w:val="Titlelevel2"/>
        <w:numPr>
          <w:ilvl w:val="0"/>
          <w:numId w:val="2"/>
        </w:numPr>
        <w:spacing w:before="0"/>
        <w:jc w:val="both"/>
        <w:rPr>
          <w:b/>
          <w:color w:val="auto"/>
          <w:sz w:val="24"/>
          <w:rFonts w:ascii="Times New Roman" w:hAnsi="Times New Roman"/>
        </w:rPr>
      </w:pPr>
      <w:r>
        <w:rPr>
          <w:sz w:val="24"/>
          <w:color w:val="000000"/>
          <w:rFonts w:ascii="Times New Roman" w:hAnsi="Times New Roman"/>
        </w:rPr>
        <w:t xml:space="preserve">Riska darījumi ar </w:t>
      </w:r>
      <w:r>
        <w:rPr>
          <w:sz w:val="24"/>
          <w:color w:val="000000"/>
          <w:i/>
          <w:rFonts w:ascii="Times New Roman" w:hAnsi="Times New Roman"/>
        </w:rPr>
        <w:t xml:space="preserve">CCP</w:t>
      </w:r>
      <w:r>
        <w:rPr>
          <w:sz w:val="24"/>
          <w:color w:val="000000"/>
          <w:rFonts w:ascii="Times New Roman" w:hAnsi="Times New Roman"/>
        </w:rPr>
        <w:t xml:space="preserve">:</w:t>
      </w:r>
      <w:r>
        <w:rPr>
          <w:sz w:val="24"/>
          <w:color w:val="000000"/>
          <w:rFonts w:ascii="Times New Roman" w:hAnsi="Times New Roman"/>
        </w:rPr>
        <w:t xml:space="preserve"> </w:t>
      </w:r>
      <w:r>
        <w:rPr>
          <w:sz w:val="24"/>
          <w:color w:val="000000"/>
          <w:rFonts w:ascii="Times New Roman" w:hAnsi="Times New Roman"/>
        </w:rPr>
        <w:t xml:space="preserve">līgumi un darījumi, kas uzskaitīti </w:t>
      </w:r>
      <w:r>
        <w:rPr>
          <w:sz w:val="24"/>
          <w:color w:val="000000"/>
          <w:color w:val="auto"/>
          <w:rFonts w:ascii="Times New Roman" w:hAnsi="Times New Roman"/>
        </w:rPr>
        <w:t xml:space="preserve">Regulas (ES) Nr. 575/2013</w:t>
      </w:r>
      <w:r>
        <w:rPr>
          <w:sz w:val="24"/>
          <w:color w:val="000000"/>
          <w:rFonts w:ascii="Times New Roman" w:hAnsi="Times New Roman"/>
        </w:rPr>
        <w:t xml:space="preserve"> 301. panta 1. punktā, tik ilgi, kamēr tie nav nokārtoti ar </w:t>
      </w:r>
      <w:r>
        <w:rPr>
          <w:sz w:val="24"/>
          <w:color w:val="000000"/>
          <w:i/>
          <w:rFonts w:ascii="Times New Roman" w:hAnsi="Times New Roman"/>
        </w:rPr>
        <w:t xml:space="preserve">CCP</w:t>
      </w:r>
      <w:r>
        <w:rPr>
          <w:sz w:val="24"/>
          <w:color w:val="000000"/>
          <w:rFonts w:ascii="Times New Roman" w:hAnsi="Times New Roman"/>
        </w:rPr>
        <w:t xml:space="preserve">, tajā skaitā riska darījumi ar </w:t>
      </w:r>
      <w:r>
        <w:rPr>
          <w:sz w:val="24"/>
          <w:color w:val="000000"/>
          <w:i/>
          <w:rFonts w:ascii="Times New Roman" w:hAnsi="Times New Roman"/>
        </w:rPr>
        <w:t xml:space="preserve">CCP</w:t>
      </w:r>
      <w:r>
        <w:rPr>
          <w:sz w:val="24"/>
          <w:color w:val="000000"/>
          <w:rFonts w:ascii="Times New Roman" w:hAnsi="Times New Roman"/>
        </w:rPr>
        <w:t xml:space="preserve"> saistītos darījumos saskaņā ar </w:t>
      </w:r>
      <w:r>
        <w:rPr>
          <w:sz w:val="24"/>
          <w:color w:val="000000"/>
          <w:color w:val="auto"/>
          <w:rFonts w:ascii="Times New Roman" w:hAnsi="Times New Roman"/>
        </w:rPr>
        <w:t xml:space="preserve">Regulas (ES) Nr. 575/2013</w:t>
      </w:r>
      <w:r>
        <w:rPr>
          <w:sz w:val="24"/>
          <w:color w:val="000000"/>
          <w:rFonts w:ascii="Times New Roman" w:hAnsi="Times New Roman"/>
        </w:rPr>
        <w:t xml:space="preserve"> 300. panta 2. punktu, par kuriem pašu kapitāla prasības aprēķina saskaņā ar </w:t>
      </w:r>
      <w:r>
        <w:rPr>
          <w:sz w:val="24"/>
          <w:color w:val="000000"/>
          <w:color w:val="auto"/>
          <w:rFonts w:ascii="Times New Roman" w:hAnsi="Times New Roman"/>
        </w:rPr>
        <w:t xml:space="preserve">Regulas (ES) Nr. 575/2013</w:t>
      </w:r>
      <w:r>
        <w:rPr>
          <w:sz w:val="24"/>
          <w:color w:val="000000"/>
          <w:rFonts w:ascii="Times New Roman" w:hAnsi="Times New Roman"/>
        </w:rPr>
        <w:t xml:space="preserve"> trešās daļas II sadaļas 6. nodaļas 9. iedaļu.</w:t>
      </w:r>
      <w:r>
        <w:rPr>
          <w:sz w:val="24"/>
          <w:color w:val="00000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Atsauces uz tiesību aktiem un norādījumi</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Paskaidrojums</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 xml:space="preserve">1.–10.</w:t>
            </w:r>
          </w:p>
        </w:tc>
        <w:tc>
          <w:tcPr>
            <w:tcW w:w="7655" w:type="dxa"/>
            <w:vAlign w:val="center"/>
          </w:tcPr>
          <w:p w14:paraId="29CECCE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Atbilstīgi </w:t>
            </w:r>
            <w:r>
              <w:rPr>
                <w:b/>
                <w:sz w:val="24"/>
                <w:i/>
                <w:rFonts w:ascii="Times New Roman" w:hAnsi="Times New Roman"/>
              </w:rPr>
              <w:t xml:space="preserve">CCP</w:t>
            </w:r>
            <w:r>
              <w:rPr>
                <w:b/>
                <w:sz w:val="24"/>
                <w:rFonts w:ascii="Times New Roman" w:hAnsi="Times New Roman"/>
              </w:rPr>
              <w:t xml:space="preserve"> (</w:t>
            </w:r>
            <w:r>
              <w:rPr>
                <w:b/>
                <w:sz w:val="24"/>
                <w:i/>
                <w:rFonts w:ascii="Times New Roman" w:hAnsi="Times New Roman"/>
              </w:rPr>
              <w:t xml:space="preserve">QCCP</w:t>
            </w:r>
            <w:r>
              <w:rPr>
                <w:b/>
                <w:sz w:val="24"/>
                <w:rFonts w:ascii="Times New Roman" w:hAnsi="Times New Roman"/>
              </w:rPr>
              <w:t xml:space="preserve">)</w:t>
            </w:r>
          </w:p>
          <w:p w14:paraId="7D977D34" w14:textId="54340F62"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Atbilstīgs centrālais darījumu partneris jeb “</w:t>
            </w:r>
            <w:r>
              <w:rPr>
                <w:sz w:val="24"/>
                <w:i/>
                <w:rFonts w:ascii="Times New Roman" w:hAnsi="Times New Roman"/>
              </w:rPr>
              <w:t xml:space="preserve">QCCP</w:t>
            </w:r>
            <w:r>
              <w:rPr>
                <w:sz w:val="24"/>
                <w:rFonts w:ascii="Times New Roman" w:hAnsi="Times New Roman"/>
              </w:rPr>
              <w:t xml:space="preserve">”, kā definēts Regulas (ES) Nr. 575/2013 4. panta 1. punkta 88. apakšpunktā.</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 xml:space="preserve">7. un 8.</w:t>
            </w:r>
          </w:p>
          <w:p w14:paraId="1BD08955" w14:textId="77777777" w:rsidR="00F43911" w:rsidRPr="007F4CC8" w:rsidRDefault="00F43911" w:rsidP="004F3087">
            <w:pPr>
              <w:pStyle w:val="Fait"/>
              <w:spacing w:before="0" w:after="240"/>
              <w:jc w:val="center"/>
            </w:pPr>
            <w:r>
              <w:t xml:space="preserve">17. un 18.</w:t>
            </w:r>
          </w:p>
        </w:tc>
        <w:tc>
          <w:tcPr>
            <w:tcW w:w="7655" w:type="dxa"/>
            <w:vAlign w:val="center"/>
          </w:tcPr>
          <w:p w14:paraId="2A3132CF" w14:textId="77777777" w:rsidR="00F43911" w:rsidRPr="005947B9" w:rsidRDefault="00F43911" w:rsidP="004F3087">
            <w:pPr>
              <w:keepNext/>
              <w:spacing w:after="240"/>
              <w:jc w:val="both"/>
              <w:rPr>
                <w:b/>
                <w:bCs/>
                <w:sz w:val="24"/>
                <w:rFonts w:ascii="Times New Roman" w:eastAsia="Times New Roman" w:hAnsi="Times New Roman" w:cs="Times New Roman"/>
              </w:rPr>
            </w:pPr>
            <w:r>
              <w:rPr>
                <w:b/>
                <w:sz w:val="24"/>
                <w:rFonts w:ascii="Times New Roman" w:hAnsi="Times New Roman"/>
              </w:rPr>
              <w:t xml:space="preserve">Sākotnējā drošības rezerve</w:t>
            </w:r>
          </w:p>
          <w:p w14:paraId="3C76FA21" w14:textId="6C3EFE50"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Iestādes atklāj saņemto vai iesniegto nodrošinājumu patiesās vērtības kā sākotnējo drošības rezervi, kā definēts Regulas (ES) Nr. 575/2013 4. panta 1. punkta 140. apakšpunktā.</w:t>
            </w:r>
          </w:p>
          <w:p w14:paraId="3B66900B" w14:textId="7777777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Šajā veidnē sākotnējā drošības rezerve neietver iemaksas </w:t>
            </w:r>
            <w:r>
              <w:rPr>
                <w:sz w:val="24"/>
                <w:i/>
                <w:rFonts w:ascii="Times New Roman" w:hAnsi="Times New Roman"/>
              </w:rPr>
              <w:t xml:space="preserve">CCP</w:t>
            </w:r>
            <w:r>
              <w:rPr>
                <w:sz w:val="24"/>
                <w:rFonts w:ascii="Times New Roman" w:hAnsi="Times New Roman"/>
              </w:rPr>
              <w:t xml:space="preserve"> attiecībā uz savstarpēji sadalītiem zaudējumu dalīšanas mehānismiem (t. i., gadījumos, kad </w:t>
            </w:r>
            <w:r>
              <w:rPr>
                <w:sz w:val="24"/>
                <w:i/>
                <w:rFonts w:ascii="Times New Roman" w:hAnsi="Times New Roman"/>
              </w:rPr>
              <w:t xml:space="preserve">CCP</w:t>
            </w:r>
            <w:r>
              <w:rPr>
                <w:sz w:val="24"/>
                <w:rFonts w:ascii="Times New Roman" w:hAnsi="Times New Roman"/>
              </w:rPr>
              <w:t xml:space="preserve"> izmanto sākotnējo drošības rezervi, lai savstarpēji sadalītu zaudējumus starp tīrvērtes dalībniekiem, to uzskata par saistību neizpildes fonda riska darījumu).</w:t>
            </w:r>
            <w:r>
              <w:rPr>
                <w:sz w:val="24"/>
                <w:rFonts w:ascii="Times New Roman" w:hAnsi="Times New Roman"/>
              </w:rPr>
              <w:t xml:space="preserv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 xml:space="preserve">9. un 19.</w:t>
            </w:r>
          </w:p>
        </w:tc>
        <w:tc>
          <w:tcPr>
            <w:tcW w:w="7655" w:type="dxa"/>
            <w:vAlign w:val="center"/>
          </w:tcPr>
          <w:p w14:paraId="515E4B6E"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Priekšfinansētās iemaksas saistību neizpildes fondā</w:t>
            </w:r>
          </w:p>
          <w:p w14:paraId="2980A8E2" w14:textId="77777777"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Iestāžu iemaksas </w:t>
            </w:r>
            <w:r>
              <w:rPr>
                <w:sz w:val="24"/>
                <w:i/>
                <w:rFonts w:ascii="Times New Roman" w:hAnsi="Times New Roman"/>
              </w:rPr>
              <w:t xml:space="preserve">CCP</w:t>
            </w:r>
            <w:r>
              <w:rPr>
                <w:sz w:val="24"/>
                <w:rFonts w:ascii="Times New Roman" w:hAnsi="Times New Roman"/>
              </w:rPr>
              <w:t xml:space="preserve"> saistību neizpildes fondā.</w:t>
            </w:r>
          </w:p>
          <w:p w14:paraId="47DBAB7C" w14:textId="47AF297D"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“Saistību neizpildes fonds” ir definēts Regulas (ES) 575/2013 4. panta 1. punkta 89. apakšpunktā.</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 xml:space="preserve">20.</w:t>
            </w:r>
          </w:p>
        </w:tc>
        <w:tc>
          <w:tcPr>
            <w:tcW w:w="7655" w:type="dxa"/>
            <w:vAlign w:val="center"/>
          </w:tcPr>
          <w:p w14:paraId="66ADBBF3"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Nefinansētās iemaksas saistību neizpildes fondā</w:t>
            </w:r>
          </w:p>
          <w:p w14:paraId="32104DB8" w14:textId="25D785F1"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Iemaksas, kuras iestāde, kas darbojas kā tīrvērtes dalībnieks, ir līgumā apņēmusies iemaksāt </w:t>
            </w:r>
            <w:r>
              <w:rPr>
                <w:sz w:val="24"/>
                <w:i/>
                <w:rFonts w:ascii="Times New Roman" w:hAnsi="Times New Roman"/>
              </w:rPr>
              <w:t xml:space="preserve">CCP</w:t>
            </w:r>
            <w:r>
              <w:rPr>
                <w:sz w:val="24"/>
                <w:rFonts w:ascii="Times New Roman" w:hAnsi="Times New Roman"/>
              </w:rPr>
              <w:t xml:space="preserve"> pēc tam, kad </w:t>
            </w:r>
            <w:r>
              <w:rPr>
                <w:sz w:val="24"/>
                <w:i/>
                <w:rFonts w:ascii="Times New Roman" w:hAnsi="Times New Roman"/>
              </w:rPr>
              <w:t xml:space="preserve">CCP</w:t>
            </w:r>
            <w:r>
              <w:rPr>
                <w:sz w:val="24"/>
                <w:rFonts w:ascii="Times New Roman" w:hAnsi="Times New Roman"/>
              </w:rPr>
              <w:t xml:space="preserve"> ir pilnībā izmantojis saistību neizpildes fondu, lai segtu zaudējumus, kuri tam radušies pēc viena vai vairāku tā tīrvērtes dalībnieku saistību neizpildes.</w:t>
            </w:r>
            <w:r>
              <w:rPr>
                <w:sz w:val="24"/>
                <w:rFonts w:ascii="Times New Roman" w:hAnsi="Times New Roman"/>
              </w:rPr>
              <w:t xml:space="preserve"> </w:t>
            </w:r>
            <w:r>
              <w:rPr>
                <w:sz w:val="24"/>
                <w:rFonts w:ascii="Times New Roman" w:hAnsi="Times New Roman"/>
              </w:rPr>
              <w:t xml:space="preserve">“Saistību neizpildes fonds” ir definēts Regulas (ES) 575/2013 4. panta 1. punkta 89. apakšpunktā.</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 xml:space="preserve">7. un 17.</w:t>
            </w:r>
          </w:p>
        </w:tc>
        <w:tc>
          <w:tcPr>
            <w:tcW w:w="7655" w:type="dxa"/>
            <w:vAlign w:val="center"/>
          </w:tcPr>
          <w:p w14:paraId="14FAE32C"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Nošķirts</w:t>
            </w:r>
          </w:p>
          <w:p w14:paraId="77E9C42E"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Sk. definīciju, kas ietverta veidnē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 xml:space="preserve">8. un 18.</w:t>
            </w:r>
          </w:p>
        </w:tc>
        <w:tc>
          <w:tcPr>
            <w:tcW w:w="7655" w:type="dxa"/>
            <w:vAlign w:val="center"/>
          </w:tcPr>
          <w:p w14:paraId="68CA4C70"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Nenošķirts</w:t>
            </w:r>
          </w:p>
          <w:p w14:paraId="33E34E6A"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Sk. definīciju, kas ietverta veidnē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Paskaidrojums</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 xml:space="preserve">a</w:t>
            </w:r>
          </w:p>
        </w:tc>
        <w:tc>
          <w:tcPr>
            <w:tcW w:w="7655" w:type="dxa"/>
            <w:vAlign w:val="center"/>
          </w:tcPr>
          <w:p w14:paraId="5D26D40B"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Riska darījumu vērtība</w:t>
            </w:r>
          </w:p>
          <w:p w14:paraId="35A19512" w14:textId="30257E7C"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Riska darījumu vērtība, kas aprēķināta saskaņā ar Regulas (ES) 575/2013 trešās daļas II sadaļas 4. un 6. nodaļā noteiktajām metodēm, tiem darījumiem, uz kuriem attiecas Regulas (ES) 575/2013 trešās daļas II sadaļas 6. nodaļas 9. iedaļas darbības joma, pēc minētās iedaļas 304., 306. un 308. pantā paredzēto attiecīgo korekciju piemērošanas.</w:t>
            </w:r>
            <w:r>
              <w:rPr>
                <w:sz w:val="24"/>
                <w:rFonts w:ascii="Times New Roman" w:hAnsi="Times New Roman"/>
              </w:rPr>
              <w:t xml:space="preserve"> </w:t>
            </w:r>
          </w:p>
          <w:p w14:paraId="12E09CAC" w14:textId="7517109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Riska darījums var būt tirdzniecības riska darījums, kā definēts Regulas (ES) 575/2013 4. panta 1. punkta 91. apakšpunktā.</w:t>
            </w:r>
            <w:r>
              <w:rPr>
                <w:sz w:val="24"/>
                <w:rFonts w:ascii="Times New Roman" w:hAnsi="Times New Roman"/>
              </w:rPr>
              <w:t xml:space="preserve"> </w:t>
            </w:r>
            <w:r>
              <w:rPr>
                <w:sz w:val="24"/>
                <w:rFonts w:ascii="Times New Roman" w:hAnsi="Times New Roman"/>
              </w:rPr>
              <w:t xml:space="preserve">Atklātā riska darījumu vērtība ir pašu kapitāla prasību aprēķinam būtiskā summa saskaņā ar Regulas (ES) 575/2013 trešās daļas II sadaļas 6. nodaļas 9. iedaļu, ņemot vērā Regulas (ES) 575/2013 497. pantā noteiktās prasības minētajā pantā paredzētajā pārejas periodā.</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 xml:space="preserve">b</w:t>
            </w:r>
          </w:p>
        </w:tc>
        <w:tc>
          <w:tcPr>
            <w:tcW w:w="7655" w:type="dxa"/>
            <w:vAlign w:val="center"/>
          </w:tcPr>
          <w:p w14:paraId="4F7D894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Riska darījumu riska svērtā vērtība</w:t>
            </w:r>
          </w:p>
          <w:p w14:paraId="1E08469B" w14:textId="2290AF23"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Riska darījumu riska svērtās vērtības, kas minētas Regulas (ES) 575/2013 92. panta 3. punkta a) apakšpunktā un </w:t>
            </w:r>
            <w:r>
              <w:rPr>
                <w:sz w:val="24"/>
                <w:color w:val="000000"/>
                <w:rFonts w:ascii="Times New Roman" w:hAnsi="Times New Roman"/>
              </w:rPr>
              <w:t xml:space="preserve">aprēķinātas</w:t>
            </w:r>
            <w:r>
              <w:rPr>
                <w:sz w:val="24"/>
                <w:rFonts w:ascii="Times New Roman" w:hAnsi="Times New Roman"/>
              </w:rPr>
              <w:t xml:space="preserve"> saskaņā ar Regulas (ES) 575/2013 trešās daļas II sadaļas 6. nodaļas 9. iedaļas 107. pantu.</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lv-LV"/>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F43911"/>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lv-LV"/>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3F0F2-8CEC-4132-AE0D-4C3E106011C4}"/>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XXXXXXX</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