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 xml:space="preserve">XX PIELIKUMS – Norādījumi informācijas atklāšanai par kredītriska standartizētās pieejas izmantošanu (izņemot darījuma partnera kredītrisku un </w:t>
      </w:r>
      <w:proofErr w:type="spellStart"/>
      <w:r>
        <w:t>vērtspapīrošanas</w:t>
      </w:r>
      <w:proofErr w:type="spellEnd"/>
      <w:r>
        <w:t xml:space="preserve"> pozīcijas)</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Veidnes, par kurām šajā pielikumā sniegti norādījumi, neattiecas uz instrumentiem, uz kuriem attiecas Regulas (ES) Nr. 575/2013</w:t>
      </w:r>
      <w:r w:rsidR="00166E0C" w:rsidRPr="00BC439A">
        <w:rPr>
          <w:rStyle w:val="FootnoteReference"/>
          <w:rFonts w:ascii="Times New Roman" w:hAnsi="Times New Roman"/>
        </w:rPr>
        <w:footnoteReference w:id="2"/>
      </w:r>
      <w:r>
        <w:rPr>
          <w:rFonts w:ascii="Times New Roman" w:hAnsi="Times New Roman"/>
          <w:sz w:val="24"/>
        </w:rPr>
        <w:t xml:space="preserve"> (“</w:t>
      </w:r>
      <w:r>
        <w:rPr>
          <w:rFonts w:ascii="Times New Roman" w:hAnsi="Times New Roman"/>
          <w:i/>
          <w:sz w:val="24"/>
        </w:rPr>
        <w:t>CRR</w:t>
      </w:r>
      <w:r>
        <w:rPr>
          <w:rFonts w:ascii="Times New Roman" w:hAnsi="Times New Roman"/>
          <w:sz w:val="24"/>
        </w:rPr>
        <w:t>”) trešās daļas II sadaļas 6. nodaļa (</w:t>
      </w:r>
      <w:r>
        <w:rPr>
          <w:rFonts w:ascii="Times New Roman" w:hAnsi="Times New Roman"/>
          <w:i/>
          <w:sz w:val="24"/>
        </w:rPr>
        <w:t>CCR</w:t>
      </w:r>
      <w:r>
        <w:rPr>
          <w:rFonts w:ascii="Times New Roman" w:hAnsi="Times New Roman"/>
          <w:sz w:val="24"/>
        </w:rPr>
        <w:t xml:space="preserve"> riska darījumi), kā arī instrumentiem, kam piemēro Regulas (ES) Nr. 575/2013 trešās daļas II sadaļas 5. nodaļā noteiktās prasības (</w:t>
      </w:r>
      <w:proofErr w:type="spellStart"/>
      <w:r>
        <w:rPr>
          <w:rFonts w:ascii="Times New Roman" w:hAnsi="Times New Roman"/>
          <w:sz w:val="24"/>
        </w:rPr>
        <w:t>vērtspapīrošanas</w:t>
      </w:r>
      <w:proofErr w:type="spellEnd"/>
      <w:r>
        <w:rPr>
          <w:rFonts w:ascii="Times New Roman" w:hAnsi="Times New Roman"/>
          <w:sz w:val="24"/>
        </w:rPr>
        <w:t xml:space="preserve"> riska darījumi).</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Tabula EU CRD – Kvalitatīvas informācijas atklāšanas prasības saistībā ar standartizētu pieeju. </w:t>
      </w:r>
      <w:r>
        <w:rPr>
          <w:rFonts w:ascii="Times New Roman" w:hAnsi="Times New Roman"/>
          <w:sz w:val="24"/>
        </w:rPr>
        <w:t>Elastīgs formāts.</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Iestādes atklāj Regulas (ES) 575/2013 444. panta a)–d) punktā minēto informāciju, ievērojot turpmāk šajā pielikumā sniegtos norādījumus, lai aizpildītu EBI IT risinājumu XIX pielikumā ietverto tabulu EU CRD.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Atsauce</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uz rindu</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Atsauces uz tiesību aktiem un norādījumi</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Paskaidrojums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a) punkts.</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Iestādes atklāj izmantoto norīkoto ārēju kredītu novērtēšanas institūciju (ĀKNI) un eksporta kredīta aģentūru (EKA) nosaukumus, kā arī ar šiem norīkojumiem saistīto izmaiņu iemeslus informācijas atklāšanas periodā.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b) punkts.</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Iestādes norāda riska darījumu kategorijas, kuras minētas Regulas (ES) 575/2013 112. pantā un par kurām iestādes aprēķina riska svērto riska darījumu vērtību summas saskaņā ar </w:t>
            </w:r>
            <w:r>
              <w:rPr>
                <w:rFonts w:ascii="Times New Roman" w:hAnsi="Times New Roman"/>
                <w:i/>
                <w:sz w:val="24"/>
              </w:rPr>
              <w:t>CRR</w:t>
            </w:r>
            <w:r>
              <w:rPr>
                <w:rFonts w:ascii="Times New Roman" w:hAnsi="Times New Roman"/>
                <w:sz w:val="24"/>
              </w:rPr>
              <w:t xml:space="preserve"> trešās daļas II sadaļas 2. nodaļu, izmantojot norīkotās ĀKNI vai EKA </w:t>
            </w:r>
            <w:proofErr w:type="spellStart"/>
            <w:r>
              <w:rPr>
                <w:rFonts w:ascii="Times New Roman" w:hAnsi="Times New Roman"/>
                <w:sz w:val="24"/>
              </w:rPr>
              <w:t>kredītnovērtējumu</w:t>
            </w:r>
            <w:proofErr w:type="spellEnd"/>
            <w:r>
              <w:rPr>
                <w:rFonts w:ascii="Times New Roman" w:hAnsi="Times New Roman"/>
                <w:sz w:val="24"/>
              </w:rPr>
              <w:t xml:space="preserve">.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c) punkts.</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 xml:space="preserve">Ja izmanto emitenta vai emisijas </w:t>
            </w:r>
            <w:proofErr w:type="spellStart"/>
            <w:r>
              <w:rPr>
                <w:rFonts w:ascii="Times New Roman" w:hAnsi="Times New Roman"/>
                <w:sz w:val="24"/>
              </w:rPr>
              <w:t>kredītnovērtējumu</w:t>
            </w:r>
            <w:proofErr w:type="spellEnd"/>
            <w:r>
              <w:rPr>
                <w:rFonts w:ascii="Times New Roman" w:hAnsi="Times New Roman"/>
                <w:sz w:val="24"/>
              </w:rPr>
              <w:t>, lai noteiktu riska pakāpi, kas jāpiešķir riska darījumam, kurš nav iekļauts tirdzniecības portfelī saskaņā ar Regulas (ES) 575/2013 trešās daļas II sadaļas 2. nodaļas 139. pantu, iestādes apraksta izmantoto procesu.</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d) punkts.</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Iestādes par katru no kredītriska darījumu kategorijām, kas norādītas Regulas (ES) 575/2013 112. pantā, norāda katras norīkotās ĀKNI/EKA (kā minēts šīs veidnes a) rindā) burtciparu skalu ar riska pakāpēm, kas atbilst </w:t>
            </w:r>
            <w:r>
              <w:rPr>
                <w:rFonts w:ascii="Times New Roman" w:hAnsi="Times New Roman"/>
                <w:color w:val="000000" w:themeColor="text1"/>
                <w:sz w:val="24"/>
              </w:rPr>
              <w:t>Regulas (ES) 575/2013</w:t>
            </w:r>
            <w:r>
              <w:rPr>
                <w:rFonts w:ascii="Times New Roman" w:hAnsi="Times New Roman"/>
                <w:sz w:val="24"/>
              </w:rPr>
              <w:t xml:space="preserve"> trešās daļas II sadaļas 2. nodaļā noteiktajām </w:t>
            </w:r>
            <w:proofErr w:type="spellStart"/>
            <w:r>
              <w:rPr>
                <w:rFonts w:ascii="Times New Roman" w:hAnsi="Times New Roman"/>
                <w:sz w:val="24"/>
              </w:rPr>
              <w:lastRenderedPageBreak/>
              <w:t>kredītkvalitātes</w:t>
            </w:r>
            <w:proofErr w:type="spellEnd"/>
            <w:r>
              <w:rPr>
                <w:rFonts w:ascii="Times New Roman" w:hAnsi="Times New Roman"/>
                <w:sz w:val="24"/>
              </w:rPr>
              <w:t xml:space="preserve"> pakāpēm, izņemot, ja iestāde atbilst EBI publicētajai standarta sasaistei.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Veidne EU CR4 – Kredītriska darījumi un kredītriska mazināšanas ietekme.</w:t>
      </w:r>
      <w:r>
        <w:rPr>
          <w:rFonts w:ascii="Times New Roman" w:hAnsi="Times New Roman"/>
          <w:sz w:val="24"/>
        </w:rPr>
        <w:t xml:space="preserve"> Fiksēts formāts.</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 xml:space="preserve">Iestādes, kas aprēķina riska darījuma riska svērtās vērtības kredītriskam saskaņā ar </w:t>
      </w:r>
      <w:r>
        <w:rPr>
          <w:rFonts w:ascii="Times New Roman" w:hAnsi="Times New Roman"/>
          <w:color w:val="000000" w:themeColor="text1"/>
          <w:sz w:val="24"/>
        </w:rPr>
        <w:t>Regulas (ES) 575/2013</w:t>
      </w:r>
      <w:r>
        <w:rPr>
          <w:rFonts w:ascii="Times New Roman" w:hAnsi="Times New Roman"/>
          <w:sz w:val="24"/>
        </w:rPr>
        <w:t xml:space="preserve"> trešās daļas II sadaļas 2. nodaļu, atklāj </w:t>
      </w:r>
      <w:r>
        <w:rPr>
          <w:rFonts w:ascii="Times New Roman" w:hAnsi="Times New Roman"/>
          <w:color w:val="000000" w:themeColor="text1"/>
          <w:sz w:val="24"/>
        </w:rPr>
        <w:t>Regulas (ES) 575/2013</w:t>
      </w:r>
      <w:r>
        <w:rPr>
          <w:rFonts w:ascii="Times New Roman" w:hAnsi="Times New Roman"/>
          <w:sz w:val="24"/>
        </w:rPr>
        <w:t xml:space="preserve"> 453. panta g), h) un i) apakšpunktā un 444. panta e) apakšpunktā minēto informāciju, ievērojot turpmāk šajā pielikumā sniegtos norādījumus, lai aizpildītu EBI IT risinājumu XIX pielikumā ietverto veidni EU CR4.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Atsauces uz tiesību aktiem un norādījumi</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Paskaidrojums</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Riska darījumi pirms kredīta korekcijas pakāpju piemērošanas un pirms kredītriska mazināšanas pasākumiem – bilances riska darījumi: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bilances riska darījumus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saskaņā ar </w:t>
            </w:r>
            <w:r>
              <w:rPr>
                <w:rFonts w:ascii="Times New Roman" w:hAnsi="Times New Roman"/>
                <w:color w:val="000000" w:themeColor="text1"/>
                <w:sz w:val="24"/>
              </w:rPr>
              <w:t>Regulas (ES) 575/2013</w:t>
            </w:r>
            <w:r>
              <w:rPr>
                <w:rFonts w:ascii="Times New Roman" w:hAnsi="Times New Roman"/>
                <w:sz w:val="24"/>
              </w:rPr>
              <w:t xml:space="preserve"> 111. pantu pēc specifiskajām kredītriska korekcijām saskaņā ar </w:t>
            </w:r>
            <w:r>
              <w:rPr>
                <w:rFonts w:ascii="Times New Roman" w:hAnsi="Times New Roman"/>
                <w:color w:val="000000" w:themeColor="text1"/>
                <w:sz w:val="24"/>
              </w:rPr>
              <w:t>Regulas (ES) 575/2013</w:t>
            </w:r>
            <w:r>
              <w:rPr>
                <w:rFonts w:ascii="Times New Roman" w:hAnsi="Times New Roman"/>
                <w:sz w:val="24"/>
              </w:rPr>
              <w:t xml:space="preserve"> 110. pantu, papildu vērtības korekcijām saskaņā ar </w:t>
            </w:r>
            <w:r>
              <w:rPr>
                <w:rFonts w:ascii="Times New Roman" w:hAnsi="Times New Roman"/>
                <w:color w:val="000000" w:themeColor="text1"/>
                <w:sz w:val="24"/>
              </w:rPr>
              <w:t>Regulas (ES) 575/2013</w:t>
            </w:r>
            <w:r>
              <w:rPr>
                <w:rFonts w:ascii="Times New Roman" w:hAnsi="Times New Roman"/>
                <w:sz w:val="24"/>
              </w:rPr>
              <w:t xml:space="preserve"> 34. un 105. pantu, atskaitītajām summām saskaņā ar </w:t>
            </w:r>
            <w:r>
              <w:rPr>
                <w:rFonts w:ascii="Times New Roman" w:hAnsi="Times New Roman"/>
                <w:color w:val="000000" w:themeColor="text1"/>
                <w:sz w:val="24"/>
              </w:rPr>
              <w:t>Regulas (ES) 575/2013</w:t>
            </w:r>
            <w:r>
              <w:rPr>
                <w:rFonts w:ascii="Times New Roman" w:hAnsi="Times New Roman"/>
                <w:sz w:val="24"/>
              </w:rPr>
              <w:t xml:space="preserve"> 36. panta 1. punkta m) apakšpunktu, citiem pašu kapitāla samazinājumiem un norakstījumiem (kā definēts piemērojamajā grāmatvedības regulējumā), bet pirms i) minētajā pantā norādīto kredīta korekcijas pakāpju piemērošanas un ii) Regulas (ES) 575/2013 trešās daļas II sadaļas 4. nodaļā norādīto kredītriska mazināšanas metožu piemērošanas. Uz nomas līgumu riska darījumu vērtību attiecas </w:t>
            </w:r>
            <w:r>
              <w:rPr>
                <w:rFonts w:ascii="Times New Roman" w:hAnsi="Times New Roman"/>
                <w:color w:val="000000" w:themeColor="text1"/>
                <w:sz w:val="24"/>
              </w:rPr>
              <w:t>Regulas (ES) 575/2013</w:t>
            </w:r>
            <w:r>
              <w:rPr>
                <w:rFonts w:ascii="Times New Roman" w:hAnsi="Times New Roman"/>
                <w:sz w:val="24"/>
              </w:rPr>
              <w:t xml:space="preserve"> 134. panta 7. punkts.</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Riska darījumi pirms kredīta korekcijas pakāpju piemērošanas un pirms kredītriska mazināšanas pasākumiem – ārpusbilances riska darījumi:</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ārpusbilances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pēc specifiskajām kredītriska korekcijām un atskaitītajām summām saskaņā ar Regulas (ES) 575/2013 36. panta 1. punkta m) apakšpunktu, bet pirms kredīta korekcijas pakāpju piemērošanas saskaņā ar Regulas (ES) 575/2013 111. pantu un pirms kredītriska mazināšanas metožu izmantošanas (piemērojot Regulas (ES) 575/2013 trešās daļas II sadaļas 4. nodaļu).</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Riska darījumi pēc kredīta korekcijas pakāpju piemērošanas un pēc kredītriska mazināšanas pasākumiem – bilances riska darījumi: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bilances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(saskaņā ar Regulas (ES) 575/2013 111. pantu) pēc specifiskajām kredītriska korekcijām saskaņā ar Regulas (ES) 575/2013 110. pantu, papildu vērtības korekcijām saskaņā ar Regulas (ES) 575/2013 34. un 105. pantu, atskaitītajām summām saskaņā ar Regulas (ES) 575/2013 </w:t>
            </w:r>
            <w:r>
              <w:rPr>
                <w:rFonts w:ascii="Times New Roman" w:hAnsi="Times New Roman"/>
                <w:sz w:val="24"/>
              </w:rPr>
              <w:lastRenderedPageBreak/>
              <w:t xml:space="preserve">36. panta 1. punkta m) apakšpunktu, citiem pašu kapitāla samazinājumiem un norakstījumiem, kā definēts piemērojamajā grāmatvedības regulējumā, pēc visu kredītriska mazināšanas pasākumu un kredīta korekcijas pakāpju piemērošanas. Šī ir summa, kam piemēro riska pakāpes (saskaņā ar Regulas (ES) Nr. 575/2013 113. pantu un Regulas (ES) Nr. 575/2013 trešās daļas II sadaļas 2. nodaļas 2. iedaļu). Tā ir neto </w:t>
            </w:r>
            <w:proofErr w:type="spellStart"/>
            <w:r>
              <w:rPr>
                <w:rFonts w:ascii="Times New Roman" w:hAnsi="Times New Roman"/>
                <w:sz w:val="24"/>
              </w:rPr>
              <w:t>kredītekvivalenta</w:t>
            </w:r>
            <w:proofErr w:type="spellEnd"/>
            <w:r>
              <w:rPr>
                <w:rFonts w:ascii="Times New Roman" w:hAnsi="Times New Roman"/>
                <w:sz w:val="24"/>
              </w:rPr>
              <w:t xml:space="preserve"> summa pēc kredītriska mazināšanas metožu un kredīta korekcijas pakāpju piemērošanas.</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Riska darījumi pēc kredīta korekcijas pakāpju piemērošanas un pēc kredītriska mazināšanas pasākumiem – ārpusbilances riska darījumi: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Iestādes atklāj ārpusbilances riska darījumu vērtības summu pēc tam, kad ir ņemtas vērā specifiskās kredītriska korekcijas, kā definēts Komisijas deleģētajā regulā (ES) 183/2014</w:t>
            </w:r>
            <w:r w:rsidRPr="00166E0C">
              <w:rPr>
                <w:rStyle w:val="FootnoteReference"/>
                <w:rFonts w:ascii="Times New Roman" w:eastAsia="Times New Roman" w:hAnsi="Times New Roman" w:cs="Times New Roman"/>
              </w:rPr>
              <w:footnoteReference w:id="3"/>
            </w:r>
            <w:r>
              <w:rPr>
                <w:rFonts w:ascii="Times New Roman" w:hAnsi="Times New Roman"/>
                <w:sz w:val="24"/>
              </w:rPr>
              <w:t xml:space="preserve">, papildu vērtības korekcijas un citi pašu kapitāla samazinājumi, pēc visu kredītriska mazināšanas pasākumu un kredīta korekcijas pakāpju piemērošanas. Šī ir summa, kam piemēro riska pakāpes (saskaņā ar Regulas (ES) Nr. 575/2013 113. pantu un </w:t>
            </w:r>
            <w:r>
              <w:rPr>
                <w:rFonts w:ascii="Times New Roman" w:hAnsi="Times New Roman"/>
                <w:i/>
                <w:sz w:val="24"/>
              </w:rPr>
              <w:t>CRR</w:t>
            </w:r>
            <w:r>
              <w:rPr>
                <w:rFonts w:ascii="Times New Roman" w:hAnsi="Times New Roman"/>
                <w:sz w:val="24"/>
              </w:rPr>
              <w:t xml:space="preserve"> trešās daļas II sadaļas 2. nodaļas 2. iedaļu). Tā ir neto </w:t>
            </w:r>
            <w:proofErr w:type="spellStart"/>
            <w:r>
              <w:rPr>
                <w:rFonts w:ascii="Times New Roman" w:hAnsi="Times New Roman"/>
                <w:sz w:val="24"/>
              </w:rPr>
              <w:t>kredītekvivalenta</w:t>
            </w:r>
            <w:proofErr w:type="spellEnd"/>
            <w:r>
              <w:rPr>
                <w:rFonts w:ascii="Times New Roman" w:hAnsi="Times New Roman"/>
                <w:sz w:val="24"/>
              </w:rPr>
              <w:t xml:space="preserve"> summa pēc kredītriska mazināšanas metožu un kredīta korekcijas pakāpju piemērošanas.</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
                <w:sz w:val="24"/>
              </w:rPr>
              <w:t>RWEA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Riska darījumu riska svērtās vērtības (</w:t>
            </w:r>
            <w:r>
              <w:rPr>
                <w:rFonts w:ascii="Times New Roman" w:hAnsi="Times New Roman"/>
                <w:i/>
                <w:sz w:val="24"/>
              </w:rPr>
              <w:t>RWEA</w:t>
            </w:r>
            <w:r>
              <w:rPr>
                <w:rFonts w:ascii="Times New Roman" w:hAnsi="Times New Roman"/>
                <w:sz w:val="24"/>
              </w:rPr>
              <w:t>), kas aprēķinātas saskaņā ar Regulas (ES) Nr. 575/2013 trešās daļas II sadaļas 2. nodaļas 2. iedaļu.</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
                <w:sz w:val="24"/>
              </w:rPr>
              <w:t>RWEA</w:t>
            </w:r>
            <w:r>
              <w:rPr>
                <w:rFonts w:ascii="Times New Roman" w:hAnsi="Times New Roman"/>
                <w:b/>
                <w:sz w:val="24"/>
              </w:rPr>
              <w:t xml:space="preserve"> blīvums</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(Šīs veidnes e aile / (</w:t>
            </w:r>
            <w:proofErr w:type="spellStart"/>
            <w:r>
              <w:rPr>
                <w:rFonts w:ascii="Times New Roman" w:hAnsi="Times New Roman"/>
                <w:sz w:val="24"/>
              </w:rPr>
              <w:t>c+d</w:t>
            </w:r>
            <w:proofErr w:type="spellEnd"/>
            <w:r>
              <w:rPr>
                <w:rFonts w:ascii="Times New Roman" w:hAnsi="Times New Roman"/>
                <w:sz w:val="24"/>
              </w:rPr>
              <w:t>) aile)</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Šo rādītāju aprēķina, dalot attiecīgās riska darījumu kategorijas </w:t>
            </w:r>
            <w:r>
              <w:rPr>
                <w:rFonts w:ascii="Times New Roman" w:hAnsi="Times New Roman"/>
                <w:i/>
                <w:sz w:val="24"/>
              </w:rPr>
              <w:t>RWEA</w:t>
            </w:r>
            <w:r>
              <w:rPr>
                <w:rFonts w:ascii="Times New Roman" w:hAnsi="Times New Roman"/>
                <w:sz w:val="24"/>
              </w:rPr>
              <w:t xml:space="preserve"> (šīs veidnes e aile) ar attiecīgo riska darījumu vērtību pēc tam, kad ir ņemti vērā visi kredītriska mazināšanas pasākumi un kredīta korekcijas pakāpes (šīs veidnes c un d ailē norādīto vērtību summa).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Atsauces uz tiesību aktiem un norādījumi</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Riska darījumu kategorijas definētas saskaņā ar Regulas (ES) Nr. 575/2013 112. pantu.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 xml:space="preserve">Riska darījumus, kas ietilpst kategorijā “Posteņi, kas atspoguļo </w:t>
            </w:r>
            <w:proofErr w:type="spellStart"/>
            <w:r>
              <w:rPr>
                <w:rFonts w:ascii="Times New Roman" w:hAnsi="Times New Roman"/>
                <w:sz w:val="24"/>
              </w:rPr>
              <w:t>vērtspapīrošanas</w:t>
            </w:r>
            <w:proofErr w:type="spellEnd"/>
            <w:r>
              <w:rPr>
                <w:rFonts w:ascii="Times New Roman" w:hAnsi="Times New Roman"/>
                <w:sz w:val="24"/>
              </w:rPr>
              <w:t xml:space="preserve"> pozīcijas”, kura minēta Regulas (ES) Nr. 575/2013 112. panta m) punktā, neiekļauj.</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Riska darījumi ar necentrālās valdības publiskā sektora struktūrām</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EU 2.a un EU 2.b rindā norādīto riska darījumu vērtību summa.</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Riska darījumi ar reģionālajām pašvaldībām vai vietējām pašpārvaldēm</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 xml:space="preserve">Riska darījumi saskaņā ar Regulas (ES) Nr. 575/2013 112. panta b) punktu un Regulas (ES) Nr. 575/2013 115. panta –1., 1., 3., 4. un 5. punktu attiecībā uz </w:t>
            </w:r>
            <w:r>
              <w:rPr>
                <w:rFonts w:ascii="Times New Roman" w:hAnsi="Times New Roman"/>
                <w:i/>
                <w:sz w:val="24"/>
              </w:rPr>
              <w:t>SA</w:t>
            </w:r>
            <w:r>
              <w:rPr>
                <w:rFonts w:ascii="Times New Roman" w:hAnsi="Times New Roman"/>
                <w:sz w:val="24"/>
              </w:rPr>
              <w:t xml:space="preserve"> riska darījumiem</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Riska darījumi ar publiskā sektora struktūrām</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 xml:space="preserve">Riska darījumi saskaņā ar Regulas (ES) Nr. 575/2013 4. panta 1. punkta 8. apakšpunktu, Regulas (ES) Nr. 575/2013 112. panta c) punktu un 116. panta 1.–5. punktu attiecībā uz </w:t>
            </w:r>
            <w:r>
              <w:rPr>
                <w:rFonts w:ascii="Times New Roman" w:hAnsi="Times New Roman"/>
                <w:i/>
                <w:sz w:val="24"/>
              </w:rPr>
              <w:t>SA</w:t>
            </w:r>
            <w:r>
              <w:rPr>
                <w:rFonts w:ascii="Times New Roman" w:hAnsi="Times New Roman"/>
                <w:sz w:val="24"/>
              </w:rPr>
              <w:t xml:space="preserve"> riska darījumiem.</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Riska darījumi ar komercsabiedrībām</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Riska darījumi saskaņā ar Regulas (ES) Nr. 575/2013 112. panta g) punktu un 122. pantu.</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T. sk.: specializētās kreditēšanas riska darījumi</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Riska darījumi, kas noteikti Regulas (ES) Nr. 575/2013 122.a pantā.</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Pakārtoto parāda vērtspapīru un kapitāla vērtspapīru riska darījumi</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EU 7.a un EU 7.b rindā norādīto riska darījumu vērtību summa.</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Pakārtoto parāda vērtspapīru riska darījumi</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Riska darījumi, kas noteikti Regulas (ES) Nr. 575/2013 112. panta k) punktā un 128. pantā.</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Kapitāla vērtspapīru riska darījumi</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Riska darījumi, kas noteikti Regulas (ES) Nr. 575/2013 112. panta p) punktā un 133. panta 1. punktā.</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Riska darījumi, kas nodrošināti ar nekustamā īpašuma hipotēku, un zemes iegādes, attīstīšanas un būvniecības (</w:t>
            </w:r>
            <w:r>
              <w:rPr>
                <w:rFonts w:ascii="Times New Roman" w:hAnsi="Times New Roman"/>
                <w:b/>
                <w:i/>
                <w:sz w:val="24"/>
              </w:rPr>
              <w:t>ADC</w:t>
            </w:r>
            <w:r>
              <w:rPr>
                <w:rFonts w:ascii="Times New Roman" w:hAnsi="Times New Roman"/>
                <w:b/>
                <w:sz w:val="24"/>
              </w:rPr>
              <w:t>) riska darījumi</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Riska darījumi, kas nodrošināti ar nekustamā īpašuma hipotēku, kā noteikts Regulas (ES) Nr. 575/2013 4. panta 1. punkta 75.–75.f apakšpunktā, un riska darījumi, kā noteikts Regulas (ES) Nr. 575/2013 4. panta 1. punkta 78.a apakšpunktā.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Šajā rindā norāda 9.1., 9.2., 9.3., 9.4. un 9.5. rindas vērtību summu.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Riska darījumi, kas nodrošināti ar mājokļa nekustamā īpašuma hipotēku un nav </w:t>
            </w:r>
            <w:r>
              <w:rPr>
                <w:rFonts w:ascii="Times New Roman" w:hAnsi="Times New Roman"/>
                <w:b/>
                <w:i/>
                <w:sz w:val="24"/>
              </w:rPr>
              <w:t>IPRE</w:t>
            </w:r>
            <w:r>
              <w:rPr>
                <w:rFonts w:ascii="Times New Roman" w:hAnsi="Times New Roman"/>
                <w:b/>
                <w:sz w:val="24"/>
              </w:rPr>
              <w:t xml:space="preserve"> riska darījumi</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Šeit atklāj informāciju par riska darījumiem, kuriem piemēro Regulas (ES) Nr. 575/2013 125. panta 1. punktu.</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Šajā rindā atklāj arī: citus riska darījumus, kas nodrošināti ar mājokļa nekustamā īpašuma hipotēku, kas nav ienākumus nesoša nekustamā īpašuma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norādīts Regulas (ES) Nr. 575/2013 124. panta 1. punkta a) apakšpunktā.</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 xml:space="preserve">Riska darījumi, kas nodrošināti ar mājokļa nekustamā īpašuma hipotēku un ir </w:t>
            </w:r>
            <w:r>
              <w:rPr>
                <w:rFonts w:ascii="Times New Roman" w:hAnsi="Times New Roman"/>
                <w:b/>
                <w:i/>
                <w:sz w:val="24"/>
              </w:rPr>
              <w:t>IPRE</w:t>
            </w:r>
            <w:r>
              <w:rPr>
                <w:rFonts w:ascii="Times New Roman" w:hAnsi="Times New Roman"/>
                <w:b/>
                <w:sz w:val="24"/>
              </w:rPr>
              <w:t xml:space="preserve"> riska darījumi</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Šeit norāda tikai riska darījumus, kas atbilst Regulas (ES) Nr. 575/2013 4. panta 1. punkta 75.b apakšpunktā sniegtajai definīcijai, tajā skaitā </w:t>
            </w:r>
            <w:r>
              <w:rPr>
                <w:rFonts w:ascii="Times New Roman" w:hAnsi="Times New Roman"/>
                <w:i/>
                <w:sz w:val="24"/>
              </w:rPr>
              <w:t>IPRE</w:t>
            </w:r>
            <w:r>
              <w:rPr>
                <w:rFonts w:ascii="Times New Roman" w:hAnsi="Times New Roman"/>
                <w:sz w:val="24"/>
              </w:rPr>
              <w:t xml:space="preserve"> riska darījumus, kas atbilst jebkuram no Regulas (ES) Nr. 575/2013 124. panta 2. punkta a) apakšpunkta ii) punkta 1.–4. apakšpunktā minētajiem nosacījumiem; </w:t>
            </w:r>
            <w:r>
              <w:rPr>
                <w:rFonts w:ascii="Times New Roman" w:hAnsi="Times New Roman"/>
                <w:i/>
                <w:sz w:val="24"/>
              </w:rPr>
              <w:t>IPRE</w:t>
            </w:r>
            <w:r>
              <w:rPr>
                <w:rFonts w:ascii="Times New Roman" w:hAnsi="Times New Roman"/>
                <w:sz w:val="24"/>
              </w:rPr>
              <w:t xml:space="preserve"> riska darījumus, ja piemēro Regulas (ES) Nr. 575/2013 125. panta 2. punktā noteikto atkāpi.</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 xml:space="preserve">Šajā rindā atklāj arī citus riska darījumus, kas nodrošināti ar mājokļa nekustamā īpašuma hipotēku, kas ir </w:t>
            </w:r>
            <w:r>
              <w:rPr>
                <w:rFonts w:ascii="Times New Roman" w:hAnsi="Times New Roman"/>
                <w:i/>
                <w:sz w:val="24"/>
              </w:rPr>
              <w:t>IPRE</w:t>
            </w:r>
            <w:r>
              <w:rPr>
                <w:rFonts w:ascii="Times New Roman" w:hAnsi="Times New Roman"/>
                <w:sz w:val="24"/>
              </w:rPr>
              <w:t xml:space="preserve"> riska darījums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norādīts Regulas (ES) Nr. 575/2013 124. panta 1. punkta b) apakšpunktā.</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Riska darījumi, kas nodrošināti ar komerciālā nekustamā īpašuma hipotēku un nav </w:t>
            </w:r>
            <w:r>
              <w:rPr>
                <w:rFonts w:ascii="Times New Roman" w:hAnsi="Times New Roman"/>
                <w:b/>
                <w:i/>
                <w:sz w:val="24"/>
              </w:rPr>
              <w:t>IPRE</w:t>
            </w:r>
            <w:r>
              <w:rPr>
                <w:rFonts w:ascii="Times New Roman" w:hAnsi="Times New Roman"/>
                <w:b/>
                <w:sz w:val="24"/>
              </w:rPr>
              <w:t xml:space="preserve"> riska darījumi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Šeit atklāj informāciju par riska darījumiem, kuriem piemēro Regulas (ES) Nr. 575/2013 126. panta 1. punktu.</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 xml:space="preserve">Šajā rindā atklāj arī: citus riska darījumus, kas nodrošināti ar komerciālā nekustamā īpašuma hipotēku, kas nav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norādīts Regulas (ES) Nr. 575/2013 124. panta 1. punkta a) apakšpunktā.</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 xml:space="preserve">Riska darījumi, kas nodrošināti ar komerciālā nekustamā īpašuma hipotēku un ir </w:t>
            </w:r>
            <w:r>
              <w:rPr>
                <w:rFonts w:ascii="Times New Roman" w:hAnsi="Times New Roman"/>
                <w:b/>
                <w:i/>
                <w:sz w:val="24"/>
              </w:rPr>
              <w:t>IPRE</w:t>
            </w:r>
            <w:r>
              <w:rPr>
                <w:rFonts w:ascii="Times New Roman" w:hAnsi="Times New Roman"/>
                <w:b/>
                <w:sz w:val="24"/>
              </w:rPr>
              <w:t xml:space="preserve"> riska darījumi</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 xml:space="preserve">Šeit norāda riska darījumus, kas atbilst Regulas (ES) Nr. 575/2013 4. panta 1. punkta 75.b apakšpunktā sniegtajai definīcijai un 124. panta 2. punkta b) apakšpunkta ii) punktam, tajā skaitā </w:t>
            </w:r>
            <w:r>
              <w:rPr>
                <w:rFonts w:ascii="Times New Roman" w:hAnsi="Times New Roman"/>
                <w:i/>
                <w:sz w:val="24"/>
              </w:rPr>
              <w:t>IPRE</w:t>
            </w:r>
            <w:r>
              <w:rPr>
                <w:rFonts w:ascii="Times New Roman" w:hAnsi="Times New Roman"/>
                <w:sz w:val="24"/>
              </w:rPr>
              <w:t xml:space="preserve"> riska darījumus, ja piemēro Regulas (ES) Nr. 575/2013 126. panta 2. punktā noteikto atkāpi.</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 xml:space="preserve">Šajā rindā atklāj arī citus riska darījumus, kas nodrošināti ar komerciālā nekustamā īpašuma hipotēku, kas ir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norādīts Regulas (ES) Nr. 575/2013 124. panta 1. punkta b) apakšpunktā.</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Neattiecas</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“Kopā”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1., 2., 3., EU 3.a, 4., 5., 6., 7., 8., 9., 10., EU 10.a, EU 10.b, EU 10.c rindā norādīto riska darījumu vērtību summa.</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Veidne EU CR5 – Standartizētā pieeja.</w:t>
      </w:r>
      <w:r>
        <w:rPr>
          <w:rFonts w:ascii="Times New Roman" w:hAnsi="Times New Roman"/>
          <w:sz w:val="24"/>
        </w:rPr>
        <w:t xml:space="preserve"> Fiksēts formāts.</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lastRenderedPageBreak/>
        <w:t xml:space="preserve">Iestādes atklāj </w:t>
      </w:r>
      <w:r>
        <w:rPr>
          <w:rFonts w:ascii="Times New Roman" w:hAnsi="Times New Roman"/>
          <w:color w:val="000000" w:themeColor="text1"/>
          <w:sz w:val="24"/>
        </w:rPr>
        <w:t>Regulas (ES) Nr. 575/2013</w:t>
      </w:r>
      <w:r>
        <w:rPr>
          <w:rFonts w:ascii="Times New Roman" w:hAnsi="Times New Roman"/>
          <w:sz w:val="24"/>
        </w:rPr>
        <w:t xml:space="preserve"> 444. panta e) punktā minēto informāciju, ievērojot turpmāk šajā pielikumā sniegtos norādījumus, lai aizpildītu veidni EU CR5, kas ietverta EBI IT risinājumu XIX pielikumā.</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Atsauces uz tiesību aktiem un norādījumi</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Paskaidrojums</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Riska pakāpe: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informāciju par riska pakāpju piemērošanu attiecīgajā riska darījumu kategorijā saskaņā ar </w:t>
            </w:r>
            <w:r>
              <w:rPr>
                <w:rFonts w:ascii="Times New Roman" w:hAnsi="Times New Roman"/>
                <w:color w:val="000000" w:themeColor="text1"/>
                <w:sz w:val="24"/>
              </w:rPr>
              <w:t>Regulas (ES) Nr. 575/2013</w:t>
            </w:r>
            <w:r>
              <w:rPr>
                <w:rFonts w:ascii="Times New Roman" w:hAnsi="Times New Roman"/>
                <w:sz w:val="24"/>
              </w:rPr>
              <w:t xml:space="preserve"> trešās daļas II sadaļas 2. nodaļas 2. iedaļu.</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Kopā: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Bilances un ārpusbilances riska darījumu kopsumma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pēc specifiskajām kredītriska korekcijām saskaņā ar </w:t>
            </w:r>
            <w:r>
              <w:rPr>
                <w:rFonts w:ascii="Times New Roman" w:hAnsi="Times New Roman"/>
                <w:color w:val="000000" w:themeColor="text1"/>
                <w:sz w:val="24"/>
              </w:rPr>
              <w:t>Regulas (ES) Nr. 575/2013</w:t>
            </w:r>
            <w:r>
              <w:rPr>
                <w:rFonts w:ascii="Times New Roman" w:hAnsi="Times New Roman"/>
                <w:sz w:val="24"/>
              </w:rPr>
              <w:t xml:space="preserve"> 110. pantu, papildu vērtības korekcijām saskaņā ar </w:t>
            </w:r>
            <w:r>
              <w:rPr>
                <w:rFonts w:ascii="Times New Roman" w:hAnsi="Times New Roman"/>
                <w:color w:val="000000" w:themeColor="text1"/>
                <w:sz w:val="24"/>
              </w:rPr>
              <w:t>Regulas (ES) Nr. 575/2013</w:t>
            </w:r>
            <w:r>
              <w:rPr>
                <w:rFonts w:ascii="Times New Roman" w:hAnsi="Times New Roman"/>
                <w:sz w:val="24"/>
              </w:rPr>
              <w:t xml:space="preserve"> 34. un 105. pantu, atskaitītajām summām saskaņā ar </w:t>
            </w:r>
            <w:r>
              <w:rPr>
                <w:rFonts w:ascii="Times New Roman" w:hAnsi="Times New Roman"/>
                <w:color w:val="000000" w:themeColor="text1"/>
                <w:sz w:val="24"/>
              </w:rPr>
              <w:t>Regulas (ES) Nr. 575/2013</w:t>
            </w:r>
            <w:r>
              <w:rPr>
                <w:rFonts w:ascii="Times New Roman" w:hAnsi="Times New Roman"/>
                <w:sz w:val="24"/>
              </w:rPr>
              <w:t xml:space="preserve"> 36. panta 1. punkta m) apakšpunktu, citiem pašu kapitāla samazinājumiem un norakstījumiem (kā definēts piemērojamajā grāmatvedības regulējumā) attiecībā uz bilances riska darījumiem saskaņā ar </w:t>
            </w:r>
            <w:r>
              <w:rPr>
                <w:rFonts w:ascii="Times New Roman" w:hAnsi="Times New Roman"/>
                <w:color w:val="000000" w:themeColor="text1"/>
                <w:sz w:val="24"/>
              </w:rPr>
              <w:t>Regulas (ES) Nr. 575/2013</w:t>
            </w:r>
            <w:r>
              <w:rPr>
                <w:rFonts w:ascii="Times New Roman" w:hAnsi="Times New Roman"/>
                <w:sz w:val="24"/>
              </w:rPr>
              <w:t xml:space="preserve"> 111. pantu,</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pēc specifisko kredītriska korekciju samazināšanas un atskaitītajām summām saskaņā ar </w:t>
            </w:r>
            <w:r>
              <w:rPr>
                <w:rFonts w:ascii="Times New Roman" w:hAnsi="Times New Roman"/>
                <w:color w:val="000000" w:themeColor="text1"/>
                <w:sz w:val="24"/>
              </w:rPr>
              <w:t>Regulas (ES) Nr. 575/2013</w:t>
            </w:r>
            <w:r>
              <w:rPr>
                <w:rFonts w:ascii="Times New Roman" w:hAnsi="Times New Roman"/>
                <w:sz w:val="24"/>
              </w:rPr>
              <w:t xml:space="preserve"> 36. panta 1. punkta m) apakšpunktu attiecībā uz ārpusbilances riska darījumiem saskaņā ar </w:t>
            </w:r>
            <w:r>
              <w:rPr>
                <w:rFonts w:ascii="Times New Roman" w:hAnsi="Times New Roman"/>
                <w:color w:val="000000" w:themeColor="text1"/>
                <w:sz w:val="24"/>
              </w:rPr>
              <w:t>Regulas (ES) Nr. 575/2013</w:t>
            </w:r>
            <w:r>
              <w:rPr>
                <w:rFonts w:ascii="Times New Roman" w:hAnsi="Times New Roman"/>
                <w:sz w:val="24"/>
              </w:rPr>
              <w:t xml:space="preserve"> 111. pantu;</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pēc i) minētajā pantā norādīto korekcijas pakāpju piemērošanas un ii) </w:t>
            </w:r>
            <w:r>
              <w:rPr>
                <w:rFonts w:ascii="Times New Roman" w:hAnsi="Times New Roman"/>
                <w:i/>
                <w:sz w:val="24"/>
              </w:rPr>
              <w:t>CRR</w:t>
            </w:r>
            <w:r>
              <w:rPr>
                <w:rFonts w:ascii="Times New Roman" w:hAnsi="Times New Roman"/>
                <w:sz w:val="24"/>
              </w:rPr>
              <w:t xml:space="preserve"> trešās daļas II sadaļas 4. nodaļā minēto kredītriska mazināšanas metožu piemērošanas attiecībā uz bilances un ārpusbilances riska darījumiem.</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aa</w:t>
            </w:r>
            <w:proofErr w:type="spellEnd"/>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T. sk. nenovērtētie:</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riska darījumi, par kuriem norīkotas ĀKNI </w:t>
            </w:r>
            <w:proofErr w:type="spellStart"/>
            <w:r>
              <w:rPr>
                <w:rFonts w:ascii="Times New Roman" w:hAnsi="Times New Roman"/>
                <w:sz w:val="24"/>
              </w:rPr>
              <w:t>kredītnovērtējums</w:t>
            </w:r>
            <w:proofErr w:type="spellEnd"/>
            <w:r>
              <w:rPr>
                <w:rFonts w:ascii="Times New Roman" w:hAnsi="Times New Roman"/>
                <w:sz w:val="24"/>
              </w:rPr>
              <w:t xml:space="preserve"> nav pieejams un kuriem piemēro specifiskas riska pakāpes atkarībā no to riska darījumu kategorijas, kā norādīts </w:t>
            </w:r>
            <w:r>
              <w:rPr>
                <w:rFonts w:ascii="Times New Roman" w:hAnsi="Times New Roman"/>
                <w:color w:val="000000" w:themeColor="text1"/>
                <w:sz w:val="24"/>
              </w:rPr>
              <w:t>Regulas (ES) Nr. 575/2013</w:t>
            </w:r>
            <w:r>
              <w:rPr>
                <w:rFonts w:ascii="Times New Roman" w:hAnsi="Times New Roman"/>
                <w:sz w:val="24"/>
              </w:rPr>
              <w:t xml:space="preserve"> 113.–134. pantā.</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Atsauces uz tiesību aktiem un norādījumi</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Riska darījumu kategorijas saskaņā ar Regulas (ES) Nr. 575/2013 112. pantu.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Riska darījumus, kas ietilpst kategorijā “Posteņi, kas atspoguļo </w:t>
            </w:r>
            <w:proofErr w:type="spellStart"/>
            <w:r>
              <w:rPr>
                <w:rFonts w:ascii="Times New Roman" w:hAnsi="Times New Roman"/>
                <w:sz w:val="24"/>
              </w:rPr>
              <w:t>vērtspapīrošanas</w:t>
            </w:r>
            <w:proofErr w:type="spellEnd"/>
            <w:r>
              <w:rPr>
                <w:rFonts w:ascii="Times New Roman" w:hAnsi="Times New Roman"/>
                <w:sz w:val="24"/>
              </w:rPr>
              <w:t xml:space="preserve"> pozīcijas”, kura minēta </w:t>
            </w:r>
            <w:r>
              <w:rPr>
                <w:rFonts w:ascii="Times New Roman" w:hAnsi="Times New Roman"/>
                <w:color w:val="000000" w:themeColor="text1"/>
                <w:sz w:val="24"/>
              </w:rPr>
              <w:t>Regulas (ES) Nr. 575/2013</w:t>
            </w:r>
            <w:r>
              <w:rPr>
                <w:rFonts w:ascii="Times New Roman" w:hAnsi="Times New Roman"/>
                <w:sz w:val="24"/>
              </w:rPr>
              <w:t xml:space="preserve"> 112. panta m) punktā, neiekļauj.</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Riska darījumi ar necentrālās valdības publiskā sektora struktūrām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EU 2.a un EU 2.b rindā norādīto riska darījumu vērtību summa.</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Riska darījumi ar reģionālajām pašvaldībām vai vietējām pašpārvaldēm</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Riska darījumi saskaņā ar </w:t>
            </w:r>
            <w:r>
              <w:rPr>
                <w:rFonts w:ascii="Times New Roman" w:hAnsi="Times New Roman"/>
                <w:color w:val="000000" w:themeColor="text1"/>
                <w:sz w:val="24"/>
              </w:rPr>
              <w:t>Regulas (ES) Nr. 575/2013</w:t>
            </w:r>
            <w:r>
              <w:rPr>
                <w:rFonts w:ascii="Times New Roman" w:hAnsi="Times New Roman"/>
                <w:sz w:val="24"/>
              </w:rPr>
              <w:t xml:space="preserve"> 112. panta b) punktu un </w:t>
            </w:r>
            <w:r>
              <w:rPr>
                <w:rFonts w:ascii="Times New Roman" w:hAnsi="Times New Roman"/>
                <w:color w:val="000000" w:themeColor="text1"/>
                <w:sz w:val="24"/>
              </w:rPr>
              <w:t>Regulas (ES) Nr. 575/2013</w:t>
            </w:r>
            <w:r>
              <w:rPr>
                <w:rFonts w:ascii="Times New Roman" w:hAnsi="Times New Roman"/>
                <w:sz w:val="24"/>
              </w:rPr>
              <w:t xml:space="preserve"> 115. panta –1., 1., 3., 4. un 5. pantu attiecībā uz </w:t>
            </w:r>
            <w:r>
              <w:rPr>
                <w:rFonts w:ascii="Times New Roman" w:hAnsi="Times New Roman"/>
                <w:i/>
                <w:sz w:val="24"/>
              </w:rPr>
              <w:t>SA</w:t>
            </w:r>
            <w:r>
              <w:rPr>
                <w:rFonts w:ascii="Times New Roman" w:hAnsi="Times New Roman"/>
                <w:sz w:val="24"/>
              </w:rPr>
              <w:t xml:space="preserve"> riska darījumiem.</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Riska darījumi ar publiskā sektora struktūrām</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Riska darījumi saskaņā ar </w:t>
            </w:r>
            <w:r>
              <w:rPr>
                <w:rFonts w:ascii="Times New Roman" w:hAnsi="Times New Roman"/>
                <w:color w:val="000000" w:themeColor="text1"/>
                <w:sz w:val="24"/>
              </w:rPr>
              <w:t>Regulas (ES) Nr. 575/2013</w:t>
            </w:r>
            <w:r>
              <w:rPr>
                <w:rFonts w:ascii="Times New Roman" w:hAnsi="Times New Roman"/>
                <w:sz w:val="24"/>
              </w:rPr>
              <w:t xml:space="preserve"> 4. panta 1. punkta 8. apakšpunktu, </w:t>
            </w:r>
            <w:r>
              <w:rPr>
                <w:rFonts w:ascii="Times New Roman" w:hAnsi="Times New Roman"/>
                <w:color w:val="000000" w:themeColor="text1"/>
                <w:sz w:val="24"/>
              </w:rPr>
              <w:t>Regulas (ES) Nr. 575/2013</w:t>
            </w:r>
            <w:r>
              <w:rPr>
                <w:rFonts w:ascii="Times New Roman" w:hAnsi="Times New Roman"/>
                <w:sz w:val="24"/>
              </w:rPr>
              <w:t xml:space="preserve"> 112. panta c) punktu un 116. panta 1.–5. punktu attiecībā uz </w:t>
            </w:r>
            <w:r>
              <w:rPr>
                <w:rFonts w:ascii="Times New Roman" w:hAnsi="Times New Roman"/>
                <w:i/>
                <w:sz w:val="24"/>
              </w:rPr>
              <w:t>SA</w:t>
            </w:r>
            <w:r>
              <w:rPr>
                <w:rFonts w:ascii="Times New Roman" w:hAnsi="Times New Roman"/>
                <w:sz w:val="24"/>
              </w:rPr>
              <w:t xml:space="preserve"> riska darījumiem.</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Riska darījumi ar komercsabiedrībām</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Riska darījumi, kā noteikts </w:t>
            </w:r>
            <w:r>
              <w:rPr>
                <w:rFonts w:ascii="Times New Roman" w:hAnsi="Times New Roman"/>
                <w:color w:val="000000" w:themeColor="text1"/>
                <w:sz w:val="24"/>
              </w:rPr>
              <w:t>Regulas (ES) Nr. 575/2013</w:t>
            </w:r>
            <w:r>
              <w:rPr>
                <w:rFonts w:ascii="Times New Roman" w:hAnsi="Times New Roman"/>
                <w:sz w:val="24"/>
              </w:rPr>
              <w:t xml:space="preserve"> 112. panta g) punktā un 122. pantā.</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T. sk.: specializētās kreditēšanas riska darījumi</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Riska darījumi, kā noteikts</w:t>
            </w:r>
            <w:r>
              <w:rPr>
                <w:rFonts w:ascii="Times New Roman" w:hAnsi="Times New Roman"/>
                <w:color w:val="000000" w:themeColor="text1"/>
                <w:sz w:val="24"/>
              </w:rPr>
              <w:t xml:space="preserve"> Regulas (ES) Nr. 575/2013 122.a pantā</w:t>
            </w:r>
            <w:r>
              <w:rPr>
                <w:rFonts w:ascii="Times New Roman" w:hAnsi="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Pakārtoto parāda vērtspapīru un kapitāla vērtspapīru riska darījumi</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Turpmāk norādīto rindu (EU 7.a un EU 7.b) vērtību summa.</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Pakārtoto parāda vērtspapīru riska darījumi</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Riska darījumi, kā noteikts </w:t>
            </w:r>
            <w:r>
              <w:rPr>
                <w:rFonts w:ascii="Times New Roman" w:hAnsi="Times New Roman"/>
                <w:color w:val="000000" w:themeColor="text1"/>
                <w:sz w:val="24"/>
              </w:rPr>
              <w:t>Regulas (ES) Nr. 575/2013</w:t>
            </w:r>
            <w:r>
              <w:rPr>
                <w:rFonts w:ascii="Times New Roman" w:hAnsi="Times New Roman"/>
                <w:sz w:val="24"/>
              </w:rPr>
              <w:t xml:space="preserve"> 112. panta k) punktā un 128. pantā.</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Kapitāla vērtspapīru riska darījumi</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Riska darījumi, kā noteikts </w:t>
            </w:r>
            <w:r>
              <w:rPr>
                <w:rFonts w:ascii="Times New Roman" w:hAnsi="Times New Roman"/>
                <w:color w:val="000000" w:themeColor="text1"/>
                <w:sz w:val="24"/>
              </w:rPr>
              <w:t>Regulas (ES) Nr. 575/2013</w:t>
            </w:r>
            <w:r>
              <w:rPr>
                <w:rFonts w:ascii="Times New Roman" w:hAnsi="Times New Roman"/>
                <w:sz w:val="24"/>
              </w:rPr>
              <w:t xml:space="preserve"> 112. panta p) punktā un 133. panta 1. punktā.</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Riska darījumi, kas nodrošināti ar nekustamā īpašuma hipotēku, un zemes iegādes, attīstīšanas un būvniecības (</w:t>
            </w:r>
            <w:r>
              <w:rPr>
                <w:rFonts w:ascii="Times New Roman" w:hAnsi="Times New Roman"/>
                <w:b/>
                <w:i/>
                <w:sz w:val="24"/>
              </w:rPr>
              <w:t>ADC</w:t>
            </w:r>
            <w:r>
              <w:rPr>
                <w:rFonts w:ascii="Times New Roman" w:hAnsi="Times New Roman"/>
                <w:b/>
                <w:sz w:val="24"/>
              </w:rPr>
              <w:t>) riska darījumi</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 xml:space="preserve">Šeit norāda riska darījumus, kas nodrošināti ar nekustamo īpašumu, kā noteikts </w:t>
            </w:r>
            <w:r>
              <w:rPr>
                <w:rFonts w:ascii="Times New Roman" w:hAnsi="Times New Roman"/>
                <w:color w:val="000000" w:themeColor="text1"/>
                <w:sz w:val="24"/>
              </w:rPr>
              <w:t>Regulas (ES) Nr. 575/2013</w:t>
            </w:r>
            <w:r>
              <w:rPr>
                <w:rFonts w:ascii="Times New Roman" w:hAnsi="Times New Roman"/>
                <w:sz w:val="24"/>
              </w:rPr>
              <w:t xml:space="preserve"> 4. panta 1. punkta 75.–75.f apakšpunktā, un riska darījumus, kā noteikts </w:t>
            </w:r>
            <w:r>
              <w:rPr>
                <w:rFonts w:ascii="Times New Roman" w:hAnsi="Times New Roman"/>
                <w:color w:val="000000" w:themeColor="text1"/>
                <w:sz w:val="24"/>
              </w:rPr>
              <w:t>Regulas (ES) Nr. 575/2013</w:t>
            </w:r>
            <w:r>
              <w:rPr>
                <w:rFonts w:ascii="Times New Roman" w:hAnsi="Times New Roman"/>
                <w:sz w:val="24"/>
              </w:rPr>
              <w:t xml:space="preserve"> 4. panta 1. punkta 78.a apakšpunktā.</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Šajā rindā norāda 9.1., 9.2., 9.3., 9.4., 9.5. rindas vērtību summu.</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 xml:space="preserve">Riska darījumi, kas nodrošināti ar mājokļa nekustamā īpašuma hipotēku un nav </w:t>
            </w:r>
            <w:r>
              <w:rPr>
                <w:rFonts w:ascii="Times New Roman" w:hAnsi="Times New Roman"/>
                <w:b/>
                <w:i/>
                <w:sz w:val="24"/>
              </w:rPr>
              <w:t>IPRE</w:t>
            </w:r>
            <w:r>
              <w:rPr>
                <w:rFonts w:ascii="Times New Roman" w:hAnsi="Times New Roman"/>
                <w:b/>
                <w:sz w:val="24"/>
              </w:rPr>
              <w:t xml:space="preserve"> riska darījumi</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Šeit atklāj informāciju par riska darījumiem, kuriem piemēro Regulas (ES) Nr. 575/2013 125. panta 1. punktu.</w:t>
            </w:r>
          </w:p>
          <w:p w14:paraId="739769BE" w14:textId="77777777" w:rsidR="00FB64CF" w:rsidRDefault="007750BC" w:rsidP="007750BC">
            <w:pPr>
              <w:spacing w:after="120"/>
              <w:jc w:val="both"/>
              <w:rPr>
                <w:rFonts w:ascii="Times New Roman" w:eastAsiaTheme="minorHAnsi" w:hAnsi="Times New Roman"/>
                <w:sz w:val="24"/>
              </w:rPr>
            </w:pPr>
            <w:r>
              <w:rPr>
                <w:rFonts w:ascii="Times New Roman" w:hAnsi="Times New Roman"/>
                <w:sz w:val="24"/>
              </w:rPr>
              <w:br/>
              <w:t xml:space="preserve">Šajā rindā atklāj arī: citus riska darījumus, kas nodrošināti ar mājokļa nekustamā īpašuma hipotēku, kas nav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w:t>
            </w:r>
            <w:r>
              <w:rPr>
                <w:rFonts w:ascii="Times New Roman" w:hAnsi="Times New Roman"/>
                <w:sz w:val="24"/>
              </w:rPr>
              <w:lastRenderedPageBreak/>
              <w:t>nominālvērtību, kā minēts Regulas (ES) Nr. 575/2013 124. panta 1. punkta a) apakšpunktā.</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Šajā rindā norāda 9.1.1., 9.1.2. un 9.1.3. rindas vērtību summu.</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Aizdevumu sadalīšanas pieeja netiek piemērota</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Riska darījumi, kas nodrošināti ar mājokļa nekustamā īpašuma hipotēku, kas nav </w:t>
            </w:r>
            <w:r>
              <w:rPr>
                <w:rFonts w:ascii="Times New Roman" w:hAnsi="Times New Roman"/>
                <w:i/>
                <w:sz w:val="24"/>
              </w:rPr>
              <w:t>IPRE</w:t>
            </w:r>
            <w:r>
              <w:rPr>
                <w:rFonts w:ascii="Times New Roman" w:hAnsi="Times New Roman"/>
                <w:sz w:val="24"/>
              </w:rPr>
              <w:t xml:space="preserve"> riska darījumi un kam nepiemēro aizdevumu sadalīšanas pieeju, kā aprakstīts Regulas (ES) Nr. 575/2013 125. panta 1. punktā.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Piemērota aizdevumu sadalīšanas pieeja (nodrošinātā daļa)</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Nodrošinātā tādu riska darījumu daļa, kas nodrošināti ar mājokļa nekustamā īpašuma hipotēku un kam piemēro aizdevumu sadalīšanas pieeju, kā aprakstīts </w:t>
            </w:r>
            <w:r>
              <w:rPr>
                <w:rFonts w:ascii="Times New Roman" w:hAnsi="Times New Roman"/>
                <w:color w:val="000000" w:themeColor="text1"/>
                <w:sz w:val="24"/>
              </w:rPr>
              <w:t>Regulas (ES) Nr. 575/2013</w:t>
            </w:r>
            <w:r>
              <w:rPr>
                <w:rFonts w:ascii="Times New Roman" w:hAnsi="Times New Roman"/>
                <w:sz w:val="24"/>
              </w:rPr>
              <w:t xml:space="preserve"> 125. panta 1. punkta a) apakšpunktā.</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Piemērota aizdevumu sadalīšanas pieeja (nenodrošinātā daļa)</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Atlikusī tādu riska darījumu daļa, kas nodrošināti ar mājokļa nekustamā īpašuma hipotēku un kam piemēro aizdevumu sadalīšanas pieeju, kā aprakstīts </w:t>
            </w:r>
            <w:r>
              <w:rPr>
                <w:rFonts w:ascii="Times New Roman" w:hAnsi="Times New Roman"/>
                <w:color w:val="000000" w:themeColor="text1"/>
                <w:sz w:val="24"/>
              </w:rPr>
              <w:t>Regulas (ES) Nr. 575/2013</w:t>
            </w:r>
            <w:r>
              <w:rPr>
                <w:rFonts w:ascii="Times New Roman" w:hAnsi="Times New Roman"/>
                <w:sz w:val="24"/>
              </w:rPr>
              <w:t xml:space="preserve"> 125. panta 1. punktā.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 xml:space="preserve">Riska darījumi, kas nodrošināti ar mājokļa nekustamā īpašuma hipotēku un ir </w:t>
            </w:r>
            <w:r>
              <w:rPr>
                <w:rFonts w:ascii="Times New Roman" w:hAnsi="Times New Roman"/>
                <w:b/>
                <w:i/>
                <w:sz w:val="24"/>
              </w:rPr>
              <w:t>IPRE</w:t>
            </w:r>
            <w:r>
              <w:rPr>
                <w:rFonts w:ascii="Times New Roman" w:hAnsi="Times New Roman"/>
                <w:b/>
                <w:sz w:val="24"/>
              </w:rPr>
              <w:t xml:space="preserve"> riska darījumi</w:t>
            </w:r>
          </w:p>
          <w:p w14:paraId="4E83C986" w14:textId="7946B413"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Šeit uzrāda tādus riska darījumus, kas atbilst </w:t>
            </w:r>
            <w:r>
              <w:rPr>
                <w:rFonts w:ascii="Times New Roman" w:hAnsi="Times New Roman"/>
                <w:color w:val="000000" w:themeColor="text1"/>
                <w:sz w:val="24"/>
              </w:rPr>
              <w:t>Regulas (ES) Nr. 575/2013</w:t>
            </w:r>
            <w:r>
              <w:rPr>
                <w:rFonts w:ascii="Times New Roman" w:hAnsi="Times New Roman"/>
                <w:sz w:val="24"/>
              </w:rPr>
              <w:t xml:space="preserve"> 4. panta 1. punkta 75.b apakšpunk</w:t>
            </w:r>
            <w:r w:rsidR="00E43102">
              <w:rPr>
                <w:rFonts w:ascii="Times New Roman" w:hAnsi="Times New Roman"/>
                <w:sz w:val="24"/>
              </w:rPr>
              <w:t>t</w:t>
            </w:r>
            <w:r>
              <w:rPr>
                <w:rFonts w:ascii="Times New Roman" w:hAnsi="Times New Roman"/>
                <w:sz w:val="24"/>
              </w:rPr>
              <w:t>a definīcijai.</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Šajā rindā atklāj arī: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citus riska darījumus, kas nodrošināti ar mājokļa nekustamā īpašuma hipotēku, kas ir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kas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minēts Regulas (ES) Nr. 575/2013 124. panta 1. punkta b) apakšpunktā,</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w:t>
            </w:r>
            <w:r>
              <w:rPr>
                <w:rFonts w:ascii="Times New Roman" w:hAnsi="Times New Roman"/>
                <w:i/>
                <w:sz w:val="24"/>
              </w:rPr>
              <w:t>IPRE</w:t>
            </w:r>
            <w:r>
              <w:rPr>
                <w:rFonts w:ascii="Times New Roman" w:hAnsi="Times New Roman"/>
                <w:sz w:val="24"/>
              </w:rPr>
              <w:t xml:space="preserve"> riska darījumus, kas atbilst kādam no Regulas (ES) Nr. 575/2013 124. panta 2. punkta a) apakšpunkta ii) punkta 1.–4. apakšpunkta nosacījumiem,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w:t>
            </w:r>
            <w:r>
              <w:rPr>
                <w:rFonts w:ascii="Times New Roman" w:hAnsi="Times New Roman"/>
                <w:i/>
                <w:sz w:val="24"/>
              </w:rPr>
              <w:t>IPRE</w:t>
            </w:r>
            <w:r>
              <w:rPr>
                <w:rFonts w:ascii="Times New Roman" w:hAnsi="Times New Roman"/>
                <w:sz w:val="24"/>
              </w:rPr>
              <w:t xml:space="preserve"> riska darījumus, ja piemēro Regulas (ES) Nr. 575/2013 125. panta 2. punktā noteikto atkāpi.</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 xml:space="preserve">Riska darījumi, kas nodrošināti ar komerciālā nekustamā īpašuma hipotēku un nav </w:t>
            </w:r>
            <w:r>
              <w:rPr>
                <w:rFonts w:ascii="Times New Roman" w:hAnsi="Times New Roman"/>
                <w:b/>
                <w:i/>
                <w:sz w:val="24"/>
              </w:rPr>
              <w:t>IPRE</w:t>
            </w:r>
            <w:r>
              <w:rPr>
                <w:rFonts w:ascii="Times New Roman" w:hAnsi="Times New Roman"/>
                <w:b/>
                <w:sz w:val="24"/>
              </w:rPr>
              <w:t xml:space="preserve"> riska darījumi</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Šeit atklāj informāciju par riska darījumiem, kuriem piemēro Regulas (ES) Nr. 575/2013 126. panta 1. punktu.</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 xml:space="preserve">Šajā rindā atklāj arī: citus riska darījumus, kas nodrošināti ar komerciālā nekustamā īpašuma hipotēku, kas nav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kurš pārsniedz īpašuma ķīlas tiesību nominālvērtību, kā norādīts Regulas (ES) Nr. 575/2013 124. panta 1. punkta a) apakšpunktā.</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Šajā rindā norāda 9.3.1., 9.3.2. un 9.3.3. rindas vērtību summu.</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Aizdevumu sadalīšanas pieeja netiek piemērota</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Riska darījumi, kas nodrošināti ar komerciālā nekustamā īpašuma hipotēku un kam nepiemēro aizdevumu sadalīšanas pieeju, kā aprakstīts </w:t>
            </w:r>
            <w:r>
              <w:rPr>
                <w:rFonts w:ascii="Times New Roman" w:hAnsi="Times New Roman"/>
                <w:color w:val="000000" w:themeColor="text1"/>
                <w:sz w:val="24"/>
              </w:rPr>
              <w:t>Regulas (ES) Nr. 575/2013</w:t>
            </w:r>
            <w:r>
              <w:rPr>
                <w:rFonts w:ascii="Times New Roman" w:hAnsi="Times New Roman"/>
                <w:sz w:val="24"/>
              </w:rPr>
              <w:t xml:space="preserve"> 126. panta 1. punktā.</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Piemērota aizdevumu sadalīšanas pieeja (nodrošinātā daļa)</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Nodrošinātā tādu riska darījumu daļa, kas nodrošināti ar komerciālā nekustamā īpašuma hipotēku un kam piemēro aizdevumu sadalīšanas pieeju, kā aprakstīts </w:t>
            </w:r>
            <w:r>
              <w:rPr>
                <w:rFonts w:ascii="Times New Roman" w:hAnsi="Times New Roman"/>
                <w:color w:val="000000" w:themeColor="text1"/>
                <w:sz w:val="24"/>
              </w:rPr>
              <w:t>Regulas (ES) Nr. 575/2013</w:t>
            </w:r>
            <w:r>
              <w:rPr>
                <w:rFonts w:ascii="Times New Roman" w:hAnsi="Times New Roman"/>
                <w:sz w:val="24"/>
              </w:rPr>
              <w:t xml:space="preserve"> 126. panta 1. punktā.</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Piemērota aizdevumu sadalīšanas pieeja (nenodrošinātā daļa)</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Atlikusī tādu riska darījumu daļa, kas nodrošināti ar komerciālā nekustamā īpašuma hipotēku un kam piemēro aizdevumu sadalīšanas pieeju, kā aprakstīts </w:t>
            </w:r>
            <w:r>
              <w:rPr>
                <w:rFonts w:ascii="Times New Roman" w:hAnsi="Times New Roman"/>
                <w:color w:val="000000" w:themeColor="text1"/>
                <w:sz w:val="24"/>
              </w:rPr>
              <w:t>Regulas (ES) Nr. 575/2013</w:t>
            </w:r>
            <w:r>
              <w:rPr>
                <w:rFonts w:ascii="Times New Roman" w:hAnsi="Times New Roman"/>
                <w:sz w:val="24"/>
              </w:rPr>
              <w:t xml:space="preserve"> 126. panta 1. punktā.</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 xml:space="preserve">Riska darījumi, kas nodrošināti ar komerciālā nekustamā īpašuma hipotēku un ir </w:t>
            </w:r>
            <w:r>
              <w:rPr>
                <w:rFonts w:ascii="Times New Roman" w:hAnsi="Times New Roman"/>
                <w:b/>
                <w:i/>
                <w:sz w:val="24"/>
              </w:rPr>
              <w:t>IPRE</w:t>
            </w:r>
            <w:r>
              <w:rPr>
                <w:rFonts w:ascii="Times New Roman" w:hAnsi="Times New Roman"/>
                <w:b/>
                <w:sz w:val="24"/>
              </w:rPr>
              <w:t xml:space="preserve"> riska darījumi</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Šeit uzrāda tikai tādus riska darījumus, kas atbilst </w:t>
            </w:r>
            <w:r>
              <w:rPr>
                <w:rFonts w:ascii="Times New Roman" w:hAnsi="Times New Roman"/>
                <w:color w:val="000000" w:themeColor="text1"/>
                <w:sz w:val="24"/>
              </w:rPr>
              <w:t>Regulas (ES) Nr. 575/2013</w:t>
            </w:r>
            <w:r>
              <w:rPr>
                <w:rFonts w:ascii="Times New Roman" w:hAnsi="Times New Roman"/>
                <w:sz w:val="24"/>
              </w:rPr>
              <w:t xml:space="preserve"> 4. panta 1. punkta 75.b apakšpunkta definīcijai un 124. panta 2. punkta b) apakšpunkta ii) punktam.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Šajā rindā atklāj arī:</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citus riska darījumus, kas nodrošināti ar komerciālā nekustamā īpašuma hipotēku, kas ir </w:t>
            </w:r>
            <w:r>
              <w:rPr>
                <w:rFonts w:ascii="Times New Roman" w:hAnsi="Times New Roman"/>
                <w:i/>
                <w:sz w:val="24"/>
              </w:rPr>
              <w:t>IPRE</w:t>
            </w:r>
            <w:r>
              <w:rPr>
                <w:rFonts w:ascii="Times New Roman" w:hAnsi="Times New Roman"/>
                <w:sz w:val="24"/>
              </w:rPr>
              <w:t xml:space="preserve"> riska darījumi un kas neatbilst 124. panta 3. punkta nosacījumiem, vai jebkuru tāda riska darījuma daļu, kurš nav </w:t>
            </w:r>
            <w:r>
              <w:rPr>
                <w:rFonts w:ascii="Times New Roman" w:hAnsi="Times New Roman"/>
                <w:i/>
                <w:sz w:val="24"/>
              </w:rPr>
              <w:t>ADC</w:t>
            </w:r>
            <w:r>
              <w:rPr>
                <w:rFonts w:ascii="Times New Roman" w:hAnsi="Times New Roman"/>
                <w:sz w:val="24"/>
              </w:rPr>
              <w:t xml:space="preserve"> riska darījums un kura vērtība pārsniedz īpašuma ķīlas tiesību nominālvērtību, kā minēts Regulas (ES) Nr. 575/2013 124. panta 1. punkta b) apakšpunktā,</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w:t>
            </w:r>
            <w:r>
              <w:rPr>
                <w:rFonts w:ascii="Times New Roman" w:hAnsi="Times New Roman"/>
                <w:i/>
                <w:sz w:val="24"/>
              </w:rPr>
              <w:t>IPRE</w:t>
            </w:r>
            <w:r>
              <w:rPr>
                <w:rFonts w:ascii="Times New Roman" w:hAnsi="Times New Roman"/>
                <w:sz w:val="24"/>
              </w:rPr>
              <w:t xml:space="preserve"> riska darījumus, ja piemēro Regulas (ES) Nr. 575/2013 126. panta 2. punktā noteikto atkāpi.</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Zemes iegādes, attīstīšanas un būvniecības (</w:t>
            </w:r>
            <w:r>
              <w:rPr>
                <w:rFonts w:ascii="Times New Roman" w:hAnsi="Times New Roman"/>
                <w:b/>
                <w:i/>
                <w:sz w:val="24"/>
              </w:rPr>
              <w:t>ADC</w:t>
            </w:r>
            <w:r>
              <w:rPr>
                <w:rFonts w:ascii="Times New Roman" w:hAnsi="Times New Roman"/>
                <w:b/>
                <w:sz w:val="24"/>
              </w:rPr>
              <w:t>) riska darījumi</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Šeit uzrāda tikai tādus riska darījumus, kas atbilst </w:t>
            </w:r>
            <w:r>
              <w:rPr>
                <w:rFonts w:ascii="Times New Roman" w:hAnsi="Times New Roman"/>
                <w:color w:val="000000" w:themeColor="text1"/>
                <w:sz w:val="24"/>
              </w:rPr>
              <w:t>Regulas (ES) Nr. 575/2013</w:t>
            </w:r>
            <w:r>
              <w:rPr>
                <w:rFonts w:ascii="Times New Roman" w:hAnsi="Times New Roman"/>
                <w:sz w:val="24"/>
              </w:rPr>
              <w:t xml:space="preserve"> 4. panta 1. punkta 75.a apakšpunkta definīcijai.</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lastRenderedPageBreak/>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Citi posteņi</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Riska darījumu kategorija attiecas uz:</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xml:space="preserve">— aktīviem, kam piemēro specifisku riska pakāpi, kā noteikts </w:t>
            </w:r>
            <w:r>
              <w:rPr>
                <w:rFonts w:ascii="Times New Roman" w:hAnsi="Times New Roman"/>
                <w:color w:val="000000" w:themeColor="text1"/>
                <w:sz w:val="24"/>
              </w:rPr>
              <w:t>Regulas (ES) Nr. 575/2013</w:t>
            </w:r>
            <w:r>
              <w:rPr>
                <w:rFonts w:ascii="Times New Roman" w:hAnsi="Times New Roman"/>
                <w:sz w:val="24"/>
              </w:rPr>
              <w:t xml:space="preserve"> trešās daļas II sadaļas 4. nodaļas 134. pantā,</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 aktīviem, ko neatskaita, piemērojot </w:t>
            </w:r>
            <w:r>
              <w:rPr>
                <w:rFonts w:ascii="Times New Roman" w:hAnsi="Times New Roman"/>
                <w:color w:val="000000" w:themeColor="text1"/>
                <w:sz w:val="24"/>
              </w:rPr>
              <w:t>Regulas (ES) Nr. 575/2013</w:t>
            </w:r>
            <w:r>
              <w:rPr>
                <w:rFonts w:ascii="Times New Roman" w:hAnsi="Times New Roman"/>
                <w:sz w:val="24"/>
              </w:rPr>
              <w:t xml:space="preserve"> 39. pantu (nodokļu pārmaksa, nodokļu zaudējumu </w:t>
            </w:r>
            <w:proofErr w:type="spellStart"/>
            <w:r>
              <w:rPr>
                <w:rFonts w:ascii="Times New Roman" w:hAnsi="Times New Roman"/>
                <w:sz w:val="24"/>
              </w:rPr>
              <w:t>pārnese</w:t>
            </w:r>
            <w:proofErr w:type="spellEnd"/>
            <w:r>
              <w:rPr>
                <w:rFonts w:ascii="Times New Roman" w:hAnsi="Times New Roman"/>
                <w:sz w:val="24"/>
              </w:rPr>
              <w:t xml:space="preserve"> uz iepriekšēju periodu un atliktā nodokļa aktīvi, kuru realizācija nav atkarīga no peļņas gūšanas nākotnē), </w:t>
            </w:r>
            <w:r>
              <w:rPr>
                <w:rFonts w:ascii="Times New Roman" w:hAnsi="Times New Roman"/>
                <w:color w:val="000000" w:themeColor="text1"/>
                <w:sz w:val="24"/>
              </w:rPr>
              <w:t>Regulas (ES) Nr. 575/2013</w:t>
            </w:r>
            <w:r>
              <w:rPr>
                <w:rFonts w:ascii="Times New Roman" w:hAnsi="Times New Roman"/>
                <w:sz w:val="24"/>
              </w:rPr>
              <w:t xml:space="preserve"> 41. pantu (definētu pabalstu pensiju fondu aktīvi), Regulas (ES) Nr. 575/2013 46. un 469. pantu (nebūtiski ieguldījumi finanšu sektora sabiedrību pirmā līmeņa pamata kapitālā), </w:t>
            </w:r>
            <w:r>
              <w:rPr>
                <w:rFonts w:ascii="Times New Roman" w:hAnsi="Times New Roman"/>
                <w:color w:val="000000" w:themeColor="text1"/>
                <w:sz w:val="24"/>
              </w:rPr>
              <w:t>Regulas (ES) Nr. 575/2013</w:t>
            </w:r>
            <w:r>
              <w:rPr>
                <w:rFonts w:ascii="Times New Roman" w:hAnsi="Times New Roman"/>
                <w:sz w:val="24"/>
              </w:rPr>
              <w:t xml:space="preserve"> 49. un 471. pantu (līdzdalība apdrošināšanas sabiedrībās neatkarīgi no tā, vai apdrošināšanas sabiedrības tiek pārraudzītas saskaņā ar Konglomerātu direktīvu), </w:t>
            </w:r>
            <w:r>
              <w:rPr>
                <w:rFonts w:ascii="Times New Roman" w:hAnsi="Times New Roman"/>
                <w:color w:val="000000" w:themeColor="text1"/>
                <w:sz w:val="24"/>
              </w:rPr>
              <w:t>Regulas (ES) Nr. 575/2013</w:t>
            </w:r>
            <w:r>
              <w:rPr>
                <w:rFonts w:ascii="Times New Roman" w:hAnsi="Times New Roman"/>
                <w:sz w:val="24"/>
              </w:rPr>
              <w:t xml:space="preserve"> 60. un 475. pantu (nebūtiski un būtiski tiešie, netiešie un sintētiskie ieguldījumi finanšu sektora sabiedrību pirmā līmeņa papildu kapitāla (</w:t>
            </w:r>
            <w:r>
              <w:rPr>
                <w:rFonts w:ascii="Times New Roman" w:hAnsi="Times New Roman"/>
                <w:i/>
                <w:sz w:val="24"/>
              </w:rPr>
              <w:t>AT1</w:t>
            </w:r>
            <w:r>
              <w:rPr>
                <w:rFonts w:ascii="Times New Roman" w:hAnsi="Times New Roman"/>
                <w:sz w:val="24"/>
              </w:rPr>
              <w:t xml:space="preserve">) instrumentos), </w:t>
            </w:r>
            <w:r>
              <w:rPr>
                <w:rFonts w:ascii="Times New Roman" w:hAnsi="Times New Roman"/>
                <w:color w:val="000000" w:themeColor="text1"/>
                <w:sz w:val="24"/>
              </w:rPr>
              <w:t>Regulas (ES) Nr. 575/2013</w:t>
            </w:r>
            <w:r>
              <w:rPr>
                <w:rFonts w:ascii="Times New Roman" w:hAnsi="Times New Roman"/>
                <w:sz w:val="24"/>
              </w:rPr>
              <w:t xml:space="preserve"> 70. un 477. pantu (nebūtiska un būtiska tiešā, netiešā un sintētiskā līdzdalība finanšu sektora struktūras emitētos otrā līmeņa kapitāla (</w:t>
            </w:r>
            <w:r>
              <w:rPr>
                <w:rFonts w:ascii="Times New Roman" w:hAnsi="Times New Roman"/>
                <w:i/>
                <w:sz w:val="24"/>
              </w:rPr>
              <w:t>T2</w:t>
            </w:r>
            <w:r>
              <w:rPr>
                <w:rFonts w:ascii="Times New Roman" w:hAnsi="Times New Roman"/>
                <w:sz w:val="24"/>
              </w:rPr>
              <w:t xml:space="preserve">) instrumentos), ja tos neiedala citās riska darījumu kategorijās, un uz būtisku līdzdalību ārpus finanšu sektora, ja tai nepiemēro 1250 % riska pakāpi (piemērojot </w:t>
            </w:r>
            <w:r>
              <w:rPr>
                <w:rFonts w:ascii="Times New Roman" w:hAnsi="Times New Roman"/>
                <w:color w:val="000000" w:themeColor="text1"/>
                <w:sz w:val="24"/>
              </w:rPr>
              <w:t>Regulas (ES) Nr. 575/2013</w:t>
            </w:r>
            <w:r>
              <w:rPr>
                <w:rFonts w:ascii="Times New Roman" w:hAnsi="Times New Roman"/>
                <w:sz w:val="24"/>
              </w:rPr>
              <w:t xml:space="preserve"> otrās daļas I sadaļas 1. nodaļas 36. panta k) punktu).</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Neattiecas</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Kopā</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1., 2., 3., EU 3.a, 4., 5., 6., 7., 8., 9., 10., EU 10.a, EU 10.b, EU 10.c rindas vērtību summa.</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 xml:space="preserve">Eiropas Parlamenta un Padomes Regula (ES) Nr. 575/2013 (2013. gada 26. jūnijs) par </w:t>
      </w:r>
      <w:proofErr w:type="spellStart"/>
      <w:r>
        <w:t>prudenciālajām</w:t>
      </w:r>
      <w:proofErr w:type="spellEnd"/>
      <w:r>
        <w:t xml:space="preserve">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w:t>
        </w:r>
        <w:proofErr w:type="spellStart"/>
        <w:r>
          <w:rPr>
            <w:rStyle w:val="Hyperlink"/>
          </w:rPr>
          <w:t>Lex</w:t>
        </w:r>
        <w:proofErr w:type="spellEnd"/>
        <w:r>
          <w:rPr>
            <w:rStyle w:val="Hyperlink"/>
          </w:rPr>
          <w:t xml:space="preserve"> (europa.eu)</w:t>
        </w:r>
      </w:hyperlink>
      <w:r>
        <w:rPr>
          <w:color w:val="444444"/>
        </w:rPr>
        <w:t>)</w:t>
      </w:r>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r>
      <w:r>
        <w:t xml:space="preserve">KOMISIJAS DELEĢĒTĀ REGULA (ES) Nr. 183/2014 (2013. gada 20. decembris), ar ko papildina Eiropas Parlamenta un Padomes Regulu (ES) Nr. 575/2013 par </w:t>
      </w:r>
      <w:proofErr w:type="spellStart"/>
      <w:r>
        <w:t>prudenciālajām</w:t>
      </w:r>
      <w:proofErr w:type="spellEnd"/>
      <w:r>
        <w:t xml:space="preserve"> prasībām attiecībā uz kredītiestādēm un ieguldījumu brokeru sabiedrībām saistībā ar regulatīvajiem tehniskajiem standartiem, ar ko precizē specifisko un vispārējo kredītriska korekciju aprēķināšanu (OV L 57, 27.2.2014., 3.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43102"/>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BA494BAF-5BD0-4EE8-9D18-A5EC46001B2B}"/>
</file>

<file path=customXml/itemProps3.xml><?xml version="1.0" encoding="utf-8"?>
<ds:datastoreItem xmlns:ds="http://schemas.openxmlformats.org/officeDocument/2006/customXml" ds:itemID="{71D1CC5B-C957-441E-93FB-E3F33B63416D}"/>
</file>

<file path=customXml/itemProps4.xml><?xml version="1.0" encoding="utf-8"?>
<ds:datastoreItem xmlns:ds="http://schemas.openxmlformats.org/officeDocument/2006/customXml" ds:itemID="{A96A7B89-C2A4-4AA8-AF0D-E1F3CAF580F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3154</Words>
  <Characters>18706</Characters>
  <Application>Microsoft Office Word</Application>
  <DocSecurity>0</DocSecurity>
  <Lines>467</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