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ADA6" w14:textId="77777777" w:rsidR="00166FFE" w:rsidRPr="005768E4" w:rsidRDefault="00A1733E" w:rsidP="006A78BA">
      <w:pPr>
        <w:pStyle w:val="Annexetitre"/>
        <w:rPr>
          <w:sz w:val="28"/>
          <w:szCs w:val="28"/>
          <w:u w:val="none"/>
        </w:rPr>
      </w:pPr>
      <w:r w:rsidRPr="005768E4">
        <w:rPr>
          <w:sz w:val="28"/>
          <w:u w:val="none"/>
        </w:rPr>
        <w:t>PRÍLOHA II</w:t>
      </w:r>
    </w:p>
    <w:p w14:paraId="3EED48F6" w14:textId="77777777" w:rsidR="00A1733E" w:rsidRPr="005768E4" w:rsidRDefault="00A1733E" w:rsidP="006A78BA">
      <w:pPr>
        <w:pStyle w:val="Annexetitre"/>
        <w:rPr>
          <w:u w:val="none"/>
        </w:rPr>
      </w:pPr>
      <w:r w:rsidRPr="005768E4">
        <w:rPr>
          <w:u w:val="none"/>
        </w:rPr>
        <w:t>„PRÍLOHA XXXVIII</w:t>
      </w:r>
    </w:p>
    <w:p w14:paraId="77F10DF1" w14:textId="67492FEF" w:rsidR="006A78BA" w:rsidRPr="005768E4" w:rsidRDefault="0078309E" w:rsidP="006A78BA">
      <w:pPr>
        <w:pStyle w:val="Annexetitre"/>
        <w:rPr>
          <w:u w:val="none"/>
        </w:rPr>
      </w:pPr>
      <w:r w:rsidRPr="005768E4">
        <w:rPr>
          <w:u w:val="none"/>
        </w:rPr>
        <w:t>Pokyny na zverejňovanie informácií</w:t>
      </w:r>
      <w:r w:rsidR="005768E4">
        <w:rPr>
          <w:u w:val="none"/>
        </w:rPr>
        <w:t xml:space="preserve"> o </w:t>
      </w:r>
      <w:r w:rsidRPr="005768E4">
        <w:rPr>
          <w:u w:val="none"/>
        </w:rPr>
        <w:t>úrokovom riziku pozícií, ktoré nie sú držané</w:t>
      </w:r>
      <w:r w:rsidR="005768E4">
        <w:rPr>
          <w:u w:val="none"/>
        </w:rPr>
        <w:t xml:space="preserve"> v </w:t>
      </w:r>
      <w:r w:rsidRPr="005768E4">
        <w:rPr>
          <w:u w:val="none"/>
        </w:rPr>
        <w:t>obchodnej knihe</w:t>
      </w:r>
    </w:p>
    <w:p w14:paraId="09721089" w14:textId="77777777" w:rsidR="006A78BA" w:rsidRPr="005768E4" w:rsidRDefault="006A78BA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30EEB620" w14:textId="77777777" w:rsidR="005768E4" w:rsidRDefault="00166FFE" w:rsidP="00CD3692">
      <w:pPr>
        <w:rPr>
          <w:rFonts w:ascii="Times New Roman" w:hAnsi="Times New Roman"/>
          <w:b/>
          <w:sz w:val="24"/>
        </w:rPr>
      </w:pPr>
      <w:r w:rsidRPr="005768E4">
        <w:rPr>
          <w:rFonts w:ascii="Times New Roman" w:hAnsi="Times New Roman"/>
          <w:b/>
          <w:sz w:val="24"/>
        </w:rPr>
        <w:t>Pokyny na zverejňovanie informácií vo vzore EÚ IRRBBA</w:t>
      </w:r>
    </w:p>
    <w:p w14:paraId="7E4925DA" w14:textId="3EDFF60A" w:rsidR="00CD3692" w:rsidRPr="005768E4" w:rsidRDefault="00CD3692" w:rsidP="00CD3692">
      <w:pPr>
        <w:rPr>
          <w:rFonts w:ascii="Times New Roman" w:hAnsi="Times New Roman"/>
          <w:bCs/>
          <w:sz w:val="24"/>
        </w:rPr>
      </w:pPr>
    </w:p>
    <w:p w14:paraId="31D9779B" w14:textId="6666F25C" w:rsidR="00580D58" w:rsidRPr="005768E4" w:rsidRDefault="00580D58" w:rsidP="00470043">
      <w:pPr>
        <w:spacing w:after="120"/>
        <w:jc w:val="both"/>
        <w:rPr>
          <w:rFonts w:ascii="Calibri" w:eastAsia="Times New Roman" w:hAnsi="Calibri" w:cs="Times New Roman"/>
          <w:color w:val="000000"/>
          <w:szCs w:val="22"/>
        </w:rPr>
      </w:pPr>
      <w:r w:rsidRPr="005768E4">
        <w:rPr>
          <w:rFonts w:ascii="Times New Roman" w:hAnsi="Times New Roman"/>
          <w:color w:val="000000"/>
          <w:sz w:val="24"/>
        </w:rPr>
        <w:t>Inštitúcie majú zverejňovať ďalej uvedené kvalitatívne informácie na základe svojej metodiky interného systému merania rizika, štandardizovanej metodiky alebo prípadne zjednodušenej štandardizovanej metodiky</w:t>
      </w:r>
      <w:r w:rsidR="005768E4">
        <w:rPr>
          <w:rFonts w:ascii="Times New Roman" w:hAnsi="Times New Roman"/>
          <w:sz w:val="24"/>
        </w:rPr>
        <w:t xml:space="preserve"> v </w:t>
      </w:r>
      <w:r w:rsidRPr="005768E4">
        <w:rPr>
          <w:rFonts w:ascii="Times New Roman" w:hAnsi="Times New Roman"/>
          <w:sz w:val="24"/>
        </w:rPr>
        <w:t>súlade</w:t>
      </w:r>
      <w:r w:rsidR="005768E4">
        <w:rPr>
          <w:rFonts w:ascii="Times New Roman" w:hAnsi="Times New Roman"/>
          <w:sz w:val="24"/>
        </w:rPr>
        <w:t xml:space="preserve"> s </w:t>
      </w:r>
      <w:r w:rsidRPr="005768E4">
        <w:rPr>
          <w:rFonts w:ascii="Times New Roman" w:hAnsi="Times New Roman"/>
          <w:sz w:val="24"/>
        </w:rPr>
        <w:t>článkom 84 smernice 2013/36/EÚ.</w:t>
      </w:r>
    </w:p>
    <w:p w14:paraId="25425241" w14:textId="5B2C73EF" w:rsidR="005768E4" w:rsidRDefault="0017255F" w:rsidP="000D6C4D">
      <w:pPr>
        <w:jc w:val="both"/>
        <w:rPr>
          <w:rFonts w:ascii="Times New Roman" w:hAnsi="Times New Roman"/>
          <w:sz w:val="24"/>
        </w:rPr>
      </w:pPr>
      <w:r w:rsidRPr="005768E4">
        <w:rPr>
          <w:rFonts w:ascii="Times New Roman" w:hAnsi="Times New Roman"/>
          <w:sz w:val="24"/>
        </w:rPr>
        <w:t>Tieto pokyny boli vypracované na základe požiadaviek uvedených</w:t>
      </w:r>
      <w:r w:rsidR="005768E4">
        <w:rPr>
          <w:rFonts w:ascii="Times New Roman" w:hAnsi="Times New Roman"/>
          <w:sz w:val="24"/>
        </w:rPr>
        <w:t xml:space="preserve"> v </w:t>
      </w:r>
      <w:r w:rsidRPr="005768E4">
        <w:rPr>
          <w:rFonts w:ascii="Times New Roman" w:hAnsi="Times New Roman"/>
          <w:sz w:val="24"/>
        </w:rPr>
        <w:t xml:space="preserve">článku 448 nariadenia (EÚ) </w:t>
      </w:r>
      <w:r w:rsidR="005768E4">
        <w:rPr>
          <w:rFonts w:ascii="Times New Roman" w:hAnsi="Times New Roman"/>
          <w:sz w:val="24"/>
        </w:rPr>
        <w:t>č. </w:t>
      </w:r>
      <w:r w:rsidRPr="005768E4">
        <w:rPr>
          <w:rFonts w:ascii="Times New Roman" w:hAnsi="Times New Roman"/>
          <w:sz w:val="24"/>
        </w:rPr>
        <w:t>575/2013</w:t>
      </w:r>
      <w:r w:rsidR="005768E4">
        <w:rPr>
          <w:rFonts w:ascii="Times New Roman" w:hAnsi="Times New Roman"/>
          <w:sz w:val="24"/>
        </w:rPr>
        <w:t xml:space="preserve"> a v </w:t>
      </w:r>
      <w:r w:rsidRPr="005768E4">
        <w:rPr>
          <w:rFonts w:ascii="Times New Roman" w:hAnsi="Times New Roman"/>
          <w:sz w:val="24"/>
        </w:rPr>
        <w:t>súlade so štandardom Bazilejského výboru pre bankový dohľad na zverejňovanie informácií</w:t>
      </w:r>
      <w:r w:rsidR="005768E4">
        <w:rPr>
          <w:rFonts w:ascii="Times New Roman" w:hAnsi="Times New Roman"/>
          <w:sz w:val="24"/>
        </w:rPr>
        <w:t xml:space="preserve"> z </w:t>
      </w:r>
      <w:r w:rsidRPr="005768E4">
        <w:rPr>
          <w:rFonts w:ascii="Times New Roman" w:hAnsi="Times New Roman"/>
          <w:sz w:val="24"/>
        </w:rPr>
        <w:t>piliera 3</w:t>
      </w:r>
      <w:r w:rsidR="005768E4">
        <w:rPr>
          <w:rFonts w:ascii="Times New Roman" w:hAnsi="Times New Roman"/>
          <w:sz w:val="24"/>
        </w:rPr>
        <w:t>.</w:t>
      </w:r>
    </w:p>
    <w:p w14:paraId="4EA230EE" w14:textId="788519F9" w:rsidR="000D6C4D" w:rsidRPr="005768E4" w:rsidRDefault="000D6C4D" w:rsidP="000D6C4D">
      <w:pPr>
        <w:jc w:val="both"/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1555"/>
        <w:gridCol w:w="7371"/>
      </w:tblGrid>
      <w:tr w:rsidR="00CD3692" w:rsidRPr="005768E4" w14:paraId="5A9E0A69" w14:textId="77777777" w:rsidTr="00F930E4">
        <w:trPr>
          <w:trHeight w:val="330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FC1AD4" w14:textId="19376B54" w:rsidR="00CD3692" w:rsidRPr="005768E4" w:rsidRDefault="00CD3692" w:rsidP="00F930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b/>
                <w:color w:val="000000"/>
              </w:rPr>
              <w:t>Odkazy na právne predpisy</w:t>
            </w:r>
            <w:r w:rsidR="005768E4">
              <w:rPr>
                <w:rFonts w:ascii="Times New Roman" w:hAnsi="Times New Roman"/>
                <w:b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b/>
                <w:color w:val="000000"/>
              </w:rPr>
              <w:t>pokyny</w:t>
            </w:r>
          </w:p>
        </w:tc>
      </w:tr>
      <w:tr w:rsidR="00CD3692" w:rsidRPr="005768E4" w14:paraId="254CB684" w14:textId="77777777" w:rsidTr="00F930E4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023E59" w14:textId="77777777" w:rsidR="00CD3692" w:rsidRPr="005768E4" w:rsidRDefault="00CD3692" w:rsidP="00F930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b/>
                <w:color w:val="000000"/>
              </w:rPr>
              <w:t>Číslo riadku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1EE539" w14:textId="77777777" w:rsidR="00CD3692" w:rsidRPr="005768E4" w:rsidRDefault="00CD3692" w:rsidP="00F930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b/>
                <w:color w:val="000000"/>
              </w:rPr>
              <w:t>Vysvetlenie</w:t>
            </w:r>
          </w:p>
        </w:tc>
      </w:tr>
      <w:tr w:rsidR="00FC2089" w:rsidRPr="005768E4" w14:paraId="5BBA757F" w14:textId="77777777" w:rsidTr="00C143B2">
        <w:trPr>
          <w:trHeight w:val="244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657E" w14:textId="73DDAA01" w:rsidR="00FC2089" w:rsidRPr="005768E4" w:rsidRDefault="00FC2089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a)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7E25" w14:textId="41135A6D" w:rsidR="00FC2089" w:rsidRPr="005768E4" w:rsidRDefault="00465DF4" w:rsidP="00F930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Opis toho, ako inštitúcia vymedzuje IRRBB na účely kontroly</w:t>
            </w:r>
            <w:r w:rsidR="005768E4">
              <w:rPr>
                <w:rFonts w:ascii="Times New Roman" w:hAnsi="Times New Roman"/>
                <w:b/>
                <w:color w:val="000000"/>
                <w:sz w:val="24"/>
              </w:rPr>
              <w:t xml:space="preserve"> a </w:t>
            </w: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merania rizika</w:t>
            </w:r>
          </w:p>
          <w:p w14:paraId="3FB34713" w14:textId="69111619" w:rsidR="00FC2089" w:rsidRPr="005768E4" w:rsidRDefault="00133E44" w:rsidP="00721AD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V súlade</w:t>
            </w:r>
            <w:r w:rsidR="005768E4">
              <w:rPr>
                <w:rFonts w:ascii="Times New Roman" w:hAnsi="Times New Roman"/>
                <w:color w:val="000000"/>
              </w:rPr>
              <w:t xml:space="preserve"> s </w:t>
            </w:r>
            <w:r w:rsidRPr="005768E4">
              <w:rPr>
                <w:rFonts w:ascii="Times New Roman" w:hAnsi="Times New Roman"/>
                <w:color w:val="000000"/>
              </w:rPr>
              <w:t xml:space="preserve">článkom 448 ods. 1 písm. e) nariadenia (EÚ) </w:t>
            </w:r>
            <w:r w:rsidR="005768E4">
              <w:rPr>
                <w:rFonts w:ascii="Times New Roman" w:hAnsi="Times New Roman"/>
                <w:color w:val="000000"/>
              </w:rPr>
              <w:t>č. </w:t>
            </w:r>
            <w:r w:rsidRPr="005768E4">
              <w:rPr>
                <w:rFonts w:ascii="Times New Roman" w:hAnsi="Times New Roman"/>
                <w:color w:val="000000"/>
              </w:rPr>
              <w:t>575/2013 majú inštitúcie poskytovať všeobecný opis toho, ako sa úrokové riziko ich činností neobchodnej knihy na účely preskúmania príslušnými orgánmi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súlade</w:t>
            </w:r>
            <w:r w:rsidR="005768E4">
              <w:rPr>
                <w:rFonts w:ascii="Times New Roman" w:hAnsi="Times New Roman"/>
                <w:color w:val="000000"/>
              </w:rPr>
              <w:t xml:space="preserve"> s </w:t>
            </w:r>
            <w:r w:rsidRPr="005768E4">
              <w:rPr>
                <w:rFonts w:ascii="Times New Roman" w:hAnsi="Times New Roman"/>
                <w:color w:val="000000"/>
              </w:rPr>
              <w:t>článkom 84 smernice 2013/36/EÚ vymedzuje, meria, zmierňuje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kontroluje.</w:t>
            </w:r>
          </w:p>
        </w:tc>
      </w:tr>
      <w:tr w:rsidR="00465DF4" w:rsidRPr="005768E4" w14:paraId="68082CB2" w14:textId="77777777" w:rsidTr="00F930E4">
        <w:trPr>
          <w:trHeight w:val="30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95CC" w14:textId="1C705731" w:rsidR="00465DF4" w:rsidRPr="005768E4" w:rsidRDefault="00465DF4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b)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FF4A" w14:textId="59A16D55" w:rsidR="00465DF4" w:rsidRPr="005768E4" w:rsidRDefault="00EA2452" w:rsidP="00F930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Opis celkového riadenia rizík</w:t>
            </w:r>
            <w:r w:rsidR="005768E4">
              <w:rPr>
                <w:rFonts w:ascii="Times New Roman" w:hAnsi="Times New Roman"/>
                <w:b/>
                <w:color w:val="000000"/>
                <w:sz w:val="24"/>
              </w:rPr>
              <w:t xml:space="preserve"> a </w:t>
            </w: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stratégií zmierňovania IRRBB inštitúcie</w:t>
            </w:r>
          </w:p>
          <w:p w14:paraId="204A9378" w14:textId="727FE791" w:rsidR="005F58E6" w:rsidRPr="005768E4" w:rsidRDefault="005F58E6" w:rsidP="007012E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V súlade</w:t>
            </w:r>
            <w:r w:rsidR="005768E4">
              <w:rPr>
                <w:rFonts w:ascii="Times New Roman" w:hAnsi="Times New Roman"/>
                <w:color w:val="000000"/>
              </w:rPr>
              <w:t xml:space="preserve"> s </w:t>
            </w:r>
            <w:r w:rsidRPr="005768E4">
              <w:rPr>
                <w:rFonts w:ascii="Times New Roman" w:hAnsi="Times New Roman"/>
                <w:color w:val="000000"/>
              </w:rPr>
              <w:t xml:space="preserve">článkom 448 ods. 1 písm. f) nariadenia (EÚ) </w:t>
            </w:r>
            <w:r w:rsidR="005768E4">
              <w:rPr>
                <w:rFonts w:ascii="Times New Roman" w:hAnsi="Times New Roman"/>
                <w:color w:val="000000"/>
              </w:rPr>
              <w:t>č. </w:t>
            </w:r>
            <w:r w:rsidRPr="005768E4">
              <w:rPr>
                <w:rFonts w:ascii="Times New Roman" w:hAnsi="Times New Roman"/>
                <w:color w:val="000000"/>
              </w:rPr>
              <w:t>575/2013 majú inštitúcie poskytnúť všeobecný opis celkového riadenia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stratégií zmierňovania IRRBB vrátane: monitorovania ekonomickej hodnoty vlastného imania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čistého príjmu</w:t>
            </w:r>
            <w:r w:rsidR="005768E4">
              <w:rPr>
                <w:rFonts w:ascii="Times New Roman" w:hAnsi="Times New Roman"/>
                <w:color w:val="000000"/>
              </w:rPr>
              <w:t xml:space="preserve"> z </w:t>
            </w:r>
            <w:r w:rsidRPr="005768E4">
              <w:rPr>
                <w:rFonts w:ascii="Times New Roman" w:hAnsi="Times New Roman"/>
                <w:color w:val="000000"/>
              </w:rPr>
              <w:t>úrokov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súvislosti so stanovenými limitmi, postupov hedžingu, vykonávania stresového testovania, analýzy výsledkov, úlohy nezávislého auditu, úlohy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postupov výboru pre riadenie aktív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pasív, postupov inštitúcie na zabezpečenie primeranej validácie modelu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včasných aktualizácií modelu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reakcii na meniace sa trhové podmienky.</w:t>
            </w:r>
          </w:p>
        </w:tc>
      </w:tr>
      <w:tr w:rsidR="00EA2452" w:rsidRPr="005768E4" w14:paraId="00B80900" w14:textId="77777777" w:rsidTr="00C41D59">
        <w:trPr>
          <w:trHeight w:val="84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63AB" w14:textId="4C8DCD01" w:rsidR="00EA2452" w:rsidRPr="005768E4" w:rsidRDefault="00EA2452" w:rsidP="00EA245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c)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C5C7" w14:textId="77777777" w:rsidR="008F617B" w:rsidRPr="005768E4" w:rsidRDefault="008F617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  <w:lang w:eastAsia="en-GB"/>
              </w:rPr>
            </w:pPr>
          </w:p>
          <w:p w14:paraId="074838C9" w14:textId="65D1C1D7" w:rsidR="00716636" w:rsidRPr="005768E4" w:rsidRDefault="00716636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b/>
                <w:color w:val="000000"/>
              </w:rPr>
              <w:t>Frekvencia výpočtu mier IRRBB inštitúcie</w:t>
            </w:r>
            <w:r w:rsidR="005768E4">
              <w:rPr>
                <w:rFonts w:ascii="Times New Roman" w:hAnsi="Times New Roman"/>
                <w:b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b/>
                <w:color w:val="000000"/>
              </w:rPr>
              <w:t>opis osobitných opatrení, ktoré inštitúcia používa na odhad svojej citlivosti na IRRBB</w:t>
            </w:r>
          </w:p>
          <w:p w14:paraId="6FC20A2F" w14:textId="4B42BBC7" w:rsidR="00EA2452" w:rsidRPr="005768E4" w:rsidRDefault="00716636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V súlade</w:t>
            </w:r>
            <w:r w:rsidR="005768E4">
              <w:rPr>
                <w:rFonts w:ascii="Times New Roman" w:hAnsi="Times New Roman"/>
                <w:color w:val="000000"/>
              </w:rPr>
              <w:t xml:space="preserve"> s </w:t>
            </w:r>
            <w:r w:rsidRPr="005768E4">
              <w:rPr>
                <w:rFonts w:ascii="Times New Roman" w:hAnsi="Times New Roman"/>
                <w:color w:val="000000"/>
              </w:rPr>
              <w:t>článkom 448 ods. 1 písm. e) bodmi i)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 xml:space="preserve">v) nariadenia (EÚ) </w:t>
            </w:r>
            <w:r w:rsidR="005768E4">
              <w:rPr>
                <w:rFonts w:ascii="Times New Roman" w:hAnsi="Times New Roman"/>
                <w:color w:val="000000"/>
              </w:rPr>
              <w:t>č. </w:t>
            </w:r>
            <w:r w:rsidRPr="005768E4">
              <w:rPr>
                <w:rFonts w:ascii="Times New Roman" w:hAnsi="Times New Roman"/>
                <w:color w:val="000000"/>
              </w:rPr>
              <w:t>575/2013 majú inštitúcie poskytnúť všeobecný opis špecifických mier rizika, ktoré sa používajú na odhad zmien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ekonomickej hodnote vlastného imania</w:t>
            </w:r>
            <w:r w:rsidR="005768E4">
              <w:rPr>
                <w:rFonts w:ascii="Times New Roman" w:hAnsi="Times New Roman"/>
                <w:color w:val="000000"/>
              </w:rPr>
              <w:t xml:space="preserve"> a v </w:t>
            </w:r>
            <w:r w:rsidRPr="005768E4">
              <w:rPr>
                <w:rFonts w:ascii="Times New Roman" w:hAnsi="Times New Roman"/>
                <w:color w:val="000000"/>
              </w:rPr>
              <w:t>ich čistom príjme</w:t>
            </w:r>
            <w:r w:rsidR="005768E4">
              <w:rPr>
                <w:rFonts w:ascii="Times New Roman" w:hAnsi="Times New Roman"/>
                <w:color w:val="000000"/>
              </w:rPr>
              <w:t xml:space="preserve"> z </w:t>
            </w:r>
            <w:r w:rsidRPr="005768E4">
              <w:rPr>
                <w:rFonts w:ascii="Times New Roman" w:hAnsi="Times New Roman"/>
                <w:color w:val="000000"/>
              </w:rPr>
              <w:t>úrokov, ako aj uviesť frekvenciu hodnotenia úrokových rizík.</w:t>
            </w:r>
          </w:p>
          <w:p w14:paraId="3C576B31" w14:textId="30F588DC" w:rsidR="0013410F" w:rsidRPr="005768E4" w:rsidRDefault="0013410F" w:rsidP="00721AD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V súlade</w:t>
            </w:r>
            <w:r w:rsidR="005768E4">
              <w:rPr>
                <w:rFonts w:ascii="Times New Roman" w:hAnsi="Times New Roman"/>
                <w:color w:val="000000"/>
              </w:rPr>
              <w:t xml:space="preserve"> s </w:t>
            </w:r>
            <w:r w:rsidRPr="005768E4">
              <w:rPr>
                <w:rFonts w:ascii="Times New Roman" w:hAnsi="Times New Roman"/>
                <w:color w:val="000000"/>
              </w:rPr>
              <w:t xml:space="preserve">článkom 448 ods. 2 nariadenia (EÚ) </w:t>
            </w:r>
            <w:r w:rsidR="005768E4">
              <w:rPr>
                <w:rFonts w:ascii="Times New Roman" w:hAnsi="Times New Roman"/>
                <w:color w:val="000000"/>
              </w:rPr>
              <w:t>č. </w:t>
            </w:r>
            <w:r w:rsidRPr="005768E4">
              <w:rPr>
                <w:rFonts w:ascii="Times New Roman" w:hAnsi="Times New Roman"/>
                <w:color w:val="000000"/>
              </w:rPr>
              <w:t>575/2013 sa opis špecifických mier rizika použitých na odhad citlivosti na IRRBB nemá uplatňovať na inštitúcie, ktoré používajú štandardizovanú metodiku alebo zjednodušenú štandardizovanú metodiku podľa článku 84 ods. 1 smernice 2013/36/EÚ.</w:t>
            </w:r>
          </w:p>
        </w:tc>
      </w:tr>
      <w:tr w:rsidR="00716636" w:rsidRPr="005768E4" w14:paraId="3452DFD3" w14:textId="77777777" w:rsidTr="00C143B2">
        <w:trPr>
          <w:trHeight w:val="19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A998" w14:textId="3472E13E" w:rsidR="00716636" w:rsidRPr="005768E4" w:rsidRDefault="00716636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lastRenderedPageBreak/>
              <w:t>d)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EC818" w14:textId="22809054" w:rsidR="00716636" w:rsidRPr="005768E4" w:rsidRDefault="00716636" w:rsidP="0071663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Opis šokových</w:t>
            </w:r>
            <w:r w:rsidR="005768E4">
              <w:rPr>
                <w:rFonts w:ascii="Times New Roman" w:hAnsi="Times New Roman"/>
                <w:b/>
                <w:color w:val="000000"/>
                <w:sz w:val="24"/>
              </w:rPr>
              <w:t xml:space="preserve"> a </w:t>
            </w: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stresových scenárov úrokových sadzieb, ktoré inštitúcia používa na odhad zmien</w:t>
            </w:r>
            <w:r w:rsidR="005768E4">
              <w:rPr>
                <w:rFonts w:ascii="Times New Roman" w:hAnsi="Times New Roman"/>
                <w:b/>
                <w:color w:val="000000"/>
                <w:sz w:val="24"/>
              </w:rPr>
              <w:t xml:space="preserve"> v </w:t>
            </w: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ekonomickej hodnote</w:t>
            </w:r>
            <w:r w:rsidR="005768E4">
              <w:rPr>
                <w:rFonts w:ascii="Times New Roman" w:hAnsi="Times New Roman"/>
                <w:b/>
                <w:color w:val="000000"/>
                <w:sz w:val="24"/>
              </w:rPr>
              <w:t xml:space="preserve"> a v </w:t>
            </w: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čistom príjme</w:t>
            </w:r>
            <w:r w:rsidR="005768E4">
              <w:rPr>
                <w:rFonts w:ascii="Times New Roman" w:hAnsi="Times New Roman"/>
                <w:b/>
                <w:color w:val="000000"/>
                <w:sz w:val="24"/>
              </w:rPr>
              <w:t xml:space="preserve"> z </w:t>
            </w: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úrokov (ak sa uplatňuje)</w:t>
            </w:r>
          </w:p>
          <w:p w14:paraId="24AB856B" w14:textId="737DFC9B" w:rsidR="00716636" w:rsidRPr="005768E4" w:rsidRDefault="00716636" w:rsidP="0022665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V súlade</w:t>
            </w:r>
            <w:r w:rsidR="005768E4">
              <w:rPr>
                <w:rFonts w:ascii="Times New Roman" w:hAnsi="Times New Roman"/>
                <w:color w:val="000000"/>
              </w:rPr>
              <w:t xml:space="preserve"> s </w:t>
            </w:r>
            <w:r w:rsidRPr="005768E4">
              <w:rPr>
                <w:rFonts w:ascii="Times New Roman" w:hAnsi="Times New Roman"/>
                <w:color w:val="000000"/>
              </w:rPr>
              <w:t xml:space="preserve">článkom 448 ods. 1 písm. e) bodom iii) nariadenia (EÚ) </w:t>
            </w:r>
            <w:r w:rsidR="005768E4">
              <w:rPr>
                <w:rFonts w:ascii="Times New Roman" w:hAnsi="Times New Roman"/>
                <w:color w:val="000000"/>
              </w:rPr>
              <w:t>č. </w:t>
            </w:r>
            <w:r w:rsidRPr="005768E4">
              <w:rPr>
                <w:rFonts w:ascii="Times New Roman" w:hAnsi="Times New Roman"/>
                <w:color w:val="000000"/>
              </w:rPr>
              <w:t>575/2013 majú inštitúcie poskytnúť všeobecný opis šokových scenárov úrokových sadzieb používaných na odhad daného úrokového rizika.</w:t>
            </w:r>
          </w:p>
          <w:p w14:paraId="05DE1832" w14:textId="0DC536CA" w:rsidR="0013410F" w:rsidRPr="005768E4" w:rsidRDefault="0013410F" w:rsidP="00721AD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V súlade</w:t>
            </w:r>
            <w:r w:rsidR="005768E4">
              <w:rPr>
                <w:rFonts w:ascii="Times New Roman" w:hAnsi="Times New Roman"/>
                <w:color w:val="000000"/>
              </w:rPr>
              <w:t xml:space="preserve"> s </w:t>
            </w:r>
            <w:r w:rsidRPr="005768E4">
              <w:rPr>
                <w:rFonts w:ascii="Times New Roman" w:hAnsi="Times New Roman"/>
                <w:color w:val="000000"/>
              </w:rPr>
              <w:t xml:space="preserve">článkom 448 ods. 2 nariadenia (EÚ) </w:t>
            </w:r>
            <w:r w:rsidR="005768E4">
              <w:rPr>
                <w:rFonts w:ascii="Times New Roman" w:hAnsi="Times New Roman"/>
                <w:color w:val="000000"/>
              </w:rPr>
              <w:t>č. </w:t>
            </w:r>
            <w:r w:rsidRPr="005768E4">
              <w:rPr>
                <w:rFonts w:ascii="Times New Roman" w:hAnsi="Times New Roman"/>
                <w:color w:val="000000"/>
              </w:rPr>
              <w:t>575/2013 sa uvedené požiadavky na zverejňovanie informácií nemajú uplatňovať na tie inštitúcie, ktoré používajú štandardizovanú metodiku alebo zjednodušenú štandardizovanú metodiku podľa článku 84 ods. 1 smernice 2013/36/EÚ.</w:t>
            </w:r>
          </w:p>
        </w:tc>
      </w:tr>
      <w:tr w:rsidR="00716636" w:rsidRPr="005768E4" w14:paraId="7F74CA5A" w14:textId="77777777" w:rsidTr="00005B93">
        <w:trPr>
          <w:trHeight w:val="29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0618" w14:textId="7713D88E" w:rsidR="00716636" w:rsidRPr="005768E4" w:rsidRDefault="00716636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e)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C839" w14:textId="2AA0DB96" w:rsidR="0094340A" w:rsidRPr="005768E4" w:rsidRDefault="0094340A" w:rsidP="00F930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Opis kľúčových modelovacích</w:t>
            </w:r>
            <w:r w:rsidR="005768E4">
              <w:rPr>
                <w:rFonts w:ascii="Times New Roman" w:hAnsi="Times New Roman"/>
                <w:b/>
                <w:color w:val="000000"/>
                <w:sz w:val="24"/>
              </w:rPr>
              <w:t xml:space="preserve"> a </w:t>
            </w: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parametrických predpokladov iných ako sú tie, ktoré sa používajú na zverejňovanie vzoru EÚ IRRBB1 (ak sa uplatňuje)</w:t>
            </w:r>
          </w:p>
          <w:p w14:paraId="15A00557" w14:textId="0EF5D496" w:rsidR="00716636" w:rsidRPr="005768E4" w:rsidRDefault="0094340A" w:rsidP="0094340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V súlade</w:t>
            </w:r>
            <w:r w:rsidR="005768E4">
              <w:rPr>
                <w:rFonts w:ascii="Times New Roman" w:hAnsi="Times New Roman"/>
                <w:color w:val="000000"/>
              </w:rPr>
              <w:t xml:space="preserve"> s </w:t>
            </w:r>
            <w:r w:rsidRPr="005768E4">
              <w:rPr>
                <w:rFonts w:ascii="Times New Roman" w:hAnsi="Times New Roman"/>
                <w:color w:val="000000"/>
              </w:rPr>
              <w:t xml:space="preserve">článkom 448 ods. 1 písm. e) bodom ii) nariadenia (EÚ) </w:t>
            </w:r>
            <w:r w:rsidR="005768E4">
              <w:rPr>
                <w:rFonts w:ascii="Times New Roman" w:hAnsi="Times New Roman"/>
                <w:color w:val="000000"/>
              </w:rPr>
              <w:t>č. </w:t>
            </w:r>
            <w:r w:rsidRPr="005768E4">
              <w:rPr>
                <w:rFonts w:ascii="Times New Roman" w:hAnsi="Times New Roman"/>
                <w:color w:val="000000"/>
              </w:rPr>
              <w:t>575/2013, ak sa kľúčové modelovacie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parametrické predpoklady používané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interných systémoch merania inštitúcie líšia od spoločných modelovacích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parametrických predpokladov uvedených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článku 98 ods. 5a smernice 2013/36/EÚ používaných na účely zverejňovania vzoru EÚ IRRBB1, inštitúcia poskytne všeobecný opis uvedených predpokladov vrátane odôvodnenia týchto rozdielov (napr. historické údaje, uverejnený výskum, manažérsky úsudok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analýza atď.).</w:t>
            </w:r>
          </w:p>
          <w:p w14:paraId="3FF39A57" w14:textId="19511BB5" w:rsidR="003B1160" w:rsidRPr="005768E4" w:rsidRDefault="0013410F" w:rsidP="00721AD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V súlade</w:t>
            </w:r>
            <w:r w:rsidR="005768E4">
              <w:rPr>
                <w:rFonts w:ascii="Times New Roman" w:hAnsi="Times New Roman"/>
                <w:color w:val="000000"/>
              </w:rPr>
              <w:t xml:space="preserve"> s </w:t>
            </w:r>
            <w:r w:rsidRPr="005768E4">
              <w:rPr>
                <w:rFonts w:ascii="Times New Roman" w:hAnsi="Times New Roman"/>
                <w:color w:val="000000"/>
              </w:rPr>
              <w:t xml:space="preserve">článkom 448 ods. 2 nariadenia (EÚ) </w:t>
            </w:r>
            <w:r w:rsidR="005768E4">
              <w:rPr>
                <w:rFonts w:ascii="Times New Roman" w:hAnsi="Times New Roman"/>
                <w:color w:val="000000"/>
              </w:rPr>
              <w:t>č. </w:t>
            </w:r>
            <w:r w:rsidRPr="005768E4">
              <w:rPr>
                <w:rFonts w:ascii="Times New Roman" w:hAnsi="Times New Roman"/>
                <w:color w:val="000000"/>
              </w:rPr>
              <w:t>575/2013 sa uvedené požiadavky na zverejňovanie informácií nemajú uplatňovať na tie inštitúcie, ktoré používajú štandardizovanú metodiku alebo zjednodušenú štandardizovanú metodiku podľa článku 84 ods. 1 smernice 2013/36/EÚ.</w:t>
            </w:r>
          </w:p>
        </w:tc>
      </w:tr>
      <w:tr w:rsidR="0094340A" w:rsidRPr="005768E4" w14:paraId="766E1A7E" w14:textId="77777777" w:rsidTr="00005B93">
        <w:trPr>
          <w:trHeight w:val="230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9BE99" w14:textId="6073D3B2" w:rsidR="0094340A" w:rsidRPr="005768E4" w:rsidRDefault="0094340A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f)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639B" w14:textId="05CA8B66" w:rsidR="0094340A" w:rsidRPr="005768E4" w:rsidRDefault="001A6E70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b/>
                <w:color w:val="000000"/>
              </w:rPr>
              <w:t>Všeobecný opis toho, ako inštitúcia hedžuje svoje IRRBB, ako aj súvisiaci účtovný postup (ak sa uplatňuje)</w:t>
            </w:r>
          </w:p>
          <w:p w14:paraId="70B99ACF" w14:textId="6FD9BD25" w:rsidR="0094340A" w:rsidRPr="005768E4" w:rsidRDefault="001A6E70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Konkrétne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súlade</w:t>
            </w:r>
            <w:r w:rsidR="005768E4">
              <w:rPr>
                <w:rFonts w:ascii="Times New Roman" w:hAnsi="Times New Roman"/>
                <w:color w:val="000000"/>
              </w:rPr>
              <w:t xml:space="preserve"> s </w:t>
            </w:r>
            <w:r w:rsidRPr="005768E4">
              <w:rPr>
                <w:rFonts w:ascii="Times New Roman" w:hAnsi="Times New Roman"/>
                <w:color w:val="000000"/>
              </w:rPr>
              <w:t xml:space="preserve">článkom 448 ods. 1 písm. e) bodom iv) nariadenia (EÚ) </w:t>
            </w:r>
            <w:r w:rsidR="005768E4">
              <w:rPr>
                <w:rFonts w:ascii="Times New Roman" w:hAnsi="Times New Roman"/>
                <w:color w:val="000000"/>
              </w:rPr>
              <w:t>č. </w:t>
            </w:r>
            <w:r w:rsidRPr="005768E4">
              <w:rPr>
                <w:rFonts w:ascii="Times New Roman" w:hAnsi="Times New Roman"/>
                <w:color w:val="000000"/>
              </w:rPr>
              <w:t>575/2013 majú inštitúcie určiť účinok hedžingov proti svojim úrokovým rizikám vrátane interných hedžingov, ktoré spĺňajú požiadavky stanovené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 xml:space="preserve">článku 106 ods. 3 nariadenia (EÚ) </w:t>
            </w:r>
            <w:r w:rsidR="005768E4">
              <w:rPr>
                <w:rFonts w:ascii="Times New Roman" w:hAnsi="Times New Roman"/>
                <w:color w:val="000000"/>
              </w:rPr>
              <w:t>č. </w:t>
            </w:r>
            <w:r w:rsidRPr="005768E4">
              <w:rPr>
                <w:rFonts w:ascii="Times New Roman" w:hAnsi="Times New Roman"/>
                <w:color w:val="000000"/>
              </w:rPr>
              <w:t>575/2013.</w:t>
            </w:r>
          </w:p>
          <w:p w14:paraId="4C51BA8A" w14:textId="47AC1386" w:rsidR="0013410F" w:rsidRPr="005768E4" w:rsidRDefault="0013410F" w:rsidP="00721AD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V súlade</w:t>
            </w:r>
            <w:r w:rsidR="005768E4">
              <w:rPr>
                <w:rFonts w:ascii="Times New Roman" w:hAnsi="Times New Roman"/>
                <w:color w:val="000000"/>
              </w:rPr>
              <w:t xml:space="preserve"> s </w:t>
            </w:r>
            <w:r w:rsidRPr="005768E4">
              <w:rPr>
                <w:rFonts w:ascii="Times New Roman" w:hAnsi="Times New Roman"/>
                <w:color w:val="000000"/>
              </w:rPr>
              <w:t xml:space="preserve">článkom 448 ods. 2 nariadenia (EÚ) </w:t>
            </w:r>
            <w:r w:rsidR="005768E4">
              <w:rPr>
                <w:rFonts w:ascii="Times New Roman" w:hAnsi="Times New Roman"/>
                <w:color w:val="000000"/>
              </w:rPr>
              <w:t>č. </w:t>
            </w:r>
            <w:r w:rsidRPr="005768E4">
              <w:rPr>
                <w:rFonts w:ascii="Times New Roman" w:hAnsi="Times New Roman"/>
                <w:color w:val="000000"/>
              </w:rPr>
              <w:t>575/2013 sa uvedené požiadavky na zverejňovanie informácií nemajú uplatňovať na tie inštitúcie, ktoré používajú štandardizovanú metodiku alebo zjednodušenú štandardizovanú metodiku podľa článku 84 ods. 1 smernice 2013/36/EÚ.</w:t>
            </w:r>
          </w:p>
        </w:tc>
      </w:tr>
      <w:tr w:rsidR="00CD3692" w:rsidRPr="005768E4" w14:paraId="6344348E" w14:textId="77777777" w:rsidTr="0064412E">
        <w:trPr>
          <w:trHeight w:val="14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B4B5" w14:textId="349E9B67" w:rsidR="00CD3692" w:rsidRPr="005768E4" w:rsidRDefault="00CF6849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g)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3390" w14:textId="6AB936D1" w:rsidR="00CD3692" w:rsidRPr="005768E4" w:rsidRDefault="00EA1CF8" w:rsidP="00B650A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Opis kľúčových modelovacích</w:t>
            </w:r>
            <w:r w:rsidR="005768E4">
              <w:rPr>
                <w:rFonts w:ascii="Times New Roman" w:hAnsi="Times New Roman"/>
                <w:b/>
                <w:color w:val="000000"/>
                <w:sz w:val="24"/>
              </w:rPr>
              <w:t xml:space="preserve"> a </w:t>
            </w: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parametrických predpokladov iných ako sú tie, ktoré sa používajú na miery IRRBB vo vzore EÚ IRRBB1 (ak sa uplatňuje)</w:t>
            </w:r>
          </w:p>
          <w:p w14:paraId="083A4172" w14:textId="546259F2" w:rsidR="00CD3692" w:rsidRPr="005768E4" w:rsidRDefault="00133E44" w:rsidP="00B650A9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V súlade</w:t>
            </w:r>
            <w:r w:rsidR="005768E4">
              <w:rPr>
                <w:rFonts w:ascii="Times New Roman" w:hAnsi="Times New Roman"/>
                <w:color w:val="000000"/>
              </w:rPr>
              <w:t xml:space="preserve"> s </w:t>
            </w:r>
            <w:r w:rsidRPr="005768E4">
              <w:rPr>
                <w:rFonts w:ascii="Times New Roman" w:hAnsi="Times New Roman"/>
                <w:color w:val="000000"/>
              </w:rPr>
              <w:t xml:space="preserve">článkom 448 ods. 1 písm. c) nariadenia (EÚ) </w:t>
            </w:r>
            <w:r w:rsidR="005768E4">
              <w:rPr>
                <w:rFonts w:ascii="Times New Roman" w:hAnsi="Times New Roman"/>
                <w:color w:val="000000"/>
              </w:rPr>
              <w:t>č. </w:t>
            </w:r>
            <w:r w:rsidRPr="005768E4">
              <w:rPr>
                <w:rFonts w:ascii="Times New Roman" w:hAnsi="Times New Roman"/>
                <w:color w:val="000000"/>
              </w:rPr>
              <w:t>575/2013 majú inštitúcie poskytnúť všeobecný opis kľúčových modelovacích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parametrických predpokladov iných ako sú tie, ktoré sa uvádzajú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článku 98 ods. 5a písm. b)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c) smernice 2013/36/EÚ, používaných na výpočet zmien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ekonomickej hodnote vlastného imania</w:t>
            </w:r>
            <w:r w:rsidR="005768E4">
              <w:rPr>
                <w:rFonts w:ascii="Times New Roman" w:hAnsi="Times New Roman"/>
                <w:color w:val="000000"/>
              </w:rPr>
              <w:t xml:space="preserve"> a v </w:t>
            </w:r>
            <w:r w:rsidRPr="005768E4">
              <w:rPr>
                <w:rFonts w:ascii="Times New Roman" w:hAnsi="Times New Roman"/>
                <w:color w:val="000000"/>
              </w:rPr>
              <w:t>čistom príjme</w:t>
            </w:r>
            <w:r w:rsidR="005768E4">
              <w:rPr>
                <w:rFonts w:ascii="Times New Roman" w:hAnsi="Times New Roman"/>
                <w:color w:val="000000"/>
              </w:rPr>
              <w:t xml:space="preserve"> z </w:t>
            </w:r>
            <w:r w:rsidRPr="005768E4">
              <w:rPr>
                <w:rFonts w:ascii="Times New Roman" w:hAnsi="Times New Roman"/>
                <w:color w:val="000000"/>
              </w:rPr>
              <w:t>úrokov vo vzore EÚ IRRBB1. Tento všeobecný opis má zahŕňať aspoň:</w:t>
            </w:r>
          </w:p>
          <w:p w14:paraId="26388E97" w14:textId="6114187E" w:rsidR="00843F8C" w:rsidRPr="005768E4" w:rsidRDefault="0016128F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spôsob, ako bola určená priemerná splatnosť do precenenia vkladov splatných na požiadanie vrátane akýchkoľvek jedinečných vlastností produktu, ktoré ovplyvňujú predpokladaný dátum behaviorálneho precenenia;</w:t>
            </w:r>
          </w:p>
          <w:p w14:paraId="01CB0AA3" w14:textId="458AA192" w:rsidR="00843F8C" w:rsidRPr="005768E4" w:rsidRDefault="00843F8C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lastRenderedPageBreak/>
              <w:t>metodiku použitú na odhad mier predčasného splatenia úverov a/alebo mier predčasného výberu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prípade termínovaných vkladov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iné významné predpoklady;</w:t>
            </w:r>
          </w:p>
          <w:p w14:paraId="1BD4D78B" w14:textId="5834E655" w:rsidR="00AE69B7" w:rsidRPr="005768E4" w:rsidRDefault="00745B25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akékoľvek iné predpoklady vrátane predpokladov</w:t>
            </w:r>
            <w:r w:rsidR="005768E4">
              <w:rPr>
                <w:rFonts w:ascii="Times New Roman" w:hAnsi="Times New Roman"/>
                <w:color w:val="000000"/>
              </w:rPr>
              <w:t xml:space="preserve"> s </w:t>
            </w:r>
            <w:r w:rsidRPr="005768E4">
              <w:rPr>
                <w:rFonts w:ascii="Times New Roman" w:hAnsi="Times New Roman"/>
                <w:color w:val="000000"/>
              </w:rPr>
              <w:t>behaviorálnymi možnosťami voľby, ktoré majú významný vplyv na miery IRRBB zverejnené vo vzore EÚ IRRBB1, vrátane vysvetlenia, prečo sú tieto predpoklady významné.</w:t>
            </w:r>
          </w:p>
          <w:p w14:paraId="2195D942" w14:textId="77777777" w:rsidR="005E2B3A" w:rsidRPr="005768E4" w:rsidRDefault="005E2B3A" w:rsidP="00B650A9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  <w:lang w:eastAsia="en-GB"/>
              </w:rPr>
            </w:pPr>
          </w:p>
          <w:p w14:paraId="5155CA71" w14:textId="0E60D811" w:rsidR="005E2B3A" w:rsidRPr="005768E4" w:rsidRDefault="005E2B3A" w:rsidP="00721ADE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V súlade</w:t>
            </w:r>
            <w:r w:rsidR="005768E4">
              <w:rPr>
                <w:rFonts w:ascii="Times New Roman" w:hAnsi="Times New Roman"/>
                <w:color w:val="000000"/>
              </w:rPr>
              <w:t xml:space="preserve"> s </w:t>
            </w:r>
            <w:r w:rsidRPr="005768E4">
              <w:rPr>
                <w:rFonts w:ascii="Times New Roman" w:hAnsi="Times New Roman"/>
                <w:color w:val="000000"/>
              </w:rPr>
              <w:t xml:space="preserve">článkom 448 ods. 2 nariadenia (EÚ) </w:t>
            </w:r>
            <w:r w:rsidR="005768E4">
              <w:rPr>
                <w:rFonts w:ascii="Times New Roman" w:hAnsi="Times New Roman"/>
                <w:color w:val="000000"/>
              </w:rPr>
              <w:t>č. </w:t>
            </w:r>
            <w:r w:rsidRPr="005768E4">
              <w:rPr>
                <w:rFonts w:ascii="Times New Roman" w:hAnsi="Times New Roman"/>
                <w:color w:val="000000"/>
              </w:rPr>
              <w:t>575/2013 sa uvedené požiadavky na zverejňovanie informácií nemajú uplatňovať na tie inštitúcie, ktoré používajú štandardizovanú metodiku alebo zjednodušenú štandardizovanú metodiku podľa článku 84 ods. 1 smernice 2013/36/EÚ.</w:t>
            </w:r>
          </w:p>
        </w:tc>
      </w:tr>
      <w:tr w:rsidR="00CD3692" w:rsidRPr="005768E4" w14:paraId="124DC3B1" w14:textId="77777777" w:rsidTr="00F930E4">
        <w:trPr>
          <w:trHeight w:val="189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24D2" w14:textId="3A2AB43A" w:rsidR="00CD3692" w:rsidRPr="005768E4" w:rsidRDefault="00C143B2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lastRenderedPageBreak/>
              <w:t>h)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4F6D" w14:textId="2FD2C7C6" w:rsidR="003C310D" w:rsidRPr="005768E4" w:rsidRDefault="003C310D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Vysvetlenie významu mier IRRBB</w:t>
            </w:r>
            <w:r w:rsidR="005768E4">
              <w:rPr>
                <w:rFonts w:ascii="Times New Roman" w:hAnsi="Times New Roman"/>
                <w:b/>
                <w:color w:val="000000"/>
                <w:sz w:val="24"/>
              </w:rPr>
              <w:t xml:space="preserve"> a </w:t>
            </w: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ich významných zmien od predchádzajúcich zverejnení</w:t>
            </w:r>
          </w:p>
          <w:p w14:paraId="79D598A4" w14:textId="268DDC31" w:rsidR="00CD3692" w:rsidRPr="005768E4" w:rsidRDefault="00133E44" w:rsidP="00942E61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V súlade</w:t>
            </w:r>
            <w:r w:rsidR="005768E4">
              <w:rPr>
                <w:rFonts w:ascii="Times New Roman" w:hAnsi="Times New Roman"/>
                <w:color w:val="000000"/>
              </w:rPr>
              <w:t xml:space="preserve"> s </w:t>
            </w:r>
            <w:r w:rsidRPr="005768E4">
              <w:rPr>
                <w:rFonts w:ascii="Times New Roman" w:hAnsi="Times New Roman"/>
                <w:color w:val="000000"/>
              </w:rPr>
              <w:t xml:space="preserve">článkom 448 ods. 1 písm. d) nariadenia (EÚ) </w:t>
            </w:r>
            <w:r w:rsidR="005768E4">
              <w:rPr>
                <w:rFonts w:ascii="Times New Roman" w:hAnsi="Times New Roman"/>
                <w:color w:val="000000"/>
              </w:rPr>
              <w:t>č. </w:t>
            </w:r>
            <w:r w:rsidRPr="005768E4">
              <w:rPr>
                <w:rFonts w:ascii="Times New Roman" w:hAnsi="Times New Roman"/>
                <w:color w:val="000000"/>
              </w:rPr>
              <w:t>575/2013 majú inštitúcie poskytnúť všeobecné vysvetlenie významnosti mier IRRBB zverejnených vo vzore EÚ IRRBB1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akýchkoľvek významných zmien uvedených mier IRRBB od predchádzajúceho referenčného dátumu zverejnenia informácií.</w:t>
            </w:r>
          </w:p>
        </w:tc>
      </w:tr>
      <w:tr w:rsidR="007573CB" w:rsidRPr="005768E4" w14:paraId="7AE95BD0" w14:textId="77777777" w:rsidTr="004F5466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E7D5" w14:textId="3CB7C340" w:rsidR="007573CB" w:rsidRPr="005768E4" w:rsidRDefault="00912FEC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i)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BD64" w14:textId="174CC0A0" w:rsidR="007573CB" w:rsidRPr="005768E4" w:rsidRDefault="007573C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Všetky iné relevantné informácie, pokiaľ ide</w:t>
            </w:r>
            <w:r w:rsidR="005768E4">
              <w:rPr>
                <w:rFonts w:ascii="Times New Roman" w:hAnsi="Times New Roman"/>
                <w:b/>
                <w:color w:val="000000"/>
                <w:sz w:val="24"/>
              </w:rPr>
              <w:t xml:space="preserve"> o </w:t>
            </w: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miery IRRBB zverejnené vo vzore EÚ IRRBB1 (nepovinné)</w:t>
            </w:r>
          </w:p>
          <w:p w14:paraId="30DE01E2" w14:textId="1DE281B9" w:rsidR="005768E4" w:rsidRDefault="007573CB" w:rsidP="00B650A9">
            <w:pPr>
              <w:spacing w:after="120"/>
              <w:jc w:val="both"/>
              <w:rPr>
                <w:rFonts w:ascii="Times New Roman" w:hAnsi="Times New Roman"/>
                <w:color w:val="000000"/>
              </w:rPr>
            </w:pPr>
            <w:r w:rsidRPr="005768E4">
              <w:rPr>
                <w:rFonts w:ascii="Times New Roman" w:hAnsi="Times New Roman"/>
                <w:color w:val="000000"/>
              </w:rPr>
              <w:t>Všetky iné relevantné informácie, ktoré chcú inštitúcie zverejňovať, pokiaľ ide</w:t>
            </w:r>
            <w:r w:rsidR="005768E4">
              <w:rPr>
                <w:rFonts w:ascii="Times New Roman" w:hAnsi="Times New Roman"/>
                <w:color w:val="000000"/>
              </w:rPr>
              <w:t xml:space="preserve"> o </w:t>
            </w:r>
            <w:r w:rsidRPr="005768E4">
              <w:rPr>
                <w:rFonts w:ascii="Times New Roman" w:hAnsi="Times New Roman"/>
                <w:color w:val="000000"/>
              </w:rPr>
              <w:t>miery IRRBB zahrnuté do vzoru EÚ IRRBB1</w:t>
            </w:r>
            <w:r w:rsidR="005768E4">
              <w:rPr>
                <w:rFonts w:ascii="Times New Roman" w:hAnsi="Times New Roman"/>
                <w:color w:val="000000"/>
              </w:rPr>
              <w:t>.</w:t>
            </w:r>
          </w:p>
          <w:p w14:paraId="10A0910D" w14:textId="5264A1DD" w:rsidR="007573CB" w:rsidRPr="005768E4" w:rsidRDefault="002B630E" w:rsidP="002B630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 xml:space="preserve">. </w:t>
            </w:r>
            <w:r w:rsidRPr="005768E4">
              <w:t xml:space="preserve"> </w:t>
            </w:r>
            <w:r w:rsidRPr="005768E4">
              <w:rPr>
                <w:rFonts w:ascii="Times New Roman" w:hAnsi="Times New Roman"/>
                <w:color w:val="000000"/>
              </w:rPr>
              <w:t>Kým sa neuplatňujú kritériá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usmerneniach uvedené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článku 84 ods. 6 smernice 2013/36/EÚ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ďalšie prvky uvedené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článku 98 ods. 5a smernice 2013/36/EÚ, inštitúcie majú zverejňovať parametre používané pre šokové scenáre dohľadu, vymedzenie čistého príjmu</w:t>
            </w:r>
            <w:r w:rsidR="005768E4">
              <w:rPr>
                <w:rFonts w:ascii="Times New Roman" w:hAnsi="Times New Roman"/>
                <w:color w:val="000000"/>
              </w:rPr>
              <w:t xml:space="preserve"> z </w:t>
            </w:r>
            <w:r w:rsidRPr="005768E4">
              <w:rPr>
                <w:rFonts w:ascii="Times New Roman" w:hAnsi="Times New Roman"/>
                <w:color w:val="000000"/>
              </w:rPr>
              <w:t>úrokov, ktorý používajú,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všetky iné informácie relevantné pre pochopenie toho, ako sa vo vzore EÚ IRRBB1 vypočítali zmeny čistého príjmu</w:t>
            </w:r>
            <w:r w:rsidR="005768E4">
              <w:rPr>
                <w:rFonts w:ascii="Times New Roman" w:hAnsi="Times New Roman"/>
                <w:color w:val="000000"/>
              </w:rPr>
              <w:t xml:space="preserve"> z </w:t>
            </w:r>
            <w:r w:rsidRPr="005768E4">
              <w:rPr>
                <w:rFonts w:ascii="Times New Roman" w:hAnsi="Times New Roman"/>
                <w:color w:val="000000"/>
              </w:rPr>
              <w:t xml:space="preserve">úrokov. </w:t>
            </w:r>
          </w:p>
        </w:tc>
      </w:tr>
      <w:tr w:rsidR="004F5466" w:rsidRPr="005768E4" w14:paraId="3C02208B" w14:textId="77777777" w:rsidTr="004F5466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EA22" w14:textId="416D163F" w:rsidR="004F5466" w:rsidRPr="005768E4" w:rsidRDefault="00EA1CF8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(1), (2)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AF10" w14:textId="66D0712D" w:rsidR="00065C44" w:rsidRPr="005768E4" w:rsidRDefault="00EA1CF8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Zverejňovanie priemernej</w:t>
            </w:r>
            <w:r w:rsidR="005768E4">
              <w:rPr>
                <w:rFonts w:ascii="Times New Roman" w:hAnsi="Times New Roman"/>
                <w:b/>
                <w:color w:val="000000"/>
                <w:sz w:val="24"/>
              </w:rPr>
              <w:t xml:space="preserve"> a </w:t>
            </w:r>
            <w:r w:rsidRPr="005768E4">
              <w:rPr>
                <w:rFonts w:ascii="Times New Roman" w:hAnsi="Times New Roman"/>
                <w:b/>
                <w:color w:val="000000"/>
                <w:sz w:val="24"/>
              </w:rPr>
              <w:t>najdlhšej splatnosti do precenenia priradenej vkladom splatným na požiadanie</w:t>
            </w:r>
          </w:p>
          <w:p w14:paraId="48FA0E44" w14:textId="142D5E29" w:rsidR="004F5466" w:rsidRPr="005768E4" w:rsidRDefault="00065C44" w:rsidP="00942E61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V súlade</w:t>
            </w:r>
            <w:r w:rsidR="005768E4">
              <w:rPr>
                <w:rFonts w:ascii="Times New Roman" w:hAnsi="Times New Roman"/>
                <w:color w:val="000000"/>
              </w:rPr>
              <w:t xml:space="preserve"> s </w:t>
            </w:r>
            <w:r w:rsidRPr="005768E4">
              <w:rPr>
                <w:rFonts w:ascii="Times New Roman" w:hAnsi="Times New Roman"/>
                <w:color w:val="000000"/>
              </w:rPr>
              <w:t xml:space="preserve">článkom 448 ods. 1 písm. g) nariadenia (EÚ) </w:t>
            </w:r>
            <w:r w:rsidR="005768E4">
              <w:rPr>
                <w:rFonts w:ascii="Times New Roman" w:hAnsi="Times New Roman"/>
                <w:color w:val="000000"/>
              </w:rPr>
              <w:t>č. </w:t>
            </w:r>
            <w:r w:rsidRPr="005768E4">
              <w:rPr>
                <w:rFonts w:ascii="Times New Roman" w:hAnsi="Times New Roman"/>
                <w:color w:val="000000"/>
              </w:rPr>
              <w:t>575/2013 inštitúcie zverejňujú priemernú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najdlhšiu splatnosť do precenenia priradenú vkladom splatným na požiadanie od retailových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nefinančných veľkých (</w:t>
            </w:r>
            <w:r w:rsidRPr="005768E4">
              <w:rPr>
                <w:rFonts w:ascii="Times New Roman" w:hAnsi="Times New Roman"/>
                <w:i/>
                <w:iCs/>
                <w:color w:val="000000"/>
              </w:rPr>
              <w:t>wholesale</w:t>
            </w:r>
            <w:r w:rsidRPr="005768E4">
              <w:rPr>
                <w:rFonts w:ascii="Times New Roman" w:hAnsi="Times New Roman"/>
                <w:color w:val="000000"/>
              </w:rPr>
              <w:t>) protistrán. Zverejnenie odkazuje osobitne na hlavnú časť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plnú výšku neplatených vkladov splatných na požiadanie retailových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nefinančných veľkých (</w:t>
            </w:r>
            <w:r w:rsidRPr="005768E4">
              <w:rPr>
                <w:rFonts w:ascii="Times New Roman" w:hAnsi="Times New Roman"/>
                <w:i/>
                <w:iCs/>
                <w:color w:val="000000"/>
              </w:rPr>
              <w:t>wholesale</w:t>
            </w:r>
            <w:r w:rsidRPr="005768E4">
              <w:rPr>
                <w:rFonts w:ascii="Times New Roman" w:hAnsi="Times New Roman"/>
                <w:color w:val="000000"/>
              </w:rPr>
              <w:t>) protistrán.</w:t>
            </w:r>
          </w:p>
        </w:tc>
      </w:tr>
    </w:tbl>
    <w:p w14:paraId="7CCC608C" w14:textId="665437C9" w:rsidR="00CD3692" w:rsidRPr="005768E4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7ECF7AE" w14:textId="68E6A9FF" w:rsidR="00CD3692" w:rsidRPr="005768E4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CCE4A80" w14:textId="7996A576" w:rsidR="00CD3692" w:rsidRPr="005768E4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3569941" w14:textId="4C420FFB" w:rsidR="000D6C4D" w:rsidRPr="005768E4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1D6BE0F5" w14:textId="4EA1E980" w:rsidR="000D6C4D" w:rsidRPr="005768E4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3487ACD1" w14:textId="53FD952F" w:rsidR="000D6C4D" w:rsidRPr="005768E4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250FBF3" w14:textId="37DE64E1" w:rsidR="000D6C4D" w:rsidRPr="005768E4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69D0F024" w14:textId="0F997E35" w:rsidR="000D6C4D" w:rsidRPr="005768E4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0E8B64AA" w14:textId="14A18415" w:rsidR="000D6C4D" w:rsidRPr="005768E4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1354E78F" w14:textId="3B4408D4" w:rsidR="000D6C4D" w:rsidRPr="005768E4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3C13897A" w14:textId="548DECB4" w:rsidR="000D6C4D" w:rsidRPr="005768E4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63BE97FF" w14:textId="21D9ECFA" w:rsidR="000D6C4D" w:rsidRPr="005768E4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064F668" w14:textId="77777777" w:rsidR="000D6C4D" w:rsidRPr="005768E4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7E0A7DD8" w14:textId="77777777" w:rsidR="005768E4" w:rsidRDefault="00906CCA" w:rsidP="0054744B">
      <w:pPr>
        <w:jc w:val="both"/>
        <w:rPr>
          <w:rFonts w:ascii="Times New Roman" w:hAnsi="Times New Roman"/>
          <w:b/>
          <w:sz w:val="24"/>
        </w:rPr>
      </w:pPr>
      <w:r w:rsidRPr="005768E4">
        <w:rPr>
          <w:rFonts w:ascii="Times New Roman" w:hAnsi="Times New Roman"/>
          <w:b/>
          <w:sz w:val="24"/>
        </w:rPr>
        <w:t>Pokyny na zverejňovanie informácií</w:t>
      </w:r>
      <w:r w:rsidR="005768E4">
        <w:rPr>
          <w:rFonts w:ascii="Times New Roman" w:hAnsi="Times New Roman"/>
          <w:b/>
          <w:sz w:val="24"/>
        </w:rPr>
        <w:t xml:space="preserve"> v </w:t>
      </w:r>
      <w:r w:rsidRPr="005768E4">
        <w:rPr>
          <w:rFonts w:ascii="Times New Roman" w:hAnsi="Times New Roman"/>
          <w:b/>
          <w:sz w:val="24"/>
        </w:rPr>
        <w:t>prípade vzoru EÚ IRRBB1</w:t>
      </w:r>
    </w:p>
    <w:p w14:paraId="31489412" w14:textId="50CDB0F5" w:rsidR="0054744B" w:rsidRPr="005768E4" w:rsidRDefault="0054744B" w:rsidP="0054744B">
      <w:pPr>
        <w:ind w:left="360"/>
        <w:jc w:val="both"/>
        <w:rPr>
          <w:rFonts w:ascii="Times New Roman" w:hAnsi="Times New Roman"/>
          <w:bCs/>
          <w:sz w:val="24"/>
        </w:rPr>
      </w:pPr>
    </w:p>
    <w:p w14:paraId="341C6BAB" w14:textId="32CD6F45" w:rsidR="00580D58" w:rsidRPr="005768E4" w:rsidRDefault="00580D58" w:rsidP="000D6C4D">
      <w:pPr>
        <w:ind w:left="360"/>
        <w:jc w:val="both"/>
        <w:rPr>
          <w:bCs/>
        </w:rPr>
      </w:pPr>
    </w:p>
    <w:p w14:paraId="59C5AC78" w14:textId="2AB7886E" w:rsidR="00AC7CEB" w:rsidRPr="005768E4" w:rsidRDefault="00580D58" w:rsidP="0064406C">
      <w:pPr>
        <w:numPr>
          <w:ilvl w:val="0"/>
          <w:numId w:val="9"/>
        </w:numPr>
        <w:jc w:val="both"/>
        <w:rPr>
          <w:rFonts w:ascii="Times New Roman" w:hAnsi="Times New Roman"/>
          <w:bCs/>
          <w:sz w:val="24"/>
        </w:rPr>
      </w:pPr>
      <w:r w:rsidRPr="005768E4">
        <w:rPr>
          <w:rFonts w:ascii="Times New Roman" w:hAnsi="Times New Roman"/>
          <w:sz w:val="24"/>
        </w:rPr>
        <w:t xml:space="preserve">Inštitúcie majú posudzovať úrokové riziko činností neobchodnej knihy na základe svojej metodiky interného systému merania, </w:t>
      </w:r>
      <w:r w:rsidRPr="005768E4">
        <w:rPr>
          <w:rFonts w:ascii="Times New Roman" w:hAnsi="Times New Roman"/>
          <w:color w:val="000000"/>
          <w:sz w:val="24"/>
        </w:rPr>
        <w:t>štandardizovanej metodiky alebo prípadne zjednodušenej štandardizovanej metodiky</w:t>
      </w:r>
      <w:r w:rsidRPr="005768E4">
        <w:rPr>
          <w:rFonts w:ascii="Times New Roman" w:hAnsi="Times New Roman"/>
          <w:color w:val="000000"/>
        </w:rPr>
        <w:t xml:space="preserve">, </w:t>
      </w:r>
      <w:r w:rsidRPr="005768E4">
        <w:rPr>
          <w:rFonts w:ascii="Times New Roman" w:hAnsi="Times New Roman"/>
          <w:color w:val="000000"/>
          <w:sz w:val="24"/>
        </w:rPr>
        <w:t>ako</w:t>
      </w:r>
      <w:r w:rsidRPr="005768E4">
        <w:rPr>
          <w:rFonts w:ascii="Times New Roman" w:hAnsi="Times New Roman"/>
          <w:sz w:val="24"/>
        </w:rPr>
        <w:t xml:space="preserve"> sa vymedzuje</w:t>
      </w:r>
      <w:r w:rsidR="005768E4">
        <w:rPr>
          <w:rFonts w:ascii="Times New Roman" w:hAnsi="Times New Roman"/>
          <w:sz w:val="24"/>
        </w:rPr>
        <w:t xml:space="preserve"> v </w:t>
      </w:r>
      <w:r w:rsidRPr="005768E4">
        <w:rPr>
          <w:rFonts w:ascii="Times New Roman" w:hAnsi="Times New Roman"/>
          <w:sz w:val="24"/>
        </w:rPr>
        <w:t>súlade</w:t>
      </w:r>
      <w:r w:rsidR="005768E4">
        <w:rPr>
          <w:rFonts w:ascii="Times New Roman" w:hAnsi="Times New Roman"/>
          <w:sz w:val="24"/>
        </w:rPr>
        <w:t xml:space="preserve"> s </w:t>
      </w:r>
      <w:r w:rsidRPr="005768E4">
        <w:rPr>
          <w:rFonts w:ascii="Times New Roman" w:hAnsi="Times New Roman"/>
          <w:sz w:val="24"/>
        </w:rPr>
        <w:t>článkom 84 smernice 2013/36/EÚ, pokiaľ ide</w:t>
      </w:r>
      <w:r w:rsidR="005768E4">
        <w:rPr>
          <w:rFonts w:ascii="Times New Roman" w:hAnsi="Times New Roman"/>
          <w:sz w:val="24"/>
        </w:rPr>
        <w:t xml:space="preserve"> o </w:t>
      </w:r>
      <w:r w:rsidRPr="005768E4">
        <w:rPr>
          <w:rFonts w:ascii="Times New Roman" w:hAnsi="Times New Roman"/>
          <w:sz w:val="24"/>
        </w:rPr>
        <w:t>šokové scenáre dohľadu</w:t>
      </w:r>
      <w:r w:rsidR="005768E4">
        <w:rPr>
          <w:rFonts w:ascii="Times New Roman" w:hAnsi="Times New Roman"/>
          <w:sz w:val="24"/>
        </w:rPr>
        <w:t xml:space="preserve"> a </w:t>
      </w:r>
      <w:r w:rsidRPr="005768E4">
        <w:rPr>
          <w:rFonts w:ascii="Times New Roman" w:hAnsi="Times New Roman"/>
          <w:sz w:val="24"/>
        </w:rPr>
        <w:t>spoločné modelovacie</w:t>
      </w:r>
      <w:r w:rsidR="005768E4">
        <w:rPr>
          <w:rFonts w:ascii="Times New Roman" w:hAnsi="Times New Roman"/>
          <w:sz w:val="24"/>
        </w:rPr>
        <w:t xml:space="preserve"> a </w:t>
      </w:r>
      <w:r w:rsidRPr="005768E4">
        <w:rPr>
          <w:rFonts w:ascii="Times New Roman" w:hAnsi="Times New Roman"/>
          <w:sz w:val="24"/>
        </w:rPr>
        <w:t>parametrické predpoklady vymedzené</w:t>
      </w:r>
      <w:r w:rsidR="005768E4">
        <w:rPr>
          <w:rFonts w:ascii="Times New Roman" w:hAnsi="Times New Roman"/>
          <w:sz w:val="24"/>
        </w:rPr>
        <w:t xml:space="preserve"> v </w:t>
      </w:r>
      <w:r w:rsidRPr="005768E4">
        <w:rPr>
          <w:rFonts w:ascii="Times New Roman" w:hAnsi="Times New Roman"/>
          <w:sz w:val="24"/>
        </w:rPr>
        <w:t>článku 98 ods. 5a smernice 2013/36/EÚ.</w:t>
      </w:r>
    </w:p>
    <w:p w14:paraId="18595772" w14:textId="50D032F2" w:rsidR="00580D58" w:rsidRPr="005768E4" w:rsidRDefault="00580D58" w:rsidP="000D6C4D">
      <w:pPr>
        <w:ind w:left="360"/>
        <w:jc w:val="both"/>
        <w:rPr>
          <w:rFonts w:ascii="Times New Roman" w:hAnsi="Times New Roman"/>
          <w:bCs/>
          <w:sz w:val="24"/>
        </w:rPr>
      </w:pPr>
    </w:p>
    <w:p w14:paraId="6F5C27D7" w14:textId="363066DD" w:rsidR="005768E4" w:rsidRDefault="00AC7CEB" w:rsidP="0064406C">
      <w:pPr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 w:rsidRPr="005768E4">
        <w:rPr>
          <w:rFonts w:ascii="Times New Roman" w:hAnsi="Times New Roman"/>
          <w:sz w:val="24"/>
        </w:rPr>
        <w:t>Tieto pokyny boli vypracované na základe požiadaviek uvedených</w:t>
      </w:r>
      <w:r w:rsidR="005768E4">
        <w:rPr>
          <w:rFonts w:ascii="Times New Roman" w:hAnsi="Times New Roman"/>
          <w:sz w:val="24"/>
        </w:rPr>
        <w:t xml:space="preserve"> v </w:t>
      </w:r>
      <w:r w:rsidRPr="005768E4">
        <w:rPr>
          <w:rFonts w:ascii="Times New Roman" w:hAnsi="Times New Roman"/>
          <w:sz w:val="24"/>
        </w:rPr>
        <w:t xml:space="preserve">článku 448 nariadenia (EÚ) </w:t>
      </w:r>
      <w:r w:rsidR="005768E4">
        <w:rPr>
          <w:rFonts w:ascii="Times New Roman" w:hAnsi="Times New Roman"/>
          <w:sz w:val="24"/>
        </w:rPr>
        <w:t>č. </w:t>
      </w:r>
      <w:r w:rsidRPr="005768E4">
        <w:rPr>
          <w:rFonts w:ascii="Times New Roman" w:hAnsi="Times New Roman"/>
          <w:sz w:val="24"/>
        </w:rPr>
        <w:t>575/2013</w:t>
      </w:r>
      <w:r w:rsidR="005768E4">
        <w:rPr>
          <w:rFonts w:ascii="Times New Roman" w:hAnsi="Times New Roman"/>
          <w:sz w:val="24"/>
        </w:rPr>
        <w:t xml:space="preserve"> a v </w:t>
      </w:r>
      <w:r w:rsidRPr="005768E4">
        <w:rPr>
          <w:rFonts w:ascii="Times New Roman" w:hAnsi="Times New Roman"/>
          <w:sz w:val="24"/>
        </w:rPr>
        <w:t>súlade so štandardom Bazilejského výboru pre bankový dohľad na zverejňovanie informácií</w:t>
      </w:r>
      <w:r w:rsidR="005768E4">
        <w:rPr>
          <w:rFonts w:ascii="Times New Roman" w:hAnsi="Times New Roman"/>
          <w:sz w:val="24"/>
        </w:rPr>
        <w:t xml:space="preserve"> z </w:t>
      </w:r>
      <w:r w:rsidRPr="005768E4">
        <w:rPr>
          <w:rFonts w:ascii="Times New Roman" w:hAnsi="Times New Roman"/>
          <w:sz w:val="24"/>
        </w:rPr>
        <w:t>piliera 3</w:t>
      </w:r>
      <w:r w:rsidR="005768E4">
        <w:rPr>
          <w:rFonts w:ascii="Times New Roman" w:hAnsi="Times New Roman"/>
          <w:sz w:val="24"/>
        </w:rPr>
        <w:t>.</w:t>
      </w:r>
    </w:p>
    <w:p w14:paraId="71B54BD0" w14:textId="4FFB1B89" w:rsidR="00227FDC" w:rsidRPr="005768E4" w:rsidRDefault="00227FDC" w:rsidP="00A81E4E">
      <w:pPr>
        <w:jc w:val="both"/>
        <w:rPr>
          <w:rFonts w:ascii="Times New Roman" w:hAnsi="Times New Roman"/>
          <w:bCs/>
          <w:sz w:val="24"/>
        </w:rPr>
      </w:pPr>
    </w:p>
    <w:p w14:paraId="532A60CC" w14:textId="38E17551" w:rsidR="0054744B" w:rsidRPr="005768E4" w:rsidRDefault="005B5611" w:rsidP="0064406C">
      <w:pPr>
        <w:numPr>
          <w:ilvl w:val="0"/>
          <w:numId w:val="9"/>
        </w:numPr>
        <w:jc w:val="both"/>
        <w:rPr>
          <w:rFonts w:ascii="Times New Roman" w:hAnsi="Times New Roman"/>
          <w:bCs/>
          <w:sz w:val="24"/>
        </w:rPr>
      </w:pPr>
      <w:r w:rsidRPr="005768E4">
        <w:rPr>
          <w:rFonts w:ascii="Times New Roman" w:hAnsi="Times New Roman"/>
          <w:sz w:val="24"/>
        </w:rPr>
        <w:t>Od inštitúcií sa nevyžaduje, aby vo svojom prvom zverejnení poskytovali informácie za predchádzajúce obdobie.</w:t>
      </w:r>
    </w:p>
    <w:p w14:paraId="4329A1AB" w14:textId="77777777" w:rsidR="00CE0D17" w:rsidRPr="005768E4" w:rsidRDefault="00CE0D17" w:rsidP="00CE0D17">
      <w:pPr>
        <w:pStyle w:val="ListParagraph"/>
        <w:rPr>
          <w:rFonts w:ascii="Times New Roman" w:hAnsi="Times New Roman"/>
          <w:bCs/>
          <w:sz w:val="24"/>
        </w:rPr>
      </w:pPr>
    </w:p>
    <w:p w14:paraId="6EDD9A3D" w14:textId="77777777" w:rsidR="0060489A" w:rsidRPr="005768E4" w:rsidRDefault="0060489A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768"/>
      </w:tblGrid>
      <w:tr w:rsidR="0054744B" w:rsidRPr="005768E4" w14:paraId="4761A8A4" w14:textId="77777777" w:rsidTr="0095024C">
        <w:trPr>
          <w:trHeight w:val="3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73110B" w14:textId="04B554CD" w:rsidR="0054744B" w:rsidRPr="005768E4" w:rsidRDefault="0054744B" w:rsidP="0054744B">
            <w:pPr>
              <w:pStyle w:val="TableTitle"/>
              <w:jc w:val="left"/>
              <w:rPr>
                <w:rFonts w:ascii="Times New Roman" w:hAnsi="Times New Roman"/>
                <w:noProof w:val="0"/>
                <w:sz w:val="24"/>
              </w:rPr>
            </w:pPr>
            <w:r w:rsidRPr="005768E4">
              <w:rPr>
                <w:rFonts w:ascii="Times New Roman" w:hAnsi="Times New Roman"/>
                <w:noProof w:val="0"/>
              </w:rPr>
              <w:t>Pokyny na vypĺňanie vzoru na zverejňovanie informácií EÚ IRRBB1</w:t>
            </w:r>
          </w:p>
        </w:tc>
      </w:tr>
      <w:tr w:rsidR="0054744B" w:rsidRPr="005768E4" w14:paraId="4DCD406D" w14:textId="77777777" w:rsidTr="007C351F">
        <w:trPr>
          <w:trHeight w:val="238"/>
        </w:trPr>
        <w:tc>
          <w:tcPr>
            <w:tcW w:w="1271" w:type="dxa"/>
            <w:tcBorders>
              <w:bottom w:val="nil"/>
            </w:tcBorders>
            <w:shd w:val="clear" w:color="auto" w:fill="D9D9D9" w:themeFill="background1" w:themeFillShade="D9"/>
          </w:tcPr>
          <w:p w14:paraId="088F66A9" w14:textId="77777777" w:rsidR="0054744B" w:rsidRPr="005768E4" w:rsidRDefault="0054744B" w:rsidP="006048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b/>
              </w:rPr>
              <w:t>Stĺpec</w:t>
            </w:r>
          </w:p>
        </w:tc>
        <w:tc>
          <w:tcPr>
            <w:tcW w:w="7768" w:type="dxa"/>
            <w:tcBorders>
              <w:bottom w:val="nil"/>
            </w:tcBorders>
            <w:shd w:val="clear" w:color="auto" w:fill="D9D9D9" w:themeFill="background1" w:themeFillShade="D9"/>
          </w:tcPr>
          <w:p w14:paraId="00621506" w14:textId="77777777" w:rsidR="0054744B" w:rsidRPr="005768E4" w:rsidRDefault="0054744B" w:rsidP="006048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5768E4">
              <w:rPr>
                <w:rFonts w:ascii="Times New Roman" w:hAnsi="Times New Roman"/>
                <w:b/>
              </w:rPr>
              <w:t>Vysvetlenie</w:t>
            </w:r>
          </w:p>
        </w:tc>
      </w:tr>
      <w:tr w:rsidR="0054744B" w:rsidRPr="005768E4" w14:paraId="53AAFC46" w14:textId="77777777" w:rsidTr="007C351F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562D66BF" w14:textId="1E0A8346" w:rsidR="0054744B" w:rsidRPr="005768E4" w:rsidRDefault="00316B9A" w:rsidP="00F55DB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b/>
              </w:rPr>
              <w:t>a, b</w:t>
            </w:r>
          </w:p>
        </w:tc>
        <w:tc>
          <w:tcPr>
            <w:tcW w:w="7768" w:type="dxa"/>
            <w:shd w:val="clear" w:color="auto" w:fill="FFFFFF" w:themeFill="background1"/>
          </w:tcPr>
          <w:p w14:paraId="26CB8AC0" w14:textId="0F35696C" w:rsidR="00793890" w:rsidRPr="005768E4" w:rsidRDefault="004E6BD5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b/>
              </w:rPr>
              <w:t>Zmeny</w:t>
            </w:r>
            <w:r w:rsidR="005768E4">
              <w:rPr>
                <w:rFonts w:ascii="Times New Roman" w:hAnsi="Times New Roman"/>
                <w:b/>
              </w:rPr>
              <w:t xml:space="preserve"> v </w:t>
            </w:r>
            <w:r w:rsidRPr="005768E4">
              <w:rPr>
                <w:rFonts w:ascii="Times New Roman" w:hAnsi="Times New Roman"/>
                <w:b/>
              </w:rPr>
              <w:t>ekonomickej hodnote vlastného imania</w:t>
            </w:r>
          </w:p>
          <w:p w14:paraId="3F4F7E3A" w14:textId="2E72B058" w:rsidR="005768E4" w:rsidRDefault="009C3247" w:rsidP="009C3247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5768E4">
              <w:rPr>
                <w:rFonts w:ascii="Times New Roman" w:hAnsi="Times New Roman"/>
              </w:rPr>
              <w:t xml:space="preserve">Článok 448 ods. 1 písm. a) </w:t>
            </w:r>
            <w:r w:rsidRPr="005768E4">
              <w:rPr>
                <w:rFonts w:ascii="Times New Roman" w:hAnsi="Times New Roman"/>
                <w:color w:val="000000"/>
              </w:rPr>
              <w:t xml:space="preserve">nariadenia (EÚ) </w:t>
            </w:r>
            <w:r w:rsidR="005768E4">
              <w:rPr>
                <w:rFonts w:ascii="Times New Roman" w:hAnsi="Times New Roman"/>
                <w:color w:val="000000"/>
              </w:rPr>
              <w:t>č. </w:t>
            </w:r>
            <w:r w:rsidRPr="005768E4">
              <w:rPr>
                <w:rFonts w:ascii="Times New Roman" w:hAnsi="Times New Roman"/>
                <w:color w:val="000000"/>
              </w:rPr>
              <w:t>575/201</w:t>
            </w:r>
            <w:r w:rsidRPr="005768E4">
              <w:rPr>
                <w:rFonts w:ascii="Times New Roman" w:hAnsi="Times New Roman"/>
              </w:rPr>
              <w:t>3</w:t>
            </w:r>
            <w:r w:rsidR="005768E4">
              <w:rPr>
                <w:rFonts w:ascii="Times New Roman" w:hAnsi="Times New Roman"/>
              </w:rPr>
              <w:t>.</w:t>
            </w:r>
          </w:p>
          <w:p w14:paraId="4C9FBFE2" w14:textId="26601F9C" w:rsidR="009C2377" w:rsidRPr="005768E4" w:rsidRDefault="009C3247" w:rsidP="009C3247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5768E4">
              <w:rPr>
                <w:rFonts w:ascii="Times New Roman" w:hAnsi="Times New Roman"/>
              </w:rPr>
              <w:t>Inštitúcie vykazujú zmeny ekonomickej hodnoty vlastného imania</w:t>
            </w:r>
            <w:r w:rsidR="005768E4">
              <w:rPr>
                <w:rFonts w:ascii="Times New Roman" w:hAnsi="Times New Roman"/>
              </w:rPr>
              <w:t xml:space="preserve"> v </w:t>
            </w:r>
            <w:r w:rsidRPr="005768E4">
              <w:rPr>
                <w:rFonts w:ascii="Times New Roman" w:hAnsi="Times New Roman"/>
              </w:rPr>
              <w:t>rámci každého šokového scenára úrokových sadzieb,</w:t>
            </w:r>
            <w:r w:rsidR="005768E4">
              <w:rPr>
                <w:rFonts w:ascii="Times New Roman" w:hAnsi="Times New Roman"/>
              </w:rPr>
              <w:t xml:space="preserve"> a </w:t>
            </w:r>
            <w:r w:rsidRPr="005768E4">
              <w:rPr>
                <w:rFonts w:ascii="Times New Roman" w:hAnsi="Times New Roman"/>
              </w:rPr>
              <w:t>to za bežné</w:t>
            </w:r>
            <w:r w:rsidR="005768E4">
              <w:rPr>
                <w:rFonts w:ascii="Times New Roman" w:hAnsi="Times New Roman"/>
              </w:rPr>
              <w:t xml:space="preserve"> a </w:t>
            </w:r>
            <w:r w:rsidRPr="005768E4">
              <w:rPr>
                <w:rFonts w:ascii="Times New Roman" w:hAnsi="Times New Roman"/>
              </w:rPr>
              <w:t>predchádzajúce obdobie</w:t>
            </w:r>
            <w:r w:rsidR="005768E4">
              <w:rPr>
                <w:rFonts w:ascii="Times New Roman" w:hAnsi="Times New Roman"/>
              </w:rPr>
              <w:t xml:space="preserve"> a v </w:t>
            </w:r>
            <w:r w:rsidRPr="005768E4">
              <w:rPr>
                <w:rFonts w:ascii="Times New Roman" w:hAnsi="Times New Roman"/>
              </w:rPr>
              <w:t>súlade</w:t>
            </w:r>
            <w:r w:rsidR="005768E4">
              <w:rPr>
                <w:rFonts w:ascii="Times New Roman" w:hAnsi="Times New Roman"/>
              </w:rPr>
              <w:t xml:space="preserve"> s </w:t>
            </w:r>
            <w:r w:rsidRPr="005768E4">
              <w:rPr>
                <w:rFonts w:ascii="Times New Roman" w:hAnsi="Times New Roman"/>
              </w:rPr>
              <w:t>požiadavkami podľa článku 84</w:t>
            </w:r>
            <w:r w:rsidR="005768E4">
              <w:rPr>
                <w:rFonts w:ascii="Times New Roman" w:hAnsi="Times New Roman"/>
              </w:rPr>
              <w:t xml:space="preserve"> a </w:t>
            </w:r>
            <w:r w:rsidRPr="005768E4">
              <w:rPr>
                <w:rFonts w:ascii="Times New Roman" w:hAnsi="Times New Roman"/>
              </w:rPr>
              <w:t>článku 98 ods. 5 smernice 2013/36/EÚ.</w:t>
            </w:r>
          </w:p>
          <w:p w14:paraId="6996A7A9" w14:textId="72F54AA8" w:rsidR="009D7A7D" w:rsidRPr="005768E4" w:rsidRDefault="009D7A7D" w:rsidP="009D7A7D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4744B" w:rsidRPr="005768E4" w14:paraId="6583A42B" w14:textId="77777777" w:rsidTr="007C351F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619CE943" w14:textId="5F0011ED" w:rsidR="0054744B" w:rsidRPr="005768E4" w:rsidRDefault="00316B9A" w:rsidP="0060489A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b/>
              </w:rPr>
              <w:t>c, d</w:t>
            </w:r>
          </w:p>
        </w:tc>
        <w:tc>
          <w:tcPr>
            <w:tcW w:w="7768" w:type="dxa"/>
            <w:shd w:val="clear" w:color="auto" w:fill="FFFFFF" w:themeFill="background1"/>
          </w:tcPr>
          <w:p w14:paraId="5BAD9564" w14:textId="360F5A00" w:rsidR="00305C67" w:rsidRPr="005768E4" w:rsidRDefault="00316B9A" w:rsidP="00305C6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b/>
              </w:rPr>
              <w:t>Zmeny</w:t>
            </w:r>
            <w:r w:rsidR="005768E4">
              <w:rPr>
                <w:rFonts w:ascii="Times New Roman" w:hAnsi="Times New Roman"/>
                <w:b/>
              </w:rPr>
              <w:t xml:space="preserve"> v </w:t>
            </w:r>
            <w:r w:rsidRPr="005768E4">
              <w:rPr>
                <w:rFonts w:ascii="Times New Roman" w:hAnsi="Times New Roman"/>
                <w:b/>
              </w:rPr>
              <w:t>čistom príjmu</w:t>
            </w:r>
            <w:r w:rsidR="005768E4">
              <w:rPr>
                <w:rFonts w:ascii="Times New Roman" w:hAnsi="Times New Roman"/>
                <w:b/>
              </w:rPr>
              <w:t xml:space="preserve"> z </w:t>
            </w:r>
            <w:r w:rsidRPr="005768E4">
              <w:rPr>
                <w:rFonts w:ascii="Times New Roman" w:hAnsi="Times New Roman"/>
                <w:b/>
              </w:rPr>
              <w:t>úrokov</w:t>
            </w:r>
          </w:p>
          <w:p w14:paraId="2B5AA2FE" w14:textId="403C0230" w:rsidR="005768E4" w:rsidRDefault="00CE0D17" w:rsidP="00B81100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5768E4">
              <w:rPr>
                <w:rFonts w:ascii="Times New Roman" w:hAnsi="Times New Roman"/>
              </w:rPr>
              <w:t xml:space="preserve">Článok 448 ods. 1 písm. b) </w:t>
            </w:r>
            <w:r w:rsidRPr="005768E4">
              <w:rPr>
                <w:rFonts w:ascii="Times New Roman" w:hAnsi="Times New Roman"/>
                <w:color w:val="000000"/>
              </w:rPr>
              <w:t xml:space="preserve">nariadenia (EÚ) </w:t>
            </w:r>
            <w:r w:rsidR="005768E4">
              <w:rPr>
                <w:rFonts w:ascii="Times New Roman" w:hAnsi="Times New Roman"/>
                <w:color w:val="000000"/>
              </w:rPr>
              <w:t>č. </w:t>
            </w:r>
            <w:r w:rsidRPr="005768E4">
              <w:rPr>
                <w:rFonts w:ascii="Times New Roman" w:hAnsi="Times New Roman"/>
                <w:color w:val="000000"/>
              </w:rPr>
              <w:t>575/2013</w:t>
            </w:r>
          </w:p>
          <w:p w14:paraId="0A6ABDC7" w14:textId="738AB550" w:rsidR="005768E4" w:rsidRDefault="00CE0D17" w:rsidP="00B81100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5768E4">
              <w:rPr>
                <w:rFonts w:ascii="Times New Roman" w:hAnsi="Times New Roman"/>
              </w:rPr>
              <w:t>Inštitúcie vykazujú zmeny</w:t>
            </w:r>
            <w:r w:rsidR="005768E4">
              <w:rPr>
                <w:rFonts w:ascii="Times New Roman" w:hAnsi="Times New Roman"/>
              </w:rPr>
              <w:t xml:space="preserve"> v </w:t>
            </w:r>
            <w:r w:rsidRPr="005768E4">
              <w:rPr>
                <w:rFonts w:ascii="Times New Roman" w:hAnsi="Times New Roman"/>
              </w:rPr>
              <w:t>čistom príjme</w:t>
            </w:r>
            <w:r w:rsidR="005768E4">
              <w:rPr>
                <w:rFonts w:ascii="Times New Roman" w:hAnsi="Times New Roman"/>
              </w:rPr>
              <w:t xml:space="preserve"> z </w:t>
            </w:r>
            <w:r w:rsidRPr="005768E4">
              <w:rPr>
                <w:rFonts w:ascii="Times New Roman" w:hAnsi="Times New Roman"/>
              </w:rPr>
              <w:t>úrokov vypočítané podľa dvoch šokových scenárov dohľadu plánovaných vo vzoroch,</w:t>
            </w:r>
            <w:r w:rsidR="005768E4">
              <w:rPr>
                <w:rFonts w:ascii="Times New Roman" w:hAnsi="Times New Roman"/>
              </w:rPr>
              <w:t xml:space="preserve"> a </w:t>
            </w:r>
            <w:r w:rsidRPr="005768E4">
              <w:rPr>
                <w:rFonts w:ascii="Times New Roman" w:hAnsi="Times New Roman"/>
              </w:rPr>
              <w:t>to za bežné</w:t>
            </w:r>
            <w:r w:rsidR="005768E4">
              <w:rPr>
                <w:rFonts w:ascii="Times New Roman" w:hAnsi="Times New Roman"/>
              </w:rPr>
              <w:t xml:space="preserve"> a </w:t>
            </w:r>
            <w:r w:rsidRPr="005768E4">
              <w:rPr>
                <w:rFonts w:ascii="Times New Roman" w:hAnsi="Times New Roman"/>
              </w:rPr>
              <w:t>predchádzajúce obdobie</w:t>
            </w:r>
            <w:r w:rsidR="005768E4">
              <w:rPr>
                <w:rFonts w:ascii="Times New Roman" w:hAnsi="Times New Roman"/>
              </w:rPr>
              <w:t xml:space="preserve"> a v </w:t>
            </w:r>
            <w:r w:rsidRPr="005768E4">
              <w:rPr>
                <w:rFonts w:ascii="Times New Roman" w:hAnsi="Times New Roman"/>
              </w:rPr>
              <w:t>súlade</w:t>
            </w:r>
            <w:r w:rsidR="005768E4">
              <w:rPr>
                <w:rFonts w:ascii="Times New Roman" w:hAnsi="Times New Roman"/>
              </w:rPr>
              <w:t xml:space="preserve"> s </w:t>
            </w:r>
            <w:r w:rsidRPr="005768E4">
              <w:rPr>
                <w:rFonts w:ascii="Times New Roman" w:hAnsi="Times New Roman"/>
              </w:rPr>
              <w:t>požiadavkami podľa článku 84</w:t>
            </w:r>
            <w:r w:rsidR="005768E4">
              <w:rPr>
                <w:rFonts w:ascii="Times New Roman" w:hAnsi="Times New Roman"/>
              </w:rPr>
              <w:t xml:space="preserve"> a </w:t>
            </w:r>
            <w:r w:rsidRPr="005768E4">
              <w:rPr>
                <w:rFonts w:ascii="Times New Roman" w:hAnsi="Times New Roman"/>
              </w:rPr>
              <w:t>článku 98 ods. 5 smernice 2013/36/EÚ</w:t>
            </w:r>
            <w:r w:rsidR="005768E4">
              <w:rPr>
                <w:rFonts w:ascii="Times New Roman" w:hAnsi="Times New Roman"/>
              </w:rPr>
              <w:t>.</w:t>
            </w:r>
          </w:p>
          <w:p w14:paraId="2D49064E" w14:textId="762D3BCB" w:rsidR="00C41D59" w:rsidRPr="005768E4" w:rsidRDefault="00C24484" w:rsidP="00C24484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 xml:space="preserve"> Kým sa nebudú uplatňovať kritériá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usmerneniach uvedené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článku 84 ods. 6 smernice 2013/36/EÚ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ďalšie prvky uvedené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článku 98 ods. 5a smernice 2013/36/EÚ</w:t>
            </w:r>
            <w:r w:rsidRPr="005768E4">
              <w:rPr>
                <w:rFonts w:ascii="Times New Roman" w:hAnsi="Times New Roman"/>
              </w:rPr>
              <w:t>, inštitúcie opisujú vymedzenie</w:t>
            </w:r>
            <w:r w:rsidR="005768E4">
              <w:rPr>
                <w:rFonts w:ascii="Times New Roman" w:hAnsi="Times New Roman"/>
              </w:rPr>
              <w:t xml:space="preserve"> a </w:t>
            </w:r>
            <w:r w:rsidRPr="005768E4">
              <w:rPr>
                <w:rFonts w:ascii="Times New Roman" w:hAnsi="Times New Roman"/>
              </w:rPr>
              <w:t>kľúčové vlastnosti čistých príjmov</w:t>
            </w:r>
            <w:r w:rsidR="005768E4">
              <w:rPr>
                <w:rFonts w:ascii="Times New Roman" w:hAnsi="Times New Roman"/>
              </w:rPr>
              <w:t xml:space="preserve"> z </w:t>
            </w:r>
            <w:r w:rsidRPr="005768E4">
              <w:rPr>
                <w:rFonts w:ascii="Times New Roman" w:hAnsi="Times New Roman"/>
              </w:rPr>
              <w:t>úrokov (scenáre, predpoklady</w:t>
            </w:r>
            <w:r w:rsidR="005768E4">
              <w:rPr>
                <w:rFonts w:ascii="Times New Roman" w:hAnsi="Times New Roman"/>
              </w:rPr>
              <w:t xml:space="preserve"> a </w:t>
            </w:r>
            <w:r w:rsidRPr="005768E4">
              <w:rPr>
                <w:rFonts w:ascii="Times New Roman" w:hAnsi="Times New Roman"/>
              </w:rPr>
              <w:t xml:space="preserve">horizonty </w:t>
            </w:r>
            <w:r w:rsidRPr="005768E4">
              <w:rPr>
                <w:rFonts w:ascii="Times New Roman" w:hAnsi="Times New Roman"/>
                <w:color w:val="000000"/>
              </w:rPr>
              <w:t>čistých príjmov</w:t>
            </w:r>
            <w:r w:rsidR="005768E4">
              <w:rPr>
                <w:rFonts w:ascii="Times New Roman" w:hAnsi="Times New Roman"/>
                <w:color w:val="000000"/>
              </w:rPr>
              <w:t xml:space="preserve"> z </w:t>
            </w:r>
            <w:r w:rsidRPr="005768E4">
              <w:rPr>
                <w:rFonts w:ascii="Times New Roman" w:hAnsi="Times New Roman"/>
                <w:color w:val="000000"/>
              </w:rPr>
              <w:t>úrokov</w:t>
            </w:r>
            <w:r w:rsidRPr="005768E4">
              <w:rPr>
                <w:rFonts w:ascii="Times New Roman" w:hAnsi="Times New Roman"/>
              </w:rPr>
              <w:t>), ktoré používajú</w:t>
            </w:r>
            <w:r w:rsidR="005768E4">
              <w:rPr>
                <w:rFonts w:ascii="Times New Roman" w:hAnsi="Times New Roman"/>
              </w:rPr>
              <w:t xml:space="preserve"> v </w:t>
            </w:r>
            <w:r w:rsidRPr="005768E4">
              <w:rPr>
                <w:rFonts w:ascii="Times New Roman" w:hAnsi="Times New Roman"/>
              </w:rPr>
              <w:t>písm. i) tabuľky EÚ IRRBBA, alebo, ak tieto stĺpce nevypĺňajú, vysvetľujú dôvody</w:t>
            </w:r>
            <w:r w:rsidR="005768E4">
              <w:rPr>
                <w:rFonts w:ascii="Times New Roman" w:hAnsi="Times New Roman"/>
              </w:rPr>
              <w:t xml:space="preserve"> v </w:t>
            </w:r>
            <w:r w:rsidRPr="005768E4">
              <w:rPr>
                <w:rFonts w:ascii="Times New Roman" w:hAnsi="Times New Roman"/>
              </w:rPr>
              <w:t xml:space="preserve">písm. i) tabuľky EÚ IRRBBA. </w:t>
            </w:r>
          </w:p>
        </w:tc>
      </w:tr>
      <w:tr w:rsidR="00227FDC" w:rsidRPr="005768E4" w14:paraId="55BAD1A1" w14:textId="77777777" w:rsidTr="00A81E4E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7CBAA6" w14:textId="77777777" w:rsidR="00227FDC" w:rsidRPr="005768E4" w:rsidRDefault="00227FDC" w:rsidP="00A81E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b/>
              </w:rPr>
              <w:t xml:space="preserve">Riadok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112B66" w14:textId="77777777" w:rsidR="00227FDC" w:rsidRPr="005768E4" w:rsidRDefault="00227FDC" w:rsidP="00A81E4E">
            <w:pPr>
              <w:rPr>
                <w:rFonts w:ascii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b/>
              </w:rPr>
              <w:t>Vysvetlenie</w:t>
            </w:r>
          </w:p>
        </w:tc>
      </w:tr>
      <w:tr w:rsidR="00227FDC" w:rsidRPr="005768E4" w14:paraId="58E34903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08E4B4" w14:textId="7F6176AD" w:rsidR="00227FDC" w:rsidRPr="005768E4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3AB7B7" w14:textId="385B87B7" w:rsidR="00227FDC" w:rsidRPr="005768E4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b/>
              </w:rPr>
              <w:t>Paralelný nárast</w:t>
            </w:r>
          </w:p>
          <w:p w14:paraId="4A838CC7" w14:textId="1E1F5722" w:rsidR="005768E4" w:rsidRDefault="00615DB8" w:rsidP="00B9107D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5768E4">
              <w:rPr>
                <w:rFonts w:ascii="Times New Roman" w:hAnsi="Times New Roman"/>
              </w:rPr>
              <w:t>Inštitúcie majú zverejňovať zmeny ekonomickej hodnoty vlastného imania</w:t>
            </w:r>
            <w:r w:rsidR="005768E4">
              <w:rPr>
                <w:rFonts w:ascii="Times New Roman" w:hAnsi="Times New Roman"/>
              </w:rPr>
              <w:t xml:space="preserve"> a </w:t>
            </w:r>
            <w:r w:rsidRPr="005768E4">
              <w:rPr>
                <w:rFonts w:ascii="Times New Roman" w:hAnsi="Times New Roman"/>
              </w:rPr>
              <w:t>zmeny čistého príjmu</w:t>
            </w:r>
            <w:r w:rsidR="005768E4">
              <w:rPr>
                <w:rFonts w:ascii="Times New Roman" w:hAnsi="Times New Roman"/>
              </w:rPr>
              <w:t xml:space="preserve"> z </w:t>
            </w:r>
            <w:r w:rsidRPr="005768E4">
              <w:rPr>
                <w:rFonts w:ascii="Times New Roman" w:hAnsi="Times New Roman"/>
              </w:rPr>
              <w:t>úrokov pri konštantnom paralelnom vzostupnom šoku vo výnosovej krivke</w:t>
            </w:r>
            <w:r w:rsidR="005768E4">
              <w:rPr>
                <w:rFonts w:ascii="Times New Roman" w:hAnsi="Times New Roman"/>
              </w:rPr>
              <w:t>.</w:t>
            </w:r>
          </w:p>
          <w:p w14:paraId="2AA6B7BB" w14:textId="4B251BF3" w:rsidR="0084271D" w:rsidRPr="005768E4" w:rsidRDefault="00C24484" w:rsidP="00C24484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5768E4">
              <w:rPr>
                <w:rFonts w:ascii="Times New Roman" w:hAnsi="Times New Roman"/>
              </w:rPr>
              <w:t xml:space="preserve"> </w:t>
            </w:r>
            <w:r w:rsidRPr="005768E4">
              <w:rPr>
                <w:rFonts w:ascii="Times New Roman" w:hAnsi="Times New Roman"/>
                <w:color w:val="000000"/>
              </w:rPr>
              <w:t>Kým sa nebudú uplatňovať kritériá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usmerneniach uvedené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článku 84 ods. 6 smernice 2013/36/EÚ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ďalšie prvky uvedené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 xml:space="preserve">článku 98 ods. 5a smernice </w:t>
            </w:r>
            <w:r w:rsidRPr="005768E4">
              <w:rPr>
                <w:rFonts w:ascii="Times New Roman" w:hAnsi="Times New Roman"/>
                <w:color w:val="000000"/>
              </w:rPr>
              <w:lastRenderedPageBreak/>
              <w:t>2013/36/EÚ</w:t>
            </w:r>
            <w:r w:rsidRPr="005768E4">
              <w:rPr>
                <w:rFonts w:ascii="Times New Roman" w:hAnsi="Times New Roman"/>
              </w:rPr>
              <w:t>, parametre použité pre tento scenár sa opisujú</w:t>
            </w:r>
            <w:r w:rsidR="005768E4">
              <w:rPr>
                <w:rFonts w:ascii="Times New Roman" w:hAnsi="Times New Roman"/>
              </w:rPr>
              <w:t xml:space="preserve"> v </w:t>
            </w:r>
            <w:r w:rsidRPr="005768E4">
              <w:rPr>
                <w:rFonts w:ascii="Times New Roman" w:hAnsi="Times New Roman"/>
              </w:rPr>
              <w:t>bode i) tabuľky EÚ IRRBBA.</w:t>
            </w:r>
          </w:p>
        </w:tc>
      </w:tr>
      <w:tr w:rsidR="00227FDC" w:rsidRPr="005768E4" w14:paraId="544FB1F8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74EE41" w14:textId="424C34BA" w:rsidR="00227FDC" w:rsidRPr="005768E4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4F83F" w14:textId="3625939B" w:rsidR="00227FDC" w:rsidRPr="005768E4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b/>
              </w:rPr>
              <w:t>Paralelný pokles</w:t>
            </w:r>
          </w:p>
          <w:p w14:paraId="62E4B057" w14:textId="56FD8D9C" w:rsidR="005768E4" w:rsidRDefault="0084271D" w:rsidP="00B9107D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5768E4">
              <w:rPr>
                <w:rFonts w:ascii="Times New Roman" w:hAnsi="Times New Roman"/>
              </w:rPr>
              <w:t>Inštitúcie majú zverejňovať zmeny ekonomickej hodnoty vlastného imania</w:t>
            </w:r>
            <w:r w:rsidR="005768E4">
              <w:rPr>
                <w:rFonts w:ascii="Times New Roman" w:hAnsi="Times New Roman"/>
              </w:rPr>
              <w:t xml:space="preserve"> a </w:t>
            </w:r>
            <w:r w:rsidRPr="005768E4">
              <w:rPr>
                <w:rFonts w:ascii="Times New Roman" w:hAnsi="Times New Roman"/>
              </w:rPr>
              <w:t>zmeny čistého príjmu</w:t>
            </w:r>
            <w:r w:rsidR="005768E4">
              <w:rPr>
                <w:rFonts w:ascii="Times New Roman" w:hAnsi="Times New Roman"/>
              </w:rPr>
              <w:t xml:space="preserve"> z </w:t>
            </w:r>
            <w:r w:rsidRPr="005768E4">
              <w:rPr>
                <w:rFonts w:ascii="Times New Roman" w:hAnsi="Times New Roman"/>
              </w:rPr>
              <w:t>úrokov pri konštantnom paralelnom zostupnom šoku vo výnosovej krivke</w:t>
            </w:r>
            <w:r w:rsidR="005768E4">
              <w:rPr>
                <w:rFonts w:ascii="Times New Roman" w:hAnsi="Times New Roman"/>
              </w:rPr>
              <w:t>.</w:t>
            </w:r>
          </w:p>
          <w:p w14:paraId="3D14716A" w14:textId="0D312ACD" w:rsidR="0084271D" w:rsidRPr="005768E4" w:rsidRDefault="00C24484" w:rsidP="00C24484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Kým sa nebudú uplatňovať kritériá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usmerneniach uvedené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článku 84 ods. 6 smernice 2013/36/EÚ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ďalšie prvky uvedené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článku 98 ods. 5a smernice 2013/36/EÚ</w:t>
            </w:r>
            <w:r w:rsidRPr="005768E4">
              <w:rPr>
                <w:rFonts w:ascii="Times New Roman" w:hAnsi="Times New Roman"/>
              </w:rPr>
              <w:t>, parametre použité pre tento scenár sa opisujú</w:t>
            </w:r>
            <w:r w:rsidR="005768E4">
              <w:rPr>
                <w:rFonts w:ascii="Times New Roman" w:hAnsi="Times New Roman"/>
              </w:rPr>
              <w:t xml:space="preserve"> v </w:t>
            </w:r>
            <w:r w:rsidRPr="005768E4">
              <w:rPr>
                <w:rFonts w:ascii="Times New Roman" w:hAnsi="Times New Roman"/>
              </w:rPr>
              <w:t xml:space="preserve">bode i) tabuľky EÚ IRRBBA. </w:t>
            </w:r>
          </w:p>
        </w:tc>
      </w:tr>
      <w:tr w:rsidR="00227FDC" w:rsidRPr="005768E4" w14:paraId="39F33934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B555B" w14:textId="0BCBC177" w:rsidR="00227FDC" w:rsidRPr="005768E4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64ADF" w14:textId="1E50F678" w:rsidR="00227FDC" w:rsidRPr="005768E4" w:rsidRDefault="003E3A89" w:rsidP="00227FDC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2"/>
                <w:szCs w:val="22"/>
                <w:u w:val="none"/>
              </w:rPr>
            </w:pPr>
            <w:r w:rsidRPr="005768E4">
              <w:rPr>
                <w:rStyle w:val="InstructionsTabelleberschrift"/>
                <w:rFonts w:ascii="Times New Roman" w:hAnsi="Times New Roman"/>
                <w:sz w:val="22"/>
                <w:u w:val="none"/>
              </w:rPr>
              <w:t>Zostrmenie</w:t>
            </w:r>
          </w:p>
          <w:p w14:paraId="1A1C86E7" w14:textId="6CB3CF92" w:rsidR="005768E4" w:rsidRDefault="003F5907" w:rsidP="00B9107D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5768E4">
              <w:rPr>
                <w:rFonts w:ascii="Times New Roman" w:hAnsi="Times New Roman"/>
              </w:rPr>
              <w:t>Inštitúcie majú zverejňovať zmeny ekonomickej hodnoty vlastného imania podľa scenára poklesu krátkodobých sadzieb</w:t>
            </w:r>
            <w:r w:rsidR="005768E4">
              <w:rPr>
                <w:rFonts w:ascii="Times New Roman" w:hAnsi="Times New Roman"/>
              </w:rPr>
              <w:t xml:space="preserve"> a </w:t>
            </w:r>
            <w:r w:rsidRPr="005768E4">
              <w:rPr>
                <w:rFonts w:ascii="Times New Roman" w:hAnsi="Times New Roman"/>
              </w:rPr>
              <w:t>nárastu dlhodobých sadzieb vo výnosovej krivke</w:t>
            </w:r>
            <w:r w:rsidR="005768E4">
              <w:rPr>
                <w:rFonts w:ascii="Times New Roman" w:hAnsi="Times New Roman"/>
              </w:rPr>
              <w:t>.</w:t>
            </w:r>
          </w:p>
          <w:p w14:paraId="2B14043C" w14:textId="2DD50419" w:rsidR="0084271D" w:rsidRPr="005768E4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5768E4">
              <w:rPr>
                <w:rFonts w:ascii="Times New Roman" w:hAnsi="Times New Roman"/>
              </w:rPr>
              <w:t xml:space="preserve"> </w:t>
            </w:r>
            <w:r w:rsidRPr="005768E4">
              <w:rPr>
                <w:rFonts w:ascii="Times New Roman" w:hAnsi="Times New Roman"/>
                <w:color w:val="000000"/>
              </w:rPr>
              <w:t>Kým sa nebudú uplatňovať kritériá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usmerneniach uvedené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článku 84 ods. 6 smernice 2013/36/EÚ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ďalšie prvky uvedené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článku 98 ods. 5a smernice 2013/36/EÚ</w:t>
            </w:r>
            <w:r w:rsidRPr="005768E4">
              <w:rPr>
                <w:rFonts w:ascii="Times New Roman" w:hAnsi="Times New Roman"/>
              </w:rPr>
              <w:t>, parametre použité pre tento scenár sa opisujú</w:t>
            </w:r>
            <w:r w:rsidR="005768E4">
              <w:rPr>
                <w:rFonts w:ascii="Times New Roman" w:hAnsi="Times New Roman"/>
              </w:rPr>
              <w:t xml:space="preserve"> v </w:t>
            </w:r>
            <w:r w:rsidRPr="005768E4">
              <w:rPr>
                <w:rFonts w:ascii="Times New Roman" w:hAnsi="Times New Roman"/>
              </w:rPr>
              <w:t xml:space="preserve">bode i) tabuľky EÚ IRRBBA. </w:t>
            </w:r>
          </w:p>
        </w:tc>
      </w:tr>
      <w:tr w:rsidR="00227FDC" w:rsidRPr="005768E4" w14:paraId="6BC8352B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65DB3" w14:textId="300BBE37" w:rsidR="00227FDC" w:rsidRPr="005768E4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585C1" w14:textId="65969A28" w:rsidR="00227FDC" w:rsidRPr="005768E4" w:rsidRDefault="003E3A89" w:rsidP="00227FDC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2"/>
                <w:szCs w:val="22"/>
                <w:u w:val="none"/>
              </w:rPr>
            </w:pPr>
            <w:r w:rsidRPr="005768E4">
              <w:rPr>
                <w:rStyle w:val="InstructionsTabelleberschrift"/>
                <w:rFonts w:ascii="Times New Roman" w:hAnsi="Times New Roman"/>
                <w:sz w:val="22"/>
                <w:u w:val="none"/>
              </w:rPr>
              <w:t>Sploštenie</w:t>
            </w:r>
          </w:p>
          <w:p w14:paraId="0D2F3A24" w14:textId="1FEACEB7" w:rsidR="005768E4" w:rsidRDefault="003F5907" w:rsidP="003F5907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5768E4">
              <w:rPr>
                <w:rFonts w:ascii="Times New Roman" w:hAnsi="Times New Roman"/>
              </w:rPr>
              <w:t>Inštitúcie majú zverejňovať zmeny ekonomickej hodnoty vlastného imania podľa scenára nárastu krátkodobých sadzieb</w:t>
            </w:r>
            <w:r w:rsidR="005768E4">
              <w:rPr>
                <w:rFonts w:ascii="Times New Roman" w:hAnsi="Times New Roman"/>
              </w:rPr>
              <w:t xml:space="preserve"> a </w:t>
            </w:r>
            <w:r w:rsidRPr="005768E4">
              <w:rPr>
                <w:rFonts w:ascii="Times New Roman" w:hAnsi="Times New Roman"/>
              </w:rPr>
              <w:t>poklesu dlhodobých sadzieb vo výnosovej krivke</w:t>
            </w:r>
            <w:r w:rsidR="005768E4">
              <w:rPr>
                <w:rFonts w:ascii="Times New Roman" w:hAnsi="Times New Roman"/>
              </w:rPr>
              <w:t>.</w:t>
            </w:r>
          </w:p>
          <w:p w14:paraId="68AA63EC" w14:textId="0A9F54DC" w:rsidR="003C7BCD" w:rsidRPr="005768E4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Kým sa nebudú uplatňovať kritériá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usmerneniach uvedené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článku 84 ods. 6 smernice 2013/36/EÚ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ďalšie prvky uvedené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článku 98 ods. 5a smernice 2013/36/EÚ</w:t>
            </w:r>
            <w:r w:rsidRPr="005768E4">
              <w:rPr>
                <w:rFonts w:ascii="Times New Roman" w:hAnsi="Times New Roman"/>
              </w:rPr>
              <w:t>, parametre použité pre tento scenár sa opisujú</w:t>
            </w:r>
            <w:r w:rsidR="005768E4">
              <w:rPr>
                <w:rFonts w:ascii="Times New Roman" w:hAnsi="Times New Roman"/>
              </w:rPr>
              <w:t xml:space="preserve"> v </w:t>
            </w:r>
            <w:r w:rsidRPr="005768E4">
              <w:rPr>
                <w:rFonts w:ascii="Times New Roman" w:hAnsi="Times New Roman"/>
              </w:rPr>
              <w:t xml:space="preserve">bode i) tabuľky EÚ IRRBBA. </w:t>
            </w:r>
          </w:p>
        </w:tc>
      </w:tr>
      <w:tr w:rsidR="00227FDC" w:rsidRPr="005768E4" w14:paraId="5A47760B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C9AB1" w14:textId="59E27251" w:rsidR="00227FDC" w:rsidRPr="005768E4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7840B" w14:textId="0C1AAD14" w:rsidR="00227FDC" w:rsidRPr="005768E4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b/>
              </w:rPr>
              <w:t>Nárast krátkodobých sadzieb</w:t>
            </w:r>
          </w:p>
          <w:p w14:paraId="1C81EE67" w14:textId="77777777" w:rsidR="005768E4" w:rsidRDefault="003F5907" w:rsidP="003F5907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5768E4">
              <w:rPr>
                <w:rFonts w:ascii="Times New Roman" w:hAnsi="Times New Roman"/>
              </w:rPr>
              <w:t>Inštitúcie majú zverejňovať zmeny ekonomickej hodnoty vlastného imania podľa scenára nárastu krátkodobých sadzieb vo výnosovej krivke</w:t>
            </w:r>
            <w:r w:rsidR="005768E4">
              <w:rPr>
                <w:rFonts w:ascii="Times New Roman" w:hAnsi="Times New Roman"/>
              </w:rPr>
              <w:t>.</w:t>
            </w:r>
          </w:p>
          <w:p w14:paraId="6A69073C" w14:textId="646EE207" w:rsidR="003C7BCD" w:rsidRPr="005768E4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Kým sa nebudú uplatňovať kritériá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usmerneniach uvedené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článku 84 ods. 6 smernice 2013/36/EÚ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ďalšie prvky uvedené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článku 98 ods. 5a smernice 2013/36/EÚ</w:t>
            </w:r>
            <w:r w:rsidRPr="005768E4">
              <w:rPr>
                <w:rFonts w:ascii="Times New Roman" w:hAnsi="Times New Roman"/>
              </w:rPr>
              <w:t>, parametre použité pre tento scenár sa opisujú</w:t>
            </w:r>
            <w:r w:rsidR="005768E4">
              <w:rPr>
                <w:rFonts w:ascii="Times New Roman" w:hAnsi="Times New Roman"/>
              </w:rPr>
              <w:t xml:space="preserve"> v </w:t>
            </w:r>
            <w:r w:rsidRPr="005768E4">
              <w:rPr>
                <w:rFonts w:ascii="Times New Roman" w:hAnsi="Times New Roman"/>
              </w:rPr>
              <w:t xml:space="preserve">bode i) tabuľky EÚ IRRBBA. </w:t>
            </w:r>
          </w:p>
        </w:tc>
      </w:tr>
      <w:tr w:rsidR="00CE0D17" w:rsidRPr="005768E4" w14:paraId="54BF60AA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DA67F" w14:textId="4CEC3E89" w:rsidR="00CE0D17" w:rsidRPr="005768E4" w:rsidRDefault="00CE0D17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8A263" w14:textId="77777777" w:rsidR="00CE0D17" w:rsidRPr="005768E4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b/>
              </w:rPr>
              <w:t>Pokles krátkodobých sadzieb</w:t>
            </w:r>
          </w:p>
          <w:p w14:paraId="0186A25E" w14:textId="77777777" w:rsidR="005768E4" w:rsidRDefault="003F5907" w:rsidP="003F5907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5768E4">
              <w:rPr>
                <w:rFonts w:ascii="Times New Roman" w:hAnsi="Times New Roman"/>
              </w:rPr>
              <w:t>Inštitúcie majú zverejňovať zmeny ekonomickej hodnoty vlastného imania podľa scenára poklesu krátkodobých sadzieb vo výnosovej krivke</w:t>
            </w:r>
            <w:r w:rsidR="005768E4">
              <w:rPr>
                <w:rFonts w:ascii="Times New Roman" w:hAnsi="Times New Roman"/>
              </w:rPr>
              <w:t>.</w:t>
            </w:r>
          </w:p>
          <w:p w14:paraId="45792CFB" w14:textId="5A1DA8C2" w:rsidR="003C7BCD" w:rsidRPr="005768E4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 w:rsidRPr="005768E4">
              <w:rPr>
                <w:rFonts w:ascii="Times New Roman" w:hAnsi="Times New Roman"/>
                <w:color w:val="000000"/>
              </w:rPr>
              <w:t>Kým sa nebudú uplatňovať kritériá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usmerneniach uvedené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článku 84 ods. 6 smernice 2013/36/EÚ</w:t>
            </w:r>
            <w:r w:rsidR="005768E4">
              <w:rPr>
                <w:rFonts w:ascii="Times New Roman" w:hAnsi="Times New Roman"/>
                <w:color w:val="000000"/>
              </w:rPr>
              <w:t xml:space="preserve"> a </w:t>
            </w:r>
            <w:r w:rsidRPr="005768E4">
              <w:rPr>
                <w:rFonts w:ascii="Times New Roman" w:hAnsi="Times New Roman"/>
                <w:color w:val="000000"/>
              </w:rPr>
              <w:t>ďalšie prvky uvedené</w:t>
            </w:r>
            <w:r w:rsidR="005768E4">
              <w:rPr>
                <w:rFonts w:ascii="Times New Roman" w:hAnsi="Times New Roman"/>
                <w:color w:val="000000"/>
              </w:rPr>
              <w:t xml:space="preserve"> v </w:t>
            </w:r>
            <w:r w:rsidRPr="005768E4">
              <w:rPr>
                <w:rFonts w:ascii="Times New Roman" w:hAnsi="Times New Roman"/>
                <w:color w:val="000000"/>
              </w:rPr>
              <w:t>článku 98 ods. 5a smernice 2013/36/EÚ</w:t>
            </w:r>
            <w:r w:rsidRPr="005768E4">
              <w:rPr>
                <w:rFonts w:ascii="Times New Roman" w:hAnsi="Times New Roman"/>
              </w:rPr>
              <w:t>, parametre použité pre tento scenár sa opisujú</w:t>
            </w:r>
            <w:r w:rsidR="005768E4">
              <w:rPr>
                <w:rFonts w:ascii="Times New Roman" w:hAnsi="Times New Roman"/>
              </w:rPr>
              <w:t xml:space="preserve"> v </w:t>
            </w:r>
            <w:r w:rsidRPr="005768E4">
              <w:rPr>
                <w:rFonts w:ascii="Times New Roman" w:hAnsi="Times New Roman"/>
              </w:rPr>
              <w:t xml:space="preserve">bode i) tabuľky EÚ IRRBBA. </w:t>
            </w:r>
          </w:p>
        </w:tc>
      </w:tr>
    </w:tbl>
    <w:p w14:paraId="3452EC82" w14:textId="7F3D1507" w:rsidR="00FE2CB5" w:rsidRPr="005768E4" w:rsidRDefault="00FE2CB5" w:rsidP="00FE2CB5">
      <w:pPr>
        <w:jc w:val="both"/>
        <w:rPr>
          <w:rFonts w:ascii="Calibri" w:eastAsia="Times New Roman" w:hAnsi="Calibri" w:cs="Times New Roman"/>
          <w:color w:val="000000"/>
          <w:szCs w:val="22"/>
          <w:lang w:eastAsia="en-GB"/>
        </w:rPr>
      </w:pPr>
    </w:p>
    <w:p w14:paraId="7DD927F3" w14:textId="7DB8FF08" w:rsidR="00FE2CB5" w:rsidRPr="005768E4" w:rsidRDefault="005B5611" w:rsidP="00A81E4E">
      <w:r w:rsidRPr="005768E4">
        <w:t>“</w:t>
      </w:r>
    </w:p>
    <w:sectPr w:rsidR="00FE2CB5" w:rsidRPr="005768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0FE95" w14:textId="77777777" w:rsidR="005730CC" w:rsidRDefault="005730CC" w:rsidP="003B5C57">
      <w:r>
        <w:separator/>
      </w:r>
    </w:p>
  </w:endnote>
  <w:endnote w:type="continuationSeparator" w:id="0">
    <w:p w14:paraId="73967A1D" w14:textId="77777777" w:rsidR="005730CC" w:rsidRDefault="005730CC" w:rsidP="003B5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2C445" w14:textId="77777777" w:rsidR="004B327C" w:rsidRDefault="004B32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5D18" w14:textId="77777777" w:rsidR="004B327C" w:rsidRDefault="004B32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6B9CC" w14:textId="77777777" w:rsidR="004B327C" w:rsidRDefault="004B32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B8BC3" w14:textId="77777777" w:rsidR="005730CC" w:rsidRDefault="005730CC" w:rsidP="003B5C57">
      <w:r>
        <w:separator/>
      </w:r>
    </w:p>
  </w:footnote>
  <w:footnote w:type="continuationSeparator" w:id="0">
    <w:p w14:paraId="147CBF77" w14:textId="77777777" w:rsidR="005730CC" w:rsidRDefault="005730CC" w:rsidP="003B5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E0BA4" w14:textId="77777777" w:rsidR="004B327C" w:rsidRDefault="004B32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53384" w14:textId="77777777" w:rsidR="004B327C" w:rsidRDefault="004B32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2324C" w14:textId="77777777" w:rsidR="004B327C" w:rsidRDefault="004B32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820"/>
    <w:multiLevelType w:val="hybridMultilevel"/>
    <w:tmpl w:val="9008071A"/>
    <w:lvl w:ilvl="0" w:tplc="328800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667BC"/>
    <w:multiLevelType w:val="hybridMultilevel"/>
    <w:tmpl w:val="A320B384"/>
    <w:lvl w:ilvl="0" w:tplc="0809001B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" w15:restartNumberingAfterBreak="0">
    <w:nsid w:val="2466072A"/>
    <w:multiLevelType w:val="multilevel"/>
    <w:tmpl w:val="3566011E"/>
    <w:lvl w:ilvl="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07845AC"/>
    <w:multiLevelType w:val="hybridMultilevel"/>
    <w:tmpl w:val="98463E24"/>
    <w:lvl w:ilvl="0" w:tplc="6CE4CC1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CD6352"/>
    <w:multiLevelType w:val="hybridMultilevel"/>
    <w:tmpl w:val="89E0F2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" w15:restartNumberingAfterBreak="0">
    <w:nsid w:val="60BC6196"/>
    <w:multiLevelType w:val="hybridMultilevel"/>
    <w:tmpl w:val="3566011E"/>
    <w:lvl w:ilvl="0" w:tplc="A9A82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D1428"/>
    <w:multiLevelType w:val="hybridMultilevel"/>
    <w:tmpl w:val="3566011E"/>
    <w:lvl w:ilvl="0" w:tplc="A9A82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767C0"/>
    <w:multiLevelType w:val="hybridMultilevel"/>
    <w:tmpl w:val="89E0F2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 w16cid:durableId="1508517666">
    <w:abstractNumId w:val="8"/>
  </w:num>
  <w:num w:numId="2" w16cid:durableId="185559741">
    <w:abstractNumId w:val="3"/>
  </w:num>
  <w:num w:numId="3" w16cid:durableId="1587618126">
    <w:abstractNumId w:val="1"/>
  </w:num>
  <w:num w:numId="4" w16cid:durableId="1017076020">
    <w:abstractNumId w:val="0"/>
  </w:num>
  <w:num w:numId="5" w16cid:durableId="378363260">
    <w:abstractNumId w:val="6"/>
  </w:num>
  <w:num w:numId="6" w16cid:durableId="379406414">
    <w:abstractNumId w:val="2"/>
  </w:num>
  <w:num w:numId="7" w16cid:durableId="778569477">
    <w:abstractNumId w:val="7"/>
  </w:num>
  <w:num w:numId="8" w16cid:durableId="1095007901">
    <w:abstractNumId w:val="4"/>
  </w:num>
  <w:num w:numId="9" w16cid:durableId="18416942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4744B"/>
    <w:rsid w:val="00005B93"/>
    <w:rsid w:val="00013240"/>
    <w:rsid w:val="00025422"/>
    <w:rsid w:val="000469EE"/>
    <w:rsid w:val="00047E00"/>
    <w:rsid w:val="00053035"/>
    <w:rsid w:val="00060307"/>
    <w:rsid w:val="0006327F"/>
    <w:rsid w:val="00063CE6"/>
    <w:rsid w:val="00065C44"/>
    <w:rsid w:val="00067516"/>
    <w:rsid w:val="000A10FC"/>
    <w:rsid w:val="000A53EF"/>
    <w:rsid w:val="000B212C"/>
    <w:rsid w:val="000B28B3"/>
    <w:rsid w:val="000D6C4D"/>
    <w:rsid w:val="000F5EAA"/>
    <w:rsid w:val="000F6E3B"/>
    <w:rsid w:val="000F720A"/>
    <w:rsid w:val="0010640D"/>
    <w:rsid w:val="00110370"/>
    <w:rsid w:val="00111970"/>
    <w:rsid w:val="001163B7"/>
    <w:rsid w:val="00125B00"/>
    <w:rsid w:val="00133E44"/>
    <w:rsid w:val="0013410F"/>
    <w:rsid w:val="00146A3F"/>
    <w:rsid w:val="00146DB4"/>
    <w:rsid w:val="0016128F"/>
    <w:rsid w:val="00166CAA"/>
    <w:rsid w:val="00166FFE"/>
    <w:rsid w:val="00167A62"/>
    <w:rsid w:val="0017255F"/>
    <w:rsid w:val="00177088"/>
    <w:rsid w:val="001810BE"/>
    <w:rsid w:val="00186FD4"/>
    <w:rsid w:val="00187547"/>
    <w:rsid w:val="0019262D"/>
    <w:rsid w:val="001A538C"/>
    <w:rsid w:val="001A6E70"/>
    <w:rsid w:val="001A7DE4"/>
    <w:rsid w:val="001D0BA8"/>
    <w:rsid w:val="001D3283"/>
    <w:rsid w:val="001E248D"/>
    <w:rsid w:val="001E68FA"/>
    <w:rsid w:val="001F11D4"/>
    <w:rsid w:val="001F2FE9"/>
    <w:rsid w:val="00226654"/>
    <w:rsid w:val="00227A69"/>
    <w:rsid w:val="00227FDC"/>
    <w:rsid w:val="0024072B"/>
    <w:rsid w:val="002711B6"/>
    <w:rsid w:val="00271375"/>
    <w:rsid w:val="00292CEC"/>
    <w:rsid w:val="002931F0"/>
    <w:rsid w:val="002B52BC"/>
    <w:rsid w:val="002B630E"/>
    <w:rsid w:val="002B6C39"/>
    <w:rsid w:val="002D655D"/>
    <w:rsid w:val="002E597B"/>
    <w:rsid w:val="002E7E2E"/>
    <w:rsid w:val="002F10D0"/>
    <w:rsid w:val="002F2E04"/>
    <w:rsid w:val="002F726C"/>
    <w:rsid w:val="00305C67"/>
    <w:rsid w:val="0031221C"/>
    <w:rsid w:val="00316B9A"/>
    <w:rsid w:val="003364BD"/>
    <w:rsid w:val="00367A62"/>
    <w:rsid w:val="0037080E"/>
    <w:rsid w:val="00371201"/>
    <w:rsid w:val="00371886"/>
    <w:rsid w:val="0038371B"/>
    <w:rsid w:val="003942C9"/>
    <w:rsid w:val="003A2001"/>
    <w:rsid w:val="003A5365"/>
    <w:rsid w:val="003B1160"/>
    <w:rsid w:val="003B4F8B"/>
    <w:rsid w:val="003B5C57"/>
    <w:rsid w:val="003C03B3"/>
    <w:rsid w:val="003C310D"/>
    <w:rsid w:val="003C78DE"/>
    <w:rsid w:val="003C7BCD"/>
    <w:rsid w:val="003D086C"/>
    <w:rsid w:val="003E1403"/>
    <w:rsid w:val="003E3A89"/>
    <w:rsid w:val="003F5907"/>
    <w:rsid w:val="004018B3"/>
    <w:rsid w:val="00416C73"/>
    <w:rsid w:val="0042024E"/>
    <w:rsid w:val="00426CEC"/>
    <w:rsid w:val="0043059C"/>
    <w:rsid w:val="0045248D"/>
    <w:rsid w:val="00453AC4"/>
    <w:rsid w:val="00465DF4"/>
    <w:rsid w:val="00470043"/>
    <w:rsid w:val="00482070"/>
    <w:rsid w:val="004858AF"/>
    <w:rsid w:val="00487F1C"/>
    <w:rsid w:val="0049568B"/>
    <w:rsid w:val="004979A6"/>
    <w:rsid w:val="004A12CC"/>
    <w:rsid w:val="004B0B2A"/>
    <w:rsid w:val="004B327C"/>
    <w:rsid w:val="004D27DD"/>
    <w:rsid w:val="004E2266"/>
    <w:rsid w:val="004E6BD5"/>
    <w:rsid w:val="004F5466"/>
    <w:rsid w:val="00503DC1"/>
    <w:rsid w:val="00504410"/>
    <w:rsid w:val="00512477"/>
    <w:rsid w:val="00520421"/>
    <w:rsid w:val="00523FE8"/>
    <w:rsid w:val="005470E3"/>
    <w:rsid w:val="0054744B"/>
    <w:rsid w:val="00550EA4"/>
    <w:rsid w:val="00565F5A"/>
    <w:rsid w:val="005730CC"/>
    <w:rsid w:val="00573FD3"/>
    <w:rsid w:val="005768E4"/>
    <w:rsid w:val="00580D58"/>
    <w:rsid w:val="00586B82"/>
    <w:rsid w:val="00593C4B"/>
    <w:rsid w:val="00595903"/>
    <w:rsid w:val="005A5573"/>
    <w:rsid w:val="005B367A"/>
    <w:rsid w:val="005B5611"/>
    <w:rsid w:val="005D48C1"/>
    <w:rsid w:val="005E2B3A"/>
    <w:rsid w:val="005F4729"/>
    <w:rsid w:val="005F58E6"/>
    <w:rsid w:val="006001A4"/>
    <w:rsid w:val="00604339"/>
    <w:rsid w:val="0060489A"/>
    <w:rsid w:val="00607494"/>
    <w:rsid w:val="00615DB8"/>
    <w:rsid w:val="00616CF0"/>
    <w:rsid w:val="0064406C"/>
    <w:rsid w:val="0064412E"/>
    <w:rsid w:val="006473E8"/>
    <w:rsid w:val="00653207"/>
    <w:rsid w:val="00681608"/>
    <w:rsid w:val="00697A36"/>
    <w:rsid w:val="006A78BA"/>
    <w:rsid w:val="006B3947"/>
    <w:rsid w:val="006C2CA1"/>
    <w:rsid w:val="006C6FD2"/>
    <w:rsid w:val="006D4BE6"/>
    <w:rsid w:val="006D6B49"/>
    <w:rsid w:val="006D6C52"/>
    <w:rsid w:val="006F391A"/>
    <w:rsid w:val="006F69ED"/>
    <w:rsid w:val="007012E2"/>
    <w:rsid w:val="00711138"/>
    <w:rsid w:val="00716636"/>
    <w:rsid w:val="00721ADE"/>
    <w:rsid w:val="007269B1"/>
    <w:rsid w:val="00745B25"/>
    <w:rsid w:val="007573CB"/>
    <w:rsid w:val="00763C4D"/>
    <w:rsid w:val="00765030"/>
    <w:rsid w:val="007700DF"/>
    <w:rsid w:val="00775FD9"/>
    <w:rsid w:val="0078309E"/>
    <w:rsid w:val="00793890"/>
    <w:rsid w:val="007A1366"/>
    <w:rsid w:val="007A4AA0"/>
    <w:rsid w:val="007A7AFA"/>
    <w:rsid w:val="007B3033"/>
    <w:rsid w:val="007C351F"/>
    <w:rsid w:val="007D1AE4"/>
    <w:rsid w:val="007F15BF"/>
    <w:rsid w:val="007F71C4"/>
    <w:rsid w:val="0080384B"/>
    <w:rsid w:val="00804CDC"/>
    <w:rsid w:val="008220B0"/>
    <w:rsid w:val="00834F07"/>
    <w:rsid w:val="00835D8A"/>
    <w:rsid w:val="0084271D"/>
    <w:rsid w:val="00842C3A"/>
    <w:rsid w:val="00843F8C"/>
    <w:rsid w:val="00844CC6"/>
    <w:rsid w:val="00862897"/>
    <w:rsid w:val="0086459A"/>
    <w:rsid w:val="0087249C"/>
    <w:rsid w:val="008766A5"/>
    <w:rsid w:val="00885EBE"/>
    <w:rsid w:val="0088622B"/>
    <w:rsid w:val="00886EB3"/>
    <w:rsid w:val="008A053C"/>
    <w:rsid w:val="008A5827"/>
    <w:rsid w:val="008B589A"/>
    <w:rsid w:val="008E005A"/>
    <w:rsid w:val="008F617B"/>
    <w:rsid w:val="00904C4D"/>
    <w:rsid w:val="00906CCA"/>
    <w:rsid w:val="00912FEC"/>
    <w:rsid w:val="009222ED"/>
    <w:rsid w:val="00925221"/>
    <w:rsid w:val="00926D41"/>
    <w:rsid w:val="00942E61"/>
    <w:rsid w:val="0094340A"/>
    <w:rsid w:val="0094354B"/>
    <w:rsid w:val="00947B6C"/>
    <w:rsid w:val="0095024C"/>
    <w:rsid w:val="00952741"/>
    <w:rsid w:val="009528FB"/>
    <w:rsid w:val="0095538A"/>
    <w:rsid w:val="0095708D"/>
    <w:rsid w:val="00976355"/>
    <w:rsid w:val="0098778C"/>
    <w:rsid w:val="009A3E6C"/>
    <w:rsid w:val="009A42C9"/>
    <w:rsid w:val="009C2377"/>
    <w:rsid w:val="009C3247"/>
    <w:rsid w:val="009D1BA6"/>
    <w:rsid w:val="009D7A7D"/>
    <w:rsid w:val="00A0381B"/>
    <w:rsid w:val="00A05663"/>
    <w:rsid w:val="00A1733E"/>
    <w:rsid w:val="00A2202B"/>
    <w:rsid w:val="00A22F00"/>
    <w:rsid w:val="00A56B74"/>
    <w:rsid w:val="00A64295"/>
    <w:rsid w:val="00A67645"/>
    <w:rsid w:val="00A77093"/>
    <w:rsid w:val="00A81E4E"/>
    <w:rsid w:val="00A8375D"/>
    <w:rsid w:val="00A930B2"/>
    <w:rsid w:val="00AB382F"/>
    <w:rsid w:val="00AC7CEB"/>
    <w:rsid w:val="00AC7DCE"/>
    <w:rsid w:val="00AD6D9C"/>
    <w:rsid w:val="00AE69B7"/>
    <w:rsid w:val="00AF252C"/>
    <w:rsid w:val="00AF3439"/>
    <w:rsid w:val="00B4159D"/>
    <w:rsid w:val="00B44524"/>
    <w:rsid w:val="00B54332"/>
    <w:rsid w:val="00B56EBF"/>
    <w:rsid w:val="00B650A9"/>
    <w:rsid w:val="00B66A3D"/>
    <w:rsid w:val="00B81100"/>
    <w:rsid w:val="00B82005"/>
    <w:rsid w:val="00B8650B"/>
    <w:rsid w:val="00B86ED4"/>
    <w:rsid w:val="00B9107D"/>
    <w:rsid w:val="00B923DC"/>
    <w:rsid w:val="00B94237"/>
    <w:rsid w:val="00BB39FB"/>
    <w:rsid w:val="00BB574D"/>
    <w:rsid w:val="00BC025C"/>
    <w:rsid w:val="00BF2E73"/>
    <w:rsid w:val="00C006B4"/>
    <w:rsid w:val="00C07A00"/>
    <w:rsid w:val="00C143B2"/>
    <w:rsid w:val="00C1556C"/>
    <w:rsid w:val="00C206DE"/>
    <w:rsid w:val="00C24484"/>
    <w:rsid w:val="00C307AB"/>
    <w:rsid w:val="00C41D59"/>
    <w:rsid w:val="00C42692"/>
    <w:rsid w:val="00C4502B"/>
    <w:rsid w:val="00C4547F"/>
    <w:rsid w:val="00C612FA"/>
    <w:rsid w:val="00C71181"/>
    <w:rsid w:val="00C76C94"/>
    <w:rsid w:val="00C77A9E"/>
    <w:rsid w:val="00CA2AD5"/>
    <w:rsid w:val="00CD3692"/>
    <w:rsid w:val="00CE0D17"/>
    <w:rsid w:val="00CF6849"/>
    <w:rsid w:val="00D14F4A"/>
    <w:rsid w:val="00D267B0"/>
    <w:rsid w:val="00D31F66"/>
    <w:rsid w:val="00D6257E"/>
    <w:rsid w:val="00D6294D"/>
    <w:rsid w:val="00D727B4"/>
    <w:rsid w:val="00D76DCA"/>
    <w:rsid w:val="00D7725E"/>
    <w:rsid w:val="00D97456"/>
    <w:rsid w:val="00DB6997"/>
    <w:rsid w:val="00DC1B4D"/>
    <w:rsid w:val="00DD20B0"/>
    <w:rsid w:val="00DF18F3"/>
    <w:rsid w:val="00DF58CB"/>
    <w:rsid w:val="00E0485C"/>
    <w:rsid w:val="00E05113"/>
    <w:rsid w:val="00E0540C"/>
    <w:rsid w:val="00E05823"/>
    <w:rsid w:val="00E22DED"/>
    <w:rsid w:val="00E251C6"/>
    <w:rsid w:val="00E4184D"/>
    <w:rsid w:val="00E47444"/>
    <w:rsid w:val="00E74FF6"/>
    <w:rsid w:val="00E825AF"/>
    <w:rsid w:val="00EA0ADF"/>
    <w:rsid w:val="00EA1CF8"/>
    <w:rsid w:val="00EA2452"/>
    <w:rsid w:val="00EA5AA0"/>
    <w:rsid w:val="00EA5C4B"/>
    <w:rsid w:val="00EC3E7F"/>
    <w:rsid w:val="00EE3ECC"/>
    <w:rsid w:val="00EF335F"/>
    <w:rsid w:val="00F01CEA"/>
    <w:rsid w:val="00F070E6"/>
    <w:rsid w:val="00F10FFC"/>
    <w:rsid w:val="00F24E72"/>
    <w:rsid w:val="00F441CD"/>
    <w:rsid w:val="00F470EA"/>
    <w:rsid w:val="00F55DB0"/>
    <w:rsid w:val="00F666E7"/>
    <w:rsid w:val="00F720A8"/>
    <w:rsid w:val="00F931AD"/>
    <w:rsid w:val="00FA7485"/>
    <w:rsid w:val="00FB03B8"/>
    <w:rsid w:val="00FB0584"/>
    <w:rsid w:val="00FC2089"/>
    <w:rsid w:val="00FC55A8"/>
    <w:rsid w:val="00FD20DB"/>
    <w:rsid w:val="00FD6A8F"/>
    <w:rsid w:val="00FD7503"/>
    <w:rsid w:val="00FE2CB5"/>
    <w:rsid w:val="00FF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743B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44B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itle">
    <w:name w:val="TableTitle"/>
    <w:basedOn w:val="Normal"/>
    <w:next w:val="Normal"/>
    <w:link w:val="TableTitleChar"/>
    <w:rsid w:val="0054744B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54744B"/>
    <w:rPr>
      <w:rFonts w:ascii="Arial" w:eastAsia="MS Mincho" w:hAnsi="Arial" w:cs="Times New Roman"/>
      <w:b/>
      <w:noProof/>
      <w:szCs w:val="20"/>
    </w:rPr>
  </w:style>
  <w:style w:type="character" w:customStyle="1" w:styleId="InstructionsTabelleberschrift">
    <w:name w:val="Instructions Tabelle Überschrift"/>
    <w:qFormat/>
    <w:rsid w:val="00BB39F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BB39FB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2B52BC"/>
    <w:pPr>
      <w:numPr>
        <w:numId w:val="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E05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58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5823"/>
    <w:rPr>
      <w:rFonts w:eastAsiaTheme="minorEastAsia"/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823"/>
    <w:rPr>
      <w:rFonts w:eastAsiaTheme="minorEastAsia"/>
      <w:b/>
      <w:bCs/>
      <w:sz w:val="20"/>
      <w:szCs w:val="20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8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823"/>
    <w:rPr>
      <w:rFonts w:ascii="Segoe UI" w:eastAsiaTheme="minorEastAsia" w:hAnsi="Segoe UI" w:cs="Segoe UI"/>
      <w:sz w:val="18"/>
      <w:szCs w:val="18"/>
      <w:lang w:val="sk-SK"/>
    </w:rPr>
  </w:style>
  <w:style w:type="paragraph" w:styleId="ListParagraph">
    <w:name w:val="List Paragraph"/>
    <w:basedOn w:val="Normal"/>
    <w:uiPriority w:val="34"/>
    <w:qFormat/>
    <w:rsid w:val="00A81E4E"/>
    <w:pPr>
      <w:ind w:left="720"/>
      <w:contextualSpacing/>
    </w:pPr>
  </w:style>
  <w:style w:type="paragraph" w:customStyle="1" w:styleId="Annexetitre">
    <w:name w:val="Annexe titre"/>
    <w:basedOn w:val="Normal"/>
    <w:next w:val="Normal"/>
    <w:rsid w:val="006A78BA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CM1">
    <w:name w:val="CM1"/>
    <w:basedOn w:val="Normal"/>
    <w:next w:val="Normal"/>
    <w:uiPriority w:val="99"/>
    <w:rsid w:val="00065C44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</w:rPr>
  </w:style>
  <w:style w:type="paragraph" w:customStyle="1" w:styleId="CM3">
    <w:name w:val="CM3"/>
    <w:basedOn w:val="Normal"/>
    <w:next w:val="Normal"/>
    <w:uiPriority w:val="99"/>
    <w:rsid w:val="00065C44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</w:rPr>
  </w:style>
  <w:style w:type="paragraph" w:styleId="Revision">
    <w:name w:val="Revision"/>
    <w:hidden/>
    <w:uiPriority w:val="99"/>
    <w:semiHidden/>
    <w:rsid w:val="00F441CD"/>
    <w:pPr>
      <w:spacing w:after="0" w:line="240" w:lineRule="auto"/>
    </w:pPr>
    <w:rPr>
      <w:rFonts w:eastAsiaTheme="minorEastAsia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16CF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B32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27C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4B32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27C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1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9A7153-8381-41E6-B52D-20FA0B8D4F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7F8785-DE9F-4C67-B3E9-9F90DD4955AD}"/>
</file>

<file path=customXml/itemProps3.xml><?xml version="1.0" encoding="utf-8"?>
<ds:datastoreItem xmlns:ds="http://schemas.openxmlformats.org/officeDocument/2006/customXml" ds:itemID="{9020F3ED-D435-418F-9866-FF9471903587}"/>
</file>

<file path=customXml/itemProps4.xml><?xml version="1.0" encoding="utf-8"?>
<ds:datastoreItem xmlns:ds="http://schemas.openxmlformats.org/officeDocument/2006/customXml" ds:itemID="{221FDF4E-7DD9-42B5-9B74-84188F07CE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1757</Words>
  <Characters>10369</Characters>
  <Application>Microsoft Office Word</Application>
  <DocSecurity>0</DocSecurity>
  <Lines>246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2022-01-27T09:43:00Z</dcterms:created>
  <dcterms:modified xsi:type="dcterms:W3CDTF">2024-10-15T10:11:00Z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2024-10-15T10:11:09Z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196ca3e3-fde1-4378-a9e0-1804197ba7fb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