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73152" w14:textId="4E11F668" w:rsidR="00A81FD5" w:rsidRPr="007F4CC8" w:rsidRDefault="00A81FD5" w:rsidP="00A81FD5">
      <w:pPr>
        <w:pStyle w:val="Annexetitre"/>
        <w:spacing w:before="0"/>
      </w:pPr>
      <w:r>
        <w:t xml:space="preserve">ПРИЛОЖЕНИЕ XXIV — Оповестяване на експозициите по специализирано кредитиране и капиталови инструменти </w:t>
      </w:r>
    </w:p>
    <w:p w14:paraId="085C05B0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4D52DDD2" w14:textId="2226D869" w:rsidR="00A81FD5" w:rsidRPr="007F4CC8" w:rsidRDefault="00A81FD5" w:rsidP="00A81FD5">
      <w:pPr>
        <w:spacing w:after="120"/>
        <w:ind w:left="3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Образец EU CR10 – Експозиции по специализирано кредитиране и капиталови инструменти</w:t>
      </w:r>
      <w:r>
        <w:rPr>
          <w:rFonts w:ascii="Times New Roman" w:hAnsi="Times New Roman"/>
          <w:sz w:val="24"/>
        </w:rPr>
        <w:t xml:space="preserve"> Образецът е със зададен формат.</w:t>
      </w:r>
    </w:p>
    <w:p w14:paraId="7F14938F" w14:textId="5C3615E8" w:rsidR="00A81FD5" w:rsidRPr="00AF68CB" w:rsidRDefault="00A81FD5" w:rsidP="00AF68CB">
      <w:pPr>
        <w:pStyle w:val="ListParagraph"/>
        <w:numPr>
          <w:ilvl w:val="0"/>
          <w:numId w:val="2"/>
        </w:numPr>
        <w:spacing w:after="120"/>
        <w:ind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Институциите оповестяват информацията, посочена в член 438, буква д) от Регламент (ЕС) № 575/2013</w:t>
      </w:r>
      <w:r w:rsidR="0016297E">
        <w:rPr>
          <w:rStyle w:val="FootnoteReference"/>
        </w:rPr>
        <w:footnoteReference w:id="1"/>
      </w:r>
      <w:r>
        <w:rPr>
          <w:rFonts w:ascii="Times New Roman" w:hAnsi="Times New Roman"/>
          <w:sz w:val="24"/>
        </w:rPr>
        <w:t xml:space="preserve"> („РКИ“), като попълват образец EU CR10 от приложение XXIII към ИТ решенията на ЕБО, следвайки изложените по-долу в настоящото приложение указания. Институциите оповестяват:</w:t>
      </w:r>
    </w:p>
    <w:p w14:paraId="536DBFB9" w14:textId="77777777" w:rsidR="00A81FD5" w:rsidRPr="007F4CC8" w:rsidRDefault="00A81FD5" w:rsidP="00A81FD5">
      <w:pPr>
        <w:pStyle w:val="ListParagraph"/>
        <w:numPr>
          <w:ilvl w:val="1"/>
          <w:numId w:val="2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информация за следните видове експозиции към специализирано кредитиране в таблица 1 от член 153, параграф 5:</w:t>
      </w:r>
    </w:p>
    <w:p w14:paraId="3460EFE7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„финансиране на проекти“ — в образец EU CR10.1;</w:t>
      </w:r>
    </w:p>
    <w:p w14:paraId="05E046A4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„недвижими имоти, генериращи доходи, и търговски недвижими имоти с висока променливост“ — в образец EU CR10.2;</w:t>
      </w:r>
    </w:p>
    <w:p w14:paraId="0802AD44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„финансиране на обекти“ — в образец EU CR10.3;</w:t>
      </w:r>
    </w:p>
    <w:p w14:paraId="69BDB935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„финансиране на стоки“ — в образец EU CR10.4;</w:t>
      </w:r>
    </w:p>
    <w:p w14:paraId="2E77063D" w14:textId="13E594D0" w:rsidR="00A81FD5" w:rsidRPr="007F4CC8" w:rsidRDefault="00A81FD5" w:rsidP="00A81FD5">
      <w:pPr>
        <w:pStyle w:val="ListParagraph"/>
        <w:numPr>
          <w:ilvl w:val="1"/>
          <w:numId w:val="2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информация за експозициите в капиталови инструменти — в образец EU CR10.5.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A81FD5" w:rsidRPr="007F4CC8" w14:paraId="78CCACB1" w14:textId="77777777" w:rsidTr="004F3087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371FCA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Колона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CB42C1" w14:textId="77777777" w:rsidR="00A81FD5" w:rsidRPr="007F4CC8" w:rsidRDefault="00A81FD5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Препратки към нормативни актове и указания</w:t>
            </w:r>
          </w:p>
        </w:tc>
      </w:tr>
      <w:tr w:rsidR="00A81FD5" w:rsidRPr="007F4CC8" w14:paraId="7EA5F71F" w14:textId="77777777" w:rsidTr="004F3087">
        <w:trPr>
          <w:trHeight w:val="359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0A068C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EAA19A1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Обяснение</w:t>
            </w:r>
          </w:p>
        </w:tc>
      </w:tr>
      <w:tr w:rsidR="00A81FD5" w:rsidRPr="007F4CC8" w14:paraId="5BE84BFB" w14:textId="77777777" w:rsidTr="004F3087">
        <w:trPr>
          <w:trHeight w:val="316"/>
        </w:trPr>
        <w:tc>
          <w:tcPr>
            <w:tcW w:w="1413" w:type="dxa"/>
          </w:tcPr>
          <w:p w14:paraId="400664F6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4" w:type="dxa"/>
          </w:tcPr>
          <w:p w14:paraId="505BFF38" w14:textId="77777777" w:rsidR="00A81FD5" w:rsidRPr="00B42FCC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Балансови експозиции</w:t>
            </w:r>
          </w:p>
          <w:p w14:paraId="745AD69D" w14:textId="7830AC6E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Институциите оповестяват стойността на балансовите експозиции в съответствие с член 166, параграфи 1—7 и член 167, параграф 1 от Регламент (ЕС) № 575/2013.</w:t>
            </w:r>
          </w:p>
        </w:tc>
      </w:tr>
      <w:tr w:rsidR="00A81FD5" w:rsidRPr="007F4CC8" w14:paraId="0D47376E" w14:textId="77777777" w:rsidTr="004F3087">
        <w:trPr>
          <w:trHeight w:val="316"/>
        </w:trPr>
        <w:tc>
          <w:tcPr>
            <w:tcW w:w="1413" w:type="dxa"/>
          </w:tcPr>
          <w:p w14:paraId="79B7BB44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7654" w:type="dxa"/>
          </w:tcPr>
          <w:p w14:paraId="18980CCD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Задбалансови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експозиции</w:t>
            </w:r>
          </w:p>
          <w:p w14:paraId="1C2FD9EF" w14:textId="191BEB22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Институциите оповестяват стойността на </w:t>
            </w:r>
            <w:proofErr w:type="spellStart"/>
            <w:r>
              <w:rPr>
                <w:rFonts w:ascii="Times New Roman" w:hAnsi="Times New Roman"/>
                <w:sz w:val="24"/>
              </w:rPr>
              <w:t>задбалансовите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експозиции в съответствие с член 166 и член 167, параграф 2 от Регламент (ЕС) № 575/2013, без да взимат предвид конверсионните коефициенти, посочени в член 166, параграф 8 или 9 от Регламент (ЕС) № 575/2013, нито процентите, посочени в член 166, параграф 10 от Регламент (ЕС) № 575/2013.</w:t>
            </w:r>
          </w:p>
          <w:p w14:paraId="72C867E8" w14:textId="03DDDFDF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Задбалансовите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експозиции включват всички неусвоени части по поети задължения и всички </w:t>
            </w:r>
            <w:proofErr w:type="spellStart"/>
            <w:r>
              <w:rPr>
                <w:rFonts w:ascii="Times New Roman" w:hAnsi="Times New Roman"/>
                <w:sz w:val="24"/>
              </w:rPr>
              <w:t>задбалансови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позиции, изброени в приложение I към Регламент (ЕС) № 575/2013.</w:t>
            </w:r>
          </w:p>
        </w:tc>
      </w:tr>
      <w:tr w:rsidR="00A81FD5" w:rsidRPr="007F4CC8" w14:paraId="348A6D93" w14:textId="77777777" w:rsidTr="004F3087">
        <w:trPr>
          <w:trHeight w:val="316"/>
        </w:trPr>
        <w:tc>
          <w:tcPr>
            <w:tcW w:w="1413" w:type="dxa"/>
          </w:tcPr>
          <w:p w14:paraId="00262C17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7654" w:type="dxa"/>
          </w:tcPr>
          <w:p w14:paraId="53761983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Рисково тегло</w:t>
            </w:r>
          </w:p>
          <w:p w14:paraId="74BDA868" w14:textId="5C580C45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Форматът на тази колона е зададен за образци EU CR 10.1 — EU CR 10.4. Той не може да бъде променян. </w:t>
            </w:r>
          </w:p>
          <w:p w14:paraId="2AF282A3" w14:textId="143D6409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Тази колона е определена в съответствие с член 153, параграф 5 от Регламент (ЕС) № 575/2013 за образци EU CR10.1 — EU CR10.4.  За образец EU CR 10.5 тази колона е без зададен формат. Институциите прилагат съответните рискови тегла в съответствие с членове от член 133, параграф 3 — 6 и член 495а, параграф 3 от Регламент (ЕС) № 575/2013.</w:t>
            </w:r>
          </w:p>
        </w:tc>
      </w:tr>
      <w:tr w:rsidR="00A81FD5" w:rsidRPr="007F4CC8" w14:paraId="7603C34A" w14:textId="77777777" w:rsidTr="004F3087">
        <w:trPr>
          <w:trHeight w:val="316"/>
        </w:trPr>
        <w:tc>
          <w:tcPr>
            <w:tcW w:w="1413" w:type="dxa"/>
          </w:tcPr>
          <w:p w14:paraId="3D9A6962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г</w:t>
            </w:r>
          </w:p>
        </w:tc>
        <w:tc>
          <w:tcPr>
            <w:tcW w:w="7654" w:type="dxa"/>
          </w:tcPr>
          <w:p w14:paraId="67C9AB4B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Стойност на експозицията</w:t>
            </w:r>
          </w:p>
          <w:p w14:paraId="3EBD3C28" w14:textId="12336578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Стойността на експозицията в съответствие с член 166 или 167 от Регламент (ЕС) № 575/2013.</w:t>
            </w:r>
          </w:p>
          <w:p w14:paraId="7CB9912F" w14:textId="58C868E9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тази колона се посочва общата стойност на балансовите и </w:t>
            </w:r>
            <w:proofErr w:type="spellStart"/>
            <w:r>
              <w:rPr>
                <w:rFonts w:ascii="Times New Roman" w:hAnsi="Times New Roman"/>
                <w:sz w:val="24"/>
              </w:rPr>
              <w:t>задбалансовите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експозиции след прилагането на конверсионните коефициенти и процентите по член 166, параграфи 8—10 от Регламент (ЕС) № 575/2013. </w:t>
            </w:r>
          </w:p>
        </w:tc>
      </w:tr>
      <w:tr w:rsidR="00A81FD5" w:rsidRPr="007F4CC8" w14:paraId="101D075B" w14:textId="77777777" w:rsidTr="004F3087">
        <w:trPr>
          <w:trHeight w:val="316"/>
        </w:trPr>
        <w:tc>
          <w:tcPr>
            <w:tcW w:w="1413" w:type="dxa"/>
            <w:tcBorders>
              <w:bottom w:val="single" w:sz="4" w:space="0" w:color="auto"/>
            </w:tcBorders>
          </w:tcPr>
          <w:p w14:paraId="0967DA9C" w14:textId="77777777" w:rsidR="00A81FD5" w:rsidRPr="00DD0C4D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 (образци EU CR10.1—EU CR10.4)</w:t>
            </w:r>
          </w:p>
        </w:tc>
        <w:tc>
          <w:tcPr>
            <w:tcW w:w="7654" w:type="dxa"/>
          </w:tcPr>
          <w:p w14:paraId="703A355C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Рисково претеглена стойност на експозициите (експозиции към специализирано кредитиране по разграничителния подход)</w:t>
            </w:r>
          </w:p>
          <w:p w14:paraId="041E0E73" w14:textId="698ABDEF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Рисково претеглената стойност на експозициите, изчислена в съответствие с член 153, параграф 5 от Регламент (ЕС) № 575/2013, след прилагане на евентуално приложимите коефициенти за подпомагане в съответствие с член 501 и 501а от Регламент (ЕС) № 575/2013.</w:t>
            </w:r>
          </w:p>
        </w:tc>
      </w:tr>
      <w:tr w:rsidR="00A81FD5" w:rsidRPr="007F4CC8" w14:paraId="697C0CA4" w14:textId="77777777" w:rsidTr="004F3087">
        <w:trPr>
          <w:trHeight w:val="316"/>
        </w:trPr>
        <w:tc>
          <w:tcPr>
            <w:tcW w:w="1413" w:type="dxa"/>
            <w:tcBorders>
              <w:bottom w:val="nil"/>
            </w:tcBorders>
          </w:tcPr>
          <w:p w14:paraId="1672DF90" w14:textId="77777777" w:rsidR="00A81FD5" w:rsidRPr="00DD0C4D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 (образци EU CR10.1—EU CR10.4)</w:t>
            </w:r>
          </w:p>
        </w:tc>
        <w:tc>
          <w:tcPr>
            <w:tcW w:w="7654" w:type="dxa"/>
          </w:tcPr>
          <w:p w14:paraId="4FF75FEB" w14:textId="77777777" w:rsidR="00A81FD5" w:rsidRPr="00D647C0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Очаквана загуба (експозиции към специализирано кредитиране по разграничителния подход)</w:t>
            </w:r>
          </w:p>
          <w:p w14:paraId="60279495" w14:textId="26DC979B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Размерът на очакваната загуба, изчислен в съответствие с член 158, параграф 6 от Регламент (ЕС) № 575/2013.</w:t>
            </w:r>
          </w:p>
        </w:tc>
      </w:tr>
      <w:tr w:rsidR="00A81FD5" w:rsidRPr="007F4CC8" w14:paraId="4F8B2187" w14:textId="77777777" w:rsidTr="004F3087">
        <w:trPr>
          <w:trHeight w:val="316"/>
        </w:trPr>
        <w:tc>
          <w:tcPr>
            <w:tcW w:w="1413" w:type="dxa"/>
            <w:tcBorders>
              <w:top w:val="nil"/>
            </w:tcBorders>
          </w:tcPr>
          <w:p w14:paraId="56FDDAB9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 (образец EU CR10.5)</w:t>
            </w:r>
          </w:p>
        </w:tc>
        <w:tc>
          <w:tcPr>
            <w:tcW w:w="7654" w:type="dxa"/>
          </w:tcPr>
          <w:p w14:paraId="63BCE1AB" w14:textId="77777777" w:rsidR="00A81FD5" w:rsidRPr="00D647C0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Очаквана загуба (експозиции към капиталови инструменти по подхода за опростено определяне на рисковите тегла)</w:t>
            </w:r>
          </w:p>
          <w:p w14:paraId="602A3DA1" w14:textId="4D627F35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Размерът на очакваната загуба, изчислен в съответствие с член 158, параграф 7 от Регламент (ЕС) № 575/2013, когато е приложимо.</w:t>
            </w:r>
          </w:p>
        </w:tc>
      </w:tr>
    </w:tbl>
    <w:p w14:paraId="2792224B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2C3A6074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A81FD5" w:rsidRPr="007F4CC8" w14:paraId="3C9F1404" w14:textId="77777777" w:rsidTr="004F3087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930760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Ред №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8EC16B" w14:textId="77777777" w:rsidR="00A81FD5" w:rsidRPr="007F4CC8" w:rsidRDefault="00A81FD5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Препратки към нормативни актове и указания</w:t>
            </w:r>
          </w:p>
        </w:tc>
      </w:tr>
      <w:tr w:rsidR="00A81FD5" w:rsidRPr="007F4CC8" w14:paraId="05D9511C" w14:textId="77777777" w:rsidTr="004F3087">
        <w:trPr>
          <w:trHeight w:val="403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FB7BE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4C8C924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Обяснение</w:t>
            </w:r>
          </w:p>
        </w:tc>
      </w:tr>
      <w:tr w:rsidR="00A81FD5" w:rsidRPr="007F4CC8" w14:paraId="5A7F3F5E" w14:textId="77777777" w:rsidTr="004F3087">
        <w:trPr>
          <w:trHeight w:val="316"/>
        </w:trPr>
        <w:tc>
          <w:tcPr>
            <w:tcW w:w="1413" w:type="dxa"/>
          </w:tcPr>
          <w:p w14:paraId="7D094947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Регулаторна категория</w:t>
            </w:r>
          </w:p>
        </w:tc>
        <w:tc>
          <w:tcPr>
            <w:tcW w:w="7654" w:type="dxa"/>
          </w:tcPr>
          <w:p w14:paraId="684D2C24" w14:textId="77777777" w:rsidR="00A81FD5" w:rsidRPr="00DD0C4D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Образци EU CR10.1—EU CR10.4</w:t>
            </w:r>
          </w:p>
          <w:p w14:paraId="73A34AF3" w14:textId="5763928A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Регулаторните категории, приложими към специализираното кредитиране по разграничителния подход за всеки клас експозиции към специализирано кредитиране, както са посочени в член 153, параграф 5 от Регламент (ЕС) № 575/2013 и в окончателния проект на РТС относно разграничителния подход.</w:t>
            </w:r>
          </w:p>
        </w:tc>
      </w:tr>
      <w:tr w:rsidR="00A81FD5" w:rsidRPr="007F4CC8" w14:paraId="06F4029F" w14:textId="77777777" w:rsidTr="004F3087">
        <w:trPr>
          <w:trHeight w:val="316"/>
        </w:trPr>
        <w:tc>
          <w:tcPr>
            <w:tcW w:w="1413" w:type="dxa"/>
          </w:tcPr>
          <w:p w14:paraId="5EAED2FC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Категории</w:t>
            </w:r>
          </w:p>
        </w:tc>
        <w:tc>
          <w:tcPr>
            <w:tcW w:w="7654" w:type="dxa"/>
          </w:tcPr>
          <w:p w14:paraId="73E10594" w14:textId="0741463C" w:rsidR="00A81FD5" w:rsidRPr="00360C8C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Образец EU CR10.5 Без зададен формат</w:t>
            </w:r>
          </w:p>
          <w:p w14:paraId="1A9FFE85" w14:textId="723ADCB0" w:rsidR="00A81FD5" w:rsidRPr="007F4CC8" w:rsidRDefault="005122C8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Институциите включват съответните регулаторни категории, приложими за капиталови инструменти съгласно член 133, параграф 3 — 6 и член 495а, параграф 3 от Регламент (ЕС) № 575/2013. </w:t>
            </w:r>
          </w:p>
        </w:tc>
      </w:tr>
    </w:tbl>
    <w:p w14:paraId="5A153A1E" w14:textId="77777777" w:rsidR="00A81FD5" w:rsidRPr="007F4CC8" w:rsidRDefault="00A81FD5" w:rsidP="00A81FD5">
      <w:pPr>
        <w:tabs>
          <w:tab w:val="left" w:pos="1430"/>
        </w:tabs>
        <w:rPr>
          <w:rFonts w:ascii="Times New Roman" w:hAnsi="Times New Roman" w:cs="Times New Roman"/>
          <w:sz w:val="24"/>
        </w:rPr>
      </w:pPr>
    </w:p>
    <w:p w14:paraId="7B637F1D" w14:textId="77777777" w:rsidR="00993FC2" w:rsidRDefault="00993FC2" w:rsidP="00A81FD5"/>
    <w:sectPr w:rsidR="00993FC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0DD73" w14:textId="77777777" w:rsidR="00703E80" w:rsidRDefault="00703E80" w:rsidP="00A81FD5">
      <w:r>
        <w:separator/>
      </w:r>
    </w:p>
  </w:endnote>
  <w:endnote w:type="continuationSeparator" w:id="0">
    <w:p w14:paraId="4133069B" w14:textId="77777777" w:rsidR="00703E80" w:rsidRDefault="00703E80" w:rsidP="00A81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72147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3BD6A0" w14:textId="77777777" w:rsidR="00A81FD5" w:rsidRDefault="00A81F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A576E9" w14:textId="77777777" w:rsidR="00A81FD5" w:rsidRDefault="00A81F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466AE" w14:textId="77777777" w:rsidR="00703E80" w:rsidRDefault="00703E80" w:rsidP="00A81FD5">
      <w:r>
        <w:separator/>
      </w:r>
    </w:p>
  </w:footnote>
  <w:footnote w:type="continuationSeparator" w:id="0">
    <w:p w14:paraId="32022626" w14:textId="77777777" w:rsidR="00703E80" w:rsidRDefault="00703E80" w:rsidP="00A81FD5">
      <w:r>
        <w:continuationSeparator/>
      </w:r>
    </w:p>
  </w:footnote>
  <w:footnote w:id="1">
    <w:p w14:paraId="5DF9A988" w14:textId="1DC1B74B" w:rsidR="0016297E" w:rsidRPr="0016297E" w:rsidRDefault="0016297E" w:rsidP="0016297E">
      <w:pPr>
        <w:pStyle w:val="FootnoteText"/>
      </w:pPr>
      <w:r>
        <w:rPr>
          <w:rStyle w:val="FootnoteReference"/>
        </w:rPr>
        <w:footnoteRef/>
      </w:r>
      <w:r>
        <w:t xml:space="preserve"> Регламент (ЕС) № 575/2013 на Европейския парламент и на Съвета от 26 юни 2013 г. относно </w:t>
      </w:r>
      <w:proofErr w:type="spellStart"/>
      <w:r>
        <w:t>пруденциалните</w:t>
      </w:r>
      <w:proofErr w:type="spellEnd"/>
      <w:r>
        <w:t xml:space="preserve"> изисквания за кредитните институции и инвестиционните посредници и за изменение на Регламент (ЕС) № 648/2012, изменен с Регламент (ЕС) 2024/1623 (</w:t>
      </w:r>
      <w:hyperlink r:id="rId1" w:history="1">
        <w:r>
          <w:rPr>
            <w:rStyle w:val="Hyperlink"/>
            <w:color w:val="800080"/>
          </w:rPr>
          <w:t>ОВ L 176, 27.6.2013 г., стр. 1</w:t>
        </w:r>
      </w:hyperlink>
      <w:r>
        <w:rPr>
          <w:color w:val="800080"/>
          <w:u w:val="single"/>
        </w:rPr>
        <w:t xml:space="preserve">; </w:t>
      </w:r>
      <w:hyperlink r:id="rId2" w:history="1">
        <w:r>
          <w:rPr>
            <w:rStyle w:val="Hyperlink"/>
          </w:rPr>
          <w:t>Регламент — ЕС — 2024/1623 — BG — EUR-</w:t>
        </w:r>
        <w:proofErr w:type="spellStart"/>
        <w:r>
          <w:rPr>
            <w:rStyle w:val="Hyperlink"/>
          </w:rPr>
          <w:t>Lex</w:t>
        </w:r>
        <w:proofErr w:type="spellEnd"/>
        <w:r>
          <w:rPr>
            <w:rStyle w:val="Hyperlink"/>
          </w:rPr>
          <w:t xml:space="preserve"> (europa.eu)</w:t>
        </w:r>
      </w:hyperlink>
      <w: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5CA2D" w14:textId="4B287E36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B7ECC36" wp14:editId="1A347A4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572534603" name="Text Box 2" descr="Редовно използване от ЕБО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FEE100" w14:textId="1A0A7B31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Use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7ECC3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Редовно използване от ЕБО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31FEE100" w14:textId="1A0A7B31" w:rsidR="0089557A" w:rsidRPr="0089557A" w:rsidRDefault="0089557A" w:rsidP="00895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EBA </w:t>
                    </w:r>
                    <w:proofErr w:type="spellStart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Regular</w:t>
                    </w:r>
                    <w:proofErr w:type="spellEnd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Use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6113B" w14:textId="19D0E53F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DF76086" wp14:editId="609448B1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334500121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C71C80" w14:textId="569D2E7E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Use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F7608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EBA Regular Use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9C71C80" w14:textId="569D2E7E" w:rsidR="0089557A" w:rsidRPr="0089557A" w:rsidRDefault="0089557A" w:rsidP="00895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EBA </w:t>
                    </w:r>
                    <w:proofErr w:type="spellStart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Regular</w:t>
                    </w:r>
                    <w:proofErr w:type="spellEnd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Use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C2FD7" w14:textId="1F8C1CF5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D3FAAB5" wp14:editId="5BE3112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494430650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D8DAD4" w14:textId="694FABB0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Use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3FAAB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BA Regular Us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1BD8DAD4" w14:textId="694FABB0" w:rsidR="0089557A" w:rsidRPr="0089557A" w:rsidRDefault="0089557A" w:rsidP="00895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EBA </w:t>
                    </w:r>
                    <w:proofErr w:type="spellStart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Regular</w:t>
                    </w:r>
                    <w:proofErr w:type="spellEnd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Use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FB7BE8"/>
    <w:multiLevelType w:val="hybridMultilevel"/>
    <w:tmpl w:val="DA2A1476"/>
    <w:lvl w:ilvl="0" w:tplc="3F82BFBA">
      <w:start w:val="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6A0E5E13"/>
    <w:multiLevelType w:val="hybridMultilevel"/>
    <w:tmpl w:val="6DD036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1B90DC94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923548">
    <w:abstractNumId w:val="0"/>
  </w:num>
  <w:num w:numId="2" w16cid:durableId="609358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56335"/>
    <w:rsid w:val="001409C0"/>
    <w:rsid w:val="0016297E"/>
    <w:rsid w:val="002A29F0"/>
    <w:rsid w:val="002B4245"/>
    <w:rsid w:val="00456335"/>
    <w:rsid w:val="005122C8"/>
    <w:rsid w:val="0053271E"/>
    <w:rsid w:val="006120BE"/>
    <w:rsid w:val="00703E80"/>
    <w:rsid w:val="0089557A"/>
    <w:rsid w:val="00964BDB"/>
    <w:rsid w:val="00993FC2"/>
    <w:rsid w:val="00A81FD5"/>
    <w:rsid w:val="00AF68CB"/>
    <w:rsid w:val="00C15CE4"/>
    <w:rsid w:val="00CF64BB"/>
    <w:rsid w:val="00D6345C"/>
    <w:rsid w:val="00F9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BC956"/>
  <w15:chartTrackingRefBased/>
  <w15:docId w15:val="{A6C1DA80-21DB-4AB0-ABCC-D95DD992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FD5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16297E"/>
    <w:pPr>
      <w:spacing w:before="80" w:line="200" w:lineRule="exact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16297E"/>
    <w:rPr>
      <w:rFonts w:eastAsiaTheme="minorEastAsia"/>
      <w:sz w:val="18"/>
      <w:szCs w:val="18"/>
      <w:lang w:val="bg-BG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A81FD5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A81FD5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A81FD5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styleId="ListParagraph">
    <w:name w:val="List Paragraph"/>
    <w:basedOn w:val="Normal"/>
    <w:uiPriority w:val="34"/>
    <w:qFormat/>
    <w:rsid w:val="00A81FD5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1FD5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1FD5"/>
    <w:rPr>
      <w:rFonts w:eastAsiaTheme="minorEastAsia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95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5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9557A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5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557A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A29F0"/>
    <w:pPr>
      <w:spacing w:after="0" w:line="240" w:lineRule="auto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BG/TXT/?uri=OJ:L_202401623" TargetMode="External"/><Relationship Id="rId1" Type="http://schemas.openxmlformats.org/officeDocument/2006/relationships/hyperlink" Target="https://eur-lex.europa.eu/legal-content/BG/TXT/?uri=OJ%3AL%3A2013%3A176%3A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1CF0BC-64A7-44A4-BE6C-A045FAF69A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D51404-ED87-4B49-AF04-8898217DEE21}"/>
</file>

<file path=customXml/itemProps3.xml><?xml version="1.0" encoding="utf-8"?>
<ds:datastoreItem xmlns:ds="http://schemas.openxmlformats.org/officeDocument/2006/customXml" ds:itemID="{3B81C62B-A48C-4A40-A92A-549116658FB4}"/>
</file>

<file path=customXml/itemProps4.xml><?xml version="1.0" encoding="utf-8"?>
<ds:datastoreItem xmlns:ds="http://schemas.openxmlformats.org/officeDocument/2006/customXml" ds:itemID="{77494960-269B-46CA-A178-4CC0678D10EE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589</Words>
  <Characters>3419</Characters>
  <Application>Microsoft Office Word</Application>
  <DocSecurity>0</DocSecurity>
  <Lines>100</Lines>
  <Paragraphs>52</Paragraphs>
  <ScaleCrop>false</ScaleCrop>
  <Company>European Banking Authority</Company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BAKOS Tamas (DGT)</cp:lastModifiedBy>
  <cp:revision>15</cp:revision>
  <dcterms:created xsi:type="dcterms:W3CDTF">2021-03-11T13:21:00Z</dcterms:created>
  <dcterms:modified xsi:type="dcterms:W3CDTF">2024-10-18T13:14:00Z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591333ba,5dbaf94b,13f01119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2024-09-26T14:30:38Z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b845363d-b496-4e81-8635-4e3aececf02f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