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II. MELLÉKLET</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Útmutató az áttekintő nyilvánosságra hozatali táblákhoz</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OV1 tábla – A teljes kockázati kitettségértékek áttekintése. </w:t>
      </w:r>
      <w:r>
        <w:rPr>
          <w:rFonts w:ascii="Times New Roman" w:hAnsi="Times New Roman"/>
          <w:color w:val="auto"/>
          <w:sz w:val="24"/>
        </w:rPr>
        <w:t>Kötött formátum.</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Az intézmények az 575/2013/EU rendelet (CRR)</w:t>
      </w:r>
      <w:r w:rsidR="006C0184" w:rsidRPr="00232C88">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 xml:space="preserve"> 438. cikke d) pontjának alkalmazásában az EBH IT-megoldásainak I. mellékletében található EU OV1 tábla kitöltéséhez az alábbi útmutatót használják.</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Az intézményeknek adott esetben a táblát kísérő szöveges magyarázatban ki kell fejteniük, hogy milyen hatást gyakorol a szavatolótőke és a kockázati kitettségérték számítására, hogy alsó korlátot alkalmaznak a tőkére, és nem vonnak le elemeket a szavatolótőkéből.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7E4C270D" w14:textId="77777777" w:rsidTr="4D769726">
        <w:trPr>
          <w:trHeight w:val="680"/>
        </w:trPr>
        <w:tc>
          <w:tcPr>
            <w:tcW w:w="1384" w:type="dxa"/>
          </w:tcPr>
          <w:p w14:paraId="68031A84" w14:textId="371AB7D3" w:rsidR="007F5865" w:rsidRPr="00232C88" w:rsidRDefault="007F5865" w:rsidP="007F5865">
            <w:pPr>
              <w:pStyle w:val="Applicationdirecte"/>
              <w:spacing w:before="60"/>
              <w:jc w:val="center"/>
            </w:pPr>
            <w:r>
              <w:t>a</w:t>
            </w:r>
            <w:r w:rsidR="00926E8D">
              <w:t>.</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Teljes kockázati kitettségérték (TREA) </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Az 1-28. sor esetében az 575/2013/EU rendelet 92. cikke (4) bekezdésének, a 29. sor esetében e rendelet 92. cikke (3) bekezdésének, valamint az 575/2013/EU rendelet 95., 96. és 98. cikkének megfelelően számított teljes kockázati kitettségérték.</w:t>
            </w:r>
          </w:p>
        </w:tc>
      </w:tr>
      <w:tr w:rsidR="00232C88" w:rsidRPr="00232C88" w14:paraId="51DC6C96" w14:textId="77777777" w:rsidTr="4D769726">
        <w:trPr>
          <w:trHeight w:val="323"/>
        </w:trPr>
        <w:tc>
          <w:tcPr>
            <w:tcW w:w="1384" w:type="dxa"/>
          </w:tcPr>
          <w:p w14:paraId="4A8317DB" w14:textId="170AD90B" w:rsidR="00720050" w:rsidRPr="00232C88" w:rsidRDefault="00720050" w:rsidP="00B2180A">
            <w:pPr>
              <w:pStyle w:val="Applicationdirecte"/>
              <w:spacing w:before="60"/>
              <w:jc w:val="center"/>
            </w:pPr>
            <w:r>
              <w:t>b</w:t>
            </w:r>
            <w:r w:rsidR="00926E8D">
              <w:t>.</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Az előző nyilvánosságra hozatali időszakban nyilvánosságra hozott teljes kockázati kitettségérték.</w:t>
            </w:r>
          </w:p>
        </w:tc>
      </w:tr>
      <w:tr w:rsidR="00232C88" w:rsidRPr="00232C88" w14:paraId="0EA18E63" w14:textId="77777777" w:rsidTr="4D769726">
        <w:trPr>
          <w:trHeight w:val="323"/>
        </w:trPr>
        <w:tc>
          <w:tcPr>
            <w:tcW w:w="1384" w:type="dxa"/>
          </w:tcPr>
          <w:p w14:paraId="103E93B5" w14:textId="1635481A" w:rsidR="007F5865" w:rsidRPr="00232C88" w:rsidRDefault="00720050" w:rsidP="00720050">
            <w:pPr>
              <w:pStyle w:val="Applicationdirecte"/>
              <w:spacing w:before="60"/>
              <w:jc w:val="center"/>
            </w:pPr>
            <w:r>
              <w:t>c</w:t>
            </w:r>
            <w:r w:rsidR="00926E8D">
              <w:t>.</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Teljes szavatolótőke-követelmény</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A különböző kockázati kategóriák teljes kockázati kitettségértékének megfelelő szavatolótőke-követelmények</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Hitelkockázat (a partnerkockázaton kívül)</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Az 575/2013/EU rendelet harmadik része II. címe 1–4. fejezete és az 575/2013/EU rendelet 379. cikke szerint számított, kockázattal súlyozott kitettségértékek (RWEA-k) és szavatolótőke-követelmények. A partnerkockázatra (575/2013/EU rendelet) és a nem kereskedési könyvi értékpapírosítási kitettségekre vonatkozó kockázattal súlyozott kitettségértékeket nem itt, hanem e tábla 6. és 16. sorában kell feltüntetni. Az intézményeknek az ebben a sorban megadott összegbe be kell számítaniuk a nyitva szállítások kockázatához kapcsolódó, az 575/2013/EU rendelet 379. cikke szerint számított, kockázattal súlyozott kitettségértékeket és szavatolótőke-követelményeket.</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Hitelkockázat (a partnerkockázaton kívül) – ebből sztenderd módszer</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A hitelkockázatra alkalmazandó sztenderd módszer (az 575/2013/EU rendelet harmadik része II. címének 2. fejezete és az 575/2013/EU rendelet 379. cikke) szerint számított, kockázattal súlyozott kitettségértékek és szavatolótőke-követelmények.</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Hitelkockázat (a partnerkockázaton kívül) – ebből a belső minősítésen alapuló módszer alapváltozata (F-IRB)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A kockázattal súlyozott kitettségértékek és a belső minősítésen alapuló fejlett módszer (az 575/2013/EU rendelet harmadik része II. címének 3. fejezete) szerint számított szavatolótőke-követelmények, kivéve a slotting módszer alá tartozó speciális hitelezési kitettségek vonatkozásában a 4. sorban feltüntetett, kockázattal súlyozott kitettségértékeket, és az egyszerű kockázati súlyozási módszer alá tartozó részvénykitettségek tekintetében az EU 4a. sorban feltüntetett, kockázattal súlyozott kitettségértékeket, és beleértve az 575/2013/EU rendelet 379. cikke szerint számított, kockázattal súlyozott kitettségértékeket és szavatolótőke-követelményeket.</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Hitelkockázat (a partnerkockázaton kívül) – ebből slotting módszer</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A slotting módszer alá tartozó speciális hitelezési kitettségekre vonatkozó, az 575/2013/EU rendelet 153. cikkének (5) bekezdése szerint számított, kockázattal súlyozott kitettségértékek és szavatolótőke-követelmények.</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Hitelkockázat (a partnerkockázaton kívül) – ebből részvényjellegű kitettségek az egyszerű kockázati súlyozási módszer szerint</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Kockázattal súlyozott kitettségértékek és részvényjellegű kitettségekre vonatkozó szavatolótőke-követelmények, amennyiben az 575/2013/EU rendelet 495. cikke (1) bekezdésének b) pontjában foglalt átmeneti rendelkezések alkalmazandók.</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Hitelkockázat (a partnerkockázaton kívül) – ebből a fejlett IRB-módszer (A-IRB)</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A belső minősítésen alapuló fejlett módszer (az 575/2013/EU rendelet harmadik része II. címének 3. fejezete) szerint számított, kockázattal súlyozott kitettségértékek és szavatolótőke-követelmények, kivéve a slotting módszerhez tartozó speciális hitelezési kitettségekre vonatkozó, a 4. sorban feltüntetett, kockázattal súlyozott kitettségértékeket, valamint az egyszerű kockázati súlyozási módszerhez tartozó részvényjellegű kitettségekre vonatkozó, az EU 4a. sorban feltüntetett, kockázattal súlyozott kitettségértékeket, és beleértve az 575/2013/EU rendelet 379. cikke szerint számított, kockázattal súlyozott kitettségértékeket és szavatolótőke-követelményeket.</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Partnerkockázat – CCR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lastRenderedPageBreak/>
              <w:t>Az 575/2013/EU rendelet harmadik része II. címének 6. fejezete szerint számított, a partnerkockázatra vonatkozó kockázattal súlyozott kitettségértékek és szavatolótőke-követelmények.</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lastRenderedPageBreak/>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Partnerkockázat – ebből sztenderd módszer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Az 575/2013/EU rendelet harmadik része II. címe 6. fejezetének 3. szakasza szerint számított, kockázattal súlyozott kitettségértékek és szavatolótőke-követelmények.</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Partnerkockázat – ebből a belső modell módszer (IMM) </w:t>
            </w:r>
          </w:p>
          <w:p w14:paraId="3EB08D8D" w14:textId="01135F8D"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Az 575/2013/EU rendelet 283. cikke szerint számított, kockázattal súlyozott kitettségértékek és szavatolótőke-követelmények.</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Partnerkockázat – ebből központi szerződő féllel szembeni kitettség</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Az 575/2013/EU rendelet harmadik része II. címe 6. fejezetének 9. szakasza szerint számított, kockázattal súlyozott kitettségértékek és szavatolótőke-követelmények.</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Partnerkockázat – ebből egyéb partnerkockázat</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A partnerkockázatra vonatkozó azon kockázattal súlyozott kitettségértékek és szavatolótőke-követelmények, amelyeket nem tüntettek fel a 7., 8., és EU 8a. sorban.</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Hitelértékelési korrekciós kockázat – CVA-kockázat</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Az 575/2013/EU rendelet harmadik részének VI. címe szerint számított, kockázattal súlyozott kitettségértékek és szavatolótőke-követelmények.</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10a.</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CVA-kockázat – ebből sztenderd módszer (SA)</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Az 575/2013/EU rendelet 383. cikke szerint számított, kockázattal súlyozott kitettségértékek és szavatolótőke-követelmények.</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10b.</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CVA-kockázat – ebből alapmódszer (F-BA és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Az 575/2013/EU rendelet 384. cikke szerint számított, kockázattal súlyozott kitettségértékek és szavatolótőke-követelmények.</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EU 10c.</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CVA-kockázat – ebből egyszerűsített módszer</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t>Az 575/2013/EU rendelet 385. cikke szerint számított, kockázattal súlyozott kitettségértékek és szavatolótőke-követelmények.</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N.a.</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N.a.</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N.a.</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N.a.</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15.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Kiegyenlítési kockázat </w:t>
            </w:r>
          </w:p>
          <w:p w14:paraId="5BD4C7C7" w14:textId="245CE380"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t xml:space="preserve"> Az 575/2013/EU rendelet 378. cikke szerint számított, kockázattal súlyozott kitettségértékek és kiegyenlítési/teljesítési kockázathoz kapcsolódó szavatolótőke-követelmények.</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Nem kereskedési könyvi értékpapírosítási kitettségek (a felső korlát alkalmazása után)</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Az 575/2013/EU rendelet harmadik része II. címének 5. fejezete szerint számított, kockázattal súlyozott kitettségértékek és szavatolótőke-követelmények.</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t>17.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Értékpapírosítás – ebből SEC-IRBA-módszer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Az 575/2013/EU rendelet 254. cikkében meghatározott módszerhierarchiának megfelelően alkalmazott SEC-IRBA szabályozási módszer szerint számított, kockázattal súlyozott kitettségértékek és szavatolótőke-követelmények.</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r>
              <w:rPr>
                <w:rFonts w:ascii="Times New Roman" w:hAnsi="Times New Roman"/>
                <w:b/>
                <w:sz w:val="24"/>
              </w:rPr>
              <w:t>Értékpapírosítás – ebből SEC-ERBA-módszer (beleértve a belső értékelési módszert)</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Az 575/2013/EU rendelet 254. cikkében meghatározott módszerhierarchiának megfelelően alkalmazott SEC-ERBA szabályozási módszer (beleértve a belső értékelési módszert) szerint számított, kockázattal súlyozott kitettségértékek és szavatolótőke-követelmények.</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Értékpapírosítás – ebből SEC-SA-módszer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Az 575/2013/EU rendelet 254. cikkében meghatározott módszerhierarchiának megfelelően alkalmazott SEC-SA szabályozási módszer szerint számított, kockázattal súlyozott kitettségértékek és szavatolótőke-követelmények.</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Értékpapírosítás – ebből 1 250 %-os kockázati súly / levonás</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Azon nem kereskedési könyvi értékpapírosítási kitettségek kockázattal súlyozott kitettségértéke és szavatolótőke-követelménye, amelyekre 1250 %-os kockázati súly vonatkozik, vagy amelyeket levonnak a szavatolótőkéből, az 575/2013/EU rendelet harmadik része II. címének 5. fejezete szerint.</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Pozíciókockázat, devizaárfolyam-kockázat és árukockázat (piaci kockázat)</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Az 575/2013/EU rendelet harmadik részének IV. címe szerint számított, kockázattal súlyozott kitettségértékek és szavatolótőke-követelmények.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Piaci kockázat – ebből alternatív sztenderd módszer (A-SA)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Az 575/2013/EU rendelet harmadik része IV. címének 1a. fejezete szerint számított, kockázattal súlyozott kitettségértékek és szavatolótőke-követelmények.</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 xml:space="preserve">Az 575/2013/EU rendelet harmadik része IV. címének 1a. és 1b. fejezetében meghatározott alternatív módszereknek az említett rendelet 92. cikke (4) bekezdése b) pontjának i. alpontjában és c) pontjában, valamint 92. cikke (5) bekezdésének b) és c) pontjában említett szavatolótőke-követelmények tényleges kiszámítása céljából történő alkalmazásának kezdőnapjáig ezt a sort nem kell kitölteni.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t>EU-21a.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Piaci kockázat – ebből egyszerűsített sztenderd módszer (S-SA)</w:t>
            </w:r>
          </w:p>
          <w:p w14:paraId="405FFF8B" w14:textId="77777777" w:rsidR="7CB62396" w:rsidRPr="00232C88" w:rsidRDefault="7CB62396" w:rsidP="233ACBB4">
            <w:pPr>
              <w:jc w:val="both"/>
              <w:rPr>
                <w:rFonts w:ascii="Times New Roman" w:hAnsi="Times New Roman" w:cs="Times New Roman"/>
                <w:sz w:val="24"/>
              </w:rPr>
            </w:pPr>
            <w:r>
              <w:rPr>
                <w:rFonts w:ascii="Times New Roman" w:hAnsi="Times New Roman"/>
                <w:sz w:val="24"/>
              </w:rPr>
              <w:t>Az 575/2013/EU rendelet 325a. cikke szerint számított, kockázattal súlyozott kitettségértékek és szavatolótőke-követelmények.</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t xml:space="preserve">Az 575/2013/EU rendelet harmadik része IV. címének 1a. és 1b. fejezetében meghatározott alternatív módszereknek az említett rendelet 92. cikke (4) bekezdése b) pontjának i. alpontjában és c) pontjában, valamint 92. cikke (5) bekezdésének b) és c) pontjában említett szavatolótőke-követelmények tényleges kiszámítása céljából történő alkalmazásának kezdőnapjáig ezt a sort nem kell kitölteni.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Piaci kockázat – ebből alternatív belső modellen alapuló módszer (A-IMA)</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Az 575/2013/EU rendelet harmadik része IV. címének 1b. fejezete szerint számított, kockázattal súlyozott kitettségértékek és szavatolótőke-követelmények.</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Az 575/2013/EU rendelet harmadik része IV. címének 1a. és 1b. fejezetében meghatározott alternatív módszereknek az említett rendelet 92. cikke (4) bekezdése b) pontjának i. alpontjában és c) pontjában, valamint 92. cikke (5) bekezdésének b) és c) pontjában említett szavatolótőke-követelmények tényleges kiszámítása céljából történő alkalmazásának kezdőnapjáig ezt a sort nem kell kitölteni.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Nagykockázat-vállalások</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Az 575/2013/EU rendelet 92. cikke (4) bekezdése b) pontjának ii. alpontja szerint számított, kockázattal súlyozott kitettségértékek és szavatolótőke-követelmények.</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 A kereskedési könyvek és a nem kereskedési könyv közötti átsorolások </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Az 575/2013/EU rendelet 104a. cikkének (3), (4), (6) bekezdése szerint számított, kockázattal súlyozott kitettségérték és szavatolótőke-követelmények.</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t>24.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Működési kockázat </w:t>
            </w:r>
          </w:p>
          <w:p w14:paraId="1D9DEFE1" w14:textId="5CB9F040"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Az 575/2013/EU rendelet harmadik részének III. címe szerint számított, kockázattal súlyozott kitettségértékek és szavatolótőke-követelmények.</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r>
              <w:rPr>
                <w:rFonts w:ascii="Times New Roman" w:hAnsi="Times New Roman"/>
                <w:b/>
                <w:sz w:val="24"/>
              </w:rPr>
              <w:t xml:space="preserve">Kriptoeszközökkel szembeni kitettségek </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Az 575/2013/EU rendelet 501d. cikkének (2) bekezdésében említett átmeneti prudenciális kezelés szerinti, kockázattal súlyozott kitettségérték és szavatolótőke-követelmények.</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A levonási küszöbök alatti összegek (amelyekre 250 %-os kockázati súly vonatkozik)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Az összeg az 575/2013/EU rendelet 48. cikkének (4) bekezdésében említett 250 %-os kockázati súly alá tartozó elemek összegének a 250 %-os kockázati súly alkalmazása utáni összege. Az említett összegek magukban foglalják a következőket:</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a jövőbeli nyereségtől függően érvényesíthető, átmeneti különbözetből eredő halasztott adókövetelések, amelyek aggregált összege nem haladja meg az intézmény 575/2013/EU rendelet 48. cikke (1) bekezdésének a) pontja szerint számított elsődleges alapvető tőkeelemeinek 10 %-át.</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jelentős befektetések pénzügyi ágazatbeli szervezetben, az említett szervezet szóban forgó intézmény közvetlen, közvetett és szintetikus módon tulajdonát képező elsődleges alapvető tőkeinstrumentumainak azon állománya, amelynek aggregált összege nem haladja meg az intézmény 575/2013/EU rendelet 48. cikke (1) bekezdésének b) pontja szerint kiszámított elsődleges alapvető tőkeelemeinek 10 %-át.</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Az ebben a sorban szereplő adatok csak tájékoztatási célt szolgálnak, mivel az itt feltüntetett összeg az 1. sorban is szerepel, ahol az intézményeknek a hitelkockázatra vonatkozó információkat kell nyilvánosságra hozniuk.</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Alkalmazott tőke-küszöbérték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Az intézmény által a 27. és 28. sorban szereplő alsóküszöb-kiigazítási érték kiszámításához alkalmazott, százalékban kifejezett tőke-küszöbérték:</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 xml:space="preserve"> az 575/2013/EU rendelet 92. cikkének (3) bekezdése és 465. cikke (1) bekezdése szerinti „x” tényező.</w:t>
            </w: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Ez a sor nem vonatkozik az 575/2013/EU rendelet 92. cikke (3) bekezdésének második albekezdése szerinti mentesség hatálya alá tartozó intézményekre.</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Tőke-küszöbérték kiigazítása (az átmeneti felső határérték alkalmazása előtt)</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Az 575/2013/EU rendelet 92. cikke (3) bekezdésének a) pontja szerinti tőke-küszöbérték hatálya alá tartozó intézmények esetében a teljes kockázati kitettségérték (TREA) összegének növekedése a 26. sorban alkalmazott tőke-küszöbérték alapján, az 575/2013/EU rendelet 465. cikkének (2) bekezdésében meghatározott átmeneti felső határérték alkalmazása nélkül.</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Ez a sor nem vonatkozik az 575/2013/EU rendelet 92. cikke (3) bekezdésének második albekezdése szerinti mentesség hatálya alá tartozó intézményekre.</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Tőke-küszöbérték kiigazítása (az átmeneti felső határérték alkalmazása után)</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Az 575/2013/EU rendelet 92. cikke (3) bekezdésének a) pontja szerinti tőke-küszöbérték hatálya alá tartozó intézmények esetében a teljes kockázati kitettségérték (TREA) összegének növekedése a 26. sorban alkalmazott tőke-küszöbérték alapján, az 575/2013/EU rendelet 465. cikkének (2) bekezdésében meghatározott átmeneti felső határérték alkalmazása után.</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Ez a sor nem vonatkozik az 575/2013/EU rendelet 92. cikke (3) bekezdésének második albekezdése szerinti mentesség hatálya alá tartozó intézményekre.</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Összesen</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t xml:space="preserve">Az 575/2013/EU rendelet 92. cikke (3) bekezdésének, valamint 95., 96. és 98. cikkének megfelelően számított teljes kockázati kitettségérték.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Ez a sor megegyezik a következő sorok összegével: 1., 6., 10., 15., 16., 20., EU22a., 23., 24., EU 24a., 28.</w:t>
            </w:r>
          </w:p>
        </w:tc>
      </w:tr>
    </w:tbl>
    <w:p w14:paraId="2CB62609" w14:textId="77777777" w:rsidR="00C41C25" w:rsidRPr="00926E8D" w:rsidRDefault="00C41C25" w:rsidP="00501CEC">
      <w:pPr>
        <w:pStyle w:val="Titlelevel2"/>
        <w:spacing w:before="120" w:after="120"/>
        <w:rPr>
          <w:rFonts w:ascii="Times New Roman" w:hAnsi="Times New Roman" w:cs="Times New Roman"/>
          <w:b/>
          <w:color w:val="auto"/>
          <w:sz w:val="24"/>
          <w:lang w:val="fr-BE"/>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KM1 tábla – A fő mérőszámok. </w:t>
      </w:r>
      <w:r>
        <w:rPr>
          <w:rFonts w:ascii="Times New Roman" w:hAnsi="Times New Roman"/>
          <w:color w:val="auto"/>
          <w:sz w:val="24"/>
        </w:rPr>
        <w:t>Kötött formátum.</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Az intézmények az 575/2013/EU rendelet 447. cikke a)–g) pontjának, valamint az 575/2013/EU rendelet 438. cikke b) pontjának alkalmazásában az EBH IT-megoldásainak I. mellékletében található EU KM1 tábla kitöltéséhez az e mellékletben foglalt útmutatót használják.</w:t>
      </w:r>
      <w:r>
        <w:rPr>
          <w:rFonts w:ascii="Times New Roman" w:hAnsi="Times New Roman"/>
          <w:b/>
          <w:color w:val="auto"/>
          <w:sz w:val="24"/>
        </w:rPr>
        <w:t xml:space="preserve"> </w:t>
      </w:r>
    </w:p>
    <w:p w14:paraId="61B6BC46" w14:textId="4370DEB2" w:rsidR="0CF4BDBF" w:rsidRPr="00926E8D"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3B18CFED" w14:textId="77777777" w:rsidTr="65F04A31">
        <w:trPr>
          <w:trHeight w:val="680"/>
        </w:trPr>
        <w:tc>
          <w:tcPr>
            <w:tcW w:w="1384" w:type="dxa"/>
          </w:tcPr>
          <w:p w14:paraId="701C1EE8" w14:textId="151BBD67" w:rsidR="00A919FB" w:rsidRPr="00232C88" w:rsidRDefault="00003BF5" w:rsidP="00B2180A">
            <w:pPr>
              <w:pStyle w:val="Applicationdirecte"/>
              <w:spacing w:before="60"/>
              <w:jc w:val="center"/>
            </w:pPr>
            <w:r>
              <w:t>a – e</w:t>
            </w:r>
            <w:r w:rsidR="00926E8D">
              <w:t>.</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A T, T-1, T-2, T-3 és T-4 nyilvánosságra hozatali időszak negyedéves időszakot jelent, és a mezőket az 575/2013/EU rendelet 433., 433a., 433b. és 433c. cikkében meghatározott gyakoriságnak megfelelően kell kitölteni.</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Az ebben a táblában szereplő információkat negyedévente nyilvánosságra hozó intézményeknek a T, T-1, T-2, T-3 és T-4 időszakokra vonatkozóan kell adatot szolgáltatniuk; az ebben a táblában szereplő információkat félévente nyilvánosságra hozó intézményeknek a T, T-2 és T-4 időszakokra vonatkozóan kell adatot szolgáltatniuk; az ebben a táblában szereplő információkat évente nyilvánosságra hozó intézményeknek pedig a T és a T-4 időszakokra vonatkozóan kell adatot szolgáltatniuk.</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Az intézményeknek nyilvánosságra kell hozniuk a nyilvánosságra hozatali időszakoknak megfelelő dátumokat.</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Az adatok első alkalommal történő nyilvánosságra hozatalakor nem kell nyilvánosságra hozni korábbi időszakokra vonatkozó adatokat.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Elsődleges alapvető tőke (CET1)</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A CET1 tőke összege az intézmények által az IT-megoldások VII. mellékletében feltüntetett összeg (az EU CC1 tábla (A szabályozói szavatolótőke összetétele) 29. sora).</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Alapvető tőke (T1)</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Az alapvető tőke összege az intézmények által az EBH IT-megoldásainak VII. mellékletében feltüntetett összeg (az EU CC1 tábla (A szabályozói szavatolótőke összetétele) 45. sora).</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Tőke összesen</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A teljes tőke összege az intézmények által az EBH IT-megoldásainak VII. mellékletében feltüntetett összeg (az EU CC1 tábla (A szabályozói szavatolótőke összetétele) 59. sora).</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Teljes kockázati kitettségérték</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A teljes kockázati kitettségérték összege az intézmények által az EBH IT-megoldásainak VII. mellékletében feltüntetett összeg (az EU CC1 tábla (A szabályozói szavatolótőke összetétele) 60. sora)</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Teljes kockázati kitettségérték küszöb előtt</w:t>
            </w:r>
          </w:p>
          <w:p w14:paraId="5D48E490" w14:textId="041CBAFA"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Az 575/2013/EU rendelet 92. cikkének (3) bekezdése szerinti tőke-küszöbérték hatálya alá tartozó intézmények esetében az 575/2013/EU rendelet 92. cikkének (4) bekezdésében meghatározott tőke-küszöbérték alkalmazása előtti teljes kockázati kitettségérték (TREA) összege.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A tőke-küszöbérték alkalmazása előtti teljes kockázati kitettségérték (TREA) esetében a feltüntetett összegben nem szerepeltethető a TREA-nak tőke-küszöbérték alkalmazásából eredő kiigazítása.</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Elsődleges alapvető tőkemegfelelési mutató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Az elsődleges alapvető tőkemegfelelési mutató az intézmények által az IT-megoldások VII. mellékletében feltüntetett érték (az EU CC1 tábla (A szabályozói szavatolótőke összetétele) 61. sora)</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N.a.</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Elsődleges alapvető tőkemegfelelési mutató a tőke-küszöbérték alkalmazása nélküli teljes kockázati kitettségérték figyelembevételével (%)</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Az 575/2013/EU rendelet 92. cikke (2) bekezdésének a) pontjában meghatározott elsődleges alapvető tőkemegfelelési mutató, az 575/2013/EU rendelet 92. cikke (4) bekezdésének megfelelően, a tőke-küszöbérték hatásának kizárásával kiszámított teljes kockázati kitettségérték százalékában kifejezve.</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T1 tőkemegfelelési mutató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Az alapvetőtőke-megfelelési mutató az intézmények által az IT-megoldások VII. mellékletében feltüntetett érték (az EU CC1 tábla (A szabályozói szavatolótőke összetétele) 62. sora)</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N.a.</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Alapvetőtőke-megfelelési mutató a tőke-küszöbérték alkalmazása nélküli teljes kockázati kitettségérték figyelembevételével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Az 575/2013/EU rendelet 92. cikke (2) bekezdésének b) pontjában meghatározott alapvetőtőke-megfelelési mutató, az 575/2013/EU rendelet 92. cikke (4) bekezdésének megfelelően, a tőke-küszöbérték hatásának kizárásával kiszámított teljes kockázati kitettségérték százalékában kifejezve.</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Teljestőke-megfelelési mutató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A teljestőke-megfelelési mutató az intézmények által az IT-megoldások VII. mellékletében feltüntetett érték (az EU CC1 tábla (A szabályozói szavatolótőke összetétele) 63. sora)</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N.a.</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Teljestőke-megfelelési mutató a tőke-küszöbérték alkalmazása nélküli teljes kockázati kitettségérték figyelembevételével (%)</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Az 575/2013/EU rendelet 92. cikke (2) bekezdésének c) pontjában meghatározott teljestőke-megfelelési mutató, az 575/2013/EU rendelet 92. cikke (4) bekezdésének megfelelően, a tőke-küszöbérték hatásának kizárásával kiszámított teljes kockázati kitettségérték százalékában kifejezve.</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EU 7d.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A túlzott tőkeáttétel kockázatától eltérő kockázatok kezelését célzó kiegészítő szavatolótőke-követelmény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Az illetékes hatóság által a 2013/36/EU irányelv 104. cikke (1) bekezdésének a) pontja alapján előírt, a túlzott tőkeáttétel kockázatától eltérő kockázatok kezelésére szolgáló kiegészítő szavatolótőke-követelmények, a teljes kockázati kitettségérték százalékában kifejezve.</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EU 7e.</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ebből: CET1 tőkekövetelmény-mutató (százalékpont)</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A 2013/36/EU irányelv 104. cikke (1) bekezdésének a) pontja alapján az illetékes hatóság által a túlzott tőkeáttétel kockázatától eltérő kockázatok kezelése érdekében előírt kiegészítő szavatolótőke-követelmény azon része, amelyet a 104a. cikk (4) bekezdésének első és harmadik albekezdésével összhangban elsődleges alapvető tőkével kell teljesíteni.</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t>EU 7f.</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ebből: T1 tőketőkekövetelmény-mutató (százalékpont)</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A 2013/36/EU irányelv 104. cikke (1) bekezdésének a) pontja alapján az illetékes hatóság által a túlzott tőkeáttétel kockázatának kezelése érdekében előírt kiegészítő szavatolótőke-követelmény azon része, amelyet a 104a. cikk (4) bekezdésének első és harmadik albekezdésével összhangban alapvető tőkével kell teljesíteni.</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EU 7g.</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Teljes SREP-tőkekövetelmény (TSCR) (%)</w:t>
            </w:r>
          </w:p>
          <w:p w14:paraId="0EB50A81" w14:textId="77CE0E9A" w:rsidR="003F72E2" w:rsidRPr="00677BB2" w:rsidRDefault="003F72E2" w:rsidP="00677BB2">
            <w:pPr>
              <w:pStyle w:val="InstructionsText"/>
            </w:pPr>
            <w:r>
              <w:t>Az i. és a ii. pontban meghatározott értékek összege a következőknek megfelelően:</w:t>
            </w:r>
          </w:p>
          <w:p w14:paraId="5260BB93" w14:textId="1D865CC9" w:rsidR="003F72E2" w:rsidRPr="00677BB2" w:rsidRDefault="003F72E2" w:rsidP="00677BB2">
            <w:pPr>
              <w:pStyle w:val="InstructionsText"/>
              <w:numPr>
                <w:ilvl w:val="0"/>
                <w:numId w:val="12"/>
              </w:numPr>
            </w:pPr>
            <w:r>
              <w:t xml:space="preserve">az 575/2013/EU rendelet 92. cikke (1) bekezdésének c) pontjában meghatározott teljestőke-megfelelési mutató (8 %); </w:t>
            </w:r>
          </w:p>
          <w:p w14:paraId="6408D689" w14:textId="2B5BF350" w:rsidR="003F72E2" w:rsidRPr="00677BB2" w:rsidRDefault="77E19EAF" w:rsidP="00677BB2">
            <w:pPr>
              <w:pStyle w:val="InstructionsText"/>
              <w:numPr>
                <w:ilvl w:val="0"/>
                <w:numId w:val="12"/>
              </w:numPr>
            </w:pPr>
            <w:r>
              <w:t>a 2013/36/EU irányelv 104. cikke (1) bekezdésének a) pontja alapján az illetékes hatóság által a túlzott tőkeáttétel kockázatától eltérő kockázatok kezelése érdekében előírt és az EBA/GL/2018/03 iránymutatásban</w:t>
            </w:r>
            <w:r w:rsidR="00D35D87" w:rsidRPr="00DB3BA4">
              <w:rPr>
                <w:rStyle w:val="FootnoteReference"/>
                <w:rFonts w:ascii="Times New Roman" w:hAnsi="Times New Roman"/>
                <w:b w:val="0"/>
                <w:bCs w:val="0"/>
                <w:i/>
              </w:rPr>
              <w:footnoteReference w:id="3"/>
            </w:r>
            <w:r>
              <w:t xml:space="preserve"> (EBA SREP GL) meghatározott kritériumokkal összhangban megállapított kiegészítő szavatolótőke-követelmény (2. pillér szerinti követelmény – P2R), a teljes kockázattal súlyozott kitettségérték százalékában kifejezve.</w:t>
            </w:r>
          </w:p>
          <w:p w14:paraId="421B2155" w14:textId="458E132C" w:rsidR="003F72E2" w:rsidRPr="00677BB2" w:rsidRDefault="003F72E2" w:rsidP="00677BB2">
            <w:pPr>
              <w:pStyle w:val="InstructionsText"/>
            </w:pPr>
            <w:r>
              <w:t>Ebben a tételben a teljes-SREP-tőkekövetelmény-mutatót (TSCR) kell megjeleníteni, amint azt az illetékes hatóság az intézménnyel közölte. A TSCR fogalommeghatározása az EBA SREP GL 7.4. és 7.5. szakaszában található.</w:t>
            </w:r>
          </w:p>
          <w:p w14:paraId="16E68C5B" w14:textId="77777777" w:rsidR="009E1F4E" w:rsidRPr="00677BB2" w:rsidRDefault="009E1F4E" w:rsidP="00677BB2">
            <w:pPr>
              <w:pStyle w:val="InstructionsText"/>
            </w:pPr>
            <w:r>
              <w:t>Ha az intézményre nézve kötelező a tőke-küszöbérték, a jelentett adatoknak a 2013/36/EU irányelv 104a. cikke (6) bekezdésének rendelkezéseit figyelembe véve az adatszolgáltatás időpontjában a követelmények teljesítéséhez szükséges TSCR-t tükrözik.</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Amennyiben az illetékes hatóság nem ír elő a túlzott tőkeáttétel kockázatától eltérő kockázatok kezelésére szolgáló kiegészítő szavatolótőke-követelményt, csak az i. pont szerinti információt kell nyilvánosságra hozni.</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Tőkefenntartási puffer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Az intézmények által a 2013/36/EU irányelv 128. cikkének (1) bekezdésével és 129. cikkével összhangban tartandó szavatolótőke, a teljes kockázati kitettségérték százalékában kifejezve.</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A tagállamok szintjén azonosított makroprudenciális vagy rendszerkockázatokra képzett tőkefenntartási puffer</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A tagállamok szintjén azonosított makroprudenciális vagy rendszerkockázatokra képzett fenntartási puffer összege, amely az 575/2013/EU rendelet 458. cikkével összhangban a tőkefenntartási pufferen felül kérhető, a teljes kockázati kitettségérték százalékában kifejezve.</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Intézményspecifikus anticiklikus tőkepuffer (%)</w:t>
            </w:r>
          </w:p>
          <w:p w14:paraId="7EE95752" w14:textId="048F4470" w:rsidR="008C672C" w:rsidRPr="00677BB2" w:rsidRDefault="59C8E997" w:rsidP="00677BB2">
            <w:pPr>
              <w:pStyle w:val="InstructionsText"/>
            </w:pPr>
            <w:r>
              <w:t>Az intézmények által a 2013/36/EU irányelv 128. cikkének (2) bekezdésével, 130. cikkével, valamint 135–140. cikkével összhangban tartandó szavatolótőke, a teljes kockázati kitettségérték százalékában kifejezve.</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A százalékos arány azt fejezi ki, hogy milyen összegű szavatolótőkére van szükség a vonatkozó tőkepuffer-követelményeknek a nyilvánosságra hozatal időpontjában való teljesítéséhez.</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EU 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Rendszerkockázati tőkepuffer (%)</w:t>
            </w:r>
          </w:p>
          <w:p w14:paraId="1A39C087" w14:textId="523BD954" w:rsidR="008C672C" w:rsidRPr="00677BB2" w:rsidRDefault="59C8E997" w:rsidP="00677BB2">
            <w:pPr>
              <w:pStyle w:val="InstructionsText"/>
            </w:pPr>
            <w:r>
              <w:t>Az intézmények által a 2013/36/EU irányelv 128. cikkének (5) bekezdésével, 133. cikkével, valamint 134. cikkével összhangban tartandó szavatolótőke, a teljes kockázati kitettségérték százalékában kifejezve.</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A százalékos arány azt fejezi ki, hogy milyen összegű szavatolótőkére van szükség a vonatkozó tőkepuffer-követelményeknek a nyilvánosságra hozatal időpontjában való teljesítéséhez.</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Globálisan rendszerszinten jelentős intézményekre vonatkozó tőkepuffer (%)</w:t>
            </w:r>
          </w:p>
          <w:p w14:paraId="6FDE597A" w14:textId="5D0D3EC2" w:rsidR="00F16314" w:rsidRPr="00677BB2" w:rsidRDefault="564F8672" w:rsidP="00677BB2">
            <w:pPr>
              <w:pStyle w:val="InstructionsText"/>
            </w:pPr>
            <w:r>
              <w:t>Az intézmények által a 2013/36/EU irányelv 128. cikkének (3) bekezdésével és 131. cikkével összhangban tartandó szavatolótőke, a teljes kockázati kitettségérték százalékában kifejezve.</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A százalékos arány azt fejezi ki, hogy milyen összegű szavatolótőkére van szükség a vonatkozó tőkepuffer-követelményeknek a nyilvánosságra hozatal időpontjában való teljesítéséhez.</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t>EU 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Egyéb rendszerszinten jelentős intézményekre vonatkozó tőkepuffer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Az intézmények által a 2013/36/EU irányelv 128. cikkének (4) bekezdésével és 131. cikkével összhangban tartandó szavatolótőke, a teljes kockázati kitettségérték százalékában kifejezve.</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A százalékos arány azt fejezi ki, hogy milyen összegű szavatolótőkére van szükség a vonatkozó tőkepuffer-követelményeknek a nyilvánosságra hozatal időpontjában való teljesítéséhez.</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Kombinált pufferkövetelmény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A 2013/36/EU irányelv 128. cikke 6. pontjának megfelelően, a teljes kockázati kitettségérték százalékában kifejezve.</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Teljes tőkekövetelmény (OCR) (%)</w:t>
            </w:r>
          </w:p>
          <w:p w14:paraId="27E7760D" w14:textId="77777777" w:rsidR="003F72E2" w:rsidRPr="00677BB2" w:rsidRDefault="003F72E2" w:rsidP="00677BB2">
            <w:pPr>
              <w:pStyle w:val="InstructionsText"/>
            </w:pPr>
            <w:r>
              <w:t>Az i. és ii. pont összege a következőknek megfelelően:</w:t>
            </w:r>
          </w:p>
          <w:p w14:paraId="75A891AF" w14:textId="77777777" w:rsidR="003F72E2" w:rsidRPr="00677BB2" w:rsidRDefault="003F72E2" w:rsidP="00677BB2">
            <w:pPr>
              <w:pStyle w:val="InstructionsText"/>
              <w:numPr>
                <w:ilvl w:val="0"/>
                <w:numId w:val="13"/>
              </w:numPr>
            </w:pPr>
            <w:r>
              <w:t>az EU 7d. sorban említett TSCR mutató;</w:t>
            </w:r>
          </w:p>
          <w:p w14:paraId="5EE9D2EB" w14:textId="1239145E" w:rsidR="003F72E2" w:rsidRPr="00677BB2" w:rsidRDefault="77E19EAF" w:rsidP="00677BB2">
            <w:pPr>
              <w:pStyle w:val="InstructionsText"/>
              <w:numPr>
                <w:ilvl w:val="0"/>
                <w:numId w:val="13"/>
              </w:numPr>
            </w:pPr>
            <w:r>
              <w:t>amennyiben jogilag alkalmazható, a 2013/36/EU irányelv 128. cikkének 6. pontjában említett kombinált pufferkövetelmény mutatója.</w:t>
            </w:r>
          </w:p>
          <w:p w14:paraId="4B4D7463" w14:textId="52E60BF7" w:rsidR="003F72E2" w:rsidRPr="00677BB2" w:rsidRDefault="003F72E2" w:rsidP="00677BB2">
            <w:pPr>
              <w:pStyle w:val="InstructionsText"/>
            </w:pPr>
            <w:r>
              <w:t>Ebben a tételben az EBH SREP iránymutatásának 1.2. szakaszában meghatározott teljes tőkekövetelmény-mutatót (OCR-mutató) kell megjeleníteni.</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Ha nem alkalmazandó pufferkövetelmény, csak az i. pont szerinti információt kell nyilvánosságra hozni.</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CET1 a teljes SREP-követelmény teljesítése után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Teljes kitettségi mérték</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A teljes kitettségi mérték az intézmények által az EBH IT-megoldásainak XI. mellékletében feltüntetett összegnek megfelelően (az EU LR2 – LRCom: Tőkeáttételi mutatóra vonatkozó egységes adattábla 24. sora)</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Tőkeáttételi mutató (%)</w:t>
            </w:r>
          </w:p>
          <w:p w14:paraId="19D19C40" w14:textId="760F6920"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t xml:space="preserve">Tőkeáttételi mutató az intézmények által </w:t>
            </w:r>
            <w:bookmarkStart w:id="10" w:name="_Hlk169692988"/>
            <w:r>
              <w:rPr>
                <w:rFonts w:ascii="Times New Roman" w:hAnsi="Times New Roman"/>
                <w:sz w:val="24"/>
              </w:rPr>
              <w:t>az EBH IT-megoldásainak XI. mellékletében</w:t>
            </w:r>
            <w:bookmarkEnd w:id="10"/>
            <w:r>
              <w:rPr>
                <w:rFonts w:ascii="Times New Roman" w:hAnsi="Times New Roman"/>
                <w:sz w:val="24"/>
              </w:rPr>
              <w:t xml:space="preserve"> feltüntetett értéknek megfelelően (az EU LR2 – LRCom: Tőkeáttételi mutatóra vonatkozó egységes adattábla 25. sora).</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EU 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A túlzott tőkeáttétel kockázatának kezelését célzó kiegészítő szavatolótőke-követelmény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A</w:t>
            </w:r>
            <w:r>
              <w:rPr>
                <w:rFonts w:ascii="Times New Roman" w:hAnsi="Times New Roman"/>
                <w:sz w:val="24"/>
              </w:rPr>
              <w:t xml:space="preserve"> 2013/36/EU irányelv 104. cikke (1) bekezdésének a) pontja alapján az illetékes hatóság által a </w:t>
            </w:r>
            <w:r>
              <w:rPr>
                <w:rFonts w:ascii="Times New Roman" w:hAnsi="Times New Roman"/>
                <w:sz w:val="24"/>
                <w:shd w:val="clear" w:color="auto" w:fill="FFFFFF"/>
              </w:rPr>
              <w:t>túlzott tőkeáttétel kockázatának</w:t>
            </w:r>
            <w:r>
              <w:rPr>
                <w:rFonts w:ascii="Times New Roman" w:hAnsi="Times New Roman"/>
                <w:sz w:val="24"/>
              </w:rPr>
              <w:t xml:space="preserve"> kezelése érdekében előírt kiegészítő szavatolótőke-követelmény, </w:t>
            </w:r>
            <w:r>
              <w:rPr>
                <w:rFonts w:ascii="Times New Roman" w:hAnsi="Times New Roman"/>
                <w:sz w:val="24"/>
                <w:shd w:val="clear" w:color="auto" w:fill="FFFFFF"/>
              </w:rPr>
              <w:t xml:space="preserve">a teljes kitettségi mérték százalékában kifejezve. </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Kiegészítő szavatolótőke-követelmények az intézmények által az EBH IT-megoldásainak XI. mellékletében feltüntetett értéknek megfelelően (az EU LR2 – LRCom: Tőkeáttételi mutatóra vonatkozó egységes adattábla EU-26a. sora).</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t>EU 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ebből: CET1 tőkekövetelmény-mutató (százalékpont)</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A 2013/36/EU irányelv</w:t>
            </w:r>
            <w:r>
              <w:rPr>
                <w:rFonts w:ascii="Times New Roman" w:hAnsi="Times New Roman"/>
                <w:sz w:val="24"/>
              </w:rPr>
              <w:t xml:space="preserve"> 104. cikke </w:t>
            </w:r>
            <w:r>
              <w:rPr>
                <w:rFonts w:ascii="Times New Roman" w:hAnsi="Times New Roman"/>
                <w:sz w:val="24"/>
                <w:shd w:val="clear" w:color="auto" w:fill="FFFFFF"/>
              </w:rPr>
              <w:t>(1) bekezdésének a) pontja alapján</w:t>
            </w:r>
            <w:r>
              <w:rPr>
                <w:rFonts w:ascii="Times New Roman" w:hAnsi="Times New Roman"/>
                <w:sz w:val="24"/>
              </w:rPr>
              <w:t xml:space="preserve"> az illetékes hatóság által a túlzott tőkeáttétel kockázatának kezelése érdekében előírt kiegészítő szavatolótőke-követelmény azon része, </w:t>
            </w:r>
            <w:r>
              <w:rPr>
                <w:rFonts w:ascii="Times New Roman" w:hAnsi="Times New Roman"/>
                <w:sz w:val="24"/>
                <w:shd w:val="clear" w:color="auto" w:fill="FFFFFF"/>
              </w:rPr>
              <w:t xml:space="preserve">amelyet a 104a. cikk (4) bekezdésének harmadik albekezdésével összhangban elsődleges alapvető tőkével kell teljesíteni. </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Kiegészítő szavatolótőke-követelmények az intézmények által az EBH IT-megoldásainak XI. mellékletében feltüntetett értéknek megfelelően (az EU LR2 – LRCom: Tőkeáttételi mutatóra vonatkozó egységes adattábla EU-26b. sora).</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EU 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Teljes SREP tőkeáttételimutató-követelmény (%)</w:t>
            </w:r>
          </w:p>
          <w:p w14:paraId="12B9013E" w14:textId="77777777" w:rsidR="00505188" w:rsidRPr="00677BB2" w:rsidRDefault="00505188" w:rsidP="00677BB2">
            <w:pPr>
              <w:pStyle w:val="InstructionsText"/>
            </w:pPr>
            <w:r>
              <w:t>Az i. és ii. pont összege a következőknek megfelelően:</w:t>
            </w:r>
          </w:p>
          <w:p w14:paraId="5E716F27" w14:textId="0373DF56" w:rsidR="00505188" w:rsidRPr="00677BB2" w:rsidRDefault="00D96782" w:rsidP="00677BB2">
            <w:pPr>
              <w:pStyle w:val="InstructionsText"/>
            </w:pPr>
            <w:r>
              <w:t xml:space="preserve">i. adott esetben az 575/2013/EU rendelet 92. cikke (1) bekezdésének d) pontja szerinti minimális tőkeáttételi mutatóra vonatkozó követelmény vagy az 575/2013/EU rendelet 429a. cikkének (7) bekezdésével összhangban számított, korrigált tőkeáttételi mutatóra vonatkozó követelmény; </w:t>
            </w:r>
          </w:p>
          <w:p w14:paraId="40C21DE2" w14:textId="09C7D200" w:rsidR="00505188" w:rsidRPr="00677BB2" w:rsidRDefault="00D96782" w:rsidP="00677BB2">
            <w:pPr>
              <w:pStyle w:val="InstructionsText"/>
            </w:pPr>
            <w:r>
              <w:t>ii. a 2013/36/EU irányelv 104. cikke (1) bekezdésének a) pontja alapján az illetékes hatóság által a túlzott tőkeáttétel kockázatának kezelése érdekében előírt kiegészítő szavatolótőke-követelmény (2. pillér szerinti követelmény – P2R), a teljes kitettségi mérték százalékában kifejezve.</w:t>
            </w:r>
          </w:p>
          <w:p w14:paraId="72014476" w14:textId="72428B13" w:rsidR="00505188" w:rsidRPr="00677BB2" w:rsidRDefault="00505188" w:rsidP="00677BB2">
            <w:pPr>
              <w:pStyle w:val="InstructionsText"/>
            </w:pPr>
            <w:r>
              <w:t>Ebben a tételben a teljes SREP tőkeáttételimutató-követelményt (TSLRR) kell megjeleníteni, amelyet azt az illetékes hatóság közölt az intézménnyel.</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t>Amennyiben az illetékes hatóság nem ír elő a túlzott tőkeáttétel kockázatának kezelésére szolgáló kiegészítő szavatolótőke-követelményt, csak az i. pont szerinti információt kell nyilvánosságra hozni.</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t>EU 14d.</w:t>
            </w:r>
          </w:p>
        </w:tc>
        <w:tc>
          <w:tcPr>
            <w:tcW w:w="7655" w:type="dxa"/>
          </w:tcPr>
          <w:p w14:paraId="08E93EB0" w14:textId="1CAE83B8" w:rsidR="00505188" w:rsidRPr="00232C88" w:rsidRDefault="00BB3630" w:rsidP="00677BB2">
            <w:pPr>
              <w:pStyle w:val="InstructionsText"/>
            </w:pPr>
            <w:r>
              <w:t>Tőkeáttételimutató-pufferre vonatkozó követelmény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Az 575/2013/EU rendelet 92. cikkének (1a) bekezdése.</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Alkalmazandó tőkeáttételimutató-puffer az intézmények által az EBH IT-megoldásainak XI. mellékletében feltüntetett értéknek megfelelően (az EU LR2 – LRCom: Tőkeáttételi mutatóra vonatkozó egységes adattábla 27. sora)</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Együttes tőkeáttételimutató-követelmény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Az EU 14c. és az EU 14d. sor összege.</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Magas minőségű likvid eszközök (HQLA) összesen (súlyozott érték – átlag)</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Az intézményeknek súlyozott értékként a likvid eszközöknek – az (EU) 2015/61 felhatalmazáson alapuló rendelet 17. cikke (2) bekezdésében meghatározott kiigazítási mechanizmus alkalmazása előtti – értékét kell megadniuk az (EU) 2015/61 felhatalmazáson alapuló bizottsági rendelet</w:t>
            </w:r>
            <w:r w:rsidR="00704085" w:rsidRPr="00232C88">
              <w:rPr>
                <w:rStyle w:val="FootnoteReference"/>
                <w:rFonts w:ascii="Times New Roman" w:hAnsi="Times New Roman" w:cs="Times New Roman"/>
              </w:rPr>
              <w:footnoteReference w:id="4"/>
            </w:r>
            <w:r>
              <w:rPr>
                <w:rFonts w:ascii="Times New Roman" w:hAnsi="Times New Roman"/>
                <w:sz w:val="24"/>
              </w:rPr>
              <w:t xml:space="preserve"> 9. cikkének megfelelően.</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Készpénzkiáramlások – Teljes súlyozott érték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Az intézményeknek nyilvánosságra kell hozniuk a XIII. mellékletben megadott készpénzkiáramlásaik súlyozott értékének összegét (az EU LIQ1 tábla (Az LCR-re vonatkozó mennyiségi információk) 16. sora).</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Készpénzbeáramlások – Teljes súlyozott érték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Az intézményeknek nyilvánosságra kell hozniuk a XIII. mellékletben megadott készpénzbeáramlásaik súlyozott értékének összegét (az EU LIQ1 tábla (Az LCR-re vonatkozó mennyiségi információk) 20. sora).</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Nettó készpénzkiáramlások összesen (korrigált érték)</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Az intézményeknek kiigazított értékként a nettó likviditáskiáramlást kell megadniuk, amely a következővel egyenlő: a teljes kiáramlás mínusz a teljes mértékben mentesített beáramlások miatti csökkentés, mínusz a 90 %-os felső korlát alá tartozó beáramlások miatti csökkentés, mínusz a 75 %-os felső korlát alá tartozó beáramlások miatti csökkentés.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Likviditásfedezeti ráta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Az intézményeknek kiigazított értékként az (EU) 2015/61 felhatalmazáson alapuló rendelet 4. cikkének (1) bekezdése szerinti, százalékban kifejezett likviditásfedezeti rátát kell nyilvánosságra hozniuk.</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likviditásfedezeti ráta a hitelintézet likviditási pufferének egy 30 naptári napos stresszidőszak alatti nettó likviditáskiáramlásához viszonyított, százalékban kifejezett aránya.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Rendelkezésre álló stabil források összesen</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nyilvánosságra kell hozniuk az 575/2013/EU rendelet hatodik része IV. címe 3. fejezetének megfelelően számított, rendelkezésre álló stabil forrás összegét az IT-megoldások XIII. mellékletében feltüntetetteknek megfelelően (az EU LIQ2 tábla (Nettó stabil forrásellátottsági ráta) 14. sora).</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Előírt stabil források összesen</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Az intézményeknek nyilvánosságra kell hozniuk az 575/2013/EU rendelet hatodik része IV. címe 4. fejezetének megfelelően számított, előírt stabil forrás összegét az IT-megoldások XIII. mellékletében feltüntetetteknek megfelelően (az EU LIQ2 tábla (Nettó stabil forrásellátottsági ráta) 33. sora).</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Nettó stabil forrásellátottsági ráta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Az 575/2013/EU rendelet 428b. cikkének megfelelően számított nettó stabil forrásellátottsági ráta.</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EU INS1 tábla – Részesedések biztosítókban: </w:t>
      </w:r>
      <w:r>
        <w:rPr>
          <w:rFonts w:ascii="Times New Roman" w:hAnsi="Times New Roman"/>
          <w:sz w:val="24"/>
        </w:rPr>
        <w:t>Kötött formátum.</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Az intézmények az 575/2013/EU rendelet 438. cikke f) pontjának alkalmazásában az I. mellékletben található EU INS1 tábla kitöltéséhez az e mellékletben levő útmutatót használják.</w:t>
      </w:r>
    </w:p>
    <w:p w14:paraId="5970EF08" w14:textId="77777777" w:rsidR="00295952" w:rsidRPr="00926E8D"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0F136ACE" w14:textId="77777777" w:rsidTr="00B2180A">
        <w:trPr>
          <w:trHeight w:val="680"/>
        </w:trPr>
        <w:tc>
          <w:tcPr>
            <w:tcW w:w="1384" w:type="dxa"/>
          </w:tcPr>
          <w:p w14:paraId="270B29A8" w14:textId="1E044683" w:rsidR="00295952" w:rsidRPr="00232C88" w:rsidRDefault="00295952" w:rsidP="00B2180A">
            <w:pPr>
              <w:pStyle w:val="Applicationdirecte"/>
              <w:spacing w:before="60"/>
              <w:jc w:val="center"/>
            </w:pPr>
            <w:r>
              <w:t>a</w:t>
            </w:r>
            <w:r w:rsidR="00CD315B">
              <w:t>.</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Kitettségérték</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Biztosítóban, viszontbiztosítóban vagy biztosítási holdingtársaságban birtokolt szavatolótőke-instrumentumok kitettségértéke, amelyeket az intézmények nem vonnak le szavatolótőkéjükből az 575/2013/EU rendelet 49. cikkének megfelelően, amikor tőkekövetelményüket egyedi, szubkonszolidált vagy összevont alapon kiszámítják.</w:t>
            </w:r>
          </w:p>
        </w:tc>
      </w:tr>
      <w:tr w:rsidR="00295952" w:rsidRPr="00232C88" w14:paraId="61334455" w14:textId="77777777" w:rsidTr="00B2180A">
        <w:trPr>
          <w:trHeight w:val="680"/>
        </w:trPr>
        <w:tc>
          <w:tcPr>
            <w:tcW w:w="1384" w:type="dxa"/>
          </w:tcPr>
          <w:p w14:paraId="76F52744" w14:textId="2511D1FA" w:rsidR="00295952" w:rsidRPr="00232C88" w:rsidRDefault="00295952" w:rsidP="00B2180A">
            <w:pPr>
              <w:pStyle w:val="Applicationdirecte"/>
              <w:spacing w:before="60"/>
              <w:jc w:val="center"/>
            </w:pPr>
            <w:r>
              <w:t>b</w:t>
            </w:r>
            <w:r w:rsidR="00CD315B">
              <w:t>.</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Kockázati kitettségérték</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Biztosítóban, viszontbiztosítóban vagy biztosítási holdingtársaságban birtokolt szavatolótőke-instrumentumok kockázati kitettségértéke, amelyeket az intézmények nem vonnak le szavatolótőkéjükből az 575/2013/EU rendelet 49. cikkének megfelelően, amikor tőkekövetelményüket egyedi, szubkonszolidált vagy összevont alapon kiszámítják.</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EU INS2 tábla – A szavatolótőkével és a tőkemegfelelési mutatóval kapcsolatos információk a pénzügyi konglomerátumok vonatkozásában. </w:t>
      </w:r>
      <w:r>
        <w:rPr>
          <w:rFonts w:ascii="Times New Roman" w:hAnsi="Times New Roman"/>
          <w:sz w:val="24"/>
        </w:rPr>
        <w:t>Kötött formátum.</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Az intézmények az 575/2013/EU rendelet 438. cikke g) pontjának alkalmazásában az EBH IT-megoldásainak I. mellékletében található EU INS2 tábla kitöltéséhez az e mellékletben levő útmutatót használják.</w:t>
      </w:r>
    </w:p>
    <w:p w14:paraId="2C33B06C" w14:textId="77777777" w:rsidR="00295952" w:rsidRPr="00926E8D"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A pénzügyi konglomerátum kiegészítő szavatolótőke-követelménye (összeg)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A pénzügyi konglomerátumnak a 2002/87/EK európai parlamenti és tanácsi irányelv</w:t>
            </w:r>
            <w:r w:rsidR="00F515D4" w:rsidRPr="00232C88">
              <w:rPr>
                <w:rStyle w:val="FootnoteReference"/>
                <w:rFonts w:ascii="Times New Roman" w:hAnsi="Times New Roman" w:cs="Times New Roman"/>
              </w:rPr>
              <w:footnoteReference w:id="5"/>
            </w:r>
            <w:r>
              <w:rPr>
                <w:rFonts w:ascii="Times New Roman" w:hAnsi="Times New Roman"/>
                <w:sz w:val="24"/>
              </w:rPr>
              <w:t xml:space="preserve"> 6. cikkével és az említett irányelv I. mellékletével összhangban számított kiegészítő szavatolótőke-követelménye, ha az I. mellékletben meghatározott 1. vagy 2. módszert alkalmazzák.</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A pénzügyi konglomerátum tőkemegfelelési mutatója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A pénzügyi konglomerátumnak a 2002/87/EK irányelv 6. cikkével és az említett irányelv I. mellékletével összhangban számított tőkemegfelelési mutatója, ha az I. mellékletben meghatározott 1. vagy 2. módszert alkalmazzák.</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EU OVC táblázat – ICAAP információk. </w:t>
      </w:r>
      <w:r>
        <w:rPr>
          <w:rFonts w:ascii="Times New Roman" w:hAnsi="Times New Roman"/>
          <w:sz w:val="24"/>
        </w:rPr>
        <w:t>Rugalmas formátum.</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Az intézmények az 575/2013/EU rendelet 438. cikke a) és c) pontjának alkalmazásában az I. mellékletben található EU OVC tábla kitöltéséhez az e mellékletben levő útmutatót használják.</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53740EA1" w14:textId="77777777" w:rsidTr="00B2180A">
        <w:trPr>
          <w:trHeight w:val="680"/>
        </w:trPr>
        <w:tc>
          <w:tcPr>
            <w:tcW w:w="1384" w:type="dxa"/>
          </w:tcPr>
          <w:p w14:paraId="33BBDE21" w14:textId="25359277" w:rsidR="00D15B1C" w:rsidRPr="00232C88" w:rsidRDefault="00D85025" w:rsidP="00B2180A">
            <w:pPr>
              <w:pStyle w:val="Applicationdirecte"/>
              <w:spacing w:before="60"/>
              <w:jc w:val="center"/>
            </w:pPr>
            <w:r>
              <w:t>a</w:t>
            </w:r>
            <w:r w:rsidR="00CD315B">
              <w:t>.</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Belső tőkemegfelelés-értékelési módszer</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Az intézményeknek nyilvánosságra kell hozniuk azon módszereik összefoglalóját, amelyek annak értékelésére szolgálnak, hogy a belső tőkéjük megfelelő-e a jelenlegi és jövőbeli tevékenységek alátámasztásához</w:t>
            </w:r>
          </w:p>
        </w:tc>
      </w:tr>
      <w:tr w:rsidR="00D15B1C" w:rsidRPr="00232C88" w14:paraId="3EB24671" w14:textId="77777777" w:rsidTr="00B2180A">
        <w:trPr>
          <w:trHeight w:val="680"/>
        </w:trPr>
        <w:tc>
          <w:tcPr>
            <w:tcW w:w="1384" w:type="dxa"/>
          </w:tcPr>
          <w:p w14:paraId="26622B61" w14:textId="32F7D102" w:rsidR="00D15B1C" w:rsidRPr="00232C88" w:rsidRDefault="00D85025" w:rsidP="00B2180A">
            <w:pPr>
              <w:pStyle w:val="Applicationdirecte"/>
              <w:spacing w:before="60"/>
              <w:jc w:val="center"/>
            </w:pPr>
            <w:r>
              <w:t>b</w:t>
            </w:r>
            <w:r w:rsidR="00CD315B">
              <w:t>.</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Az érintett illetékes hatóság kérésére az intézmény belső tőkemegfelelés-értékelési eljárásának az eredménye</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Ezt az információt az intézményeknek csak akkor kell nyilvánosságra hozniuk, ha azt az érintett illetékes hatóság előírja.</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EU CMS1 tábla – A modellezett és a sztenderd módszer szerinti kockázattal súlyozott kitettségérték kockázati szinten történő összehasonlítása. </w:t>
      </w:r>
      <w:r>
        <w:rPr>
          <w:rFonts w:ascii="Times New Roman" w:hAnsi="Times New Roman"/>
          <w:sz w:val="24"/>
        </w:rPr>
        <w:t>Kötött formátum.</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Az intézmények az 575/2013/EU rendelet 438. cikke d) és da) pontjának alkalmazásában az e mellékletben levő útmutatót használják az I. mellékletben található EU CMS1 tábla kitöltéséhez.</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Ezt a táblát csak azoknak az intézményeknek kell nyilvánosságra hozniuk, amelyek az illetékes hatóság által jóváhagyott belső modellt használnak a kockázattal súlyozott kitettségértékek kiszámításához, és amelyek nem tartoznak az 575/2013/EU rendelet 92. cikke (3) bekezdésének második albekezdése szerinti mentesség hatálya alá.</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Az intézményeknek adott esetben a táblát kísérő szöveges magyarázatban ki kell fejteniük, hogy milyen hatást gyakorol a szavatolótőke és a kockázattal súlyozott kitettségértékek számítására, hogy alsó korlátot alkalmaznak a tőkére, és nem vonnak le elemeket a szavatolótőkéből.</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Ezen túlmenően, amennyiben az IRB-kitettségeket a sorokra vonatkozó alábbi útmutatónak megfelelően kizárták az IRB kitettségi osztályokból, és azokat a táblában felsorolt, a sztenderd módszerhez tartozó kitettségi osztályok egyikében tüntették fel, az intézményeknek a szöveges magyarázatban meg kell adniuk az eredeti IRB kitettségi osztályaikat. </w:t>
      </w:r>
    </w:p>
    <w:p w14:paraId="7F5020E2" w14:textId="77777777" w:rsidR="004E19D2" w:rsidRPr="00926E8D"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74E16454" w14:textId="77777777" w:rsidTr="4D769726">
        <w:trPr>
          <w:trHeight w:val="680"/>
        </w:trPr>
        <w:tc>
          <w:tcPr>
            <w:tcW w:w="1384" w:type="dxa"/>
          </w:tcPr>
          <w:p w14:paraId="33EF7E61" w14:textId="681A0A1F" w:rsidR="00351A65" w:rsidRPr="00232C88" w:rsidRDefault="00351A65" w:rsidP="0028295F">
            <w:pPr>
              <w:pStyle w:val="Applicationdirecte"/>
              <w:spacing w:before="60"/>
              <w:jc w:val="center"/>
            </w:pPr>
            <w:r>
              <w:t>a</w:t>
            </w:r>
            <w:r w:rsidR="00CD315B">
              <w:t>.</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Kockázattal súlyozott kitettségértékek azon modellezett megközelítések esetében, amelyek alkalmazásához az intézmények felügyeleti jóváhagyással rendelkeznek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Az illetékes hatóság által jóváhagyott belső modellekkel számított, kockázattal súlyozott kitettségértékek része.</w:t>
            </w:r>
          </w:p>
        </w:tc>
      </w:tr>
      <w:tr w:rsidR="00232C88" w:rsidRPr="00232C88" w14:paraId="1A199F0E" w14:textId="77777777" w:rsidTr="4D769726">
        <w:trPr>
          <w:trHeight w:val="680"/>
        </w:trPr>
        <w:tc>
          <w:tcPr>
            <w:tcW w:w="1384" w:type="dxa"/>
          </w:tcPr>
          <w:p w14:paraId="385C4F72" w14:textId="4A0343A4" w:rsidR="00351A65" w:rsidRPr="00232C88" w:rsidRDefault="00351A65" w:rsidP="00351A65">
            <w:pPr>
              <w:pStyle w:val="Applicationdirecte"/>
              <w:spacing w:before="60"/>
              <w:jc w:val="center"/>
            </w:pPr>
            <w:r>
              <w:t>b</w:t>
            </w:r>
            <w:r w:rsidR="00CD315B">
              <w:t>.</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Kockázattal súlyozott kitettségértékek azon portfóliók esetében, amelyek esetében sztenderd módszereket alkalmaznak</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A sztenderd módszerek szerint számított, kockázattal súlyozott kitettségértékek része.</w:t>
            </w:r>
          </w:p>
        </w:tc>
      </w:tr>
      <w:tr w:rsidR="00232C88" w:rsidRPr="00232C88" w14:paraId="692C5268" w14:textId="77777777" w:rsidTr="4D769726">
        <w:trPr>
          <w:trHeight w:val="680"/>
        </w:trPr>
        <w:tc>
          <w:tcPr>
            <w:tcW w:w="1384" w:type="dxa"/>
          </w:tcPr>
          <w:p w14:paraId="47D9BD13" w14:textId="7A46D87F" w:rsidR="00351A65" w:rsidRPr="00232C88" w:rsidRDefault="00351A65" w:rsidP="00351A65">
            <w:pPr>
              <w:pStyle w:val="Applicationdirecte"/>
              <w:spacing w:before="60"/>
              <w:jc w:val="center"/>
            </w:pPr>
            <w:r>
              <w:t>c</w:t>
            </w:r>
            <w:r w:rsidR="00CD315B">
              <w:t>.</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A tényleges kockázattal súlyozott kitettségértékek összesen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Az a és b oszlop összege; azaz azok a kockázattal súlyozott kitettségértékek, amelyekről az intézmények az alkalmazandó módszerek szerint adatot szolgáltatnak. A 8. sorban feltüntetett, összes tényleges kockázattal súlyozott kitettségérték a tőke-küszöbérték alkalmazásából eredő kiigazítása előtti összeget tükrözi. </w:t>
            </w:r>
          </w:p>
        </w:tc>
      </w:tr>
      <w:tr w:rsidR="00232C88" w:rsidRPr="00232C88" w14:paraId="4F847923" w14:textId="77777777" w:rsidTr="4D769726">
        <w:trPr>
          <w:trHeight w:val="680"/>
        </w:trPr>
        <w:tc>
          <w:tcPr>
            <w:tcW w:w="1384" w:type="dxa"/>
            <w:vAlign w:val="center"/>
          </w:tcPr>
          <w:p w14:paraId="5A78FA97" w14:textId="0AEC6BE3" w:rsidR="00351A65" w:rsidRPr="00232C88" w:rsidRDefault="00351A65" w:rsidP="00351A65">
            <w:pPr>
              <w:pStyle w:val="Applicationdirecte"/>
              <w:spacing w:before="60"/>
              <w:jc w:val="center"/>
            </w:pPr>
            <w:r>
              <w:t>d</w:t>
            </w:r>
            <w:r w:rsidR="00CD315B">
              <w:t>.</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Teljes körű sztenderd módszer alapján számított, kockázattal súlyozott kitettségértékek</w:t>
            </w:r>
          </w:p>
          <w:p w14:paraId="483ED9BD" w14:textId="77777777" w:rsidR="00DD7C7A" w:rsidRDefault="6016A13E" w:rsidP="4D769726">
            <w:pPr>
              <w:spacing w:before="60" w:after="120"/>
              <w:jc w:val="both"/>
              <w:rPr>
                <w:rFonts w:ascii="Times New Roman" w:hAnsi="Times New Roman" w:cs="Times New Roman"/>
                <w:sz w:val="24"/>
              </w:rPr>
            </w:pPr>
            <w:r>
              <w:rPr>
                <w:rFonts w:ascii="Times New Roman" w:hAnsi="Times New Roman"/>
                <w:sz w:val="24"/>
              </w:rPr>
              <w:t xml:space="preserve">Tényleges kockázattal súlyozott kitettségértékek a teljes sztenderd kockázattal súlyozott eszközöknek (S-TREA) olyan modellezett, kockázattal súlyozott kitettségértékkel való összehasonlítására, amelynek alkalmazásához a bázeli keretrendszernek megfelelően és az 575/2013/EU rendelet 438. cikkének da) pontjában előírtak szerint a bankok felügyeleti jóváhagyással rendelkeznek.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Az intézményeknek nyilvánosságra kell hozniuk az 575/2013/EU rendelet 92. cikkének (5) és (6) bekezdése szerint számított, kockázattal súlyozott kitettségértéket, az 575/2013/EU rendelet 465. cikkében foglalt átmeneti rendelkezések alkalmazása nélkül.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A 8. sorban feltüntetett teljes érték képezi a tőke-küszöbérték átmeneti időszak végén történő kiszámításának alapját.</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2AF39EBC" w:rsidR="00351A65" w:rsidRPr="00232C88" w:rsidRDefault="00351A65" w:rsidP="00351A65">
            <w:pPr>
              <w:pStyle w:val="Applicationdirecte"/>
              <w:spacing w:before="60"/>
              <w:jc w:val="center"/>
            </w:pPr>
            <w:r>
              <w:t>EU d</w:t>
            </w:r>
            <w:r w:rsidR="00CD315B">
              <w:t>.</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 xml:space="preserve">Kockázattal súlyozott kitettségértékek, amelyek a tőke-küszöbérték alapját képezik </w:t>
            </w:r>
          </w:p>
          <w:p w14:paraId="4BA6D902" w14:textId="43F99074"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Az 575/2013/EU rendelet 438. cikkének d) pontjában előírt tőke-küszöbérték kiszámításához szükséges alap biztosítására szolgáló, kockázattal súlyozott kitettségértékek. Az intézményeknek nyilvánosságra kell hozniuk az 575/2013/EU rendelet 92. cikkének (5) és (6) bekezdése szerint számított, kockázattal súlyozott kitettségértéket, az 575/2013/EU rendelet 465. cikkében foglalt átmeneti rendelkezések alkalmazása után.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A 8. sorban feltüntetett, kockázattal súlyozott kitettségértékek teljes összege képezi a tőke-küszöbérték kiszámításának alapját. </w:t>
            </w:r>
          </w:p>
          <w:p w14:paraId="343C355A" w14:textId="1C3BCD00" w:rsidR="00C83C5F" w:rsidRPr="00926E8D" w:rsidRDefault="00C83C5F" w:rsidP="00A26EB4">
            <w:pPr>
              <w:spacing w:before="60" w:after="120"/>
              <w:jc w:val="both"/>
              <w:rPr>
                <w:rFonts w:ascii="Times New Roman" w:hAnsi="Times New Roman" w:cs="Times New Roman"/>
                <w:b/>
                <w:sz w:val="24"/>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Hitelkockázat (a partnerkockázat kivételével)</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Az 575/2013/EU rendelet harmadik része II. címének 1–4. fejezete szerint számított, kockázattal súlyozott kitettségértékek.</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Partnerkockázat</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Az 575/2013/EU rendelet harmadik része II. címének 6. fejezete szerint számított, kockázattal súlyozott kitettségértékek.</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Hitelértékelési korrekció</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Az 575/2013/EU rendelet harmadik részének VI. címe szerint számított, kockázattal súlyozott kitettségértékek.</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Banki könyvi értékpapírosítási kitettségek</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Az 575/2013/EU rendelet harmadik része II. címének 5. fejezete szerint számított, kockázattal súlyozott kitettségértékek.</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Piaci kockázat</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Az 575/2013/EU rendelet harmadik részének IV. címe szerint számított, kockázattal súlyozott kitettségértékek.</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Működési kockázat</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t>Az 575/2013/EU rendelet harmadik részének III. címe szerint számított, kockázattal súlyozott kitettségértékek.</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Egyéb kockázattal súlyozott kitettségértékek</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Az 1–6. sorban figyelembe nem vett, kockázattal súlyozott kitettségértékek (pl. a kiegyenlítési kockázatból származó, kockázattal súlyozott kitettségértékek [OV1 tábla 15. sora] és a levonási küszöbérték alatti összegek [OV1 tábla 25. sora]).</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Összesen</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Az 1–7. sorok összege.</w:t>
            </w:r>
          </w:p>
        </w:tc>
      </w:tr>
    </w:tbl>
    <w:p w14:paraId="367571C1" w14:textId="5871F274" w:rsidR="0090729F" w:rsidRPr="00232C88"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EU CMS2 tábla – A modellezett és a sztenderd módszer szerinti hitelkockázatra vonatkozó kockázattal súlyozott kitettségérték eszközosztály-szinten történő összehasonlítása. </w:t>
      </w:r>
      <w:r>
        <w:rPr>
          <w:rFonts w:ascii="Times New Roman" w:hAnsi="Times New Roman"/>
          <w:sz w:val="24"/>
        </w:rPr>
        <w:t>Kötött formátum.</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Az intézmények az 575/2013/EU rendelet 438. cikke d) és da) pontjának alkalmazásában az I. mellékletben található EU CMS2 tábla kitöltéséhez az e mellékletben levő útmutatót használják.</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Ezt a táblát csak azoknak az intézményeknek kell nyilvánosságra hozniuk, amelyek a hitelkockázati kockázattal súlyozott kitettségértékeket az 575/2013/EU rendelet harmadik része II. címének 3. fejezetének megfelelően. belső minősítésen alapuló (IRB) módszerekkel számítják ki, és amelyek nem tartoznak az 575/2013/EU rendelet 92. cikke (3) bekezdésének második albekezdése szerinti mentesség hatálya alá.</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Az intézményeknek adott esetben a táblát kísérő szöveges magyarázatban ki kell fejteniük, hogy milyen hatást gyakorol a szavatolótőke és a kockázattal súlyozott kitettségértékek számítására, hogy alsó korlátot alkalmaznak a tőkére, és nem vonnak le elemeket a szavatolótőkéből.</w:t>
      </w:r>
    </w:p>
    <w:p w14:paraId="21FDE9C5" w14:textId="77777777" w:rsidR="00054B2E" w:rsidRPr="00926E8D"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926E8D"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58CC5B00" w14:textId="77777777" w:rsidTr="4D769726">
        <w:trPr>
          <w:trHeight w:val="1070"/>
        </w:trPr>
        <w:tc>
          <w:tcPr>
            <w:tcW w:w="1384" w:type="dxa"/>
          </w:tcPr>
          <w:p w14:paraId="5C1A8115" w14:textId="5F1D5FC5" w:rsidR="00994B4F" w:rsidRPr="00232C88" w:rsidRDefault="00994B4F" w:rsidP="00994B4F">
            <w:pPr>
              <w:pStyle w:val="Applicationdirecte"/>
              <w:spacing w:before="60"/>
              <w:jc w:val="center"/>
            </w:pPr>
            <w:r>
              <w:t>a</w:t>
            </w:r>
            <w:r w:rsidR="00CD315B">
              <w:t>.</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Kockázattal súlyozott kitettségértékek azon modellezett megközelítések esetében, amelyek alkalmazásához az intézmények felügyeleti jóváhagyással rendelkeznek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Az illetékes hatóság által jóváhagyott belső minősítésen (IRB) alapuló módszerekkel számított, kockázattal súlyozott kitettségértékek része.</w:t>
            </w:r>
          </w:p>
        </w:tc>
      </w:tr>
      <w:tr w:rsidR="00232C88" w:rsidRPr="00232C88" w14:paraId="7C21C2D4" w14:textId="77777777" w:rsidTr="4D769726">
        <w:trPr>
          <w:trHeight w:val="680"/>
        </w:trPr>
        <w:tc>
          <w:tcPr>
            <w:tcW w:w="1384" w:type="dxa"/>
          </w:tcPr>
          <w:p w14:paraId="1B01229F" w14:textId="04F001BB" w:rsidR="00994B4F" w:rsidRPr="00232C88" w:rsidRDefault="00994B4F" w:rsidP="00994B4F">
            <w:pPr>
              <w:pStyle w:val="Applicationdirecte"/>
              <w:spacing w:before="60"/>
              <w:jc w:val="center"/>
            </w:pPr>
            <w:r>
              <w:t>b</w:t>
            </w:r>
            <w:r w:rsidR="00CD315B">
              <w:t>.</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Kockázattal súlyozott kitettségértékek az a) oszlopban, ha azokat a sztenderd módszer szerint újraszámítják</w:t>
            </w:r>
          </w:p>
          <w:p w14:paraId="23C2E1CF" w14:textId="081428BE"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t xml:space="preserve">Az a) oszlopban szereplő, illetékes hatóság által jóváhagyott belső minősítésen (IRB) alapuló módszerekkel kiszámított, kockázattal súlyozott kitettségértékek a sztenderd módszerrel újraszámítva. Más szóval az a) oszlopra vonatkozó, megfelelő sztenderd módszer szerinti, kockázattal súlyozott kitettségérték.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t>c</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A tényleges kockázattal súlyozott kitettségértékek összesen </w:t>
            </w:r>
          </w:p>
          <w:p w14:paraId="13A79EFF" w14:textId="377057AF"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Kockázattal súlyozott kitettségértékek, amelyekről az intézmények tényleges követelményként számolnak be. A sztenderd módszerek szerinti, kockázattal súlyozott kitettségérték, valamint azon IRB-módszerek kockázattal súlyozott kitettségértékének összege, amelyek alkalmazásához az intézmények felügyeleti jóváhagyással rendelkeznek.</w:t>
            </w:r>
          </w:p>
        </w:tc>
      </w:tr>
      <w:tr w:rsidR="00232C88" w:rsidRPr="00232C88" w14:paraId="10BA21EE" w14:textId="77777777" w:rsidTr="4D769726">
        <w:trPr>
          <w:trHeight w:val="680"/>
        </w:trPr>
        <w:tc>
          <w:tcPr>
            <w:tcW w:w="1384" w:type="dxa"/>
            <w:vAlign w:val="center"/>
          </w:tcPr>
          <w:p w14:paraId="79B964DE" w14:textId="067F0B66" w:rsidR="00994B4F" w:rsidRPr="00232C88" w:rsidRDefault="00994B4F" w:rsidP="00994B4F">
            <w:pPr>
              <w:pStyle w:val="Applicationdirecte"/>
              <w:spacing w:before="60"/>
              <w:jc w:val="center"/>
            </w:pPr>
            <w:r>
              <w:t>d</w:t>
            </w:r>
            <w:r w:rsidR="00CD315B">
              <w:t>.</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Teljes körű sztenderd módszer alapján számított, kockázattal súlyozott kitettségértékek</w:t>
            </w:r>
          </w:p>
          <w:p w14:paraId="023D1C65" w14:textId="77777777" w:rsidR="00192044" w:rsidRDefault="6FD90119" w:rsidP="4D769726">
            <w:pPr>
              <w:spacing w:before="60" w:after="120"/>
              <w:jc w:val="both"/>
              <w:rPr>
                <w:rFonts w:ascii="Times New Roman" w:hAnsi="Times New Roman" w:cs="Times New Roman"/>
                <w:sz w:val="24"/>
              </w:rPr>
            </w:pPr>
            <w:r>
              <w:rPr>
                <w:rFonts w:ascii="Times New Roman" w:hAnsi="Times New Roman"/>
                <w:sz w:val="24"/>
              </w:rPr>
              <w:t xml:space="preserve">Tényleges kockázattal súlyozott kitettségértékek a hitelkockázatra vonatkozó, teljes sztenderd kockázattal súlyozott eszközöknek (S-TREA) olyan modellezett, kockázattal súlyozott kitettségértékkel való eszközosztályszintű összehasonlítására, amelynek a hitelkockázatra való alkalmazásához a bázeli keretrendszernek megfelelően és az 575/2013/EU rendelet 438. cikkének da) pontjában előírtak szerint a bankok felügyeleti jóváhagyással rendelkeznek.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Az intézményeknek nyilvánosságra kell hozniuk az 575/2013/EU rendelet 92. cikkének (5) és (6) bekezdése szerint kiszámított, kockázattal súlyozott kitettségértéket, az 575/2013/EU rendelet 465. cikkében foglalt átmeneti rendelkezések alkalmazása nélkül. </w:t>
            </w:r>
          </w:p>
          <w:p w14:paraId="585F96E7" w14:textId="5936CF82" w:rsidR="00AF5BD3" w:rsidRPr="00926E8D" w:rsidRDefault="00AF5BD3" w:rsidP="673610D2">
            <w:pPr>
              <w:spacing w:before="60" w:after="120"/>
              <w:jc w:val="both"/>
              <w:rPr>
                <w:rFonts w:ascii="Times New Roman" w:hAnsi="Times New Roman" w:cs="Times New Roman"/>
                <w:sz w:val="24"/>
              </w:rPr>
            </w:pPr>
          </w:p>
        </w:tc>
      </w:tr>
      <w:tr w:rsidR="00232C88" w:rsidRPr="00232C88" w14:paraId="55FA4A88" w14:textId="77777777" w:rsidTr="4D769726">
        <w:trPr>
          <w:trHeight w:val="680"/>
        </w:trPr>
        <w:tc>
          <w:tcPr>
            <w:tcW w:w="1384" w:type="dxa"/>
            <w:vAlign w:val="center"/>
          </w:tcPr>
          <w:p w14:paraId="6EDA1687" w14:textId="52E4FED4" w:rsidR="00994B4F" w:rsidRPr="00232C88" w:rsidRDefault="00994B4F" w:rsidP="00994B4F">
            <w:pPr>
              <w:pStyle w:val="Applicationdirecte"/>
              <w:spacing w:before="60"/>
              <w:jc w:val="center"/>
            </w:pPr>
            <w:r>
              <w:t>EU d</w:t>
            </w:r>
            <w:r w:rsidR="00CD315B">
              <w:t>.</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Kockázattal súlyozott kitettségértékek, amelyek a tőke-küszöbérték alapját képezik </w:t>
            </w:r>
          </w:p>
          <w:p w14:paraId="6EB91D3B" w14:textId="7D4487D6"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Az 575/2013/EU rendelet 438. cikkének d) pontjában előírt tőke-küszöbérték kiszámításához szükséges alap biztosítására szolgáló, kockázattal súlyozott kitettségértékek. Az intézményeknek nyilvánosságra kell hozniuk az 575/2013/EU rendelet 92. cikkének (5) és (6) bekezdése szerint számított, kockázattal súlyozott kitettségértéket, alkalmazva az 575/2013/EU rendelet 465. cikkében foglalt átmeneti rendelkezéseket.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t>Jogszabályi hivatkozások és útmutató</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Sor jelölése</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Magyarázat</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t>1., EU1a., EU1b., EU1c., EU1d., 2., 3., 5., 5.1., 5.2., EU 5a., EU 5b., EU 5c., 6., 6.1., EU6.1a., EU 6.1b., EU 7a., EU 7b., EU 7c., EU 7d., EU 7e., EU 7f.,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t xml:space="preserve">Az intézményeknek a kockázattal súlyozott kitettségértékeket az 575/2013/EU rendelet 147. cikkének megfelelően meghatározott kitettségi osztályok és kitettségi alosztályok szerinti bontásban kell megadniuk.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Amennyiben az IRB-kitettségeket a sztenderd módszer (SA) szerint eltérő kitettségi osztályba sorolták volna, az IRB-kitettségeket ki kell zárni azok IRB kitettségi osztályaiból, és azokat az 575/2013/EU rendelet 112. cikkében meghatározottak szerint, a sztenderd módszer alábbi kitettségi osztályainak egyikében kell nyilvánosságra hozni:</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A sztenderd módszer alapján multilaterális fejlesztési bankként besorolt;</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A sztenderd módszer alapján nemzetközi szervezetként besorolt;</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A sztenderd módszer alapján ingatlannal fedezett, valamint földterületszerzéssel, fejlesztéssel és építéssel szembeni kitettségekként besorolt;</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A sztenderd módszer alapján nemteljesítő kitettségként besorolt;</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A sztenderd módszer alapján alárendelt hitelviszonyt megtestesítő kitettségként besorolt;</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A sztenderd módszer alapján fedezett kötvényként besorolt A sztenderd módszer alapján rövid távú hitelminősítéssel rendelkező intézményekkel és vállalkozásokkal szembeni követelésekként besorolt</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A „Vállalkozások” kitettségi osztály esetében az intézményeknek e tábla 5.1. és 5.2. sorában az F-IRB-kitettségekre, illetőleg az A-IRB-kitettségekre vonatkozó részösszegeket is nyilvánosságra kell hozniuk.</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A 4. és 7. sor nem alkalmazandó az EU-ban.</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A 8. sorban („Egyéb”) az intézményeknek az IRB-módszer szerinti „Egyéb, nem hitelkötelezettséget megtestesítő eszközök” kitettségi osztályba sorolt kitettségeket, valamint azokat az IRB-módszer szerinti kitettségeket kell nyilvánosságra hozniuk, amelyeket az „Egyéb tételek” sztenderd módszer szerinti kitettségi osztályba soroltak volna.</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Összesen</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t>Az 1., EU1a., EU1b., EU1c., EU1d., 2., 3., 5., 6., EU7a., EU 7b., EU7c., EU7d., EU7e., EU7f., 8. sorok összege.</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 xml:space="preserve"> </w:t>
      </w:r>
      <w:r>
        <w:tab/>
        <w:t>Az Európai Parlament és a Tanács 575/2013/EU rendelete (2013. június 26.) a hitelintézetekre vonatkozó prudenciális követelményekről és a 648/2012/EU rendelet módosításáról, valamint az azt módosító (EU) 2024/1623 rendelet (</w:t>
      </w:r>
      <w:hyperlink r:id="rId1" w:history="1">
        <w:r>
          <w:rPr>
            <w:color w:val="800080"/>
            <w:u w:val="single"/>
          </w:rPr>
          <w:t>HL L 176., 2013.6.27., 1. o.</w:t>
        </w:r>
      </w:hyperlink>
      <w:r>
        <w:rPr>
          <w:color w:val="800080"/>
          <w:u w:val="single"/>
        </w:rPr>
        <w:t xml:space="preserve">; </w:t>
      </w:r>
      <w:hyperlink r:id="rId2" w:history="1">
        <w:r>
          <w:rPr>
            <w:rStyle w:val="Hyperlink"/>
          </w:rPr>
          <w:t>(EU) 2024/1623 rendelet –HU – EUR-Lex (europa.eu)</w:t>
        </w:r>
      </w:hyperlink>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Az Európai Bankhatóság EBA/GL/2018/03 iránymutatása (2018. július 19.) a felügyeleti felülvizsgálati és értékelési eljárásra vonatkozó egységes eljárásokról és módszerekről és a felügyeleti stressztesztekről.</w:t>
      </w:r>
    </w:p>
  </w:footnote>
  <w:footnote w:id="4">
    <w:p w14:paraId="6EEE1EF0" w14:textId="468CF1D3" w:rsidR="00254EDB" w:rsidRPr="00222AAB" w:rsidRDefault="00254EDB" w:rsidP="004B070F">
      <w:pPr>
        <w:pStyle w:val="FootnoteText"/>
      </w:pPr>
      <w:r>
        <w:rPr>
          <w:rStyle w:val="FootnoteReference"/>
          <w:rFonts w:cstheme="minorHAnsi"/>
          <w:sz w:val="18"/>
        </w:rPr>
        <w:footnoteRef/>
      </w:r>
      <w:r>
        <w:t xml:space="preserve"> A Bizottság (EU) 2015/61 felhatalmazáson alapuló rendelete (2014. október 10.) az 575/2013/EU európai parlamenti és tanácsi rendeletnek a hitelintézetekre vonatkozó likviditásfedezeti követelmények tekintetében történő kiegészítéséről (HL L 11., 2015.1.17., 1. o.).</w:t>
      </w:r>
    </w:p>
  </w:footnote>
  <w:footnote w:id="5">
    <w:p w14:paraId="2A17ED68" w14:textId="5745B56A" w:rsidR="00254EDB" w:rsidRPr="00222AAB" w:rsidRDefault="00254EDB" w:rsidP="004B070F">
      <w:pPr>
        <w:pStyle w:val="FootnoteText"/>
      </w:pPr>
      <w:r>
        <w:rPr>
          <w:rStyle w:val="FootnoteReference"/>
          <w:rFonts w:cstheme="minorHAnsi"/>
          <w:sz w:val="18"/>
        </w:rPr>
        <w:footnoteRef/>
      </w:r>
      <w:r>
        <w:t xml:space="preserve"> Az Európai Parlament és a Tanács 2002/87/EK irányelve (2002. december 16.) a pénzügyi konglomerátumhoz tartozó hitelintézetek, biztosítóintézetek és befektetési vállalkozások kiegészítő felügyeletéről, valamint a 73/239/EGK, a 79/267/EGK, a 92/49/EGK, a 92/96/EGK, a 93/6/EGK és a 93/22/EGK tanácsi irányelvek, illetve a 98/78/EK és 2000/12/EK európai parlamenti és tanácsi irányelvek módosításáról (HL L 35., 2003.2.11., 1.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H – szokásos felhasználásra"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H – szokásos felhasználásra"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H – szokásos felhasználásra"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r>
      <w:t>running title comes here in running title style</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multilevel"/>
    <w:tmpl w:val="FDA44A02"/>
    <w:lvl w:ilvl="0">
      <w:start w:val="1"/>
      <w:numFmt w:val="lowerRoman"/>
      <w:lvlText w:val="%1."/>
      <w:lvlJc w:val="left"/>
      <w:pPr>
        <w:ind w:left="753" w:hanging="720"/>
      </w:pPr>
      <w:rPr>
        <w:rFonts w:hint="default"/>
      </w:rPr>
    </w:lvl>
    <w:lvl w:ilvl="1">
      <w:start w:val="1"/>
      <w:numFmt w:val="lowerLetter"/>
      <w:lvlText w:val="%2."/>
      <w:lvlJc w:val="left"/>
      <w:pPr>
        <w:ind w:left="1113" w:hanging="360"/>
      </w:pPr>
      <w:rPr>
        <w:rFonts w:hint="default"/>
      </w:rPr>
    </w:lvl>
    <w:lvl w:ilvl="2">
      <w:start w:val="1"/>
      <w:numFmt w:val="lowerRoman"/>
      <w:lvlText w:val="%3."/>
      <w:lvlJc w:val="right"/>
      <w:pPr>
        <w:ind w:left="1833" w:hanging="180"/>
      </w:pPr>
      <w:rPr>
        <w:rFonts w:hint="default"/>
      </w:rPr>
    </w:lvl>
    <w:lvl w:ilvl="3">
      <w:start w:val="1"/>
      <w:numFmt w:val="decimal"/>
      <w:lvlText w:val="%4."/>
      <w:lvlJc w:val="left"/>
      <w:pPr>
        <w:ind w:left="2553" w:hanging="360"/>
      </w:pPr>
      <w:rPr>
        <w:rFonts w:hint="default"/>
      </w:rPr>
    </w:lvl>
    <w:lvl w:ilvl="4">
      <w:start w:val="1"/>
      <w:numFmt w:val="lowerLetter"/>
      <w:lvlText w:val="%5."/>
      <w:lvlJc w:val="left"/>
      <w:pPr>
        <w:ind w:left="3273" w:hanging="360"/>
      </w:pPr>
      <w:rPr>
        <w:rFonts w:hint="default"/>
      </w:rPr>
    </w:lvl>
    <w:lvl w:ilvl="5">
      <w:start w:val="1"/>
      <w:numFmt w:val="lowerRoman"/>
      <w:lvlText w:val="%6."/>
      <w:lvlJc w:val="right"/>
      <w:pPr>
        <w:ind w:left="3993" w:hanging="180"/>
      </w:pPr>
      <w:rPr>
        <w:rFonts w:hint="default"/>
      </w:rPr>
    </w:lvl>
    <w:lvl w:ilvl="6">
      <w:start w:val="1"/>
      <w:numFmt w:val="decimal"/>
      <w:lvlText w:val="%7."/>
      <w:lvlJc w:val="left"/>
      <w:pPr>
        <w:ind w:left="4713" w:hanging="360"/>
      </w:pPr>
      <w:rPr>
        <w:rFonts w:hint="default"/>
      </w:rPr>
    </w:lvl>
    <w:lvl w:ilvl="7">
      <w:start w:val="1"/>
      <w:numFmt w:val="lowerLetter"/>
      <w:lvlText w:val="%8."/>
      <w:lvlJc w:val="left"/>
      <w:pPr>
        <w:ind w:left="5433" w:hanging="360"/>
      </w:pPr>
      <w:rPr>
        <w:rFonts w:hint="default"/>
      </w:rPr>
    </w:lvl>
    <w:lvl w:ilvl="8">
      <w:start w:val="1"/>
      <w:numFmt w:val="lowerRoman"/>
      <w:lvlText w:val="%9."/>
      <w:lvlJc w:val="right"/>
      <w:pPr>
        <w:ind w:left="6153" w:hanging="180"/>
      </w:pPr>
      <w:rPr>
        <w:rFonts w:hint="default"/>
      </w:r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multilevel"/>
    <w:tmpl w:val="FBA48D22"/>
    <w:lvl w:ilvl="0">
      <w:start w:val="1"/>
      <w:numFmt w:val="lowerRoman"/>
      <w:lvlText w:val="%1."/>
      <w:lvlJc w:val="left"/>
      <w:pPr>
        <w:ind w:left="753" w:hanging="720"/>
      </w:pPr>
      <w:rPr>
        <w:rFonts w:hint="default"/>
      </w:rPr>
    </w:lvl>
    <w:lvl w:ilvl="1">
      <w:start w:val="1"/>
      <w:numFmt w:val="lowerLetter"/>
      <w:lvlText w:val="%2."/>
      <w:lvlJc w:val="left"/>
      <w:pPr>
        <w:ind w:left="1113" w:hanging="360"/>
      </w:pPr>
      <w:rPr>
        <w:rFonts w:hint="default"/>
      </w:rPr>
    </w:lvl>
    <w:lvl w:ilvl="2">
      <w:start w:val="1"/>
      <w:numFmt w:val="lowerRoman"/>
      <w:lvlText w:val="%3."/>
      <w:lvlJc w:val="right"/>
      <w:pPr>
        <w:ind w:left="1833" w:hanging="180"/>
      </w:pPr>
      <w:rPr>
        <w:rFonts w:hint="default"/>
      </w:rPr>
    </w:lvl>
    <w:lvl w:ilvl="3">
      <w:start w:val="1"/>
      <w:numFmt w:val="decimal"/>
      <w:lvlText w:val="%4."/>
      <w:lvlJc w:val="left"/>
      <w:pPr>
        <w:ind w:left="2553" w:hanging="360"/>
      </w:pPr>
      <w:rPr>
        <w:rFonts w:hint="default"/>
      </w:rPr>
    </w:lvl>
    <w:lvl w:ilvl="4">
      <w:start w:val="1"/>
      <w:numFmt w:val="lowerLetter"/>
      <w:lvlText w:val="%5."/>
      <w:lvlJc w:val="left"/>
      <w:pPr>
        <w:ind w:left="3273" w:hanging="360"/>
      </w:pPr>
      <w:rPr>
        <w:rFonts w:hint="default"/>
      </w:rPr>
    </w:lvl>
    <w:lvl w:ilvl="5">
      <w:start w:val="1"/>
      <w:numFmt w:val="lowerRoman"/>
      <w:lvlText w:val="%6."/>
      <w:lvlJc w:val="right"/>
      <w:pPr>
        <w:ind w:left="3993" w:hanging="180"/>
      </w:pPr>
      <w:rPr>
        <w:rFonts w:hint="default"/>
      </w:rPr>
    </w:lvl>
    <w:lvl w:ilvl="6">
      <w:start w:val="1"/>
      <w:numFmt w:val="decimal"/>
      <w:lvlText w:val="%7."/>
      <w:lvlJc w:val="left"/>
      <w:pPr>
        <w:ind w:left="4713" w:hanging="360"/>
      </w:pPr>
      <w:rPr>
        <w:rFonts w:hint="default"/>
      </w:rPr>
    </w:lvl>
    <w:lvl w:ilvl="7">
      <w:start w:val="1"/>
      <w:numFmt w:val="lowerLetter"/>
      <w:lvlText w:val="%8."/>
      <w:lvlJc w:val="left"/>
      <w:pPr>
        <w:ind w:left="5433" w:hanging="360"/>
      </w:pPr>
      <w:rPr>
        <w:rFonts w:hint="default"/>
      </w:rPr>
    </w:lvl>
    <w:lvl w:ilvl="8">
      <w:start w:val="1"/>
      <w:numFmt w:val="lowerRoman"/>
      <w:lvlText w:val="%9."/>
      <w:lvlJc w:val="right"/>
      <w:pPr>
        <w:ind w:left="6153" w:hanging="180"/>
      </w:pPr>
      <w:rPr>
        <w:rFonts w:hint="default"/>
      </w:r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num>
  <w:num w:numId="13" w16cid:durableId="2081324398">
    <w:abstractNumId w:val="61"/>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 w:numId="81" w16cid:durableId="1366324037">
    <w:abstractNumId w:val="19"/>
  </w:num>
  <w:num w:numId="82" w16cid:durableId="563368240">
    <w:abstractNumId w:val="6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6E8D"/>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15B"/>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hu-HU"/>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hu-HU"/>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hu-HU"/>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hu-HU"/>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hu-HU"/>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hu-HU"/>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hu-HU"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hu-HU"/>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hu-HU"/>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hu-HU"/>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hu-HU"/>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hu-HU"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hu-HU"/>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hu-HU"/>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B33AB0A3-3CEA-4778-8A63-64C12E1675EC}"/>
</file>

<file path=customXml/itemProps3.xml><?xml version="1.0" encoding="utf-8"?>
<ds:datastoreItem xmlns:ds="http://schemas.openxmlformats.org/officeDocument/2006/customXml" ds:itemID="{5B4FCA89-36E9-46A1-BAEC-8E93E5909116}"/>
</file>

<file path=customXml/itemProps4.xml><?xml version="1.0" encoding="utf-8"?>
<ds:datastoreItem xmlns:ds="http://schemas.openxmlformats.org/officeDocument/2006/customXml" ds:itemID="{9C44B357-4F7E-4CD7-8ABB-52E9FB32847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5100</Words>
  <Characters>38358</Characters>
  <Application>Microsoft Office Word</Application>
  <DocSecurity>0</DocSecurity>
  <Lines>913</Lines>
  <Paragraphs>482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