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XII PIELIKUMS – Norādījumi informācijas atklāšanai par sviras rādītāju</w:t>
      </w:r>
      <w:r>
        <w:t xml:space="preserve"> </w:t>
      </w:r>
    </w:p>
    <w:p w14:paraId="69E09F44" w14:textId="77777777" w:rsidR="00646595" w:rsidRPr="007717F5" w:rsidRDefault="00646595" w:rsidP="00646595">
      <w:pPr>
        <w:pStyle w:val="Teksttreci20"/>
        <w:shd w:val="clear" w:color="auto" w:fill="auto"/>
        <w:spacing w:after="120" w:line="240" w:lineRule="auto"/>
        <w:jc w:val="both"/>
        <w:rPr>
          <w:sz w:val="24"/>
          <w:szCs w:val="24"/>
          <w:rFonts w:ascii="Times New Roman" w:hAnsi="Times New Roman" w:cs="Times New Roman"/>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b w:val="0"/>
          <w:sz w:val="24"/>
          <w:szCs w:val="24"/>
          <w:rFonts w:ascii="Times New Roman" w:hAnsi="Times New Roman" w:cs="Times New Roman"/>
        </w:rPr>
      </w:pPr>
      <w:r>
        <w:rPr>
          <w:sz w:val="24"/>
          <w:rFonts w:ascii="Times New Roman" w:hAnsi="Times New Roman"/>
        </w:rPr>
        <w:t xml:space="preserve">Veidne EU LR1 – LRSum:</w:t>
      </w:r>
      <w:r>
        <w:rPr>
          <w:sz w:val="24"/>
          <w:rFonts w:ascii="Times New Roman" w:hAnsi="Times New Roman"/>
        </w:rPr>
        <w:t xml:space="preserve"> </w:t>
      </w:r>
      <w:r>
        <w:rPr>
          <w:sz w:val="24"/>
          <w:rFonts w:ascii="Times New Roman" w:hAnsi="Times New Roman"/>
        </w:rPr>
        <w:t xml:space="preserve">Kopsavilkums par grāmatvedības aktīvu un sviras rādītāja riska darījumu saskaņošanu.</w:t>
      </w:r>
      <w:r>
        <w:rPr>
          <w:sz w:val="24"/>
          <w:rFonts w:ascii="Times New Roman" w:hAnsi="Times New Roman"/>
        </w:rPr>
        <w:t xml:space="preserve"> </w:t>
      </w:r>
      <w:r>
        <w:rPr>
          <w:sz w:val="24"/>
          <w:b w:val="0"/>
          <w:rFonts w:ascii="Times New Roman" w:hAnsi="Times New Roman"/>
        </w:rPr>
        <w:t xml:space="preserve">Fiksēta formāta veidne.</w:t>
      </w:r>
    </w:p>
    <w:p w14:paraId="69E09F46" w14:textId="77777777" w:rsidR="00646595" w:rsidRPr="007717F5" w:rsidRDefault="00646595" w:rsidP="00646595">
      <w:pPr>
        <w:pStyle w:val="ListParagraph"/>
        <w:numPr>
          <w:ilvl w:val="0"/>
          <w:numId w:val="6"/>
        </w:numPr>
        <w:spacing w:after="120"/>
        <w:ind w:left="426"/>
        <w:rPr>
          <w:sz w:val="24"/>
          <w:szCs w:val="24"/>
          <w:rFonts w:ascii="Times New Roman" w:hAnsi="Times New Roman"/>
        </w:rPr>
      </w:pPr>
      <w:r>
        <w:rPr>
          <w:sz w:val="24"/>
          <w:rFonts w:ascii="Times New Roman" w:hAnsi="Times New Roman"/>
        </w:rPr>
        <w:t xml:space="preserve">Iestādes piemēro šajā iedaļā sniegtos norādījumus, lai aizpildītu veidni EU LR1 – LRSum, piemērojot Regulas (ES) Nr. 575/2013</w:t>
      </w:r>
      <w:r w:rsidRPr="007717F5">
        <w:rPr>
          <w:rStyle w:val="FootnoteReference"/>
          <w:rFonts w:ascii="Times New Roman" w:hAnsi="Times New Roman"/>
        </w:rPr>
        <w:footnoteReference w:id="2"/>
      </w:r>
      <w:r>
        <w:rPr>
          <w:sz w:val="24"/>
          <w:rFonts w:ascii="Times New Roman" w:hAnsi="Times New Roman"/>
        </w:rPr>
        <w:t xml:space="preserve"> (“</w:t>
      </w:r>
      <w:r>
        <w:rPr>
          <w:sz w:val="24"/>
          <w:i/>
          <w:rFonts w:ascii="Times New Roman" w:hAnsi="Times New Roman"/>
        </w:rPr>
        <w:t xml:space="preserve">CRR</w:t>
      </w:r>
      <w:r>
        <w:rPr>
          <w:sz w:val="24"/>
          <w:rFonts w:ascii="Times New Roman" w:hAnsi="Times New Roman"/>
        </w:rPr>
        <w:t xml:space="preserve">”) 451. panta 1. punkta b)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sz w:val="24"/>
                <w:rFonts w:ascii="Times New Roman" w:hAnsi="Times New Roman" w:cs="Times New Roman"/>
              </w:rPr>
            </w:pPr>
            <w:r>
              <w:rPr>
                <w:b/>
                <w:sz w:val="24"/>
                <w:rFonts w:ascii="Times New Roman" w:hAnsi="Times New Roman"/>
              </w:rPr>
              <w:t xml:space="preserve">Paskaidrojums</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Kopējie aktīvi, kā publicēts finanšu pārskatos</w:t>
            </w:r>
          </w:p>
          <w:p w14:paraId="69E09F4E" w14:textId="50816C91"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kopējos aktīvus, kā publicēts to finanšu pārskatos, saskaņā ar piemērojamo grāmatvedības regulējumu, kā definēts Regulas (ES) Nr. 575/2013 4. panta 1. punkta 77. apakšpunktā.</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Korekcijas sabiedrībām, kuras ir konsolidētas grāmatvedības nolūkos, bet uz kurām neattiecas prudenciālā konsolidācija</w:t>
            </w:r>
          </w:p>
          <w:p w14:paraId="69E09F52"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vērtības atšķirības starp kopējās riska darījumu vērtības mēru, kas atklāts veidnes EU LR1-LRSum 13. rindā, un kopējiem grāmatvedības aktīviem, kas atklāti veidnes EU LR1-LRSum 1. rindā, kuras izriet no atšķirībām starp grāmatvedības konsolidācijas tvērumu un prudenciālās konsolidācijas tvērumu.</w:t>
            </w:r>
          </w:p>
          <w:p w14:paraId="69E09F53"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Ja šī korekcija palielina riska darījumu vērtību, iestādes to atklāj kā pozitīvu summu.</w:t>
            </w:r>
            <w:r>
              <w:rPr>
                <w:sz w:val="24"/>
                <w:rFonts w:ascii="Times New Roman" w:hAnsi="Times New Roman"/>
              </w:rPr>
              <w:t xml:space="preserve"> </w:t>
            </w:r>
            <w:r>
              <w:rPr>
                <w:sz w:val="24"/>
                <w:rFonts w:ascii="Times New Roman" w:hAnsi="Times New Roman"/>
              </w:rPr>
              <w:t xml:space="preserve">Ja šī korekcija samazina riska darījumu vērtību, iestādes norāda vērtību šajā rindā iekavās (negatīva summa).</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(Korekcijas vērtspapīrotiem riska darījumiem, kas atbilst operacionālajām prasībām attiecībā uz riska pārvedamības atzīšanu)</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color w:val="auto"/>
                <w:sz w:val="24"/>
                <w:rFonts w:ascii="Times New Roman" w:hAnsi="Times New Roman"/>
              </w:rPr>
              <w:t xml:space="preserve">Regulas (ES) Nr. 575/2013 429.a panta 1. punkta m) apakšpunkts.</w:t>
            </w:r>
          </w:p>
          <w:p w14:paraId="69E09F58" w14:textId="6396F394"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summu vērtspapīrotajiem riska darījumiem no tradicionālās vērtspapīrošanas, kas atbilst Regulas (ES) Nr. 575/2013 244. panta 2. punktā minētajiem nosacījumiem par būtiska riska pārvešanu.</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sz w:val="24"/>
                <w:rFonts w:ascii="Times New Roman" w:hAnsi="Times New Roman"/>
              </w:rPr>
              <w:t xml:space="preserve">Tā kā šī korekcija samazina kopējās riska darījumu vērtības mēru, iestādes šo vērtību šajā rindā norāda iekavās (negatīva summa).</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(Korekcija riska darījumu ar centrālajām bankām pagaidu izslēgšanai (ja piemērojams))</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sz w:val="24"/>
                <w:b/>
                <w:rFonts w:ascii="Times New Roman" w:hAnsi="Times New Roman"/>
              </w:rPr>
              <w:t xml:space="preserve">Regulas (ES) Nr. 575/2013</w:t>
            </w:r>
            <w:r>
              <w:rPr>
                <w:sz w:val="24"/>
                <w:rFonts w:ascii="Times New Roman" w:hAnsi="Times New Roman"/>
              </w:rPr>
              <w:t xml:space="preserve"> </w:t>
            </w:r>
            <w:r>
              <w:rPr>
                <w:sz w:val="24"/>
                <w:rStyle w:val="TeksttreciPogrubienie"/>
                <w:b w:val="0"/>
                <w:color w:val="auto"/>
                <w:rFonts w:ascii="Times New Roman" w:hAnsi="Times New Roman"/>
              </w:rPr>
              <w:t xml:space="preserve">429.a panta 1. punkta n) apakšpunkts.</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color w:val="auto"/>
                <w:sz w:val="24"/>
                <w:rFonts w:ascii="Times New Roman" w:hAnsi="Times New Roman"/>
              </w:rPr>
              <w:t xml:space="preserve">Ja piemērojams, iestādes atklāj to monētu un banknošu apjomu, kas ir likumīga valūta centrālās bankas jurisdikcijā, un aktīvus, kas ir prasījumi pret centrālo banku, tajā skaitā centrālajā bankā turētas rezerves.</w:t>
            </w:r>
            <w:r>
              <w:rPr>
                <w:rStyle w:val="TeksttreciPogrubienie"/>
                <w:color w:val="auto"/>
                <w:sz w:val="24"/>
                <w:rFonts w:ascii="Times New Roman" w:hAnsi="Times New Roman"/>
              </w:rPr>
              <w:t xml:space="preserve"> </w:t>
            </w:r>
            <w:r>
              <w:rPr>
                <w:rStyle w:val="TeksttreciPogrubienie"/>
                <w:color w:val="auto"/>
                <w:sz w:val="24"/>
                <w:rFonts w:ascii="Times New Roman" w:hAnsi="Times New Roman"/>
              </w:rPr>
              <w:t xml:space="preserve">Šiem riska darījumiem var piemērot pagaidu izslēgšanu, ievērojot Regulas (ES) Nr. 575/2013 429.a panta 5. un 6. punktā minētos nosacījumus.</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b w:val="0"/>
                <w:color w:val="auto"/>
                <w:sz w:val="24"/>
                <w:szCs w:val="24"/>
                <w:rFonts w:ascii="Times New Roman" w:hAnsi="Times New Roman" w:cs="Times New Roman"/>
              </w:rPr>
            </w:pPr>
            <w:r>
              <w:rPr>
                <w:sz w:val="24"/>
                <w:rFonts w:ascii="Times New Roman" w:hAnsi="Times New Roman"/>
              </w:rPr>
              <w:t xml:space="preserve">Tā kā šī korekcija samazina kopējās riska darījumu vērtības mēru, iestādes šo vērtību šajā rindā norāda iekavās (negatīva summa).</w:t>
            </w:r>
            <w:r>
              <w:rPr>
                <w:sz w:val="24"/>
                <w:rStyle w:val="TeksttreciPogrubienie"/>
                <w:color w:val="auto"/>
                <w:rFonts w:ascii="Times New Roman" w:hAnsi="Times New Roman"/>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(Korekcija fiduciārajiem aktīviem, kas atzīti bilancē saskaņā ar piemērojamo grāmatvedības regulējumu, bet izslēgti no kopējās riska darījumu vērtības mēra saskaņā ar </w:t>
            </w:r>
            <w:r>
              <w:rPr>
                <w:rStyle w:val="TeksttreciPogrubienie"/>
                <w:color w:val="auto"/>
                <w:sz w:val="24"/>
                <w:i/>
                <w:rFonts w:ascii="Times New Roman" w:hAnsi="Times New Roman"/>
              </w:rPr>
              <w:t xml:space="preserve">CRR</w:t>
            </w:r>
            <w:r>
              <w:rPr>
                <w:rStyle w:val="TeksttreciPogrubienie"/>
                <w:color w:val="auto"/>
                <w:sz w:val="24"/>
                <w:rFonts w:ascii="Times New Roman" w:hAnsi="Times New Roman"/>
              </w:rPr>
              <w:t xml:space="preserve"> 429.a panta 1. punkta i) apakšpunktu)</w:t>
            </w:r>
          </w:p>
          <w:p w14:paraId="69E09F63" w14:textId="7111A0F2"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neatzīto fiduciāro posteņu summu saskaņā ar Regulas (ES) Nr. 575/2013 429.a panta 1. punkta i) apakšpunktu.</w:t>
            </w:r>
          </w:p>
          <w:p w14:paraId="69E09F64"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šī korekcija samazina kopējās riska darījumu vērtības mēru, iestādes šo vērtību šajā rindā norāda iekavās (negatīva summa).</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Korekcija to finanšu aktīvu regulārajiem pirkšanas un pārdošanas darījumiem, kuriem piemēro tirdzniecības darījuma dienas uzskaiti</w:t>
            </w:r>
          </w:p>
          <w:p w14:paraId="69E09F68" w14:textId="4C5850C9" w:rsidR="00646595" w:rsidRPr="007717F5" w:rsidRDefault="00646595" w:rsidP="007717F5">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429.g panta 1. un 2. punkts.</w:t>
            </w:r>
          </w:p>
          <w:p w14:paraId="69E09F69" w14:textId="73200602" w:rsidR="00646595" w:rsidRPr="007717F5" w:rsidRDefault="00646595" w:rsidP="17C07D06">
            <w:pPr>
              <w:tabs>
                <w:tab w:val="left" w:pos="400"/>
              </w:tabs>
              <w:spacing w:after="120"/>
              <w:jc w:val="both"/>
              <w:rPr>
                <w:sz w:val="24"/>
                <w:rFonts w:ascii="Times New Roman" w:hAnsi="Times New Roman" w:cs="Times New Roman"/>
              </w:rPr>
            </w:pPr>
            <w:r>
              <w:rPr>
                <w:sz w:val="24"/>
                <w:rFonts w:ascii="Times New Roman" w:hAnsi="Times New Roman"/>
              </w:rPr>
              <w:t xml:space="preserve">Iestādes atklāj uzskaites vērtības korekciju, kas saistīta ar regulārajiem pirkšanas un pārdošanas darījumiem, par kuriem tiek gaidīts norēķins, ievērojot tirdzniecības darījuma dienas uzskaiti, saskaņā ar Regulas (ES) Nr. 575/2013 429.g panta 1. un 2. punktu.</w:t>
            </w:r>
            <w:r>
              <w:rPr>
                <w:sz w:val="24"/>
                <w:rFonts w:ascii="Times New Roman" w:hAnsi="Times New Roman"/>
              </w:rPr>
              <w:t xml:space="preserve"> </w:t>
            </w:r>
            <w:r>
              <w:rPr>
                <w:sz w:val="24"/>
                <w:rFonts w:ascii="Times New Roman" w:hAnsi="Times New Roman"/>
              </w:rPr>
              <w:t xml:space="preserve">Korekcija ir šādu pozīciju summa:</w:t>
            </w:r>
          </w:p>
          <w:p w14:paraId="69E09F6A" w14:textId="77777777" w:rsidR="00646595" w:rsidRPr="007717F5" w:rsidRDefault="00646595" w:rsidP="00646595">
            <w:pPr>
              <w:pStyle w:val="ListParagraph"/>
              <w:numPr>
                <w:ilvl w:val="0"/>
                <w:numId w:val="7"/>
              </w:numPr>
              <w:spacing w:after="120"/>
              <w:contextualSpacing/>
              <w:jc w:val="both"/>
              <w:rPr>
                <w:sz w:val="24"/>
                <w:szCs w:val="24"/>
                <w:rFonts w:ascii="Times New Roman" w:hAnsi="Times New Roman"/>
              </w:rPr>
            </w:pPr>
            <w:r>
              <w:rPr>
                <w:sz w:val="24"/>
                <w:rFonts w:ascii="Times New Roman" w:hAnsi="Times New Roman"/>
              </w:rPr>
              <w:t xml:space="preserve">apmērs, par kādu veikts mijieskaits starp naudu, kas saņemama par regulārajiem pārdošanas darījumiem, par kuriem tiek gaidīts norēķins, un maksājamo naudu par regulārajiem pirkšanas darījumiem, par kuriem tiek gaidīts norēķins, kas atļauts saskaņā ar grāmatvedības regulējumu.</w:t>
            </w:r>
            <w:r>
              <w:rPr>
                <w:sz w:val="24"/>
                <w:rFonts w:ascii="Times New Roman" w:hAnsi="Times New Roman"/>
              </w:rPr>
              <w:t xml:space="preserve"> </w:t>
            </w:r>
            <w:r>
              <w:rPr>
                <w:sz w:val="24"/>
                <w:rFonts w:ascii="Times New Roman" w:hAnsi="Times New Roman"/>
              </w:rPr>
              <w:t xml:space="preserve">Šī ir pozitīva summa,</w:t>
            </w:r>
            <w:r>
              <w:rPr>
                <w:sz w:val="24"/>
                <w:rFonts w:ascii="Times New Roman" w:hAnsi="Times New Roman"/>
              </w:rPr>
              <w:t xml:space="preserve"> </w:t>
            </w:r>
          </w:p>
          <w:p w14:paraId="69E09F6B" w14:textId="2E937682" w:rsidR="00646595" w:rsidRPr="007717F5" w:rsidRDefault="00646595" w:rsidP="00646595">
            <w:pPr>
              <w:pStyle w:val="ListParagraph"/>
              <w:numPr>
                <w:ilvl w:val="0"/>
                <w:numId w:val="7"/>
              </w:numPr>
              <w:spacing w:after="120"/>
              <w:contextualSpacing/>
              <w:jc w:val="both"/>
              <w:rPr>
                <w:sz w:val="24"/>
                <w:szCs w:val="24"/>
                <w:rFonts w:ascii="Times New Roman" w:hAnsi="Times New Roman"/>
              </w:rPr>
            </w:pPr>
            <w:r>
              <w:rPr>
                <w:sz w:val="24"/>
                <w:rFonts w:ascii="Times New Roman" w:hAnsi="Times New Roman"/>
              </w:rPr>
              <w:t xml:space="preserve">apmērs, par kādu veikts mijieskaits starp saņemamo naudu un maksājamo naudu, ja norēķins gan par regulārajiem pārdošanas darījumiem, gan regulārajiem pirkšanas darījumiem notiek pēc principa “piegāde pret samaksu” saskaņā ar Regulas (ES) Nr. 575/2013 429.g panta 2. punktu.</w:t>
            </w:r>
            <w:r>
              <w:rPr>
                <w:sz w:val="24"/>
                <w:rFonts w:ascii="Times New Roman" w:hAnsi="Times New Roman"/>
              </w:rPr>
              <w:t xml:space="preserve"> </w:t>
            </w:r>
            <w:r>
              <w:rPr>
                <w:sz w:val="24"/>
                <w:rFonts w:ascii="Times New Roman" w:hAnsi="Times New Roman"/>
              </w:rPr>
              <w:t xml:space="preserve">Šī ir negatīva vērtība.</w:t>
            </w:r>
            <w:r>
              <w:rPr>
                <w:sz w:val="24"/>
                <w:rFonts w:ascii="Times New Roman" w:hAnsi="Times New Roman"/>
              </w:rPr>
              <w:t xml:space="preserve"> </w:t>
            </w:r>
          </w:p>
          <w:p w14:paraId="69E09F6C" w14:textId="6A3635C3" w:rsidR="00646595" w:rsidRPr="007717F5" w:rsidRDefault="00646595" w:rsidP="17C07D06">
            <w:pPr>
              <w:spacing w:after="120"/>
              <w:jc w:val="both"/>
              <w:rPr>
                <w:sz w:val="24"/>
                <w:rFonts w:ascii="Times New Roman" w:hAnsi="Times New Roman" w:cs="Times New Roman"/>
              </w:rPr>
            </w:pPr>
            <w:r>
              <w:rPr>
                <w:sz w:val="24"/>
                <w:rFonts w:ascii="Times New Roman" w:hAnsi="Times New Roman"/>
              </w:rPr>
              <w:t xml:space="preserve">Regulāros pirkšanas vai pārdošanas darījumus, par kuriem tiek gaidīts norēķins, ievērojot norēķina datuma uzskaiti saskaņā ar Regulas (ES) Nr. 575/2013 429.g panta 3. punktu, iekļauj veidnes EU LR1-LRSum 10. rindā.</w:t>
            </w:r>
          </w:p>
          <w:p w14:paraId="69E09F6D" w14:textId="77777777" w:rsidR="00646595" w:rsidRPr="007717F5" w:rsidRDefault="00646595" w:rsidP="00E9371F">
            <w:pPr>
              <w:tabs>
                <w:tab w:val="left" w:pos="400"/>
              </w:tabs>
              <w:spacing w:after="120"/>
              <w:jc w:val="both"/>
              <w:rPr>
                <w:rStyle w:val="TeksttreciPogrubienie"/>
                <w:color w:val="auto"/>
                <w:sz w:val="24"/>
                <w:rFonts w:ascii="Times New Roman" w:hAnsi="Times New Roman" w:cs="Times New Roman"/>
              </w:rPr>
            </w:pPr>
            <w:r>
              <w:rPr>
                <w:sz w:val="24"/>
                <w:rFonts w:ascii="Times New Roman" w:hAnsi="Times New Roman"/>
              </w:rPr>
              <w:t xml:space="preserve">Ja šī korekcija palielina riska darījumu vērtību, iestādes to atklāj kā pozitīvu summu.</w:t>
            </w:r>
            <w:r>
              <w:rPr>
                <w:sz w:val="24"/>
                <w:rFonts w:ascii="Times New Roman" w:hAnsi="Times New Roman"/>
              </w:rPr>
              <w:t xml:space="preserve"> </w:t>
            </w:r>
            <w:r>
              <w:rPr>
                <w:sz w:val="24"/>
                <w:rFonts w:ascii="Times New Roman" w:hAnsi="Times New Roman"/>
              </w:rPr>
              <w:t xml:space="preserve">Ja šī korekcija samazina riska darījumu vērtību, iestādes norāda vērtību šajā rindā iekavās (negatīva summa).</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Korekcija atbilstīgiem līdzekļu kopfondu veidošanas darījumiem</w:t>
            </w:r>
          </w:p>
          <w:p w14:paraId="69E09F71" w14:textId="3CB96031" w:rsidR="00646595" w:rsidRPr="007717F5" w:rsidRDefault="00646595" w:rsidP="007717F5">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429.b panta 2. un 3. punkts.</w:t>
            </w:r>
          </w:p>
          <w:p w14:paraId="69E09F72" w14:textId="2EAC1649" w:rsidR="00646595" w:rsidRPr="007717F5" w:rsidRDefault="00646595" w:rsidP="007717F5">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starpību starp līdzekļu kopfondu veidošanas darījumu uzskaites vērtību un sviras rādītāja riska darījumu vērtību saskaņā ar nosacījumiem, kas minēti Regulas (ES) Nr. 575/2013 429.b panta 2. un 3. punktā.</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sz w:val="24"/>
                <w:rFonts w:ascii="Times New Roman" w:hAnsi="Times New Roman"/>
              </w:rPr>
              <w:t xml:space="preserve">Ja šīs korekcijas rezultātā palielinās riska darījumu vērtība to darījumu dēļ, kuri tiek atspoguļoti kā neto summas atbilstoši piemērojamam grāmatvedības regulējumam, bet neatbilst nosacījumiem, lai tos atspoguļotu kā neto summas saskaņā ar Regulas (ES) Nr. 575/2013 429.b panta 2. un 3. punktu, iestādes to atklāj kā pozitīvu vērtību.</w:t>
            </w:r>
            <w:r>
              <w:rPr>
                <w:sz w:val="24"/>
                <w:rFonts w:ascii="Times New Roman" w:hAnsi="Times New Roman"/>
              </w:rPr>
              <w:t xml:space="preserve"> </w:t>
            </w:r>
            <w:r>
              <w:rPr>
                <w:sz w:val="24"/>
                <w:rFonts w:ascii="Times New Roman" w:hAnsi="Times New Roman"/>
              </w:rPr>
              <w:t xml:space="preserve">Ja šīs korekcijas rezultātā samazinās riska darījumu vērtība to darījumu dēļ, kuri netiek atspoguļoti kā neto summas atbilstoši piemērojamam grāmatvedības regulējumam, bet atbilst nosacījumiem, lai tos atspoguļotu kā neto summas saskaņā ar Regulas (ES) Nr. 575/2013 429.b panta 2. un 3. punktu, iestādes šo vērtību norāda šajā rindā iekavās (negatīva summa).</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Atvasinātajiem finanšu instrumentiem piemērotā korekcija</w:t>
            </w:r>
          </w:p>
          <w:p w14:paraId="69E09F77" w14:textId="0B4B1D18" w:rsidR="00646595" w:rsidRPr="007717F5" w:rsidRDefault="00646595" w:rsidP="007717F5">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Par Regulas (ES) Nr. 575/2013 II pielikumā uzskaitītajiem kredītu atvasinātajiem instrumentiem un līgumiem iestādes atklāj vērtības starpību starp to atvasināto instrumentu uzskaites vērtību, kas atzīti kā aktīvi, un sviras rādītāja riska darījumu vērtību, kā noteikts, piemērojot Regulas (ES) Nr. 575/2013 429. panta 4. punkta b) apakšpunktu, 429.c pantu, 429.d pantu, 429.a panta 1. punkta g) un h) apakšpunktu un 429. panta 5. punktu.</w:t>
            </w:r>
          </w:p>
          <w:p w14:paraId="69E09F78"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Ja šī korekcija palielina riska darījumu vērtību, iestādes to atklāj kā pozitīvu summu.</w:t>
            </w:r>
            <w:r>
              <w:rPr>
                <w:sz w:val="24"/>
                <w:rFonts w:ascii="Times New Roman" w:hAnsi="Times New Roman"/>
              </w:rPr>
              <w:t xml:space="preserve"> </w:t>
            </w:r>
            <w:r>
              <w:rPr>
                <w:sz w:val="24"/>
                <w:rFonts w:ascii="Times New Roman" w:hAnsi="Times New Roman"/>
              </w:rPr>
              <w:t xml:space="preserve">Ja šī korekcija samazina riska darījumu vērtību, iestādes norāda vērtību šajā rindā iekavās (negatīva summa).</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Vērtspapīru finansēšanas darījumiem (VFD) piemērotā korekcija</w:t>
            </w:r>
          </w:p>
          <w:p w14:paraId="69E09F7C" w14:textId="1160CBC6"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Attiecībā uz VFD iestādes atklāj starpību starp to VFD uzskaites vērtību, kuri atzīti kā aktīvi, un sviras rādītāja riska darījumu vērtību, kas noteikta, piemērojot Regulas (ES) Nr. 575/2013 429. panta 4. punkta a) un c) apakšpunktu kopsakarā ar 429.e pantu, 429. panta 7. punkta b) apakšpunktu un 429.b panta 1. punkta b) apakšpunktu, 429.b panta 4. punktu un 429.a panta 1. punkta g) un h) apakšpunktu.</w:t>
            </w:r>
          </w:p>
          <w:p w14:paraId="69E09F7D"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Ja šī korekcija palielina riska darījumu vērtību, iestādes to atklāj kā pozitīvu summu.</w:t>
            </w:r>
            <w:r>
              <w:rPr>
                <w:sz w:val="24"/>
                <w:rFonts w:ascii="Times New Roman" w:hAnsi="Times New Roman"/>
              </w:rPr>
              <w:t xml:space="preserve"> </w:t>
            </w:r>
            <w:r>
              <w:rPr>
                <w:sz w:val="24"/>
                <w:rFonts w:ascii="Times New Roman" w:hAnsi="Times New Roman"/>
              </w:rPr>
              <w:t xml:space="preserve">Ja šī korekcija samazina riska darījumu vērtību, iestādes norāda vērtību šajā rindā iekavās (negatīva summa).</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Ārpusbilances posteņiem piemērotā korekcija (t. i., ārpusbilances riska darījumu konvertēšana uz kredītekvivalenta summām)</w:t>
            </w:r>
          </w:p>
          <w:p w14:paraId="69E09F81"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starpību starp sviras rādītāja riska darījumu vērtību, kas atklāta veidnes EU LR1-LRSum 13. rindā, un kopējo grāmatvedības aktīvu vērtību, kas atklāta veidnes EU LR1-LRSum 1. rindā, kura izriet no ārpusbilances posteņu iekļaušanas sviras rādītāja kopējās riska darījumu vērtības mērā.</w:t>
            </w:r>
          </w:p>
          <w:p w14:paraId="69E09F82" w14:textId="497618B6"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Tas ietver ar regulārajiem pirkšanas darījumiem saistītās maksāšanas saistības atbilstoši norēķina datuma uzskaitei, kas aprēķinātas saskaņā ar Regulas (ES) Nr. 575/2013 429.g panta 3. punktu.</w:t>
            </w:r>
          </w:p>
          <w:p w14:paraId="69E09F83"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šī korekcija palielina kopējās riska darījumu vērtības mēru, to atklāj kā pozitīvu summu.</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(Korekcija piesardzīgas vērtēšanas korekcijām un speciālajiem un vispārējiem uzkrājumiem, kas samazinājuši pirmā līmeņa kapitālu)</w:t>
            </w:r>
          </w:p>
          <w:p w14:paraId="69E09F87" w14:textId="024D443A" w:rsidR="00646595" w:rsidRPr="007717F5" w:rsidRDefault="00646595" w:rsidP="17C07D06">
            <w:pPr>
              <w:pStyle w:val="Teksttreci0"/>
              <w:shd w:val="clear" w:color="auto" w:fill="auto"/>
              <w:spacing w:after="120" w:line="240" w:lineRule="auto"/>
              <w:ind w:firstLine="0"/>
              <w:rPr>
                <w:sz w:val="24"/>
                <w:szCs w:val="24"/>
                <w:shd w:val="clear" w:color="auto" w:fill="FFFFFF"/>
                <w:rFonts w:ascii="Times New Roman" w:hAnsi="Times New Roman" w:cs="Times New Roman"/>
              </w:rPr>
            </w:pPr>
            <w:r>
              <w:rPr>
                <w:sz w:val="24"/>
                <w:rStyle w:val="TeksttreciPogrubienie"/>
                <w:b w:val="0"/>
                <w:color w:val="auto"/>
                <w:rFonts w:ascii="Times New Roman" w:hAnsi="Times New Roman"/>
              </w:rPr>
              <w:t xml:space="preserve">Iestādes atklāj piesardzīgas vērtēšanas korekciju apjomu saskaņā ar Regulas (ES) Nr. 575/2013 429.a panta 1. punkta a) un b) apakšpunktu un bilances un ārpusbilances posteņos izdarīto īpašo (ja piemērojams) un vispārējo kredītriska korekciju apjomu atbilstoši Regulas (ES) Nr. 575/2013 429. panta 4. punktam un 429.f panta 2. punktam, kuru rezultātā samazinājies pirmā līmeņa kapitāls.</w:t>
            </w:r>
            <w:r>
              <w:rPr>
                <w:sz w:val="24"/>
                <w:rFonts w:ascii="Times New Roman" w:hAnsi="Times New Roman"/>
              </w:rPr>
              <w:t xml:space="preserve"> </w:t>
            </w:r>
            <w:r>
              <w:rPr>
                <w:sz w:val="24"/>
                <w:rFonts w:ascii="Times New Roman" w:hAnsi="Times New Roman"/>
              </w:rPr>
              <w:t xml:space="preserve">Speciālos uzkrājumus iekļauj tikai tad, ja saskaņā ar piemērojamo grāmatvedības regulējumu tie vēl nav atskaitīti no bruto uzskaites vērtībām.</w:t>
            </w:r>
            <w:r>
              <w:rPr>
                <w:sz w:val="24"/>
                <w:rFonts w:ascii="Times New Roman" w:hAnsi="Times New Roman"/>
              </w:rPr>
              <w:t xml:space="preserve">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b w:val="0"/>
                <w:color w:val="auto"/>
                <w:sz w:val="24"/>
                <w:szCs w:val="24"/>
                <w:rFonts w:ascii="Times New Roman" w:hAnsi="Times New Roman" w:cs="Times New Roman"/>
              </w:rPr>
            </w:pPr>
            <w:r>
              <w:rPr>
                <w:sz w:val="24"/>
                <w:rFonts w:ascii="Times New Roman" w:hAnsi="Times New Roman"/>
              </w:rPr>
              <w:t xml:space="preserve">Tā kā šī korekcija samazina kopējās riska darījumu vērtības mēru, iestādes šo vērtību šajā rindā norāda iekavās (negatīva summa).</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(Korekcija riska darījumiem, kas izslēgti no kopējās riska darījumu vērtības mēra saskaņā ar </w:t>
            </w:r>
            <w:r>
              <w:rPr>
                <w:rStyle w:val="TeksttreciPogrubienie"/>
                <w:color w:val="auto"/>
                <w:sz w:val="24"/>
                <w:i/>
                <w:rFonts w:ascii="Times New Roman" w:hAnsi="Times New Roman"/>
              </w:rPr>
              <w:t xml:space="preserve">CRR</w:t>
            </w:r>
            <w:r>
              <w:rPr>
                <w:rStyle w:val="TeksttreciPogrubienie"/>
                <w:color w:val="auto"/>
                <w:sz w:val="24"/>
                <w:rFonts w:ascii="Times New Roman" w:hAnsi="Times New Roman"/>
              </w:rPr>
              <w:t xml:space="preserve"> 429.a panta 1. punkta c) un ca) apakšpunktu)</w:t>
            </w:r>
          </w:p>
          <w:p w14:paraId="69E09F8C" w14:textId="325E9E66"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429.a panta 1. panta c) un ca) apakšpunkts un 113. panta 6. un 7. punkts.</w:t>
            </w:r>
          </w:p>
          <w:p w14:paraId="69E09F8D" w14:textId="6ACDE613"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bilancē iekļauto to riska darījumu daļu, kas izslēgti no kopējās riska darījumu vērtības mēra saskaņā ar Regulas (ES) Nr. 575/2013 429.a panta 1. punkta c) apakšpunktu.</w:t>
            </w:r>
          </w:p>
          <w:p w14:paraId="69E09F8E"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šī korekcija samazina kopējās riska darījumu vērtības mēru, iestādes šo vērtību šajā rindā norāda iekavās (negatīva summa).</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(Korekcija riska darījumiem, kas izslēgti no kopējās riska darījumu vērtības mēra saskaņā ar </w:t>
            </w:r>
            <w:r>
              <w:rPr>
                <w:rStyle w:val="TeksttreciPogrubienie"/>
                <w:color w:val="auto"/>
                <w:sz w:val="24"/>
                <w:i/>
                <w:rFonts w:ascii="Times New Roman" w:hAnsi="Times New Roman"/>
              </w:rPr>
              <w:t xml:space="preserve">CRR</w:t>
            </w:r>
            <w:r>
              <w:rPr>
                <w:rStyle w:val="TeksttreciPogrubienie"/>
                <w:color w:val="auto"/>
                <w:sz w:val="24"/>
                <w:rFonts w:ascii="Times New Roman" w:hAnsi="Times New Roman"/>
              </w:rPr>
              <w:t xml:space="preserve"> 429.a panta 1. punkta j) apakšpunktu)</w:t>
            </w:r>
          </w:p>
          <w:p w14:paraId="69E09F92" w14:textId="42974785"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429.a panta 1. punkta j) apakšpunkts un 116. panta 4. punkts.</w:t>
            </w:r>
          </w:p>
          <w:p w14:paraId="69E09F93" w14:textId="46A92283"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bilancē iekļauto to riska darījumu daļu, kas izslēgti no kopējās riska darījumu vērtības mēra saskaņā ar Regulas (ES) Nr. 575/2013 429.a panta 1. punkta j) apakšpunktu.</w:t>
            </w:r>
          </w:p>
          <w:p w14:paraId="69E09F94"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šī korekcija samazina kopējās riska darījumu vērtības mēru, iestādes šīs vērtības šajā rindā norāda iekavās (negatīva summa).</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b/>
                <w:bCs/>
                <w:sz w:val="24"/>
                <w:szCs w:val="24"/>
                <w:shd w:val="clear" w:color="auto" w:fill="FFFFFF"/>
                <w:rFonts w:ascii="Times New Roman" w:hAnsi="Times New Roman" w:cs="Times New Roman"/>
              </w:rPr>
            </w:pPr>
            <w:r>
              <w:rPr>
                <w:rStyle w:val="TeksttreciPogrubienie"/>
                <w:color w:val="auto"/>
                <w:sz w:val="24"/>
                <w:rFonts w:ascii="Times New Roman" w:hAnsi="Times New Roman"/>
              </w:rPr>
              <w:t xml:space="preserve">Citas korekcijas</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sz w:val="24"/>
                <w:rFonts w:ascii="Times New Roman" w:hAnsi="Times New Roman"/>
              </w:rPr>
              <w:t xml:space="preserve">Iestādes atklāj visas citas vērtības atšķirības starp kopējās riska darījumu vērtības mēru un kopējiem grāmatvedības aktīviem.</w:t>
            </w:r>
            <w:r>
              <w:rPr>
                <w:sz w:val="24"/>
                <w:rFonts w:ascii="Times New Roman" w:hAnsi="Times New Roman"/>
              </w:rPr>
              <w:t xml:space="preserve"> </w:t>
            </w:r>
            <w:r>
              <w:rPr>
                <w:sz w:val="24"/>
                <w:rFonts w:ascii="Times New Roman" w:hAnsi="Times New Roman"/>
              </w:rPr>
              <w:t xml:space="preserve">Iestādes ņem vērā riska darījumu korekcijas saskaņā ar Regulas (ES) Nr. 575/2013 </w:t>
            </w:r>
            <w:r>
              <w:rPr>
                <w:sz w:val="24"/>
                <w:rStyle w:val="TeksttreciPogrubienie"/>
                <w:color w:val="auto"/>
                <w:rFonts w:ascii="Times New Roman" w:hAnsi="Times New Roman"/>
              </w:rPr>
              <w:t xml:space="preserve">429. panta 8. punktu</w:t>
            </w:r>
            <w:r>
              <w:rPr>
                <w:sz w:val="24"/>
                <w:rFonts w:ascii="Times New Roman" w:hAnsi="Times New Roman"/>
              </w:rPr>
              <w:t xml:space="preserve"> </w:t>
            </w:r>
            <w:r>
              <w:rPr>
                <w:sz w:val="24"/>
                <w:rStyle w:val="TeksttreciPogrubienie"/>
                <w:color w:val="auto"/>
                <w:rFonts w:ascii="Times New Roman" w:hAnsi="Times New Roman"/>
              </w:rPr>
              <w:t xml:space="preserve">un citas riska darījumu korekcijas, kas minētas </w:t>
            </w:r>
            <w:r>
              <w:rPr>
                <w:sz w:val="24"/>
                <w:rStyle w:val="TeksttreciPogrubienie"/>
                <w:color w:val="auto"/>
                <w:b w:val="0"/>
                <w:rFonts w:ascii="Times New Roman" w:hAnsi="Times New Roman"/>
              </w:rPr>
              <w:t xml:space="preserve">Regulas (ES) Nr. 575/2013</w:t>
            </w:r>
            <w:r>
              <w:rPr>
                <w:sz w:val="24"/>
                <w:rStyle w:val="TeksttreciPogrubienie"/>
                <w:color w:val="auto"/>
                <w:rFonts w:ascii="Times New Roman" w:hAnsi="Times New Roman"/>
              </w:rPr>
              <w:t xml:space="preserve"> 429.a panta 1. punkta</w:t>
            </w:r>
            <w:r>
              <w:rPr>
                <w:sz w:val="24"/>
                <w:rFonts w:ascii="Times New Roman" w:hAnsi="Times New Roman"/>
              </w:rPr>
              <w:t xml:space="preserve"> ca), d), da), e), f), h), k), l), o), p) un q) apakšpunktā, </w:t>
            </w:r>
            <w:r>
              <w:rPr>
                <w:sz w:val="24"/>
                <w:rStyle w:val="TeksttreciPogrubienie"/>
                <w:color w:val="auto"/>
                <w:rFonts w:ascii="Times New Roman" w:hAnsi="Times New Roman"/>
              </w:rPr>
              <w:t xml:space="preserve">kas nav atklātas citviet šajā veidnē</w:t>
            </w:r>
            <w:r>
              <w:rPr>
                <w:sz w:val="24"/>
                <w:rFonts w:ascii="Times New Roman" w:hAnsi="Times New Roman"/>
              </w:rPr>
              <w:t xml:space="preserve">.</w:t>
            </w:r>
          </w:p>
          <w:p w14:paraId="69E09F99"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Ja šīs korekcijas palielina riska darījumu vērtību, iestādes to atklāj kā pozitīvu summu.</w:t>
            </w:r>
            <w:r>
              <w:rPr>
                <w:sz w:val="24"/>
                <w:rFonts w:ascii="Times New Roman" w:hAnsi="Times New Roman"/>
              </w:rPr>
              <w:t xml:space="preserve"> </w:t>
            </w:r>
            <w:r>
              <w:rPr>
                <w:sz w:val="24"/>
                <w:rFonts w:ascii="Times New Roman" w:hAnsi="Times New Roman"/>
              </w:rPr>
              <w:t xml:space="preserve">Ja šīs korekcijas samazina riska darījumu vērtību, iestādes norāda šo vērtību šajā rindā iekavās (negatīva summa).</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 xml:space="preserve">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Kopējās riska darījumu vērtības mērs</w:t>
            </w:r>
          </w:p>
          <w:p w14:paraId="69E09F9D"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Kopējās riska darījumu vērtības mērs (atklāts arī veidnes EU LR2-LRCom 24. rindā), kas ir iepriekšējo posteņu summa.</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b w:val="0"/>
          <w:sz w:val="24"/>
          <w:szCs w:val="24"/>
          <w:rFonts w:ascii="Times New Roman" w:hAnsi="Times New Roman" w:cs="Times New Roman"/>
        </w:rPr>
      </w:pPr>
      <w:bookmarkStart w:id="3" w:name="bookmark12"/>
      <w:r>
        <w:rPr>
          <w:sz w:val="24"/>
          <w:rFonts w:ascii="Times New Roman" w:hAnsi="Times New Roman"/>
        </w:rPr>
        <w:t xml:space="preserve">Veidne EULR2 – LRCom:</w:t>
      </w:r>
      <w:r>
        <w:rPr>
          <w:sz w:val="24"/>
          <w:rFonts w:ascii="Times New Roman" w:hAnsi="Times New Roman"/>
        </w:rPr>
        <w:t xml:space="preserve"> </w:t>
      </w:r>
      <w:r>
        <w:rPr>
          <w:sz w:val="24"/>
          <w:rFonts w:ascii="Times New Roman" w:hAnsi="Times New Roman"/>
        </w:rPr>
        <w:t xml:space="preserve">Kopīga informācija, kas jāatklāj par sviras rādītāju.</w:t>
      </w:r>
      <w:bookmarkEnd w:id="3"/>
      <w:r>
        <w:rPr>
          <w:sz w:val="24"/>
          <w:rFonts w:ascii="Times New Roman" w:hAnsi="Times New Roman"/>
        </w:rPr>
        <w:t xml:space="preserve"> </w:t>
      </w:r>
      <w:r>
        <w:rPr>
          <w:sz w:val="24"/>
          <w:b w:val="0"/>
          <w:rFonts w:ascii="Times New Roman" w:hAnsi="Times New Roman"/>
        </w:rPr>
        <w:t xml:space="preserve">Fiksēta formāta veidne.</w:t>
      </w:r>
    </w:p>
    <w:p w14:paraId="69E09FA1" w14:textId="09225CB4" w:rsidR="00646595" w:rsidRPr="007717F5" w:rsidRDefault="00646595" w:rsidP="00646595">
      <w:pPr>
        <w:pStyle w:val="ListParagraph"/>
        <w:numPr>
          <w:ilvl w:val="0"/>
          <w:numId w:val="6"/>
        </w:numPr>
        <w:spacing w:after="120"/>
        <w:ind w:left="426"/>
        <w:jc w:val="both"/>
        <w:rPr>
          <w:sz w:val="24"/>
          <w:szCs w:val="24"/>
          <w:rFonts w:ascii="Times New Roman" w:hAnsi="Times New Roman"/>
        </w:rPr>
      </w:pPr>
      <w:r>
        <w:rPr>
          <w:sz w:val="24"/>
          <w:rFonts w:ascii="Times New Roman" w:hAnsi="Times New Roman"/>
        </w:rPr>
        <w:t xml:space="preserve">Iestādes piemēro šajā iedaļā sniegtos norādījumus, lai aizpildītu veidni LR2-LRCom, piemērojot Regulas (ES) Nr. 575/2013 451. panta 1. punkta a) un b) apakšpunktu un Regulas (ES) Nr. 575/2013 451. panta 3. punktu, attiecīgā gadījumā ņemot vērā Regulas (ES) Nr. 575/2013 451. panta 1. punkta c) apakšpunktu un 451. panta 2. punktu.</w:t>
      </w:r>
    </w:p>
    <w:p w14:paraId="69E09FA2" w14:textId="77777777" w:rsidR="00646595" w:rsidRPr="007717F5" w:rsidRDefault="00646595" w:rsidP="00646595">
      <w:pPr>
        <w:pStyle w:val="ListParagraph"/>
        <w:numPr>
          <w:ilvl w:val="0"/>
          <w:numId w:val="6"/>
        </w:numPr>
        <w:spacing w:after="120"/>
        <w:ind w:left="426"/>
        <w:jc w:val="both"/>
        <w:rPr>
          <w:sz w:val="24"/>
          <w:szCs w:val="24"/>
          <w:rFonts w:ascii="Times New Roman" w:hAnsi="Times New Roman"/>
        </w:rPr>
      </w:pPr>
      <w:r>
        <w:rPr>
          <w:sz w:val="24"/>
          <w:rFonts w:ascii="Times New Roman" w:hAnsi="Times New Roman"/>
        </w:rPr>
        <w:t xml:space="preserve">Iestādes a ailē atklāj dažādo rindu vērtības par attiecīgo informācijas atklāšanas periodu un b ailē atklāj rindu vērtības par iepriekšējiem informācijas atklāšanas periodiem.</w:t>
      </w:r>
    </w:p>
    <w:p w14:paraId="69E09FA3" w14:textId="77777777" w:rsidR="00646595" w:rsidRPr="007717F5" w:rsidRDefault="00646595" w:rsidP="00646595">
      <w:pPr>
        <w:pStyle w:val="ListParagraph"/>
        <w:numPr>
          <w:ilvl w:val="0"/>
          <w:numId w:val="6"/>
        </w:numPr>
        <w:spacing w:after="120"/>
        <w:ind w:left="426"/>
        <w:jc w:val="both"/>
        <w:rPr>
          <w:sz w:val="24"/>
          <w:rFonts w:ascii="Times New Roman" w:hAnsi="Times New Roman"/>
        </w:rPr>
      </w:pPr>
      <w:r>
        <w:rPr>
          <w:sz w:val="24"/>
          <w:rFonts w:ascii="Times New Roman" w:hAnsi="Times New Roman"/>
        </w:rPr>
        <w:t xml:space="preserve">Iestādes veidnei pievienotajā izklāsta daļā paskaidro to attīstību veicinošo aizdevumu sastāvu, kuri atklāti šīs veidnes EU-22.d un EU-22.e rindā, tajā skaitā informāciju par katru darījumu partnera veidu.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sz w:val="24"/>
                <w:rFonts w:ascii="Times New Roman" w:hAnsi="Times New Roman" w:cs="Times New Roman"/>
              </w:rPr>
            </w:pPr>
            <w:r>
              <w:rPr>
                <w:b/>
                <w:sz w:val="24"/>
                <w:rFonts w:ascii="Times New Roman" w:hAnsi="Times New Roman"/>
              </w:rPr>
              <w:t xml:space="preserve">Paskaidrojums</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Bilances posteņi (izņemot atvasinātos instrumentus, VFD, bet ietverot nodrošinājumu)</w:t>
            </w:r>
          </w:p>
          <w:p w14:paraId="69E09FAB" w14:textId="064B1AF8" w:rsidR="00646595" w:rsidRPr="007717F5" w:rsidRDefault="00646595" w:rsidP="17C07D06">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 un 429.b pants.</w:t>
            </w:r>
          </w:p>
          <w:p w14:paraId="69E09FAC" w14:textId="2B7C8E1E"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informāciju par visiem aktīviem, izņemot līgumus, kas uzskaitīti Regulas (ES) Nr. 575/2013 II pielikumā, kredīta atvasinātos instrumentus un VFD.</w:t>
            </w:r>
            <w:r>
              <w:rPr>
                <w:sz w:val="24"/>
                <w:rFonts w:ascii="Times New Roman" w:hAnsi="Times New Roman"/>
              </w:rPr>
              <w:t xml:space="preserve"> </w:t>
            </w:r>
            <w:r>
              <w:rPr>
                <w:sz w:val="24"/>
                <w:rFonts w:ascii="Times New Roman" w:hAnsi="Times New Roman"/>
              </w:rPr>
              <w:t xml:space="preserve">Iestādes šo aktīvu novērtēšanā pamatojas uz principiem, kas izklāstīti Regulas (ES) Nr. 575/2013 429. panta 7. punktā un 429.b panta 1. punktā.</w:t>
            </w:r>
            <w:r>
              <w:rPr>
                <w:sz w:val="24"/>
                <w:rFonts w:ascii="Times New Roman" w:hAnsi="Times New Roman"/>
              </w:rPr>
              <w:t xml:space="preserve"> </w:t>
            </w:r>
          </w:p>
          <w:p w14:paraId="69E09FAD" w14:textId="073853EA"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šajā aprēķinā attiecīgā gadījumā ņem vērā Regulas (ES) Nr. 575/2013 429.a panta 1. punkta i), m) un n) apakšpunktu, 429.g pantu un 429. panta 4. punkta pēdējo daļu.</w:t>
            </w:r>
            <w:r>
              <w:rPr>
                <w:sz w:val="24"/>
                <w:rFonts w:ascii="Times New Roman" w:hAnsi="Times New Roman"/>
              </w:rPr>
              <w:t xml:space="preserve"> </w:t>
            </w:r>
          </w:p>
          <w:p w14:paraId="69E09FAE"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Šajā šūnā iestādes iekļauj saņemto naudu vai jebkādu nodrošinājumu, kas sniegts darījuma partnerim, izmantojot VFD, un paturēts bilancē (proti, nav izpildīti grāmatvedības kritēriji par atzīšanas pārtraukšanu saskaņā ar piemērojamo grāmatvedības regulējumu).</w:t>
            </w:r>
          </w:p>
          <w:p w14:paraId="69E09FAF" w14:textId="3D7CA3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šajā aprēķinā neņem vērā Regulas (ES) Nr. 575/2013 429. panta 8. punktu un 429.a panta 1. punkta a)–h), j) un k) apakšpunktu, proti, tās nesamazina šajā rindā atklājamo summu par minētajiem izņēmumiem.</w:t>
            </w:r>
            <w:r>
              <w:rPr>
                <w:sz w:val="24"/>
                <w:rFonts w:ascii="Times New Roman" w:hAnsi="Times New Roman"/>
              </w:rPr>
              <w:t xml:space="preserve">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Bruto palielinājums sniegtajam atvasināto instrumentu nodrošinājumam, ja tas ir atskaitīts no bilances aktīviem saskaņā ar piemērojamo grāmatvedības regulējumu</w:t>
            </w:r>
          </w:p>
          <w:p w14:paraId="69E09FB3" w14:textId="7197DA61" w:rsidR="00646595" w:rsidRPr="002B7F3A" w:rsidRDefault="00646595" w:rsidP="17C07D06">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429.c panta 2. punkts.</w:t>
            </w:r>
          </w:p>
          <w:p w14:paraId="69E09FB4" w14:textId="69A1A662"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visu sniegtā atvasināto instrumentu nodrošinājuma summu, ja minētā nodrošinājuma sniegšana samazina aktīvu summu saskaņā ar piemērojamo grāmatvedības regulējumu, kā noteikts Regulas (ES) Nr. 575/2013 429.c panta 2. punktā.</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sz w:val="24"/>
                <w:rFonts w:ascii="Times New Roman" w:hAnsi="Times New Roman"/>
              </w:rPr>
              <w:t xml:space="preserve">Iestādes šajā šūnā neiekļauj sākotnējo drošības rezervi atvasināto instrumentu darījumiem, kam veikta klientu tīrvērte, ar atbilstīgu centrālo darījumu partneri (</w:t>
            </w:r>
            <w:r>
              <w:rPr>
                <w:sz w:val="24"/>
                <w:i/>
                <w:rFonts w:ascii="Times New Roman" w:hAnsi="Times New Roman"/>
              </w:rPr>
              <w:t xml:space="preserve">QCCP</w:t>
            </w:r>
            <w:r>
              <w:rPr>
                <w:sz w:val="24"/>
                <w:rFonts w:ascii="Times New Roman" w:hAnsi="Times New Roman"/>
              </w:rPr>
              <w:t xml:space="preserve">) vai atbilstošu naudas mainīgo drošības rezervi, kā noteikts Regulas (ES) Nr. 575/2013 429.c panta 3. punktā.</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(Debitoru parādu aktīvu atskaitījumi, kas piemēroti atvasināto instrumentu darījumos nodrošinātajai naudas mainīgajai drošības rezervei)</w:t>
            </w:r>
          </w:p>
          <w:p w14:paraId="69E09FB9" w14:textId="303DAA10" w:rsidR="00646595" w:rsidRPr="002B7F3A" w:rsidRDefault="00646595" w:rsidP="17C07D06">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429.c panta 3. punkts.</w:t>
            </w:r>
          </w:p>
          <w:p w14:paraId="69E09FBA" w14:textId="6E7AC669"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debitoru parādus par darījuma partneriem naudā samaksāto mainīgo drošības rezervi atvasināto instrumentu darījumos, ja saskaņā ar piemērojamo grāmatvedības regulējumu iestādei ir jāatzīst šie debitoru parādi kā aktīvs, ja ir izpildīti Regulas (ES) Nr. 575/2013 429.c panta 3. punkta a)–e) apakšpunktā minētie nosacījumi.</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sz w:val="24"/>
                <w:rFonts w:ascii="Times New Roman" w:hAnsi="Times New Roman"/>
              </w:rPr>
              <w:t xml:space="preserve">Tā kā šī korekcija samazina kopējās riska darījumu vērtības mēru, iestādes šo vērtību šajā rindā norāda iekavās (negatīva summa).</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(Korekcija vērtspapīriem, kas saņemti vērtspapīru finansēšanas darījumos un atzīti kā aktīvs)</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sz w:val="24"/>
                <w:rStyle w:val="TeksttreciPogrubienie"/>
                <w:b w:val="0"/>
                <w:color w:val="auto"/>
                <w:rFonts w:ascii="Times New Roman" w:hAnsi="Times New Roman"/>
              </w:rPr>
              <w:t xml:space="preserve">Korekcija vērtspapīriem, kas saņemti vērtspapīru finansēšanas darījumā, kurā banka atzinusi vērtspapīrus kā aktīvu savā bilancē.</w:t>
            </w:r>
            <w:r>
              <w:rPr>
                <w:sz w:val="24"/>
                <w:rStyle w:val="TeksttreciPogrubienie"/>
                <w:b w:val="0"/>
                <w:color w:val="auto"/>
                <w:rFonts w:ascii="Times New Roman" w:hAnsi="Times New Roman"/>
              </w:rPr>
              <w:t xml:space="preserve"> </w:t>
            </w:r>
            <w:r>
              <w:rPr>
                <w:sz w:val="24"/>
                <w:rStyle w:val="TeksttreciPogrubienie"/>
                <w:b w:val="0"/>
                <w:color w:val="auto"/>
                <w:rFonts w:ascii="Times New Roman" w:hAnsi="Times New Roman"/>
              </w:rPr>
              <w:t xml:space="preserve">Šīs summas ir jāizslēdz no kopējās riska darījumu vērtības mēra saskaņā ar Regulas (ES) Nr. 575/2013 429.e panta 6. punktu.</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b w:val="0"/>
                <w:color w:val="auto"/>
                <w:sz w:val="24"/>
                <w:rFonts w:ascii="Times New Roman" w:hAnsi="Times New Roman"/>
              </w:rPr>
              <w:t xml:space="preserve">Tā kā korekcijas šajā rindā samazina kopējās riska darījumu vērtības mēru, iestādes šo vērtību šajā rindā norāda iekavās (negatīva summa).</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(Vispārējas kredītriska korekcijas bilances posteņiem)</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sz w:val="24"/>
                <w:rStyle w:val="TeksttreciPogrubienie"/>
                <w:b w:val="0"/>
                <w:color w:val="auto"/>
                <w:rFonts w:ascii="Times New Roman" w:hAnsi="Times New Roman"/>
              </w:rPr>
              <w:t xml:space="preserve">Vispārējo kredītriska korekciju summa, kas atbilst bilances posteņiem, kuri minēti Regulas (ES) Nr. 575/2013 429. panta 4. punkta a) apakšpunktā, un ko iestādes atskaita saskaņā ar Regulas (ES) Nr. 575/2013 429. panta 4. punkta pēdējo daļu.</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b w:val="0"/>
                <w:color w:val="auto"/>
                <w:sz w:val="24"/>
                <w:rFonts w:ascii="Times New Roman" w:hAnsi="Times New Roman"/>
              </w:rPr>
              <w:t xml:space="preserve">Tā kā korekcijas šajā rindā samazina kopējās riska darījumu vērtības mēru, iestādes šo vērtību šajā rindā norāda iekavās (negatīva summa).</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(Aktīvu summas, kas atskaitītas, nosakot pirmā līmeņa kapitālu)</w:t>
            </w:r>
          </w:p>
          <w:p w14:paraId="69E09FC9" w14:textId="2764D6D4" w:rsidR="00646595" w:rsidRPr="007717F5" w:rsidRDefault="00646595" w:rsidP="17C07D06">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Regulas (ES) Nr. 575/2013 429.a panta 1. punkta a) un b) apakšpunkts un 499. panta 2. punkts.</w:t>
            </w:r>
          </w:p>
          <w:p w14:paraId="69E09FCA" w14:textId="62925369"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to regulatīvo vērtības korekciju summu, kuras veiktas pirmā līmeņa kapitāla summām saskaņā ar izvēli, kas izdarīta atbilstīgi Regulas (ES) Nr. 575/2013 499. panta 2. punktam.</w:t>
            </w:r>
          </w:p>
          <w:p w14:paraId="69E09FCB"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Konkrētāk, iestādes atklāj visu to korekciju summas vērtību, kuras attiecas uz aktīva vērtību un kuras jāuzrāda attiecīgi saskaņā ar:</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32.–35. pantu vai</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36.–47. pantu, vai</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56.–60. pantu.</w:t>
            </w:r>
          </w:p>
          <w:p w14:paraId="69E09FCF" w14:textId="3091D18A"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šajā šūnā iekļauj Regulas (ES) Nr. 575/2013 429.a panta 1. punkta a) apakšpunktā minēto summu.</w:t>
            </w:r>
          </w:p>
          <w:p w14:paraId="69E09FD0" w14:textId="2673D57E"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Ja izvēle atklāt pirmā līmeņa kapitālu ir veikta saskaņā ar Regulas (ES) Nr. 575/2013 499. panta 1. punkta a) apakšpunktu, iestādes ņem vērā atbrīvojumus, alternatīvas un atrunas šādiem atskaitījumiem, kas noteikti Regulas (ES) Nr. 575/2013 48., 49. un 79. pantā, neņemot vērā atkāpi, kura noteikta Regulas (ES) Nr. 575/2013 desmitās daļas I sadaļas 1. un 2. nodaļā.</w:t>
            </w:r>
            <w:r>
              <w:rPr>
                <w:sz w:val="24"/>
                <w:rFonts w:ascii="Times New Roman" w:hAnsi="Times New Roman"/>
              </w:rPr>
              <w:t xml:space="preserve"> </w:t>
            </w:r>
            <w:r>
              <w:rPr>
                <w:sz w:val="24"/>
                <w:rFonts w:ascii="Times New Roman" w:hAnsi="Times New Roman"/>
              </w:rPr>
              <w:t xml:space="preserve">Turpretī, ja izvēle atklāt pirmā līmeņa kapitālu ir veikta saskaņā ar Regulas (ES) Nr. 575/2013 499. panta 1. punkta b) apakšpunktu, iestādes ņem vērā atbrīvojumus, alternatīvas un atrunas šādiem atskaitījumiem, kas noteikti Regulas (ES) Nr. 575/2013 48., 49. un 79. pantā, papildus atkāpēm, kuras noteiktas Regulas (ES) Nr. 575/2013 desmitās daļas I sadaļas 1. un 2. nodaļā.</w:t>
            </w:r>
          </w:p>
          <w:p w14:paraId="69E09FD1" w14:textId="44D219FD"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Lai izvairītos no divkāršas uzskaites, iestādes neatklāj korekcijas, kas jau piemērotas atbilstoši Regulas (ES) Nr. 575/2013 111. pantam, kad tika aprēķināta riska darījumu vērtība, kā arī neatklāj korekcijas, kas nesamazina konkrēta aktīva vērtību.</w:t>
            </w:r>
          </w:p>
          <w:p w14:paraId="69E09FD2"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Style w:val="TeksttreciPogrubienie"/>
                <w:color w:val="auto"/>
                <w:rFonts w:ascii="Times New Roman" w:hAnsi="Times New Roman"/>
              </w:rPr>
              <w:t xml:space="preserve">Tā kā summa šajā rindā samazina kopējās riska darījumu vērtības mēru</w:t>
            </w:r>
            <w:r>
              <w:rPr>
                <w:sz w:val="24"/>
                <w:rFonts w:ascii="Times New Roman" w:hAnsi="Times New Roman"/>
              </w:rPr>
              <w:t xml:space="preserve">, iestādes šo vērtību šajā šūnā norāda iekavās (negatīva summa).</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Kopējie bilances riska darījumi (izņemot atvasinātos instrumentus un VFD)</w:t>
            </w:r>
            <w:r>
              <w:rPr>
                <w:rStyle w:val="TeksttreciPogrubienie"/>
                <w:color w:val="auto"/>
                <w:sz w:val="24"/>
                <w:rFonts w:ascii="Times New Roman" w:hAnsi="Times New Roman"/>
              </w:rPr>
              <w:t xml:space="preserve"> </w:t>
            </w:r>
          </w:p>
          <w:p w14:paraId="69E09FD6" w14:textId="591C15AA" w:rsidR="00646595" w:rsidRPr="007717F5" w:rsidRDefault="00646595" w:rsidP="17C07D06">
            <w:pPr>
              <w:pStyle w:val="Teksttreci0"/>
              <w:shd w:val="clear" w:color="auto" w:fill="auto"/>
              <w:spacing w:after="120" w:line="240" w:lineRule="auto"/>
              <w:ind w:firstLine="0"/>
              <w:rPr>
                <w:b/>
                <w:bCs/>
                <w:sz w:val="24"/>
                <w:szCs w:val="24"/>
                <w:rFonts w:ascii="Times New Roman" w:hAnsi="Times New Roman" w:cs="Times New Roman"/>
              </w:rPr>
            </w:pPr>
            <w:r>
              <w:rPr>
                <w:rStyle w:val="TeksttreciPogrubienie"/>
                <w:color w:val="auto"/>
                <w:sz w:val="24"/>
                <w:rFonts w:ascii="Times New Roman" w:hAnsi="Times New Roman"/>
              </w:rPr>
              <w:t xml:space="preserve">1.–6. rindas summa</w:t>
            </w:r>
            <w:r>
              <w:rPr>
                <w:rStyle w:val="TeksttreciPogrubienie"/>
                <w:color w:val="auto"/>
                <w:sz w:val="24"/>
                <w:rFonts w:ascii="Times New Roman" w:hAnsi="Times New Roman"/>
              </w:rPr>
              <w:t xml:space="preserve">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Aizvietošanas vērtība, kas saistīta ar </w:t>
            </w:r>
            <w:r>
              <w:rPr>
                <w:rStyle w:val="TeksttreciPogrubienie"/>
                <w:color w:val="auto"/>
                <w:sz w:val="24"/>
                <w:i/>
                <w:rFonts w:ascii="Times New Roman" w:hAnsi="Times New Roman"/>
              </w:rPr>
              <w:t xml:space="preserve">SA-CCR</w:t>
            </w:r>
            <w:r>
              <w:rPr>
                <w:rStyle w:val="TeksttreciPogrubienie"/>
                <w:color w:val="auto"/>
                <w:sz w:val="24"/>
                <w:rFonts w:ascii="Times New Roman" w:hAnsi="Times New Roman"/>
              </w:rPr>
              <w:t xml:space="preserve"> darījumiem (t. i., neieskaitot atbilstīgo naudas mainīgo drošības rezervi)</w:t>
            </w:r>
          </w:p>
          <w:p w14:paraId="69E09FDA" w14:textId="4B3BE93C" w:rsidR="00646595" w:rsidRPr="007717F5" w:rsidRDefault="00646595" w:rsidP="17C07D06">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274., 275., 295., 296., 297., 298., 429.c pants un 429.c panta 3. punkts.</w:t>
            </w:r>
          </w:p>
          <w:p w14:paraId="69E09FDB" w14:textId="4A9E98A0"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pašreizējo aizvietošanas vērtību, kā precizēts 275. panta 1. punktā, līgumiem, kas uzskaitīti Regulas (ES) Nr. 575/2013 II pielikumā, un kredītu atvasinātajiem instrumentiem, tajā skaitā tiem, kuri nav ietverti bilancē.</w:t>
            </w:r>
            <w:r>
              <w:rPr>
                <w:sz w:val="24"/>
                <w:rFonts w:ascii="Times New Roman" w:hAnsi="Times New Roman"/>
              </w:rPr>
              <w:t xml:space="preserve"> </w:t>
            </w:r>
            <w:r>
              <w:rPr>
                <w:sz w:val="24"/>
                <w:rFonts w:ascii="Times New Roman" w:hAnsi="Times New Roman"/>
              </w:rPr>
              <w:t xml:space="preserve">Šo aizvietošanas vērtību norāda, neieskaitot atbilstīgo naudas mainīgo drošības rezervi saskaņā ar Regulas (ES) Nr. 575/2013 429.c panta 3. punktu, un neiekļauj visas saņemtās naudas mainīgās drošības rezerves par neiekļauto </w:t>
            </w:r>
            <w:r>
              <w:rPr>
                <w:sz w:val="24"/>
                <w:i/>
                <w:rFonts w:ascii="Times New Roman" w:hAnsi="Times New Roman"/>
              </w:rPr>
              <w:t xml:space="preserve">CCP</w:t>
            </w:r>
            <w:r>
              <w:rPr>
                <w:sz w:val="24"/>
                <w:rFonts w:ascii="Times New Roman" w:hAnsi="Times New Roman"/>
              </w:rPr>
              <w:t xml:space="preserve"> daļu saskaņā ar Regulas (ES) Nr. 575/2013 429.a panta 1. punkta g) vai h) apakšpunktu.</w:t>
            </w:r>
          </w:p>
          <w:p w14:paraId="69E09FDC" w14:textId="290DEEF0"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Kā noteikts Regulas (ES) Nr. 575/2013 429.c panta 1. punktā, iestādes var ņemt vērā ietekmi, ko rada pārjaunojuma līgumi un citi savstarpējo prasījumu ieskaita līgumi saskaņā ar Regulas (ES) Nr. 575/2013 295. pantu.</w:t>
            </w:r>
            <w:r>
              <w:rPr>
                <w:sz w:val="24"/>
                <w:rFonts w:ascii="Times New Roman" w:hAnsi="Times New Roman"/>
              </w:rPr>
              <w:t xml:space="preserve"> </w:t>
            </w:r>
            <w:r>
              <w:rPr>
                <w:sz w:val="24"/>
                <w:rFonts w:ascii="Times New Roman" w:hAnsi="Times New Roman"/>
              </w:rPr>
              <w:t xml:space="preserve">Dažādu produktu savstarpējo prasījumu ieskaitu nepiemēro.</w:t>
            </w:r>
            <w:r>
              <w:rPr>
                <w:sz w:val="24"/>
                <w:rFonts w:ascii="Times New Roman" w:hAnsi="Times New Roman"/>
              </w:rPr>
              <w:t xml:space="preserve"> </w:t>
            </w:r>
            <w:r>
              <w:rPr>
                <w:sz w:val="24"/>
                <w:rFonts w:ascii="Times New Roman" w:hAnsi="Times New Roman"/>
              </w:rPr>
              <w:t xml:space="preserve">Tomēr iestādes var veikt neto ieskaitu Regulas (ES) Nr. 575/2013 272. panta 25. punkta c) apakšpunktā minēto produktu kategorijas ietvaros un kredītu atvasinātajiem instrumentiem, ja uz tiem attiecas dažādu produktu savstarpējo prasījumu līgumiskā ieskaita līgums, kā minēts Regulas (ES) Nr. 575/2013 295. panta c) apakšpunktā.</w:t>
            </w:r>
          </w:p>
          <w:p w14:paraId="69E09FDD" w14:textId="169448E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šajā šūnā neiekļauj līgumus, ko novērtē, piemērojot pieejas saskaņā ar Regulas (ES) Nr. 575/2013 429.c panta 6. punktu, t. i., pieejas, kuras noteiktas minētās Regulas (ES) Nr. 575/2013 trešās daļas II sadaļas 6. nodaļas 4. vai 5. iedaļā (vienkāršotā </w:t>
            </w:r>
            <w:r>
              <w:rPr>
                <w:sz w:val="24"/>
                <w:i/>
                <w:rFonts w:ascii="Times New Roman" w:hAnsi="Times New Roman"/>
              </w:rPr>
              <w:t xml:space="preserve">SA-CCR</w:t>
            </w:r>
            <w:r>
              <w:rPr>
                <w:sz w:val="24"/>
                <w:rFonts w:ascii="Times New Roman" w:hAnsi="Times New Roman"/>
              </w:rPr>
              <w:t xml:space="preserve"> vai sākotnējās riska darījuma vērtības metode).</w:t>
            </w:r>
          </w:p>
          <w:p w14:paraId="69E09FDE" w14:textId="51BD85FB"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Aprēķinot aizvietošanas vērtību, iestādes saskaņā ar Regulas (ES) Nr. 575/2013 429.c panta 4. punktu un 4.a punktu iekļauj nodrošinājuma atzīšanas ietekmi uz neto neatkarīgu nodrošinājumu atvasināto instrumentu līgumos ar klientiem, ja </w:t>
            </w:r>
            <w:r>
              <w:rPr>
                <w:sz w:val="24"/>
                <w:i/>
                <w:rFonts w:ascii="Times New Roman" w:hAnsi="Times New Roman"/>
              </w:rPr>
              <w:t xml:space="preserve">QCCP</w:t>
            </w:r>
            <w:r>
              <w:rPr>
                <w:sz w:val="24"/>
                <w:rFonts w:ascii="Times New Roman" w:hAnsi="Times New Roman"/>
              </w:rPr>
              <w:t xml:space="preserve"> ir veicis minēto līgumu tīrvērti.</w:t>
            </w:r>
            <w:r>
              <w:rPr>
                <w:sz w:val="24"/>
                <w:rFonts w:ascii="Times New Roman" w:hAnsi="Times New Roman"/>
              </w:rPr>
              <w:t xml:space="preserve"> </w:t>
            </w:r>
          </w:p>
          <w:p w14:paraId="69E09FDF" w14:textId="6EC9D3A2"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Šo summu atklāj ar 1,4 alfa faktoru, kā norādīts Regulas (ES) Nr. 575/2013 274. panta 2. punktā.</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Atkāpe attiecībā uz atvasinātajiem instrumentiem –</w:t>
            </w:r>
            <w:r>
              <w:rPr>
                <w:b/>
                <w:sz w:val="24"/>
                <w:rFonts w:ascii="Times New Roman" w:hAnsi="Times New Roman"/>
              </w:rPr>
              <w:t xml:space="preserve"> </w:t>
            </w:r>
            <w:r>
              <w:rPr>
                <w:b/>
                <w:sz w:val="24"/>
                <w:rFonts w:ascii="Times New Roman" w:hAnsi="Times New Roman"/>
              </w:rPr>
              <w:t xml:space="preserve">aizvietošanas vērtības ieguldījums saskaņā ar vienkāršoto standartizēto pieeju</w:t>
            </w:r>
          </w:p>
          <w:p w14:paraId="69E09FE3" w14:textId="4FC8EBCE" w:rsidR="00646595" w:rsidRPr="007717F5" w:rsidRDefault="00646595">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Regulas (ES) Nr. 575/2013 429.c panta 6. punkts un 281. pants.</w:t>
            </w:r>
          </w:p>
          <w:p w14:paraId="69E09FE4" w14:textId="47F3D5AE" w:rsidR="00646595" w:rsidRPr="007717F5" w:rsidRDefault="00646595">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Šajā šūnā norāda Regulas (ES) Nr. 575/2013 II pielikuma 1. un 2. punktā uzskaitīto līgumu riska darījumu vērtības mēru, kas aprēķināts saskaņā ar vienkāršoto standartizēto pieeju, kura noteikta Regulas (ES) Nr. 575/2013 281. pantā, neņemot vērā nodrošinājuma ietekmi uz neto neatkarīgo nodrošinājumu.</w:t>
            </w:r>
            <w:r>
              <w:rPr>
                <w:color w:val="auto"/>
                <w:sz w:val="24"/>
                <w:rFonts w:ascii="Times New Roman" w:hAnsi="Times New Roman"/>
              </w:rPr>
              <w:t xml:space="preserve"> </w:t>
            </w:r>
            <w:r>
              <w:rPr>
                <w:color w:val="auto"/>
                <w:sz w:val="24"/>
                <w:rFonts w:ascii="Times New Roman" w:hAnsi="Times New Roman"/>
              </w:rPr>
              <w:t xml:space="preserve">Šo summu atklāj ar 1,4 alfa faktoru, ko piemēro, kā norādīts Regulas (ES) Nr. 575/2013 274. panta 2. punktā.</w:t>
            </w:r>
          </w:p>
          <w:p w14:paraId="69E09FE5" w14:textId="2F5BA025" w:rsidR="00646595" w:rsidRPr="007717F5" w:rsidRDefault="00646595">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Iestādes, kas piemēro vienkāršoto standartizēto pieeju, nesamazina kopējās riska darījumu vērtības mēru par drošības rezerves vērtību, kura saņemta saskaņā ar Regulas (ES) Nr. 575/2013 429.c panta 6. punktu.</w:t>
            </w:r>
            <w:r>
              <w:rPr>
                <w:color w:val="auto"/>
                <w:sz w:val="24"/>
                <w:rFonts w:ascii="Times New Roman" w:hAnsi="Times New Roman"/>
              </w:rPr>
              <w:t xml:space="preserve"> </w:t>
            </w:r>
            <w:r>
              <w:rPr>
                <w:color w:val="auto"/>
                <w:sz w:val="24"/>
                <w:rFonts w:ascii="Times New Roman" w:hAnsi="Times New Roman"/>
              </w:rPr>
              <w:t xml:space="preserve">Tādējādi izņēmumu attiecībā uz atvasināto instrumentu līgumiem ar klientiem, ja </w:t>
            </w:r>
            <w:r>
              <w:rPr>
                <w:color w:val="auto"/>
                <w:sz w:val="24"/>
                <w:i/>
                <w:rFonts w:ascii="Times New Roman" w:hAnsi="Times New Roman"/>
              </w:rPr>
              <w:t xml:space="preserve">QCCP</w:t>
            </w:r>
            <w:r>
              <w:rPr>
                <w:color w:val="auto"/>
                <w:sz w:val="24"/>
                <w:rFonts w:ascii="Times New Roman" w:hAnsi="Times New Roman"/>
              </w:rPr>
              <w:t xml:space="preserve"> ir veicis minēto līgumu tīrvērti saskaņā ar Regulas (ES) Nr. 575/2013 429.c panta 4. un 4.a punktu, nepiemēro.</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sz w:val="24"/>
                <w:rFonts w:ascii="Times New Roman" w:hAnsi="Times New Roman"/>
              </w:rPr>
              <w:t xml:space="preserve">Iestādes šajā šūnā neņem vērā līgumus, kas novērtēti, piemērojot </w:t>
            </w:r>
            <w:r>
              <w:rPr>
                <w:sz w:val="24"/>
                <w:i/>
                <w:rFonts w:ascii="Times New Roman" w:hAnsi="Times New Roman"/>
              </w:rPr>
              <w:t xml:space="preserve">SA-CCR</w:t>
            </w:r>
            <w:r>
              <w:rPr>
                <w:sz w:val="24"/>
                <w:rFonts w:ascii="Times New Roman" w:hAnsi="Times New Roman"/>
              </w:rPr>
              <w:t xml:space="preserve"> vai sākotnējās riska darījuma vērtības metodi.</w:t>
            </w:r>
            <w:r>
              <w:rPr>
                <w:sz w:val="24"/>
                <w:rFonts w:ascii="Times New Roman" w:hAnsi="Times New Roman"/>
              </w:rPr>
              <w:t xml:space="preserve">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Palielinājuma summas iespējamiem nākotnes riska darījumiem, kas saistīti ar </w:t>
            </w:r>
            <w:r>
              <w:rPr>
                <w:rStyle w:val="TeksttreciPogrubienie"/>
                <w:color w:val="auto"/>
                <w:sz w:val="24"/>
                <w:i/>
                <w:rFonts w:ascii="Times New Roman" w:hAnsi="Times New Roman"/>
              </w:rPr>
              <w:t xml:space="preserve">SA-CCR</w:t>
            </w:r>
            <w:r>
              <w:rPr>
                <w:rStyle w:val="TeksttreciPogrubienie"/>
                <w:color w:val="auto"/>
                <w:sz w:val="24"/>
                <w:rFonts w:ascii="Times New Roman" w:hAnsi="Times New Roman"/>
              </w:rPr>
              <w:t xml:space="preserve"> atvasināto instrumentu darījumiem</w:t>
            </w:r>
            <w:r>
              <w:rPr>
                <w:rStyle w:val="TeksttreciPogrubienie"/>
                <w:color w:val="auto"/>
                <w:sz w:val="24"/>
                <w:rFonts w:ascii="Times New Roman" w:hAnsi="Times New Roman"/>
              </w:rPr>
              <w:t xml:space="preserve"> </w:t>
            </w:r>
          </w:p>
          <w:p w14:paraId="69E09FEA" w14:textId="691B65F5" w:rsidR="00646595" w:rsidRPr="007717F5" w:rsidRDefault="00646595" w:rsidP="17C07D06">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274., 275., 295., 296., 297., 298. pants, 299. panta 2. punkts un 429.c pants.</w:t>
            </w:r>
          </w:p>
          <w:p w14:paraId="69E09FEB" w14:textId="2782791C"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palielinājumu iespējamam nākotnes riskam līgumos, kuri uzskaitīti Regulas (ES) Nr. 575/2013 II pielikumā, un kredītu atvasinātajiem instrumentiem, t. sk. tiem, kas ir ārpus bilances un aprēķināti saskaņā ar Regulas (ES) Nr. 575/2013 278. pantu līgumiem, kas uzskaitīti Regulas (ES) Nr. 575/2013 II pielikumā un Regulas (ES) Nr. 575/2013 299. panta 2. punktā kredītu atvasinātajiem instrumentiem, un kam piemēro savstarpēja ieskaita noteikumus saskaņā ar Regulas (ES) Nr. 575/2013 429.c panta 1. punktu.</w:t>
            </w:r>
            <w:r>
              <w:rPr>
                <w:sz w:val="24"/>
                <w:rFonts w:ascii="Times New Roman" w:hAnsi="Times New Roman"/>
              </w:rPr>
              <w:t xml:space="preserve"> </w:t>
            </w:r>
            <w:r>
              <w:rPr>
                <w:sz w:val="24"/>
                <w:rFonts w:ascii="Times New Roman" w:hAnsi="Times New Roman"/>
              </w:rPr>
              <w:t xml:space="preserve">Nosakot minēto līgumu riska darījuma vērtību, iestādes var ņemt vērā ietekmi, ko rada pārjaunojuma līgumi un citi savstarpējo prasījumu ieskaita līgumi saskaņā ar Regulas (ES) Nr. 575/2013 295. pantu.</w:t>
            </w:r>
            <w:r>
              <w:rPr>
                <w:sz w:val="24"/>
                <w:rFonts w:ascii="Times New Roman" w:hAnsi="Times New Roman"/>
              </w:rPr>
              <w:t xml:space="preserve"> </w:t>
            </w:r>
            <w:r>
              <w:rPr>
                <w:sz w:val="24"/>
                <w:rFonts w:ascii="Times New Roman" w:hAnsi="Times New Roman"/>
              </w:rPr>
              <w:t xml:space="preserve">Dažādu produktu savstarpējo prasījumu ieskaitu nepiemēro.</w:t>
            </w:r>
            <w:r>
              <w:rPr>
                <w:sz w:val="24"/>
                <w:rFonts w:ascii="Times New Roman" w:hAnsi="Times New Roman"/>
              </w:rPr>
              <w:t xml:space="preserve"> </w:t>
            </w:r>
            <w:r>
              <w:rPr>
                <w:sz w:val="24"/>
                <w:rFonts w:ascii="Times New Roman" w:hAnsi="Times New Roman"/>
              </w:rPr>
              <w:t xml:space="preserve">Tomēr iestādes var veikt neto ieskaitu Regulas (ES) Nr. 575/2013 272. panta 25. punkta c) apakšpunktā minēto produktu kategorijas ietvaros un kredītu atvasinātajiem instrumentiem, ja uz tiem attiecas dažādu produktu savstarpējo prasījumu līgumiskā ieskaita līgums, kā minēts Regulas (ES) Nr. 575/2013 295. panta c) apakšpunktā.</w:t>
            </w:r>
          </w:p>
          <w:p w14:paraId="69E09FEC" w14:textId="17F20015" w:rsidR="00646595" w:rsidRPr="007717F5" w:rsidRDefault="00646595">
            <w:pPr>
              <w:tabs>
                <w:tab w:val="left" w:pos="400"/>
              </w:tabs>
              <w:spacing w:after="120"/>
              <w:jc w:val="both"/>
              <w:rPr>
                <w:sz w:val="24"/>
                <w:rFonts w:ascii="Times New Roman" w:hAnsi="Times New Roman" w:cs="Times New Roman"/>
              </w:rPr>
            </w:pPr>
            <w:r>
              <w:rPr>
                <w:sz w:val="24"/>
                <w:rFonts w:ascii="Times New Roman" w:hAnsi="Times New Roman"/>
              </w:rPr>
              <w:t xml:space="preserve">Saskaņā ar Regulas (ES) Nr. 575/2013 429.c panta 5. punktu iestādes, aprēķinot iespējamo nākotnes riska darījumu saskaņā ar Regulas (ES) Nr. 575/2013 278. panta 1. punktu, nosaka, ka reizinātāja vērtība ir viens, izņemot atvasināto instrumentu līgumus ar klientiem, ja </w:t>
            </w:r>
            <w:r>
              <w:rPr>
                <w:sz w:val="24"/>
                <w:i/>
                <w:rFonts w:ascii="Times New Roman" w:hAnsi="Times New Roman"/>
              </w:rPr>
              <w:t xml:space="preserve">QCCP</w:t>
            </w:r>
            <w:r>
              <w:rPr>
                <w:sz w:val="24"/>
                <w:rFonts w:ascii="Times New Roman" w:hAnsi="Times New Roman"/>
              </w:rPr>
              <w:t xml:space="preserve"> ir veicis šo līgumu tīrvērti.</w:t>
            </w:r>
          </w:p>
          <w:p w14:paraId="69E09FED" w14:textId="39F9EFCF"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šajā šūnā neiekļauj līgumus, ko novērtē, piemērojot pieejas saskaņā ar Regulas (ES) Nr. 575/2013 429.c panta 6. punktu, t. i., pieejas, kas noteiktas minētās Regulas trešās daļas II sadaļas 6. nodaļas 4. vai 5. iedaļā (vienkāršotā </w:t>
            </w:r>
            <w:r>
              <w:rPr>
                <w:sz w:val="24"/>
                <w:i/>
                <w:rFonts w:ascii="Times New Roman" w:hAnsi="Times New Roman"/>
              </w:rPr>
              <w:t xml:space="preserve">SA-CCR</w:t>
            </w:r>
            <w:r>
              <w:rPr>
                <w:sz w:val="24"/>
                <w:rFonts w:ascii="Times New Roman" w:hAnsi="Times New Roman"/>
              </w:rPr>
              <w:t xml:space="preserve"> vai sākotnējās riska darījuma vērtības metode).</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Atkāpe attiecībā uz atvasinātajiem instrumentiem –</w:t>
            </w:r>
            <w:r>
              <w:rPr>
                <w:b/>
                <w:sz w:val="24"/>
                <w:rFonts w:ascii="Times New Roman" w:hAnsi="Times New Roman"/>
              </w:rPr>
              <w:t xml:space="preserve"> </w:t>
            </w:r>
            <w:r>
              <w:rPr>
                <w:b/>
                <w:sz w:val="24"/>
                <w:rFonts w:ascii="Times New Roman" w:hAnsi="Times New Roman"/>
              </w:rPr>
              <w:t xml:space="preserve">iespējamo nākotnes riska darījumu ieguldījums saskaņā ar vienkāršoto standartizēto pieeju</w:t>
            </w:r>
            <w:r>
              <w:rPr>
                <w:b/>
                <w:sz w:val="24"/>
                <w:rFonts w:ascii="Times New Roman" w:hAnsi="Times New Roman"/>
              </w:rPr>
              <w:t xml:space="preserve"> </w:t>
            </w:r>
          </w:p>
          <w:p w14:paraId="69E09FF1" w14:textId="4471AB4B" w:rsidR="00646595" w:rsidRPr="002B7F3A" w:rsidRDefault="00646595">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Regulas (ES) Nr. 575/2013 429.c panta 5. punkts.</w:t>
            </w:r>
          </w:p>
          <w:p w14:paraId="69E09FF2" w14:textId="463F7E91" w:rsidR="00646595" w:rsidRPr="007717F5" w:rsidRDefault="00646595">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Iespējamie nākotnes riska darījumi saskaņā ar Regulas (ES) Nr. 575/2013 281. pantā noteikto vienkāršoto standartizēto pieeju, pieņemot, ka reizinātājs ir 1.</w:t>
            </w:r>
            <w:r>
              <w:rPr>
                <w:color w:val="auto"/>
                <w:sz w:val="24"/>
                <w:rFonts w:ascii="Times New Roman" w:hAnsi="Times New Roman"/>
              </w:rPr>
              <w:t xml:space="preserve"> </w:t>
            </w:r>
            <w:r>
              <w:rPr>
                <w:color w:val="auto"/>
                <w:sz w:val="24"/>
                <w:rFonts w:ascii="Times New Roman" w:hAnsi="Times New Roman"/>
              </w:rPr>
              <w:t xml:space="preserve">Šo summu atklāj ar 1,4 alfa faktoru, ko piemēro, kā norādīts Regulas (ES) Nr. 575/2013 274. panta 2. punktā.</w:t>
            </w:r>
          </w:p>
          <w:p w14:paraId="69E09FF3" w14:textId="217CF7A8" w:rsidR="00646595" w:rsidRPr="007717F5" w:rsidRDefault="00646595" w:rsidP="17C07D06">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Iestādes, kas piemēro vienkāršoto standartizēto pieeju, nesamazina kopējās riska darījumu vērtības mēru par drošības rezerves vērtību, kura saņemta saskaņā ar Regulas (ES) Nr. 575/2013 429.c panta 6. punktu.</w:t>
            </w:r>
            <w:r>
              <w:rPr>
                <w:color w:val="auto"/>
                <w:sz w:val="24"/>
                <w:rFonts w:ascii="Times New Roman" w:hAnsi="Times New Roman"/>
              </w:rPr>
              <w:t xml:space="preserve"> </w:t>
            </w:r>
            <w:r>
              <w:rPr>
                <w:color w:val="auto"/>
                <w:sz w:val="24"/>
                <w:rFonts w:ascii="Times New Roman" w:hAnsi="Times New Roman"/>
              </w:rPr>
              <w:t xml:space="preserve">Tādējādi izņēmumu attiecībā uz atvasināto instrumentu līgumiem ar klientiem, ja </w:t>
            </w:r>
            <w:r>
              <w:rPr>
                <w:color w:val="auto"/>
                <w:sz w:val="24"/>
                <w:i/>
                <w:rFonts w:ascii="Times New Roman" w:hAnsi="Times New Roman"/>
              </w:rPr>
              <w:t xml:space="preserve">QCCP</w:t>
            </w:r>
            <w:r>
              <w:rPr>
                <w:color w:val="auto"/>
                <w:sz w:val="24"/>
                <w:rFonts w:ascii="Times New Roman" w:hAnsi="Times New Roman"/>
              </w:rPr>
              <w:t xml:space="preserve"> ir veicis minēto līgumu tīrvērti saskaņā ar Regulas (ES) Nr. 575/2013 429.c panta 5. punktu, nepiemēro.</w:t>
            </w:r>
          </w:p>
          <w:p w14:paraId="69E09FF4"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šajā šūnā neņem vērā līgumus, kas novērtēti, piemērojot </w:t>
            </w:r>
            <w:r>
              <w:rPr>
                <w:sz w:val="24"/>
                <w:i/>
                <w:rFonts w:ascii="Times New Roman" w:hAnsi="Times New Roman"/>
              </w:rPr>
              <w:t xml:space="preserve">SA-CCR</w:t>
            </w:r>
            <w:r>
              <w:rPr>
                <w:sz w:val="24"/>
                <w:rFonts w:ascii="Times New Roman" w:hAnsi="Times New Roman"/>
              </w:rPr>
              <w:t xml:space="preserve"> vai sākotnējās riska darījuma vērtības metodi.</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Riska darījumi, kas noteikti saskaņā ar sākotnējās riska darījuma vērtības metodi</w:t>
            </w:r>
          </w:p>
          <w:p w14:paraId="69E09FF8" w14:textId="52359AAF" w:rsidR="00646595" w:rsidRPr="007717F5" w:rsidRDefault="00646595" w:rsidP="007717F5">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429.c panta 6. punkts un trešās daļas II sadaļas 6. nodaļas 4. vai 5. iedaļa.</w:t>
            </w:r>
          </w:p>
          <w:p w14:paraId="69E09FF9" w14:textId="48B21326" w:rsidR="00646595" w:rsidRPr="007717F5" w:rsidRDefault="00646595" w:rsidP="007717F5">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Regulas (ES) Nr. 575/2013 II pielikuma 1. un 2. punktā uzskaitīto līgumu riska darījumu vērtības mēru, kas aprēķināts saskaņā ar sākotnējās riska darījuma vērtības metodi, kura noteikta Regulas (ES) Nr. 575/2013 trešās daļas II sadaļas 6. nodaļas 4. vai 5. iedaļā.</w:t>
            </w:r>
          </w:p>
          <w:p w14:paraId="69E09FFA" w14:textId="7295630E" w:rsidR="00646595" w:rsidRPr="007717F5" w:rsidRDefault="00646595" w:rsidP="007717F5">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kas piemēro sākotnējās riska darījuma vērtības metodi, nesamazina riska darījumu vērtības mēru par drošības rezerves vērtību, kuru tās saņēmušas saskaņā ar Regulas (ES) Nr. 575/2013 429.c panta 6. punktu.</w:t>
            </w:r>
          </w:p>
          <w:p w14:paraId="69E09FFB"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kas neizmanto sākotnējās riska darījuma vērtības metodi, neatklāj informāciju šajā šūnā.</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(Tirdzniecības riska darījumu, kam veikta klientu tīrvērte, sviras rādītājā neietvertā </w:t>
            </w:r>
            <w:r>
              <w:rPr>
                <w:rStyle w:val="TeksttreciPogrubienie"/>
                <w:color w:val="auto"/>
                <w:sz w:val="24"/>
                <w:i/>
                <w:rFonts w:ascii="Times New Roman" w:hAnsi="Times New Roman"/>
              </w:rPr>
              <w:t xml:space="preserve">CCP</w:t>
            </w:r>
            <w:r>
              <w:rPr>
                <w:rStyle w:val="TeksttreciPogrubienie"/>
                <w:color w:val="auto"/>
                <w:sz w:val="24"/>
                <w:rFonts w:ascii="Times New Roman" w:hAnsi="Times New Roman"/>
              </w:rPr>
              <w:t xml:space="preserve"> daļa) (</w:t>
            </w:r>
            <w:r>
              <w:rPr>
                <w:rStyle w:val="TeksttreciPogrubienie"/>
                <w:color w:val="auto"/>
                <w:sz w:val="24"/>
                <w:i/>
                <w:rFonts w:ascii="Times New Roman" w:hAnsi="Times New Roman"/>
              </w:rPr>
              <w:t xml:space="preserve">SA-CCR</w:t>
            </w:r>
            <w:r>
              <w:rPr>
                <w:rStyle w:val="TeksttreciPogrubienie"/>
                <w:color w:val="auto"/>
                <w:sz w:val="24"/>
                <w:rFonts w:ascii="Times New Roman" w:hAnsi="Times New Roman"/>
              </w:rPr>
              <w:t xml:space="preserve">)</w:t>
            </w:r>
          </w:p>
          <w:p w14:paraId="69E09FFF" w14:textId="4BB45851" w:rsidR="00646595" w:rsidRPr="007717F5" w:rsidRDefault="00646595" w:rsidP="007717F5">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Regulas (ES) Nr. 575/2013 429.a panta 1. punkta g) un h) apakšpunkts.</w:t>
            </w:r>
          </w:p>
          <w:p w14:paraId="69E0A000" w14:textId="369087A0" w:rsidR="00646595" w:rsidRPr="007717F5" w:rsidRDefault="00646595" w:rsidP="007717F5">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no prasības atbrīvotos tirdzniecības riska darījumus ar </w:t>
            </w:r>
            <w:r>
              <w:rPr>
                <w:sz w:val="24"/>
                <w:i/>
                <w:rFonts w:ascii="Times New Roman" w:hAnsi="Times New Roman"/>
              </w:rPr>
              <w:t xml:space="preserve">QCCP</w:t>
            </w:r>
            <w:r>
              <w:rPr>
                <w:sz w:val="24"/>
                <w:rFonts w:ascii="Times New Roman" w:hAnsi="Times New Roman"/>
              </w:rPr>
              <w:t xml:space="preserve"> no atvasināto instrumentu darījumiem, kam veikta klientu tīrvērte (</w:t>
            </w:r>
            <w:r>
              <w:rPr>
                <w:sz w:val="24"/>
                <w:i/>
                <w:rFonts w:ascii="Times New Roman" w:hAnsi="Times New Roman"/>
              </w:rPr>
              <w:t xml:space="preserve">SA-CCR</w:t>
            </w:r>
            <w:r>
              <w:rPr>
                <w:sz w:val="24"/>
                <w:rFonts w:ascii="Times New Roman" w:hAnsi="Times New Roman"/>
              </w:rPr>
              <w:t xml:space="preserve">), ar nosacījumu, ka minētie posteņi atbilst nosacījumiem, kuri noteikti Regulas (ES) Nr. 575/2013 306. panta 1. punkta c) apakšpunktā.</w:t>
            </w:r>
          </w:p>
          <w:p w14:paraId="69E0A001"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šādi samazinās kopējās riska darījumu vērtības mērs, iestādes vērtību šajā šūnā ieliek iekavās (negatīva summa).</w:t>
            </w:r>
          </w:p>
          <w:p w14:paraId="69E0A002"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Atklātā summa ir arī jāietver piemērojamajās šūnās iepriekš, it kā tai netiktu piemērots atbrīvojums.</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(Tirdzniecības riska darījumu, kam veikta klientu tīrvērte, sviras rādītājā neietvertā </w:t>
            </w:r>
            <w:r>
              <w:rPr>
                <w:b/>
                <w:sz w:val="24"/>
                <w:i/>
                <w:rFonts w:ascii="Times New Roman" w:hAnsi="Times New Roman"/>
              </w:rPr>
              <w:t xml:space="preserve">CCP</w:t>
            </w:r>
            <w:r>
              <w:rPr>
                <w:b/>
                <w:sz w:val="24"/>
                <w:rFonts w:ascii="Times New Roman" w:hAnsi="Times New Roman"/>
              </w:rPr>
              <w:t xml:space="preserve"> daļa) (vienkāršotā standartizētā pieeja)</w:t>
            </w:r>
          </w:p>
          <w:p w14:paraId="69E0A006" w14:textId="322385C0" w:rsidR="00646595" w:rsidRPr="007717F5" w:rsidRDefault="00646595" w:rsidP="17C07D06">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 </w:t>
            </w:r>
            <w:r>
              <w:rPr>
                <w:color w:val="auto"/>
                <w:sz w:val="24"/>
                <w:rFonts w:ascii="Times New Roman" w:hAnsi="Times New Roman"/>
              </w:rPr>
              <w:t xml:space="preserve">Regulas (ES) Nr. 575/2013 429.a panta 1. punkta g) un h) apakšpunkts.</w:t>
            </w:r>
          </w:p>
          <w:p w14:paraId="69E0A007" w14:textId="13BB69D5" w:rsidR="00646595" w:rsidRPr="007717F5" w:rsidRDefault="00646595" w:rsidP="17C07D06">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Iestādes atklāj no prasības atbrīvotos tirdzniecības riska darījumus ar </w:t>
            </w:r>
            <w:r>
              <w:rPr>
                <w:color w:val="auto"/>
                <w:sz w:val="24"/>
                <w:i/>
                <w:rFonts w:ascii="Times New Roman" w:hAnsi="Times New Roman"/>
              </w:rPr>
              <w:t xml:space="preserve">QCCP</w:t>
            </w:r>
            <w:r>
              <w:rPr>
                <w:color w:val="auto"/>
                <w:sz w:val="24"/>
                <w:rFonts w:ascii="Times New Roman" w:hAnsi="Times New Roman"/>
              </w:rPr>
              <w:t xml:space="preserve"> no atvasināto instrumentu darījumiem, kam veikta klientu tīrvērte (vienkāršotā standartizētā pieeja), ar nosacījumu, ka minētie posteņi atbilst nosacījumiem, kuri noteikti Regulas (ES) Nr. 575/2013 306. panta 1. punkta c) apakšpunktā.</w:t>
            </w:r>
            <w:r>
              <w:rPr>
                <w:color w:val="auto"/>
                <w:sz w:val="24"/>
                <w:rFonts w:ascii="Times New Roman" w:hAnsi="Times New Roman"/>
              </w:rPr>
              <w:t xml:space="preserve"> </w:t>
            </w:r>
            <w:r>
              <w:rPr>
                <w:color w:val="auto"/>
                <w:sz w:val="24"/>
                <w:rFonts w:ascii="Times New Roman" w:hAnsi="Times New Roman"/>
              </w:rPr>
              <w:t xml:space="preserve">Šo summu atklāj ar 1,4 alfa faktoru, ko piemēro, kā norādīts Regulas (ES) Nr. 575/2013 274. panta 2. punktā (negatīva summa).</w:t>
            </w:r>
          </w:p>
          <w:p w14:paraId="69E0A008" w14:textId="77777777" w:rsidR="00646595" w:rsidRPr="007717F5" w:rsidRDefault="00646595" w:rsidP="00E9371F">
            <w:pPr>
              <w:pStyle w:val="BodyText1"/>
              <w:spacing w:line="240" w:lineRule="auto"/>
              <w:rPr>
                <w:rStyle w:val="TeksttreciPogrubienie"/>
                <w:color w:val="auto"/>
                <w:sz w:val="24"/>
                <w:szCs w:val="24"/>
                <w:rFonts w:ascii="Times New Roman" w:hAnsi="Times New Roman" w:cs="Times New Roman"/>
              </w:rPr>
            </w:pPr>
            <w:r>
              <w:rPr>
                <w:color w:val="auto"/>
                <w:sz w:val="24"/>
                <w:rFonts w:ascii="Times New Roman" w:hAnsi="Times New Roman"/>
              </w:rPr>
              <w:t xml:space="preserve">Atklātā summa ir jāietver arī piemērojamajās šūnās iepriekš, it kā tai netiktu piemērots atbrīvojums.</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Style w:val="TeksttreciPogrubienie"/>
                <w:color w:val="auto"/>
                <w:rFonts w:ascii="Times New Roman" w:hAnsi="Times New Roman"/>
              </w:rPr>
              <w:t xml:space="preserve">(Tirdzniecības riska darījumu, kam veikta klientu tīrvērte, sviras rādītājā neietvertā </w:t>
            </w:r>
            <w:r>
              <w:rPr>
                <w:sz w:val="24"/>
                <w:rStyle w:val="TeksttreciPogrubienie"/>
                <w:color w:val="auto"/>
                <w:i/>
                <w:rFonts w:ascii="Times New Roman" w:hAnsi="Times New Roman"/>
              </w:rPr>
              <w:t xml:space="preserve">CCP</w:t>
            </w:r>
            <w:r>
              <w:rPr>
                <w:sz w:val="24"/>
                <w:rStyle w:val="TeksttreciPogrubienie"/>
                <w:color w:val="auto"/>
                <w:rFonts w:ascii="Times New Roman" w:hAnsi="Times New Roman"/>
              </w:rPr>
              <w:t xml:space="preserve"> daļa) (sākotnējās riska darījuma vērtības metode)</w:t>
            </w:r>
          </w:p>
          <w:p w14:paraId="69E0A00C" w14:textId="4F0251E1" w:rsidR="00646595" w:rsidRPr="007717F5" w:rsidRDefault="00646595" w:rsidP="007717F5">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429.a panta 1. punkta g) un h) apakšpunkts.</w:t>
            </w:r>
          </w:p>
          <w:p w14:paraId="69E0A00D" w14:textId="14E9E625" w:rsidR="00646595" w:rsidRPr="007717F5" w:rsidRDefault="00646595" w:rsidP="007717F5">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no prasības atbrīvotos tirdzniecības riska darījumus ar </w:t>
            </w:r>
            <w:r>
              <w:rPr>
                <w:sz w:val="24"/>
                <w:i/>
                <w:rFonts w:ascii="Times New Roman" w:hAnsi="Times New Roman"/>
              </w:rPr>
              <w:t xml:space="preserve">QCCP</w:t>
            </w:r>
            <w:r>
              <w:rPr>
                <w:sz w:val="24"/>
                <w:rFonts w:ascii="Times New Roman" w:hAnsi="Times New Roman"/>
              </w:rPr>
              <w:t xml:space="preserve"> no atvasināto instrumentu darījumiem, kam veikta klientu tīrvērte (sākotnējās riska darījuma vērtības metode), ar nosacījumu, ka minētie posteņi atbilst nosacījumiem, kuri noteikti Regulas (ES) Nr. 575/2013 306. panta 1. punkta c) apakšpunktā.</w:t>
            </w:r>
          </w:p>
          <w:p w14:paraId="69E0A00E"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šādi samazinās kopējās riska darījumu vērtības mērs, iestādes vērtību šajā šūnā ieliek iekavās (negatīva summa).</w:t>
            </w:r>
          </w:p>
          <w:p w14:paraId="69E0A00F"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Atklātā summa ir jāietver arī piemērojamajās šūnās iepriekš, it kā tai netiktu piemērots atbrīvojums.</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Pārdoto kredītu atvasināto instrumentu koriģētā efektīvā nosacītā summa</w:t>
            </w:r>
          </w:p>
          <w:p w14:paraId="69E0A013" w14:textId="6C2ECC9D" w:rsidR="00646595" w:rsidRPr="002B7F3A" w:rsidRDefault="00646595" w:rsidP="007717F5">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429.d pants.</w:t>
            </w:r>
          </w:p>
          <w:p w14:paraId="69E0A014" w14:textId="5A6CA58F" w:rsidR="00646595" w:rsidRPr="007717F5" w:rsidRDefault="00646595" w:rsidP="007717F5">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pārdoto kredītu atvasināto instrumentu maksimālo nosacīto vērtību (t. i., ja iestāde sniedz kredītaizsardzību darījumu partnerim), kā noteikts Regulas (ES) Nr. 575/2013 429.d pantā.</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(Koriģētie efektīvie nosacītie izlīdzinājumi un palielinājumu atskaitījumi attiecībā uz pārdotajiem kredītu atvasinātajiem instrumentiem)</w:t>
            </w:r>
          </w:p>
          <w:p w14:paraId="69E0A018" w14:textId="151848FA" w:rsidR="00646595" w:rsidRPr="002B7F3A" w:rsidRDefault="00646595" w:rsidP="007717F5">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429.d pants.</w:t>
            </w:r>
          </w:p>
          <w:p w14:paraId="69E0A019"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nopirkto kredītu atvasināto instrumentu maksimālo nosacīto vērtību (t. i., ja iestāde pērk kredītaizsardzību no darījumu partnera) par tiem pašiem atsauces nosaukumiem kā kredītu atvasinātie instrumenti, kurus ir pārdevusi iestāde, ja nopirktās aizsardzības atlikušais termiņš ir vienāds vai lielāks par pārdotās aizsardzības atlikušo termiņu.</w:t>
            </w:r>
            <w:r>
              <w:rPr>
                <w:sz w:val="24"/>
                <w:rFonts w:ascii="Times New Roman" w:hAnsi="Times New Roman"/>
              </w:rPr>
              <w:t xml:space="preserve"> </w:t>
            </w:r>
            <w:r>
              <w:rPr>
                <w:sz w:val="24"/>
                <w:rFonts w:ascii="Times New Roman" w:hAnsi="Times New Roman"/>
              </w:rPr>
              <w:t xml:space="preserve">Līdz ar to vērtība nepārsniedz vērtību, kas katram atsauces nosaukumam ierakstīta veidnes EU LR2-LRCom 11. rindā.</w:t>
            </w:r>
          </w:p>
          <w:p w14:paraId="69E0A01A"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atklātā summa samazina kopējās riska darījumu vērtības mēru, iestādes vērtību šajā šūnā ieliek iekavās (negatīva summa).</w:t>
            </w:r>
          </w:p>
          <w:p w14:paraId="69E0A01B"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Atklātā summa ir jāietver arī iepriekšējā šūnā, it kā tai netiktu piemērota korekcija.</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Kopējie atvasināto instrumentu riska darījumi</w:t>
            </w:r>
            <w:r>
              <w:rPr>
                <w:rStyle w:val="TeksttreciPogrubienie"/>
                <w:color w:val="auto"/>
                <w:sz w:val="24"/>
                <w:rFonts w:ascii="Times New Roman" w:hAnsi="Times New Roman"/>
              </w:rPr>
              <w:t xml:space="preserve"> </w:t>
            </w:r>
          </w:p>
          <w:p w14:paraId="69E0A01F" w14:textId="77777777" w:rsidR="00646595" w:rsidRPr="007717F5" w:rsidRDefault="00646595" w:rsidP="00E9371F">
            <w:pPr>
              <w:pStyle w:val="Teksttreci0"/>
              <w:shd w:val="clear" w:color="auto" w:fill="auto"/>
              <w:spacing w:after="120" w:line="240" w:lineRule="auto"/>
              <w:ind w:firstLine="0"/>
              <w:rPr>
                <w:b/>
                <w:sz w:val="24"/>
                <w:szCs w:val="24"/>
                <w:rFonts w:ascii="Times New Roman" w:hAnsi="Times New Roman" w:cs="Times New Roman"/>
              </w:rPr>
            </w:pPr>
            <w:r>
              <w:rPr>
                <w:rStyle w:val="TeksttreciPogrubienie"/>
                <w:color w:val="auto"/>
                <w:sz w:val="24"/>
                <w:rFonts w:ascii="Times New Roman" w:hAnsi="Times New Roman"/>
              </w:rPr>
              <w:t xml:space="preserve">8.–12. rindas summa</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Bruto VFD aktīvi (bez ieskaita atzīšanas) pēc korekcijām attiecībā uz tirdzniecības uzskaites darījumiem</w:t>
            </w:r>
          </w:p>
          <w:p w14:paraId="69E0A023" w14:textId="23E59DDC" w:rsidR="00646595" w:rsidRPr="007717F5" w:rsidRDefault="00646595" w:rsidP="007717F5">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 panta 1. punkta 77. apakšpunkts, 206. pants un 429.e panta 6. punkts.</w:t>
            </w:r>
          </w:p>
          <w:p w14:paraId="69E0A024" w14:textId="3AE5D358"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to VFD grāmatvedības bilances vērtību saskaņā ar piemērojamo grāmatvedības regulējumu, kuriem gan piemēro, gan nepiemēro savstarpējo prasījumu ieskaita jumta līgumu saskaņā ar Regulas (ES) Nr. 575/2013 206. pantu, ja līgumus atzīst kā aktīvus bilancē, pieņemot, ka nav prudenciāla vai grāmatvedības savstarpējo prasījumu ieskaita vai riska mazināšanas ietekmes (proti, grāmatvedības bilances vērtība koriģēta, ņemot vērā grāmatvedības savstarpējo prasījumu ieskaita vai riska mazināšanas ietekmi).</w:t>
            </w:r>
          </w:p>
          <w:p w14:paraId="69E0A025" w14:textId="1DE9A951"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Turklāt, ja tirdzniecības uzskaiti attiecībā uz VFD veic saskaņā ar piemērojamo grāmatvedības regulējumu, iestādes apvērš visus ar tirdzniecību saistītos uzskaites ierakstus saskaņā ar Regulas (ES) Nr. 575/2013 429.e panta 6. punktu.</w:t>
            </w:r>
          </w:p>
          <w:p w14:paraId="69E0A026"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Šajā šūnā iestādes neiekļauj saņemto naudu vai jebkādu nodrošinājumu, kas sniegts darījuma partnerim, izmantojot iepriekš minētos darījumus, un paturēts bilancē (proti, nav izpildīti grāmatvedības kritēriji par atzīšanas pārtraukšanu).</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t xml:space="preserve">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(Bruto VFD aktīvu maksājamās naudas un saņemamās naudas savstarpējā ieskaita summas)</w:t>
            </w:r>
          </w:p>
          <w:p w14:paraId="69E0A02A" w14:textId="22AD135E"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 panta 1. punkta 77. apakšpunkts, 206. pants, 429.b panta 1. punkta b) apakšpunkts, 429.b panta 4. punkts un 429.e panta 6. punkts.</w:t>
            </w:r>
          </w:p>
          <w:p w14:paraId="69E0A02B" w14:textId="64CCCFCB"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bruto VFD aktīvu maksājamo naudas summu, kam veikts savstarpējs ieskaits saskaņā ar Regulas (ES) Nr. 575/2013 429b. panta 4. punktu.</w:t>
            </w:r>
          </w:p>
          <w:p w14:paraId="69E0A02C"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šī korekcija samazina kopējās riska darījumu vērtības mēru, iestādes šo vērtību šajā rindā norāda iekavās (negatīva summa).</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Darījuma partnera kredītriska darījumi attiecībā uz VFD aktīviem</w:t>
            </w:r>
          </w:p>
          <w:p w14:paraId="69E0A030" w14:textId="204C8600" w:rsidR="00646595" w:rsidRPr="002B7F3A" w:rsidRDefault="00646595" w:rsidP="17C07D06">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429.e. panta 1. punkts.</w:t>
            </w:r>
          </w:p>
          <w:p w14:paraId="69E0A031" w14:textId="32BD6D04"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darījuma partnera kredītriska palielinājumu attiecībā uz VFD (arī tiem, kas ir ārpusbilances posteņi), kas attiecīgā gadījumā noteikti saskaņā ar Regulas (ES) Nr. 575/2013 429.e panta 2. vai 3. punktu.</w:t>
            </w:r>
          </w:p>
          <w:p w14:paraId="69E0A032" w14:textId="6FDEDAD3"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šajā šūnā ietver darījumus saskaņā ar Regulas (ES) Nr. 575/2013 429.e panta 7. punkta c) apakšpunktu.</w:t>
            </w:r>
          </w:p>
          <w:p w14:paraId="69E0A033" w14:textId="182A884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šajā šūnā neietver starpnieka VFD, ja iestāde sniedz klientam vai darījumu partnerim kompensācijas garantiju vai saistību izpildes garantiju, kura nepārsniedz starpību starp klienta aizdotā vērtspapīra vai naudas vērtību un aizņēmēja sniegtā nodrošinājuma vērtību saskaņā ar Regulas (ES) Nr. 575/2013 429.e panta 7. punkta a) apakšpunktu.</w:t>
            </w:r>
            <w:r>
              <w:rPr>
                <w:sz w:val="24"/>
                <w:rFonts w:ascii="Times New Roman" w:hAnsi="Times New Roman"/>
              </w:rPr>
              <w:t xml:space="preserve">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Style w:val="TeksttreciPogrubienie"/>
                <w:color w:val="auto"/>
                <w:rFonts w:ascii="Times New Roman" w:hAnsi="Times New Roman"/>
              </w:rPr>
              <w:t xml:space="preserve">Atkāpe attiecībā uz VFD –</w:t>
            </w:r>
            <w:r>
              <w:rPr>
                <w:sz w:val="24"/>
                <w:rStyle w:val="TeksttreciPogrubienie"/>
                <w:color w:val="auto"/>
                <w:rFonts w:ascii="Times New Roman" w:hAnsi="Times New Roman"/>
              </w:rPr>
              <w:t xml:space="preserve"> </w:t>
            </w:r>
            <w:r>
              <w:rPr>
                <w:sz w:val="24"/>
                <w:rStyle w:val="TeksttreciPogrubienie"/>
                <w:color w:val="auto"/>
                <w:rFonts w:ascii="Times New Roman" w:hAnsi="Times New Roman"/>
              </w:rPr>
              <w:t xml:space="preserve">darījuma partnera kredītriska darījumi saskaņā ar </w:t>
            </w:r>
            <w:r>
              <w:rPr>
                <w:sz w:val="24"/>
                <w:rStyle w:val="TeksttreciPogrubienie"/>
                <w:color w:val="auto"/>
                <w:i/>
                <w:rFonts w:ascii="Times New Roman" w:hAnsi="Times New Roman"/>
              </w:rPr>
              <w:t xml:space="preserve">CRR</w:t>
            </w:r>
            <w:r>
              <w:rPr>
                <w:sz w:val="24"/>
                <w:rStyle w:val="TeksttreciPogrubienie"/>
                <w:color w:val="auto"/>
                <w:rFonts w:ascii="Times New Roman" w:hAnsi="Times New Roman"/>
              </w:rPr>
              <w:t xml:space="preserve"> 429.e panta 5. punktu un 222. pantu</w:t>
            </w:r>
            <w:r>
              <w:rPr>
                <w:sz w:val="24"/>
                <w:rFonts w:ascii="Times New Roman" w:hAnsi="Times New Roman"/>
              </w:rPr>
              <w:t xml:space="preserve"> </w:t>
            </w:r>
          </w:p>
          <w:p w14:paraId="69E0A037" w14:textId="32BACA49" w:rsidR="00646595" w:rsidRPr="007717F5" w:rsidRDefault="00646595" w:rsidP="17C07D06">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429.e panta 5. punkts un 222. pants.</w:t>
            </w:r>
          </w:p>
          <w:p w14:paraId="69E0A038" w14:textId="42EF18BA"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palielinājumu VFD (arī tiem, kas ir ārpusbilances posteņi), kas aprēķināts saskaņā ar Regulas (ES) Nr. 575/2013 222. pantu, piemērojamai riska pakāpei nosakot 20 % minimālo robežvērtību.</w:t>
            </w:r>
          </w:p>
          <w:p w14:paraId="69E0A039" w14:textId="699478FA"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iekļauj šajā šūnā darījumus saskaņā ar Regulas (ES) Nr. 575/2013 429.e panta 7. punkta c) apakšpunktu.</w:t>
            </w:r>
          </w:p>
          <w:p w14:paraId="69E0A03A" w14:textId="7FF1EDC0"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šajā šūnā iestādes neiekļauj darījumus, kuriem palielinājuma daļa sviras rādītāja riska darījuma vērtībā ir noteikta saskaņā ar Regulas (ES) Nr. 575/2013 429.e panta 1. punktā definēto metodi.</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Starpnieka darījumu riska darījumi</w:t>
            </w:r>
          </w:p>
          <w:p w14:paraId="69E0A03E" w14:textId="6340DC81" w:rsidR="00646595" w:rsidRPr="007717F5" w:rsidRDefault="00646595" w:rsidP="5E9D3914">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429.e panta 2. un 3. punkts un 429.e panta 7. punkta a) apakšpunkts.</w:t>
            </w:r>
          </w:p>
          <w:p w14:paraId="69E0A03F" w14:textId="055A1A32"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uzrāda starpnieka VFD riska darījumu vērtību, ja iestāde sniedz klientam vai darījumu partnerim kompensācijas garantiju vai saistību izpildes garantiju, kura nepārsniedz starpību starp klienta aizdotā vērtspapīra vai naudas vērtību un aizņēmēja sniegtā nodrošinājuma vērtību saskaņā ar Regulas (ES) Nr. 575/2013 429.e panta 7. punkta a) apakšpunktu.</w:t>
            </w:r>
            <w:r>
              <w:rPr>
                <w:sz w:val="24"/>
                <w:rFonts w:ascii="Times New Roman" w:hAnsi="Times New Roman"/>
              </w:rPr>
              <w:t xml:space="preserve"> </w:t>
            </w:r>
            <w:r>
              <w:rPr>
                <w:sz w:val="24"/>
                <w:rFonts w:ascii="Times New Roman" w:hAnsi="Times New Roman"/>
              </w:rPr>
              <w:t xml:space="preserve">Riska darījumu vērtību veido tikai papildinājums, kas noteikts attiecīgi saskaņā ar Regulas (ES) Nr. 575/2013 429.e panta 2. vai 3. punktu.</w:t>
            </w:r>
          </w:p>
          <w:p w14:paraId="69E0A040" w14:textId="127A7C2E"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neiekļauj šajā šūnā darījumus saskaņā ar Regulas (ES) Nr. 575/2013 429.e panta 7. punkta c) apakšpunktu.</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(VFD, kam veikta klientu tīrvērte, sviras rādītājā neietvertā </w:t>
            </w:r>
            <w:r>
              <w:rPr>
                <w:rStyle w:val="TeksttreciPogrubienie"/>
                <w:color w:val="auto"/>
                <w:sz w:val="24"/>
                <w:i/>
                <w:rFonts w:ascii="Times New Roman" w:hAnsi="Times New Roman"/>
              </w:rPr>
              <w:t xml:space="preserve">CCP</w:t>
            </w:r>
            <w:r>
              <w:rPr>
                <w:rStyle w:val="TeksttreciPogrubienie"/>
                <w:color w:val="auto"/>
                <w:sz w:val="24"/>
                <w:rFonts w:ascii="Times New Roman" w:hAnsi="Times New Roman"/>
              </w:rPr>
              <w:t xml:space="preserve"> daļa)</w:t>
            </w:r>
          </w:p>
          <w:p w14:paraId="69E0A044" w14:textId="17A7EC1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429.a panta 1. punkta g) un h) apakšpunkts un 306. panta 1. punkta c) apakšpunkts.</w:t>
            </w:r>
            <w:r>
              <w:rPr>
                <w:sz w:val="24"/>
                <w:rFonts w:ascii="Times New Roman" w:hAnsi="Times New Roman"/>
              </w:rPr>
              <w:t xml:space="preserve"> </w:t>
            </w:r>
          </w:p>
          <w:p w14:paraId="69E0A045" w14:textId="757CDB78"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sviras rādītājā neietvertās </w:t>
            </w:r>
            <w:r>
              <w:rPr>
                <w:sz w:val="24"/>
                <w:i/>
                <w:rFonts w:ascii="Times New Roman" w:hAnsi="Times New Roman"/>
              </w:rPr>
              <w:t xml:space="preserve">CCP</w:t>
            </w:r>
            <w:r>
              <w:rPr>
                <w:sz w:val="24"/>
                <w:rFonts w:ascii="Times New Roman" w:hAnsi="Times New Roman"/>
              </w:rPr>
              <w:t xml:space="preserve"> daļas attiecībā uz VFD tirdzniecības riska darījumiem, kam veikta klientu tīrvērte, ja minētie posteņi atbilst Regulas (ES) Nr. 575/2013 306. panta 1. punkta c) apakšpunktā noteiktajiem nosacījumiem.</w:t>
            </w:r>
          </w:p>
          <w:p w14:paraId="69E0A046" w14:textId="51FC9150"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Ja neietvertā</w:t>
            </w:r>
            <w:r>
              <w:rPr>
                <w:sz w:val="24"/>
                <w:i/>
                <w:rFonts w:ascii="Times New Roman" w:hAnsi="Times New Roman"/>
              </w:rPr>
              <w:t xml:space="preserve"> CCP</w:t>
            </w:r>
            <w:r>
              <w:rPr>
                <w:sz w:val="24"/>
                <w:rFonts w:ascii="Times New Roman" w:hAnsi="Times New Roman"/>
              </w:rPr>
              <w:t xml:space="preserve"> daļa ir nodrošinājums, to neiekļauj šajā šūnā, ja vien tas nav pārķīlāts nodrošinājums, kas saskaņā ar piemērojamo grāmatvedības regulējumu (t. i., saskaņā ar Regulas (ES) Nr. 575/2013 111. panta 1. punkta pirmo teikumu) ir iekļauts pilnā vērtībā.</w:t>
            </w:r>
          </w:p>
          <w:p w14:paraId="69E0A047"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šī korekcija samazina kopējās riska darījumu vērtības mēru, iestādes šo vērtību šajā rindā norāda iekavās (negatīva summa).</w:t>
            </w:r>
          </w:p>
          <w:p w14:paraId="69E0A048"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Atklātā summa ir jāietver arī piemērojamajās šūnās iepriekš, it kā tai netiktu piemērots atbrīvojums.</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Kopējie vērtspapīru finansēšanas darījumu riska darījumi</w:t>
            </w:r>
          </w:p>
          <w:p w14:paraId="69E0A04C" w14:textId="77777777" w:rsidR="00646595" w:rsidRPr="007717F5" w:rsidRDefault="00646595" w:rsidP="00E9371F">
            <w:pPr>
              <w:pStyle w:val="Teksttreci0"/>
              <w:shd w:val="clear" w:color="auto" w:fill="auto"/>
              <w:spacing w:after="120" w:line="240" w:lineRule="auto"/>
              <w:ind w:firstLine="0"/>
              <w:rPr>
                <w:b/>
                <w:sz w:val="24"/>
                <w:szCs w:val="24"/>
                <w:rFonts w:ascii="Times New Roman" w:hAnsi="Times New Roman" w:cs="Times New Roman"/>
              </w:rPr>
            </w:pPr>
            <w:r>
              <w:rPr>
                <w:rStyle w:val="TeksttreciPogrubienie"/>
                <w:color w:val="auto"/>
                <w:sz w:val="24"/>
                <w:rFonts w:ascii="Times New Roman" w:hAnsi="Times New Roman"/>
              </w:rPr>
              <w:t xml:space="preserve">14. līdz EU-17.a rindas summa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Ārpusbilances posteņu riska darījumu bruto nosacītā summa</w:t>
            </w:r>
          </w:p>
          <w:p w14:paraId="69E0A050" w14:textId="615F9AAE"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429.f pants.</w:t>
            </w:r>
          </w:p>
          <w:p w14:paraId="69E0A051" w14:textId="2BBDDF4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visu ārpusbilances posteņu nosacīto summu, kā definēts Regulas (ES) Nr. 575/2013 429.f pantā, pirms jebkādām korekcijām attiecībā uz korekcijas pakāpēm un specifiskajām kredītriska korekcijām.</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(Kredītekvivalenta summu pārrēķinam piemērotās korekcijas)</w:t>
            </w:r>
          </w:p>
          <w:p w14:paraId="69E0A055" w14:textId="2E2B6702"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429.f pants.</w:t>
            </w:r>
          </w:p>
          <w:p w14:paraId="69E0A056"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Ārpusbilances posteņu riska darījumu bruto summas samazinājums kredīta korekcijas pakāpes (</w:t>
            </w:r>
            <w:r>
              <w:rPr>
                <w:sz w:val="24"/>
                <w:i/>
                <w:rFonts w:ascii="Times New Roman" w:hAnsi="Times New Roman"/>
              </w:rPr>
              <w:t xml:space="preserve">CCF</w:t>
            </w:r>
            <w:r>
              <w:rPr>
                <w:sz w:val="24"/>
                <w:rFonts w:ascii="Times New Roman" w:hAnsi="Times New Roman"/>
              </w:rPr>
              <w:t xml:space="preserve">) piemērošanas dēļ.</w:t>
            </w:r>
            <w:r>
              <w:rPr>
                <w:sz w:val="24"/>
                <w:rFonts w:ascii="Times New Roman" w:hAnsi="Times New Roman"/>
              </w:rPr>
              <w:t xml:space="preserve"> </w:t>
            </w:r>
            <w:r>
              <w:rPr>
                <w:sz w:val="24"/>
                <w:rFonts w:ascii="Times New Roman" w:hAnsi="Times New Roman"/>
              </w:rPr>
              <w:t xml:space="preserve">Tā kā šādi tiek samazināts kopējās riska darījumu vērtības mērs, šajā rindā atklātā vērtība negatīvi atspoguļojas tās summas aprēķinā, kura jāatklāj veidnes EU LR2-LRCom 22. rindā.</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(Vispārējie uzkrājumi, ko atskaita, nosakot pirmā līmeņa kapitālu, un speciālie uzkrājumi, kas saistīti ar ārpusbilances riska darījumiem)</w:t>
            </w:r>
          </w:p>
          <w:p w14:paraId="69E0A05A" w14:textId="521B84C1"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429. panta 4. punkts un 429.f panta 1. un 2. punkts.</w:t>
            </w:r>
          </w:p>
          <w:p w14:paraId="69E0A05B"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var samazināt ārpusbilances posteņa kredītriska ekvivalento summu par atbilstošo vispārējo kredītriska korekciju summu, ko atskaita no pirmā līmeņa kapitāla.</w:t>
            </w:r>
            <w:r>
              <w:rPr>
                <w:sz w:val="24"/>
                <w:rFonts w:ascii="Times New Roman" w:hAnsi="Times New Roman"/>
              </w:rPr>
              <w:t xml:space="preserve"> </w:t>
            </w:r>
            <w:r>
              <w:rPr>
                <w:sz w:val="24"/>
                <w:rFonts w:ascii="Times New Roman" w:hAnsi="Times New Roman"/>
              </w:rPr>
              <w:t xml:space="preserve">Aprēķinam piemēro nulles minimumu.</w:t>
            </w:r>
            <w:r>
              <w:rPr>
                <w:sz w:val="24"/>
                <w:rFonts w:ascii="Times New Roman" w:hAnsi="Times New Roman"/>
              </w:rPr>
              <w:t xml:space="preserve"> </w:t>
            </w:r>
          </w:p>
          <w:p w14:paraId="69E0A05C"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var samazināt ārpusbilances posteņa kredītriska darījuma ekvivalento summu par atbilstošo specifisko kredītriska korekciju summu.</w:t>
            </w:r>
            <w:r>
              <w:rPr>
                <w:sz w:val="24"/>
                <w:rFonts w:ascii="Times New Roman" w:hAnsi="Times New Roman"/>
              </w:rPr>
              <w:t xml:space="preserve"> </w:t>
            </w:r>
            <w:r>
              <w:rPr>
                <w:sz w:val="24"/>
                <w:rFonts w:ascii="Times New Roman" w:hAnsi="Times New Roman"/>
              </w:rPr>
              <w:t xml:space="preserve">Aprēķinam piemēro nulles minimumu.</w:t>
            </w:r>
            <w:r>
              <w:rPr>
                <w:sz w:val="24"/>
                <w:rFonts w:ascii="Times New Roman" w:hAnsi="Times New Roman"/>
              </w:rPr>
              <w:t xml:space="preserve"> </w:t>
            </w:r>
          </w:p>
          <w:p w14:paraId="69E0A05D"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Šo kredītriska korekciju absolūtā vērtība nepārsniedz 19. un 20. rindas summu.</w:t>
            </w:r>
            <w:r>
              <w:rPr>
                <w:sz w:val="24"/>
                <w:rFonts w:ascii="Times New Roman" w:hAnsi="Times New Roman"/>
              </w:rPr>
              <w:t xml:space="preserve"> </w:t>
            </w:r>
          </w:p>
          <w:p w14:paraId="69E0A05E"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šīs korekcijas samazina kopējās riska darījumu vērtības mēru, iestādes šo vērtību šajā rindā norāda iekavās (negatīva summa).</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b w:val="0"/>
                <w:color w:val="auto"/>
                <w:sz w:val="24"/>
                <w:szCs w:val="24"/>
                <w:rFonts w:ascii="Times New Roman" w:hAnsi="Times New Roman" w:cs="Times New Roman"/>
              </w:rPr>
            </w:pPr>
            <w:r>
              <w:rPr>
                <w:rStyle w:val="TeksttreciPogrubienie"/>
                <w:color w:val="auto"/>
                <w:sz w:val="24"/>
                <w:rFonts w:ascii="Times New Roman" w:hAnsi="Times New Roman"/>
              </w:rPr>
              <w:t xml:space="preserve">Atklāto summu iekļauj arī piemērojamajās šūnās iepriekš, it kā tai netiktu piemērots šis samazinājums.</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Ārpusbilances riska darījumi</w:t>
            </w:r>
            <w:r>
              <w:rPr>
                <w:rStyle w:val="TeksttreciPogrubienie"/>
                <w:color w:val="auto"/>
                <w:sz w:val="24"/>
                <w:rFonts w:ascii="Times New Roman" w:hAnsi="Times New Roman"/>
              </w:rPr>
              <w:t xml:space="preserve"> </w:t>
            </w:r>
          </w:p>
          <w:p w14:paraId="69E0A063" w14:textId="6F18296A"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429.f pants, 111. panta 2. punkts un 166. panta 9. punkts;</w:t>
            </w:r>
            <w:r>
              <w:rPr>
                <w:sz w:val="24"/>
                <w:rFonts w:ascii="Times New Roman" w:hAnsi="Times New Roman"/>
              </w:rPr>
              <w:t xml:space="preserve"> </w:t>
            </w:r>
            <w:r>
              <w:rPr>
                <w:sz w:val="24"/>
                <w:rFonts w:ascii="Times New Roman" w:hAnsi="Times New Roman"/>
              </w:rPr>
              <w:t xml:space="preserve">19.–21. rindas summa.</w:t>
            </w:r>
          </w:p>
          <w:p w14:paraId="69E0A064" w14:textId="0E2CBC56"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ārpusbilances posteņu sviras rādītāja riska darījumu vērtības, kas noteiktas saskaņā ar Regulas (ES) Nr. 575/2013 429.f pantu, ņemot vērā attiecīgās korekcijas pakāpes.</w:t>
            </w:r>
          </w:p>
          <w:p w14:paraId="69E0A065"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ņem vērā, ka veidnes EU LR2-LRCom 20. un 21. rinda negatīvi atspoguļojas šīs summas aprēķinā.</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(Riska darījumi, kas izslēgti no kopējās riska darījumu vērtības mēra saskaņā ar </w:t>
            </w:r>
            <w:r>
              <w:rPr>
                <w:rStyle w:val="TeksttreciPogrubienie"/>
                <w:color w:val="auto"/>
                <w:sz w:val="24"/>
                <w:i/>
                <w:rFonts w:ascii="Times New Roman" w:hAnsi="Times New Roman"/>
              </w:rPr>
              <w:t xml:space="preserve">CRR</w:t>
            </w:r>
            <w:r>
              <w:rPr>
                <w:rStyle w:val="TeksttreciPogrubienie"/>
                <w:color w:val="auto"/>
                <w:sz w:val="24"/>
                <w:rFonts w:ascii="Times New Roman" w:hAnsi="Times New Roman"/>
              </w:rPr>
              <w:t xml:space="preserve"> 429.a panta 1. punkta c) apakšpunktu)</w:t>
            </w:r>
          </w:p>
          <w:p w14:paraId="69E0A069" w14:textId="2F97EDE8"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429.a panta 1. punkta c) un ca) apakšpunkts un 113. panta 6. un 7. punkts.</w:t>
            </w:r>
          </w:p>
          <w:p w14:paraId="69E0A06A" w14:textId="6AAFB10F"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riska darījumus, kas izslēgti saskaņā ar 429.a panta 1. punkta c) un ca) apakšpunktu.</w:t>
            </w:r>
            <w:r>
              <w:rPr>
                <w:sz w:val="24"/>
                <w:rFonts w:ascii="Times New Roman" w:hAnsi="Times New Roman"/>
              </w:rPr>
              <w:t xml:space="preserve">  </w:t>
            </w:r>
          </w:p>
          <w:p w14:paraId="69E0A06B"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Atklāto summu iekļauj arī iepriekš norādītajās piemērojamajās šūnās, it kā netiktu piemērots izņēmums.</w:t>
            </w:r>
          </w:p>
          <w:p w14:paraId="69E0A06C"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Style w:val="TeksttreciPogrubienie"/>
                <w:color w:val="auto"/>
                <w:rFonts w:ascii="Times New Roman" w:hAnsi="Times New Roman"/>
              </w:rPr>
              <w:t xml:space="preserve">(Riska darījumi, kas izslēgti saskaņā ar </w:t>
            </w:r>
            <w:r>
              <w:rPr>
                <w:sz w:val="24"/>
                <w:rStyle w:val="TeksttreciPogrubienie"/>
                <w:color w:val="auto"/>
                <w:i/>
                <w:rFonts w:ascii="Times New Roman" w:hAnsi="Times New Roman"/>
              </w:rPr>
              <w:t xml:space="preserve">CRR</w:t>
            </w:r>
            <w:r>
              <w:rPr>
                <w:sz w:val="24"/>
                <w:rStyle w:val="TeksttreciPogrubienie"/>
                <w:color w:val="auto"/>
                <w:rFonts w:ascii="Times New Roman" w:hAnsi="Times New Roman"/>
              </w:rPr>
              <w:t xml:space="preserve"> 429.a panta 1. punkta j) apakšpunktu (bilances un ārpusbilances posteņi))</w:t>
            </w:r>
          </w:p>
          <w:p w14:paraId="69E0A070" w14:textId="54EAFC03" w:rsidR="00646595" w:rsidRPr="007717F5" w:rsidRDefault="00646595" w:rsidP="17C07D06">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429.a panta 1. punkta j) apakšpunkts.</w:t>
            </w:r>
          </w:p>
          <w:p w14:paraId="69E0A071" w14:textId="1B152033"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riska darījumus, kas izslēgti saskaņā ar Regulas (ES) Nr. 575/2013 429.a panta 1. punkta j) apakšpunktu, ja ir ievēroti tajā paredzētie nosacījumi.</w:t>
            </w:r>
            <w:r>
              <w:rPr>
                <w:sz w:val="24"/>
                <w:rFonts w:ascii="Times New Roman" w:hAnsi="Times New Roman"/>
              </w:rPr>
              <w:t xml:space="preserve"> </w:t>
            </w:r>
          </w:p>
          <w:p w14:paraId="69E0A072"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Atklāto summu iekļauj arī iepriekš norādītajās piemērojamajās šūnās, it kā netiktu piemērots izņēmums.</w:t>
            </w:r>
          </w:p>
          <w:p w14:paraId="69E0A073"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(Izslēgtie publisko attīstības banku (vai vienību) riska darījumi – publiskā sektora ieguldījumi)</w:t>
            </w:r>
          </w:p>
          <w:p w14:paraId="69E0A077" w14:textId="34D93777" w:rsidR="00646595" w:rsidRPr="007717F5" w:rsidRDefault="00646595" w:rsidP="17C07D06">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Regulas (ES) Nr. 575/2013 429.a panta 1. punkts un 2. punkta d) apakšpunkts.</w:t>
            </w:r>
          </w:p>
          <w:p w14:paraId="69E0A078" w14:textId="456706A0"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Riska darījumi, kas izriet no aktīviem, kuri veido prasījumus pret centrālajām valdībām, reģionālajām pašvaldībām, vietējām iestādēm vai publiskā sektora struktūrām saistībā ar publiskā sektora ieguldījumiem, un ko var izslēgt saskaņā ar Regulas (ES) Nr. 575/2013 429.a panta 1. punkta d) apakšpunktu.</w:t>
            </w:r>
            <w:r>
              <w:rPr>
                <w:sz w:val="24"/>
                <w:rFonts w:ascii="Times New Roman" w:hAnsi="Times New Roman"/>
              </w:rPr>
              <w:t xml:space="preserve"> </w:t>
            </w:r>
            <w:r>
              <w:rPr>
                <w:sz w:val="24"/>
                <w:rFonts w:ascii="Times New Roman" w:hAnsi="Times New Roman"/>
              </w:rPr>
              <w:t xml:space="preserve">Tas ietver tikai gadījumus, kad iestāde ir publiska attīstības kredītiestāde vai kad riska darījumi tiek turēti vienībā, ko uzskata par publisku attīstības vienību saskaņā ar Regulas (ES) Nr. 575/2013 429.a panta 2. punkta pēdējo daļu.</w:t>
            </w:r>
          </w:p>
          <w:p w14:paraId="69E0A079" w14:textId="77777777" w:rsidR="00646595" w:rsidRPr="007717F5"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šūnā norāda iekavās (negatīva summa).</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(Izslēgtie publisko attīstības banku (vai vienību) riska darījumi – attīstību veicinoši aizdevumi)</w:t>
            </w:r>
            <w:r>
              <w:rPr>
                <w:b/>
                <w:sz w:val="24"/>
                <w:rFonts w:ascii="Times New Roman" w:hAnsi="Times New Roman"/>
              </w:rPr>
              <w:t xml:space="preserve"> </w:t>
            </w:r>
          </w:p>
          <w:p w14:paraId="69E0A07D" w14:textId="1C75F228" w:rsidR="00646595" w:rsidRPr="007717F5"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Regulas (ES) Nr. 575/2013 429.a panta 1. punkta d) apakšpunkts un 429.a panta 2. punkts.</w:t>
            </w:r>
          </w:p>
          <w:p w14:paraId="69E0A07E" w14:textId="10B322CB"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izslēgtos attīstību veicinošos aizdevumus saskaņā ar Regulas (ES) Nr. 575/2013 429.a panta 1. punkta d) apakšpunktu.</w:t>
            </w:r>
            <w:r>
              <w:rPr>
                <w:sz w:val="24"/>
                <w:rFonts w:ascii="Times New Roman" w:hAnsi="Times New Roman"/>
              </w:rPr>
              <w:t xml:space="preserve"> </w:t>
            </w:r>
            <w:r>
              <w:rPr>
                <w:sz w:val="24"/>
                <w:rFonts w:ascii="Times New Roman" w:hAnsi="Times New Roman"/>
              </w:rPr>
              <w:t xml:space="preserve">Tas ietver tikai gadījumus, kad iestāde ir publiska attīstības kredītiestāde vai kad attīstību veicinošie aizdevumi tiek turēti vienībā, ko uzskata par publisku attīstības vienību saskaņā ar Regulas (ES) Nr. 575/2013 429.a panta 2. punkta pēdējo daļu.</w:t>
            </w:r>
          </w:p>
          <w:p w14:paraId="69E0A07F" w14:textId="77777777" w:rsidR="00646595" w:rsidRPr="007717F5"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(Izslēgtie attīstību veicinošo pastarpināto aizdevumu riska darījumi, ko veic nepubliskas attīstības bankas (vai vienības))</w:t>
            </w:r>
          </w:p>
          <w:p w14:paraId="69E0A083" w14:textId="434A873C" w:rsidR="00646595" w:rsidRPr="007717F5" w:rsidRDefault="00646595" w:rsidP="00E9371F">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Regulas (ES) Nr. 575/2013 429.a panta 1. punkta e) apakšpunkts.</w:t>
            </w:r>
          </w:p>
          <w:p w14:paraId="69E0A084" w14:textId="540FB7A1" w:rsidR="00646595" w:rsidRPr="007717F5" w:rsidRDefault="00646595" w:rsidP="00E9371F">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Iestādes atklāj izslēgtos riska darījumus saskaņā ar Regulas (ES) Nr. 575/2013 429.a panta 1. punkta e) apakšpunktu, kas saistīti ar tām riska darījumu daļām, kuras izriet no attīstību veicinošiem pastarpinātiem aizdevumiem citām kredītiestādēm.</w:t>
            </w:r>
            <w:r>
              <w:rPr>
                <w:color w:val="auto"/>
                <w:sz w:val="24"/>
                <w:rFonts w:ascii="Times New Roman" w:hAnsi="Times New Roman"/>
              </w:rPr>
              <w:t xml:space="preserve"> </w:t>
            </w:r>
            <w:r>
              <w:rPr>
                <w:color w:val="auto"/>
                <w:sz w:val="24"/>
                <w:rFonts w:ascii="Times New Roman" w:hAnsi="Times New Roman"/>
              </w:rPr>
              <w:t xml:space="preserve">Tas ietver tikai gadījumus, kad iestāde nav publiska attīstības kredītiestāde un kad darbība netiek veikta ar jebkuru vienību, kas tiek uzskatīta par publisku attīstības vienību saskaņā ar Regulas (ES) Nr. 575/2013 429.a panta 2. punkta pēdējo daļu.</w:t>
            </w:r>
          </w:p>
          <w:p w14:paraId="69E0A085" w14:textId="77777777" w:rsidR="00646595" w:rsidRPr="007717F5"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(Izslēgtās garantētās riska darījumu daļas, kas izriet no eksporta kredītiem)</w:t>
            </w:r>
          </w:p>
          <w:p w14:paraId="69E0A089" w14:textId="7A04873B" w:rsidR="00646595" w:rsidRPr="007717F5" w:rsidRDefault="00646595" w:rsidP="00E9371F">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Regulas (ES) Nr. 575/2013 429.a panta 1. punkta f) apakšpunkts.</w:t>
            </w:r>
          </w:p>
          <w:p w14:paraId="69E0A08A" w14:textId="0F5C8BC6" w:rsidR="00646595" w:rsidRPr="007717F5" w:rsidRDefault="00646595" w:rsidP="00E9371F">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Garantētās riska darījumu daļas, kas izriet no eksporta kredītiem un ko var izslēgt, ja ir izpildīti Regulas (ES) Nr. 575/2013 429.a panta 1. punkta f) apakšpunkta nosacījumi.</w:t>
            </w:r>
          </w:p>
          <w:p w14:paraId="69E0A08B" w14:textId="77777777" w:rsidR="00646595" w:rsidRPr="007717F5"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(Izslēgtais nodrošinājuma pārpalikums, kas noguldīts pie trīspusējiem aģentiem)</w:t>
            </w:r>
            <w:r>
              <w:rPr>
                <w:b/>
                <w:sz w:val="24"/>
                <w:rFonts w:ascii="Times New Roman" w:hAnsi="Times New Roman"/>
              </w:rPr>
              <w:t xml:space="preserve"> </w:t>
            </w:r>
          </w:p>
          <w:p w14:paraId="69E0A08F" w14:textId="6C6AE692" w:rsidR="00646595" w:rsidRPr="007717F5" w:rsidRDefault="00646595" w:rsidP="00E9371F">
            <w:pPr>
              <w:pStyle w:val="BodyText1"/>
              <w:spacing w:after="120" w:line="240" w:lineRule="auto"/>
              <w:rPr>
                <w:bCs/>
                <w:color w:val="auto"/>
                <w:sz w:val="24"/>
                <w:szCs w:val="24"/>
                <w:rFonts w:ascii="Times New Roman" w:hAnsi="Times New Roman"/>
              </w:rPr>
            </w:pPr>
            <w:r>
              <w:rPr>
                <w:color w:val="auto"/>
                <w:sz w:val="24"/>
                <w:rFonts w:ascii="Times New Roman" w:hAnsi="Times New Roman"/>
              </w:rPr>
              <w:t xml:space="preserve">Regulas (ES) Nr. 575/2013 429.a panta 1. punkta k) apakšpunkts.</w:t>
            </w:r>
          </w:p>
          <w:p w14:paraId="69E0A090" w14:textId="47830AB0" w:rsidR="00646595" w:rsidRPr="007717F5" w:rsidRDefault="00646595" w:rsidP="5E9D3914">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Izslēgtais nodrošinājuma pārpalikums, kas noguldīts pie trīspusējiem aģentiem un nav aizdots un ko var izslēgt saskaņā ar Regulas (ES) Nr. 575/2013 429.a panta 1. punkta k) apakšpunktu.</w:t>
            </w:r>
          </w:p>
          <w:p w14:paraId="69E0A091" w14:textId="77777777" w:rsidR="00646595" w:rsidRPr="007717F5"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(Izslēgtie ar CVD saistītie CVD/iestāžu pakalpojumi saskaņā ar </w:t>
            </w:r>
            <w:r>
              <w:rPr>
                <w:b/>
                <w:sz w:val="24"/>
                <w:i/>
                <w:rFonts w:ascii="Times New Roman" w:hAnsi="Times New Roman"/>
              </w:rPr>
              <w:t xml:space="preserve">CRR</w:t>
            </w:r>
            <w:r>
              <w:rPr>
                <w:b/>
                <w:sz w:val="24"/>
                <w:rFonts w:ascii="Times New Roman" w:hAnsi="Times New Roman"/>
              </w:rPr>
              <w:t xml:space="preserve"> 429.a panta 1. punkta o) apakšpunktu)</w:t>
            </w:r>
          </w:p>
          <w:p w14:paraId="69E0A095" w14:textId="24D1D6B8" w:rsidR="00646595" w:rsidRPr="007717F5" w:rsidRDefault="00646595" w:rsidP="17C07D06">
            <w:pPr>
              <w:pStyle w:val="BodyText1"/>
              <w:spacing w:after="120" w:line="240" w:lineRule="auto"/>
              <w:rPr>
                <w:color w:val="auto"/>
                <w:rFonts w:ascii="Times New Roman" w:hAnsi="Times New Roman"/>
              </w:rPr>
            </w:pPr>
            <w:r>
              <w:rPr>
                <w:color w:val="auto"/>
                <w:sz w:val="24"/>
                <w:rFonts w:ascii="Times New Roman" w:hAnsi="Times New Roman"/>
              </w:rPr>
              <w:t xml:space="preserve">Regulas (ES) Nr. 575/2013 429.a panta 1. punkta o) apakšpunkts.</w:t>
            </w:r>
          </w:p>
          <w:p w14:paraId="69E0A096" w14:textId="7175E89B" w:rsidR="00646595" w:rsidRPr="007717F5" w:rsidRDefault="00646595" w:rsidP="007717F5">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Ar centrālajiem vērtspapīru depozitārijiem (CVD) saistītie CVD/iestāžu pakalpojumi, ko var izslēgt saskaņā ar Regulas (ES) Nr. 575/2013 429.a panta 1. punkta o) apakšpunktu.</w:t>
            </w:r>
          </w:p>
          <w:p w14:paraId="69E0A097" w14:textId="77777777" w:rsidR="00646595" w:rsidRPr="007717F5" w:rsidRDefault="00646595" w:rsidP="00E9371F">
            <w:pPr>
              <w:pStyle w:val="BodyText1"/>
              <w:spacing w:after="120" w:line="240" w:lineRule="auto"/>
              <w:rPr>
                <w:color w:val="auto"/>
                <w:sz w:val="24"/>
                <w:szCs w:val="24"/>
                <w:rFonts w:ascii="Times New Roman" w:eastAsia="Book Antiqua" w:hAnsi="Times New Roman"/>
              </w:rPr>
            </w:pPr>
            <w:r>
              <w:rPr>
                <w:color w:val="auto"/>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b/>
                <w:bCs/>
                <w:sz w:val="24"/>
                <w:szCs w:val="24"/>
                <w:rFonts w:ascii="Times New Roman" w:hAnsi="Times New Roman" w:cs="Times New Roman"/>
              </w:rPr>
            </w:pPr>
            <w:r>
              <w:rPr>
                <w:b/>
                <w:sz w:val="24"/>
                <w:rFonts w:ascii="Times New Roman" w:hAnsi="Times New Roman"/>
              </w:rPr>
              <w:t xml:space="preserve">(Izslēgtie ar CVD saistītie izraudzīto iestāžu pakalpojumi saskaņā ar </w:t>
            </w:r>
            <w:r>
              <w:rPr>
                <w:b/>
                <w:sz w:val="24"/>
                <w:i/>
                <w:rFonts w:ascii="Times New Roman" w:hAnsi="Times New Roman"/>
              </w:rPr>
              <w:t xml:space="preserve">CRR</w:t>
            </w:r>
            <w:r>
              <w:rPr>
                <w:b/>
                <w:sz w:val="24"/>
                <w:rFonts w:ascii="Times New Roman" w:hAnsi="Times New Roman"/>
              </w:rPr>
              <w:t xml:space="preserve"> 429.a panta 1. punkta p) apakšpunktu)</w:t>
            </w:r>
          </w:p>
          <w:p w14:paraId="69E0A09B" w14:textId="267E29F1" w:rsidR="00646595" w:rsidRPr="007717F5" w:rsidRDefault="00646595" w:rsidP="00E9371F">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Regulas (ES) Nr. 575/2013 429.a panta 1. punkta p) apakšpunkts.</w:t>
            </w:r>
          </w:p>
          <w:p w14:paraId="69E0A09C" w14:textId="34A37CD9" w:rsidR="00646595" w:rsidRPr="007717F5"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Ar CVD saistītie izraudzīto iestāžu pakalpojumi, ko var izslēgt saskaņā ar Regulas (ES) Nr. 575/2013 429.a panta 1. punkta p) apakšpunktu.</w:t>
            </w:r>
          </w:p>
          <w:p w14:paraId="69E0A09D" w14:textId="77777777" w:rsidR="00646595" w:rsidRPr="007717F5"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EU-22.j</w:t>
            </w:r>
          </w:p>
        </w:tc>
        <w:tc>
          <w:tcPr>
            <w:tcW w:w="7659" w:type="dxa"/>
          </w:tcPr>
          <w:p w14:paraId="69E0A0A0" w14:textId="77777777" w:rsidR="00646595" w:rsidRPr="007717F5" w:rsidRDefault="00646595" w:rsidP="00E9371F">
            <w:pPr>
              <w:pStyle w:val="BodyText1"/>
              <w:spacing w:after="120" w:line="240" w:lineRule="auto"/>
              <w:rPr>
                <w:b/>
                <w:bCs/>
                <w:color w:val="auto"/>
                <w:sz w:val="24"/>
                <w:szCs w:val="24"/>
                <w:rFonts w:ascii="Times New Roman" w:hAnsi="Times New Roman"/>
              </w:rPr>
            </w:pPr>
            <w:r>
              <w:rPr>
                <w:b/>
                <w:color w:val="auto"/>
                <w:sz w:val="24"/>
                <w:rFonts w:ascii="Times New Roman" w:hAnsi="Times New Roman"/>
              </w:rPr>
              <w:t xml:space="preserve">(Priekšfinansējuma vai starpniecības aizdevumu riska darījumu vērtības samazinājums)</w:t>
            </w:r>
            <w:r>
              <w:rPr>
                <w:b/>
                <w:color w:val="auto"/>
                <w:sz w:val="24"/>
                <w:rFonts w:ascii="Times New Roman" w:hAnsi="Times New Roman"/>
              </w:rPr>
              <w:t xml:space="preserve"> </w:t>
            </w:r>
          </w:p>
          <w:p w14:paraId="69E0A0A1" w14:textId="7EF951CB" w:rsidR="00646595" w:rsidRPr="007717F5" w:rsidRDefault="00646595" w:rsidP="00E9371F">
            <w:pPr>
              <w:pStyle w:val="BodyText1"/>
              <w:spacing w:after="120" w:line="240" w:lineRule="auto"/>
              <w:rPr>
                <w:bCs/>
                <w:color w:val="auto"/>
                <w:sz w:val="24"/>
                <w:szCs w:val="24"/>
                <w:rFonts w:ascii="Times New Roman" w:hAnsi="Times New Roman"/>
              </w:rPr>
            </w:pPr>
            <w:r>
              <w:rPr>
                <w:color w:val="auto"/>
                <w:sz w:val="24"/>
                <w:rFonts w:ascii="Times New Roman" w:hAnsi="Times New Roman"/>
              </w:rPr>
              <w:t xml:space="preserve">Regulas (ES) Nr. 575/2013 429. panta 8. punkts.</w:t>
            </w:r>
          </w:p>
          <w:p w14:paraId="69E0A0A2" w14:textId="3DC3C518" w:rsidR="00646595" w:rsidRPr="007717F5" w:rsidRDefault="00646595">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Priekšfinansējuma vai starpniecības aizdevuma riska darījumu vērtības samazinājuma summa saskaņā ar Regulas (ES) Nr. 575/2013 429. panta 8. punktu.</w:t>
            </w:r>
          </w:p>
          <w:p w14:paraId="69E0A0A3" w14:textId="77777777" w:rsidR="00646595" w:rsidRPr="007717F5"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b/>
                <w:bCs/>
                <w:sz w:val="24"/>
                <w:szCs w:val="24"/>
                <w:rFonts w:ascii="Times New Roman" w:hAnsi="Times New Roman" w:cs="Times New Roman"/>
              </w:rPr>
            </w:pPr>
            <w:r>
              <w:rPr>
                <w:b/>
                <w:sz w:val="24"/>
                <w:rFonts w:ascii="Times New Roman" w:hAnsi="Times New Roman"/>
              </w:rPr>
              <w:t xml:space="preserve">(Izslēgtie riska darījumi ar akcionāriem saskaņā ar </w:t>
            </w:r>
            <w:r>
              <w:rPr>
                <w:b/>
                <w:sz w:val="24"/>
                <w:i/>
                <w:rFonts w:ascii="Times New Roman" w:hAnsi="Times New Roman"/>
              </w:rPr>
              <w:t xml:space="preserve">CRR</w:t>
            </w:r>
            <w:r>
              <w:rPr>
                <w:b/>
                <w:sz w:val="24"/>
                <w:rFonts w:ascii="Times New Roman" w:hAnsi="Times New Roman"/>
              </w:rPr>
              <w:t xml:space="preserve"> 429.a panta 1. punkta da) apakšpunktu)</w:t>
            </w:r>
          </w:p>
          <w:p w14:paraId="407F3CD9" w14:textId="61346D61" w:rsidR="001E11E0" w:rsidRPr="007717F5" w:rsidRDefault="641FC896" w:rsidP="17C07D06">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Regulas (ES) Nr. 575/2013 429.a panta 1. punkta da) apakšpunkts.</w:t>
            </w:r>
          </w:p>
          <w:p w14:paraId="107D6280" w14:textId="4AFC1128" w:rsidR="006E679B" w:rsidRPr="007717F5" w:rsidRDefault="003116BB" w:rsidP="00E9371F">
            <w:pPr>
              <w:pStyle w:val="Teksttreci0"/>
              <w:shd w:val="clear" w:color="auto" w:fill="auto"/>
              <w:spacing w:after="120" w:line="240" w:lineRule="auto"/>
              <w:ind w:firstLine="0"/>
              <w:jc w:val="left"/>
              <w:rPr>
                <w:bCs/>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b/>
                <w:bCs/>
                <w:sz w:val="24"/>
                <w:szCs w:val="24"/>
                <w:rFonts w:ascii="Times New Roman" w:hAnsi="Times New Roman" w:cs="Times New Roman"/>
              </w:rPr>
            </w:pPr>
            <w:r>
              <w:rPr>
                <w:b/>
                <w:sz w:val="24"/>
                <w:rFonts w:ascii="Times New Roman" w:hAnsi="Times New Roman"/>
              </w:rPr>
              <w:t xml:space="preserve">(Riska darījumi, kas atskaitīti saskaņā ar </w:t>
            </w:r>
            <w:r>
              <w:rPr>
                <w:b/>
                <w:sz w:val="24"/>
                <w:i/>
                <w:rFonts w:ascii="Times New Roman" w:hAnsi="Times New Roman"/>
              </w:rPr>
              <w:t xml:space="preserve">CRR</w:t>
            </w:r>
            <w:r>
              <w:rPr>
                <w:b/>
                <w:sz w:val="24"/>
                <w:rFonts w:ascii="Times New Roman" w:hAnsi="Times New Roman"/>
              </w:rPr>
              <w:t xml:space="preserve"> 429.a panta 1. punkta q) apakšpunktu)</w:t>
            </w:r>
          </w:p>
          <w:p w14:paraId="37A3A292" w14:textId="637BE1B4" w:rsidR="009346C3" w:rsidRPr="007717F5" w:rsidRDefault="6B7CBE0A" w:rsidP="17C07D06">
            <w:pPr>
              <w:pStyle w:val="Teksttreci0"/>
              <w:shd w:val="clear" w:color="auto" w:fill="auto"/>
              <w:spacing w:after="120" w:line="240" w:lineRule="auto"/>
              <w:ind w:firstLine="0"/>
              <w:jc w:val="left"/>
              <w:rPr>
                <w:sz w:val="24"/>
                <w:szCs w:val="24"/>
                <w:rFonts w:ascii="Times New Roman" w:hAnsi="Times New Roman" w:cs="Times New Roman"/>
              </w:rPr>
            </w:pPr>
            <w:r>
              <w:rPr>
                <w:sz w:val="24"/>
                <w:i/>
                <w:rFonts w:ascii="Times New Roman" w:hAnsi="Times New Roman"/>
              </w:rPr>
              <w:t xml:space="preserve">CRR</w:t>
            </w:r>
            <w:r>
              <w:rPr>
                <w:sz w:val="24"/>
                <w:rFonts w:ascii="Times New Roman" w:hAnsi="Times New Roman"/>
              </w:rPr>
              <w:t xml:space="preserve"> 429.a panta 1. punkta q) apakšpunkts.</w:t>
            </w:r>
          </w:p>
          <w:p w14:paraId="541FEF4F" w14:textId="08C00207" w:rsidR="009346C3" w:rsidRPr="007717F5" w:rsidRDefault="009346C3" w:rsidP="00E9371F">
            <w:pPr>
              <w:pStyle w:val="Teksttreci0"/>
              <w:shd w:val="clear" w:color="auto" w:fill="auto"/>
              <w:spacing w:after="120" w:line="240" w:lineRule="auto"/>
              <w:ind w:firstLine="0"/>
              <w:jc w:val="left"/>
              <w:rPr>
                <w:bCs/>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(Kopējie izslēgtie riska darījumi)</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b w:val="0"/>
                <w:color w:val="auto"/>
                <w:sz w:val="24"/>
                <w:szCs w:val="24"/>
                <w:rFonts w:ascii="Times New Roman" w:hAnsi="Times New Roman" w:cs="Times New Roman"/>
              </w:rPr>
            </w:pPr>
            <w:r>
              <w:rPr>
                <w:rStyle w:val="TeksttreciPogrubienie"/>
                <w:color w:val="auto"/>
                <w:sz w:val="24"/>
                <w:rFonts w:ascii="Times New Roman" w:hAnsi="Times New Roman"/>
              </w:rPr>
              <w:t xml:space="preserve">EU-22.a līdz EU-22.l rindas summa</w:t>
            </w:r>
          </w:p>
          <w:p w14:paraId="69E0A0A8" w14:textId="77777777" w:rsidR="00646595" w:rsidRPr="007717F5"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Tā kā šī summa samazina kopējās riska darījumu vērtības mēru, iestādes šo vērtību šajā rindā norāda iekavās (negatīva summa).</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Pirmā līmeņa kapitāls</w:t>
            </w:r>
          </w:p>
          <w:p w14:paraId="69E0A0AC" w14:textId="02637608"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429. panta 3. punkts un 499. panta 1. un 2. punkts.</w:t>
            </w:r>
          </w:p>
          <w:p w14:paraId="69E0A0AD" w14:textId="3CB3B6AC"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pirmā līmeņa kapitāla summu, kas aprēķināta saskaņā ar izvēli, kuru iestāde ir izdarījusi saskaņā ar Regulas (ES) Nr. 575/2013 499. panta 2. punktu, kā atklāts veidnes EU LR2-LRCom EU-27. rindā.</w:t>
            </w:r>
          </w:p>
          <w:p w14:paraId="69E0A0AE" w14:textId="71D2189C"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Konkrētāk, ja iestāde ir izvēlējusies atklāt pirmā līmeņa kapitālu saskaņā ar Regulas (ES) Nr. 575/2013 499. panta 1. punkta a) apakšpunktu, tā atklāj pirmā līmeņa kapitāla summu, kas aprēķināta saskaņā ar Regulas (ES) Nr. 575/2013 25. pantu, neņemot vērā atkāpes, kuras noteiktas Regulas (ES) Nr. 575/2013 desmitās daļas I sadaļas 1. un 2. nodaļā.</w:t>
            </w:r>
          </w:p>
          <w:p w14:paraId="69E0A0AF" w14:textId="78E4F440"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Turpretī, ja iestāde ir izvēlējusies atklāt pirmā līmeņa kapitālu saskaņā ar Regulas (ES) Nr. 575/2013 499. panta 1. punkta b) apakšpunktu, tā atklāj pirmā līmeņa kapitāla summu, kas aprēķināta saskaņā ar Regulas (ES) Nr. 575/2013 25. pantu, pirms tam ņemot vērā atkāpes, kuras noteiktas Regulas (ES) Nr. 575/2013 desmitās daļas I sadaļas 1. un 2. nodaļā.</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Kopējās riska darījumu vērtības mērs</w:t>
            </w:r>
            <w:r>
              <w:rPr>
                <w:rStyle w:val="TeksttreciPogrubienie"/>
                <w:color w:val="auto"/>
                <w:sz w:val="24"/>
                <w:rFonts w:ascii="Times New Roman" w:hAnsi="Times New Roman"/>
              </w:rPr>
              <w:t xml:space="preserve"> </w:t>
            </w:r>
          </w:p>
          <w:p w14:paraId="69E0A0B3" w14:textId="77777777" w:rsidR="00646595" w:rsidRPr="007717F5" w:rsidRDefault="00646595" w:rsidP="00E9371F">
            <w:pPr>
              <w:pStyle w:val="Teksttreci0"/>
              <w:shd w:val="clear" w:color="auto" w:fill="auto"/>
              <w:spacing w:after="120" w:line="240" w:lineRule="auto"/>
              <w:ind w:firstLine="0"/>
              <w:rPr>
                <w:b/>
                <w:sz w:val="24"/>
                <w:szCs w:val="24"/>
                <w:rFonts w:ascii="Times New Roman" w:hAnsi="Times New Roman" w:cs="Times New Roman"/>
              </w:rPr>
            </w:pPr>
            <w:r>
              <w:rPr>
                <w:sz w:val="24"/>
                <w:rFonts w:ascii="Times New Roman" w:hAnsi="Times New Roman"/>
              </w:rPr>
              <w:t xml:space="preserve">Veidnes EU LR2-LRCom </w:t>
            </w:r>
            <w:r>
              <w:rPr>
                <w:sz w:val="24"/>
                <w:rStyle w:val="TeksttreciPogrubienie"/>
                <w:color w:val="auto"/>
                <w:rFonts w:ascii="Times New Roman" w:hAnsi="Times New Roman"/>
              </w:rPr>
              <w:t xml:space="preserve">7., 13., 18., 22. un EU-22.k rindā norādīto vērtību summa</w:t>
            </w:r>
            <w:r>
              <w:rPr>
                <w:sz w:val="24"/>
                <w:rFonts w:ascii="Times New Roman" w:hAnsi="Times New Roman"/>
              </w:rPr>
              <w:t xml:space="preserve">.</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Sviras rādītājs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sz w:val="24"/>
                <w:rFonts w:ascii="Times New Roman" w:hAnsi="Times New Roman"/>
              </w:rPr>
              <w:t xml:space="preserve">Iestādes atklāj veidnes EU LR2-LRCom 23. rindā norādīto vērtību, izteiktu procentos no veidnes EU LR2-LRCom 24. rindā norādītās vērtības.</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Sviras rādītājs (neņemot vērā publiskā sektora ieguldījumu un attīstību veicinošo aizdevumu izslēgšanas ietekmi)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sz w:val="24"/>
                <w:rFonts w:ascii="Times New Roman" w:hAnsi="Times New Roman"/>
              </w:rPr>
              <w:t xml:space="preserve">Saskaņā ar Regulas (ES) Nr. 575/2013 451. panta 2. punktu publiskās attīstības kredītiestādes, kas definētas Regulas (ES) Nr. 575/2013 429.a panta 2. punktā, atklāj sviras rādītāju bez kopējā riska darījumu vērtības mēra korekcijas, kura noteikta saskaņā ar Regulas (ES) Nr. 575/2013 429.a panta 1. punkta d) apakšpunktu, t. i., bez korekcijas, kas atklāta šīs veidnes EU-22.c un EU-22.d rindā.</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Sviras rādītājs (neņemot vērā ietekmi, ko rada jebkāds piemērojams centrālo banku rezervju pagaidu atbrīvojums) (%)</w:t>
            </w:r>
          </w:p>
          <w:p w14:paraId="69E0A0BF" w14:textId="5660B490"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Ja iestādes kopējās riska darījumu vērtības mēram piemēro centrālās bankas rezervju pagaidu atbrīvojumu, kā noteikts Regulas (ES) Nr. 575/2013 429.a panta 1. punkta n) apakšpunktā, šo rādītāju definē kā pirmā līmeņa kapitāla vērtības mēru, to dalot ar kopējās riska darījumu vērtības un centrālās bankas rezervju atbrīvojuma vērtības summu un šo rādītāju izsakot kā procentuālo daļu.</w:t>
            </w:r>
          </w:p>
          <w:p w14:paraId="69E0A0C0"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Ja iestādes kopējās riska darījumu vērtības mēram nepiemēro centrālās bankas rezervju pagaidu atbrīvojumu, šis rādītājs būs identisks 25. rindā atklātajam rādītājam.</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Regulatīvā minimālā sviras rādītāja prasība (%)</w:t>
            </w:r>
          </w:p>
          <w:p w14:paraId="69E0A0C4" w14:textId="2CD9CB31" w:rsidR="00646595" w:rsidRPr="007717F5" w:rsidRDefault="00646595" w:rsidP="17C07D06">
            <w:pPr>
              <w:widowControl w:val="0"/>
              <w:spacing w:after="120"/>
              <w:jc w:val="both"/>
              <w:rPr>
                <w:sz w:val="24"/>
                <w:shd w:val="clear" w:color="auto" w:fill="FFFFFF"/>
                <w:rFonts w:ascii="Times New Roman" w:eastAsia="Book Antiqua" w:hAnsi="Times New Roman" w:cs="Times New Roman"/>
              </w:rPr>
            </w:pPr>
            <w:r>
              <w:rPr>
                <w:sz w:val="24"/>
                <w:shd w:val="clear" w:color="auto" w:fill="FFFFFF"/>
                <w:rFonts w:ascii="Times New Roman" w:hAnsi="Times New Roman"/>
              </w:rPr>
              <w:t xml:space="preserve">Regulas (ES) Nr. 575/2013 92. panta 1. punkta d) apakšpunkts, 429.a panta 1. punkta n) apakšpunkts un 429.a panta 7. punkts.</w:t>
            </w:r>
          </w:p>
          <w:p w14:paraId="69E0A0C5" w14:textId="7127224C" w:rsidR="00646595" w:rsidRPr="007717F5" w:rsidRDefault="00646595" w:rsidP="17C07D06">
            <w:pPr>
              <w:tabs>
                <w:tab w:val="left" w:pos="400"/>
              </w:tabs>
              <w:spacing w:after="120"/>
              <w:jc w:val="both"/>
              <w:rPr>
                <w:sz w:val="24"/>
                <w:u w:val="single"/>
                <w:rFonts w:ascii="Times New Roman" w:hAnsi="Times New Roman" w:cs="Times New Roman"/>
              </w:rPr>
            </w:pPr>
            <w:r>
              <w:rPr>
                <w:sz w:val="24"/>
                <w:shd w:val="clear" w:color="auto" w:fill="FFFFFF"/>
                <w:rFonts w:ascii="Times New Roman" w:hAnsi="Times New Roman"/>
              </w:rPr>
              <w:t xml:space="preserve">Iestādes atklāj sviras rādītāja prasību, kas definēta Regulas (ES) Nr. 575/2013 92. panta 1. punkta d) apakšpunktā.</w:t>
            </w:r>
            <w:r>
              <w:rPr>
                <w:sz w:val="24"/>
                <w:shd w:val="clear" w:color="auto" w:fill="FFFFFF"/>
                <w:rFonts w:ascii="Times New Roman" w:hAnsi="Times New Roman"/>
              </w:rPr>
              <w:t xml:space="preserve"> </w:t>
            </w:r>
            <w:r>
              <w:rPr>
                <w:sz w:val="24"/>
                <w:shd w:val="clear" w:color="auto" w:fill="FFFFFF"/>
                <w:rFonts w:ascii="Times New Roman" w:hAnsi="Times New Roman"/>
              </w:rPr>
              <w:t xml:space="preserve">Ja iestāde izslēdz riska darījumus, kas minēti Regulas (ES) Nr. 575/2013 429.a panta 1. punkta n) apakšpunktā, tā atklāj koriģēto sviras rādītāja prasību, kura aprēķināta saskaņā ar Regulas (ES) Nr. 575/2013 429.a panta 7. punktu.</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b/>
                <w:sz w:val="24"/>
                <w:szCs w:val="24"/>
                <w:rFonts w:ascii="Times New Roman" w:hAnsi="Times New Roman" w:cs="Times New Roman"/>
              </w:rPr>
            </w:pPr>
            <w:r>
              <w:rPr>
                <w:b/>
                <w:sz w:val="24"/>
                <w:rFonts w:ascii="Times New Roman" w:hAnsi="Times New Roman"/>
              </w:rPr>
              <w:t xml:space="preserve">Pašu kapitāla papildu prasības pārmērīgas sviras riska novēršanai (%)</w:t>
            </w:r>
            <w:r>
              <w:rPr>
                <w:b/>
                <w:sz w:val="24"/>
                <w:rFonts w:ascii="Times New Roman" w:hAnsi="Times New Roman"/>
              </w:rPr>
              <w:t xml:space="preserve"> </w:t>
            </w:r>
          </w:p>
          <w:p w14:paraId="69E0A0C9" w14:textId="055BB86C"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Pašu kapitāla papildu prasības pārmērīgas sviras riska novēršanai, kuras noteikusi kompetentā iestāde saskaņā ar Direktīvas 2013/36/ES (“</w:t>
            </w:r>
            <w:r>
              <w:rPr>
                <w:sz w:val="24"/>
                <w:i/>
                <w:rFonts w:ascii="Times New Roman" w:hAnsi="Times New Roman"/>
              </w:rPr>
              <w:t xml:space="preserve">CRD</w:t>
            </w:r>
            <w:r>
              <w:rPr>
                <w:sz w:val="24"/>
                <w:rFonts w:ascii="Times New Roman" w:hAnsi="Times New Roman"/>
              </w:rPr>
              <w:t xml:space="preserve">”) 104. panta 1. punkta a) apakšpunktu, tās izsakot kā procentuālo daļu no kopējās riska darījumu vērtības mēra.</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    </w:t>
            </w: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kuras jāizpilda ar </w:t>
            </w:r>
            <w:r>
              <w:rPr>
                <w:b/>
                <w:sz w:val="24"/>
                <w:i/>
                <w:rFonts w:ascii="Times New Roman" w:hAnsi="Times New Roman"/>
              </w:rPr>
              <w:t xml:space="preserve">CET1</w:t>
            </w:r>
            <w:r>
              <w:rPr>
                <w:b/>
                <w:sz w:val="24"/>
                <w:rFonts w:ascii="Times New Roman" w:hAnsi="Times New Roman"/>
              </w:rPr>
              <w:t xml:space="preserve"> kapitālu (procentpunkti)</w:t>
            </w:r>
          </w:p>
          <w:p w14:paraId="69E0A0CD" w14:textId="529DADB5" w:rsidR="00646595" w:rsidRPr="007717F5" w:rsidRDefault="00646595" w:rsidP="17C07D06">
            <w:pPr>
              <w:spacing w:after="120"/>
              <w:jc w:val="both"/>
              <w:rPr>
                <w:b/>
                <w:bCs/>
                <w:sz w:val="24"/>
                <w:rFonts w:ascii="Times New Roman" w:hAnsi="Times New Roman" w:cs="Times New Roman"/>
              </w:rPr>
            </w:pPr>
            <w:r>
              <w:rPr>
                <w:sz w:val="24"/>
                <w:rFonts w:ascii="Times New Roman" w:hAnsi="Times New Roman"/>
              </w:rPr>
              <w:t xml:space="preserve">Tā daļa no pašu kapitāla papildu prasībām pārmērīgas sviras riska novēršanai, ko noteikusi kompetentā iestāde saskaņā ar Direktīvas 2013/36/ES 104. panta 1. punkta a) apakšpunktu, kura jāizpilda ar </w:t>
            </w:r>
            <w:r>
              <w:rPr>
                <w:sz w:val="24"/>
                <w:i/>
                <w:rFonts w:ascii="Times New Roman" w:hAnsi="Times New Roman"/>
              </w:rPr>
              <w:t xml:space="preserve">CET1</w:t>
            </w:r>
            <w:r>
              <w:rPr>
                <w:sz w:val="24"/>
                <w:rFonts w:ascii="Times New Roman" w:hAnsi="Times New Roman"/>
              </w:rPr>
              <w:t xml:space="preserve"> kapitālu saskaņā ar 104.a panta 4. punkta trešo daļu.</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Sviras rādītāja rezervju prasība (%)</w:t>
            </w:r>
          </w:p>
          <w:p w14:paraId="69E0A0D1" w14:textId="486B2CAC" w:rsidR="00646595" w:rsidRPr="007717F5"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Regulas (ES) Nr. 575/2013 92. panta 1.a punkts.</w:t>
            </w:r>
          </w:p>
          <w:p w14:paraId="69E0A0D2" w14:textId="31B8712A" w:rsidR="00646595" w:rsidRPr="007717F5" w:rsidRDefault="00646595" w:rsidP="00E9371F">
            <w:pPr>
              <w:pStyle w:val="Teksttreci0"/>
              <w:shd w:val="clear" w:color="auto" w:fill="auto"/>
              <w:spacing w:after="120" w:line="240" w:lineRule="auto"/>
              <w:ind w:firstLine="0"/>
              <w:rPr>
                <w:sz w:val="24"/>
                <w:szCs w:val="24"/>
                <w:u w:val="single"/>
                <w:rFonts w:ascii="Times New Roman" w:hAnsi="Times New Roman" w:cs="Times New Roman"/>
              </w:rPr>
            </w:pPr>
            <w:r>
              <w:rPr>
                <w:sz w:val="24"/>
                <w:rFonts w:ascii="Times New Roman" w:hAnsi="Times New Roman"/>
              </w:rPr>
              <w:t xml:space="preserve">Iestādes, uz kurām attiecas Regulas (ES) Nr. 575/2013 92. panta 1.a punkts, atklāj savu piemērojamo sviras rādītāja rezervju prasību.</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b/>
                <w:sz w:val="24"/>
                <w:szCs w:val="24"/>
                <w:rFonts w:ascii="Times New Roman" w:hAnsi="Times New Roman" w:cs="Times New Roman"/>
              </w:rPr>
            </w:pPr>
            <w:r>
              <w:rPr>
                <w:b/>
                <w:sz w:val="24"/>
                <w:rFonts w:ascii="Times New Roman" w:hAnsi="Times New Roman"/>
              </w:rPr>
              <w:t xml:space="preserve">Vispārējā sviras rādītāja prasība (%)</w:t>
            </w:r>
          </w:p>
          <w:p w14:paraId="69E0A0D6" w14:textId="77777777" w:rsidR="00646595" w:rsidRPr="007717F5" w:rsidDel="00C013A0" w:rsidRDefault="00646595" w:rsidP="00E9371F">
            <w:pPr>
              <w:pStyle w:val="Teksttreci0"/>
              <w:shd w:val="clear" w:color="auto" w:fill="auto"/>
              <w:spacing w:after="120" w:line="240" w:lineRule="auto"/>
              <w:ind w:firstLine="0"/>
              <w:jc w:val="left"/>
              <w:rPr>
                <w:sz w:val="24"/>
                <w:szCs w:val="24"/>
                <w:rFonts w:ascii="Times New Roman" w:hAnsi="Times New Roman" w:cs="Times New Roman"/>
              </w:rPr>
            </w:pPr>
            <w:r>
              <w:rPr>
                <w:sz w:val="24"/>
                <w:rFonts w:ascii="Times New Roman" w:hAnsi="Times New Roman"/>
              </w:rPr>
              <w:t xml:space="preserve">Šīs veidnes 26., EU-26.a un 27. rindas summa.</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Pārejas pasākumu izvēle kapitāla mēra noteikšanai</w:t>
            </w:r>
          </w:p>
          <w:p w14:paraId="69E0A0DA" w14:textId="2FF0548B"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499. panta 2. punkts.</w:t>
            </w:r>
          </w:p>
          <w:p w14:paraId="69E0A0DB"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norāda savu izvēli pārejas pasākumiem attiecībā uz kapitālu, kā paredzēts informācijas atklāšanas prasībās, norādot kādu no turpmāk minētajiem apzīmējumiem:</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sz w:val="24"/>
                <w:szCs w:val="24"/>
                <w:rFonts w:ascii="Times New Roman" w:hAnsi="Times New Roman" w:cs="Times New Roman"/>
              </w:rPr>
            </w:pPr>
            <w:r>
              <w:rPr>
                <w:sz w:val="24"/>
                <w:rFonts w:ascii="Times New Roman" w:hAnsi="Times New Roman"/>
              </w:rPr>
              <w:t xml:space="preserve">“Pilnībā ieviests”, ja iestāde izvēlas atklāt sviras rādītāju saskaņā ar Regulas (ES) Nr. 575/2013 499. panta 1. punkta a) apakšpunktu;</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sz w:val="24"/>
                <w:szCs w:val="24"/>
                <w:rFonts w:ascii="Times New Roman" w:hAnsi="Times New Roman" w:cs="Times New Roman"/>
              </w:rPr>
            </w:pPr>
            <w:r>
              <w:rPr>
                <w:sz w:val="24"/>
                <w:rFonts w:ascii="Times New Roman" w:hAnsi="Times New Roman"/>
              </w:rPr>
              <w:t xml:space="preserve">“Pārejas”, ja iestāde izvēlas atklāt sviras rādītāju saskaņā ar Regulas (ES) Nr. 575/2013 499. panta 1. punkta b) apakšpunktu.</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Bruto VFD aktīvu dienas vērtību vidējais rādītājs pēc korekcijas attiecībā uz tirdzniecības uzskaites darījumiem un atskaitot saistītās saņemamās naudas un maksājamās naudas summas</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sz w:val="24"/>
                <w:rStyle w:val="TeksttreciPogrubienie"/>
                <w:b w:val="0"/>
                <w:color w:val="auto"/>
                <w:rFonts w:ascii="Times New Roman" w:hAnsi="Times New Roman"/>
              </w:rPr>
              <w:t xml:space="preserve">Regulas (ES) Nr. 575/2013 451. panta 3. punkts;</w:t>
            </w:r>
            <w:r>
              <w:rPr>
                <w:sz w:val="24"/>
                <w:rStyle w:val="TeksttreciPogrubienie"/>
                <w:b w:val="0"/>
                <w:color w:val="auto"/>
                <w:rFonts w:ascii="Times New Roman" w:hAnsi="Times New Roman"/>
              </w:rPr>
              <w:t xml:space="preserve"> </w:t>
            </w:r>
            <w:r>
              <w:rPr>
                <w:sz w:val="24"/>
                <w:rStyle w:val="TeksttreciPogrubienie"/>
                <w:b w:val="0"/>
                <w:color w:val="auto"/>
                <w:rFonts w:ascii="Times New Roman" w:hAnsi="Times New Roman"/>
              </w:rPr>
              <w:t xml:space="preserve">14. un 15. rindas summu vidējā vērtība, pamatojoties uz summām, kas aprēķinātas par katru informācijas atklāšanas ceturkšņa dienu.</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b w:val="0"/>
                <w:color w:val="auto"/>
                <w:sz w:val="24"/>
                <w:b/>
                <w:rFonts w:ascii="Times New Roman" w:hAnsi="Times New Roman"/>
              </w:rPr>
              <w:t xml:space="preserve">Bruto VFD aktīvu vērtība ceturkšņa beigās pēc korekcijas attiecībā uz tirdzniecības uzskaites darījumiem un atskaitot saistītās saņemamās naudas un maksājamās naudas summas</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b w:val="0"/>
                <w:color w:val="auto"/>
                <w:sz w:val="24"/>
                <w:rFonts w:ascii="Times New Roman" w:hAnsi="Times New Roman"/>
              </w:rPr>
              <w:t xml:space="preserve">Ja 14. un 15. rindas pamatā ir vērtības ceturkšņa beigās, šī vērtība ir 14. un 15. rindas summa.</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b w:val="0"/>
                <w:color w:val="auto"/>
                <w:sz w:val="24"/>
                <w:rFonts w:ascii="Times New Roman" w:hAnsi="Times New Roman"/>
              </w:rPr>
              <w:t xml:space="preserve">Ja 14. un 15. rindas pamatā ir vidējās vērtības, šī vērtība ir 14. un 15. rindas saturam atbilstošo ceturkšņa beigu vērtību summa.</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Kopējās riska darījumu vērtības mērs (ieskaitot jebkura piemērojamā centrālo banku rezervju pagaidu atbrīvojuma ietekmi), iekļaujot bruto VFD aktīvu vidējās vērtības no 28. rindas (pēc korekcijas attiecībā uz tirdzniecības uzskaites darījumiem un atskaitot saistītās saņemamās naudas un maksājamās naudas summas)</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b w:val="0"/>
                <w:color w:val="auto"/>
                <w:sz w:val="24"/>
                <w:rFonts w:ascii="Times New Roman" w:hAnsi="Times New Roman"/>
              </w:rPr>
              <w:t xml:space="preserve">Regulas (ES) Nr. 575/2013 451. panta 3. punkts.</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b w:val="0"/>
                <w:color w:val="auto"/>
                <w:sz w:val="24"/>
                <w:rFonts w:ascii="Times New Roman" w:hAnsi="Times New Roman"/>
              </w:rPr>
              <w:t xml:space="preserve">Kopējās riska darījumu vērtības mērs (ieskaitot jebkura piemērojamā centrālo banku rezervju pagaidu atbrīvojuma ietekmi), izmantojot vidējās vērtības, kas aprēķinātas par katru informācijas atklāšanas ceturkšņa dienu par riska darījumu vērtības mēra summām, kas saistītas ar bruto VFD aktīviem (pēc korekcijas attiecībā uz tirdzniecības uzskaites darījumiem un atskaitot saistītās saņemamās naudas un maksājamās naudas summas).</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Kopējās riska darījumu vērtības mērs (izņemot jebkura piemērojamā centrālo banku rezervju pagaidu atbrīvojuma ietekmi), iekļaujot bruto VFD aktīvu vidējās vērtības no 28. rindas (pēc korekcijas attiecībā uz tirdzniecības uzskaites darījumiem un atskaitot saistītās saņemamās naudas un maksājamās naudas summas)</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b w:val="0"/>
                <w:color w:val="auto"/>
                <w:sz w:val="24"/>
                <w:rFonts w:ascii="Times New Roman" w:hAnsi="Times New Roman"/>
              </w:rPr>
              <w:t xml:space="preserve">Regulas (ES) Nr. 575/2013 451. panta 3. punkts.</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b w:val="0"/>
                <w:color w:val="auto"/>
                <w:sz w:val="24"/>
                <w:rFonts w:ascii="Times New Roman" w:hAnsi="Times New Roman"/>
              </w:rPr>
              <w:t xml:space="preserve">Kopējās riska darījumu vērtības mērs (izņemot jebkura piemērojamā centrālo banku rezervju pagaidu atbrīvojuma ietekmi), izmantojot vidējās vērtības, kas aprēķinātas par katru informācijas atklāšanas ceturkšņa dienu par riska darījumu vērtības mēra summām, kas saistītas ar bruto VFD aktīviem (pēc korekcijas attiecībā uz tirdzniecības uzskaites darījumiem un atskaitot saistītās saņemamās naudas un maksājamās naudas summas).</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b w:val="0"/>
                <w:color w:val="auto"/>
                <w:sz w:val="24"/>
                <w:rFonts w:ascii="Times New Roman" w:hAnsi="Times New Roman"/>
              </w:rPr>
              <w:t xml:space="preserve">Ja iestādes kopējās riska darījumu vērtības mēram nepiemēro centrālās bankas rezervju pagaidu atbrīvojumu, šī vērtība būs identiska šīs veidnes 30. rindā atklātajai vērtībai.</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Sviras rādītājs (ieskaitot jebkura piemērojamā centrālo banku rezervju pagaidu atbrīvojuma ietekmi), iekļaujot bruto VFD aktīvu vidējās vērtības no 28. rindas (pēc korekcijas attiecībā uz tirdzniecības uzskaites darījumiem un atskaitot saistītās saņemamās naudas un maksājamās naudas summas)</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b w:val="0"/>
                <w:color w:val="auto"/>
                <w:sz w:val="24"/>
                <w:rFonts w:ascii="Times New Roman" w:hAnsi="Times New Roman"/>
              </w:rPr>
              <w:t xml:space="preserve">Regulas (ES) Nr. 575/2013 451. panta 3. punkts.</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color w:val="auto"/>
                <w:sz w:val="24"/>
                <w:szCs w:val="24"/>
                <w:rFonts w:ascii="Times New Roman" w:hAnsi="Times New Roman" w:cs="Times New Roman"/>
              </w:rPr>
            </w:pPr>
            <w:r>
              <w:rPr>
                <w:rStyle w:val="TeksttreciPogrubienie"/>
                <w:color w:val="auto"/>
                <w:sz w:val="24"/>
                <w:rFonts w:ascii="Times New Roman" w:hAnsi="Times New Roman"/>
              </w:rPr>
              <w:t xml:space="preserve">Sviras rādītājs (izņemot jebkura piemērojamā centrālo banku rezervju pagaidu atbrīvojuma ietekmi), iekļaujot bruto VFD aktīvu vidējās vērtības no 28. rindas (pēc korekcijas attiecībā uz tirdzniecības uzskaites darījumiem un atskaitot saistītās saņemamās naudas un maksājamās naudas summas)</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rStyle w:val="TeksttreciPogrubienie"/>
                <w:b w:val="0"/>
                <w:color w:val="auto"/>
                <w:sz w:val="24"/>
                <w:rFonts w:ascii="Times New Roman" w:hAnsi="Times New Roman"/>
              </w:rPr>
              <w:t xml:space="preserve">Regulas (ES) Nr. 575/2013 451. panta 3. punkts.</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sz w:val="24"/>
          <w:szCs w:val="24"/>
          <w:rFonts w:ascii="Times New Roman" w:hAnsi="Times New Roman" w:cs="Times New Roman"/>
        </w:rPr>
      </w:pPr>
      <w:r>
        <w:rPr>
          <w:sz w:val="24"/>
          <w:rFonts w:ascii="Times New Roman" w:hAnsi="Times New Roman"/>
        </w:rPr>
        <w:t xml:space="preserve">Veidne EU LR3 – LRSpl:</w:t>
      </w:r>
      <w:r>
        <w:rPr>
          <w:sz w:val="24"/>
          <w:rFonts w:ascii="Times New Roman" w:hAnsi="Times New Roman"/>
        </w:rPr>
        <w:t xml:space="preserve"> </w:t>
      </w:r>
      <w:r>
        <w:rPr>
          <w:sz w:val="24"/>
          <w:rFonts w:ascii="Times New Roman" w:hAnsi="Times New Roman"/>
        </w:rPr>
        <w:t xml:space="preserve">bilances riska darījumu sadalījums (izņemot atvasinātos instrumentus, VFD un riska darījumus, kam piemērots atbrīvojums).</w:t>
      </w:r>
      <w:r>
        <w:rPr>
          <w:sz w:val="24"/>
          <w:rFonts w:ascii="Times New Roman" w:hAnsi="Times New Roman"/>
        </w:rPr>
        <w:t xml:space="preserve"> </w:t>
      </w:r>
      <w:r>
        <w:rPr>
          <w:sz w:val="24"/>
          <w:b w:val="0"/>
          <w:rFonts w:ascii="Times New Roman" w:hAnsi="Times New Roman"/>
        </w:rPr>
        <w:t xml:space="preserve">Fiksēts formāts.</w:t>
      </w:r>
    </w:p>
    <w:p w14:paraId="69E0A0FD" w14:textId="701FBE2E" w:rsidR="00646595" w:rsidRPr="007717F5" w:rsidRDefault="00646595" w:rsidP="00646595">
      <w:pPr>
        <w:pStyle w:val="ListParagraph"/>
        <w:numPr>
          <w:ilvl w:val="0"/>
          <w:numId w:val="6"/>
        </w:numPr>
        <w:spacing w:after="120"/>
        <w:ind w:left="426"/>
        <w:rPr>
          <w:sz w:val="24"/>
          <w:szCs w:val="24"/>
          <w:rFonts w:ascii="Times New Roman" w:hAnsi="Times New Roman"/>
        </w:rPr>
      </w:pPr>
      <w:r>
        <w:rPr>
          <w:sz w:val="24"/>
          <w:rFonts w:ascii="Times New Roman" w:hAnsi="Times New Roman"/>
        </w:rPr>
        <w:t xml:space="preserve">Iestādes ievēro šajā iedaļā sniegtos norādījumus, lai aizpildītu veidni LRSpl, piemērojot Regulas (ES) Nr. 575/2013 451. panta 1. punkta b)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sz w:val="24"/>
                <w:rFonts w:ascii="Times New Roman" w:hAnsi="Times New Roman" w:cs="Times New Roman"/>
              </w:rPr>
            </w:pPr>
            <w:r>
              <w:rPr>
                <w:b/>
                <w:sz w:val="24"/>
                <w:rFonts w:ascii="Times New Roman" w:hAnsi="Times New Roman"/>
              </w:rPr>
              <w:t xml:space="preserve">Paskaidrojums</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Kopējie bilances riska darījumi (izņemot atvasinātos instrumentus, VFD un riska darījumus, kam piemērots atbrīvojums), t. sk.:</w:t>
            </w:r>
          </w:p>
          <w:p w14:paraId="69E0A105"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veidnes EU LR3-LRSpl EU-2. un EU-3. rindā iekļauto vērtību summu.</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Tirdzniecības portfeļa riska darījumi</w:t>
            </w:r>
          </w:p>
          <w:p w14:paraId="69E0A109"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riska darījumus, kas ir daļa no to aktīvu kopējās riska darījumu vērtības, kuri pieder pie tirdzniecības portfeļa, izņemot atvasinātos instrumentus, VFD un riska darījumus, kam piemērots atbrīvojums.</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Bankas tirdzniecības portfeļa riska darījumi, t. sk.:</w:t>
            </w:r>
          </w:p>
          <w:p w14:paraId="69E0A10D"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veidnes EU LR3-LRSpl EU-4. līdz EU-12. rindā iekļauto vērtību summu.</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Segtās obligācijas</w:t>
            </w:r>
          </w:p>
          <w:p w14:paraId="69E0A111" w14:textId="1F8DC385"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riska darījumu summu, kas ir to aktīvu kopējā riska darījumu vērtība, kuri ir segtās obligācijas, kā definēts Regulas (ES) Nr. 575/2013 129. pantā un 161. panta 1. punkta d) apakšpunktā.</w:t>
            </w:r>
          </w:p>
          <w:p w14:paraId="69E0A112" w14:textId="77777777" w:rsidR="00646595" w:rsidRPr="007717F5" w:rsidRDefault="00646595" w:rsidP="00E9371F">
            <w:pPr>
              <w:pStyle w:val="BodyText1"/>
              <w:spacing w:after="120" w:line="240" w:lineRule="auto"/>
              <w:rPr>
                <w:bCs/>
                <w:color w:val="auto"/>
                <w:sz w:val="24"/>
                <w:szCs w:val="24"/>
                <w:rFonts w:ascii="Times New Roman" w:hAnsi="Times New Roman"/>
              </w:rPr>
            </w:pPr>
            <w:r>
              <w:rPr>
                <w:color w:val="auto"/>
                <w:sz w:val="24"/>
                <w:rFonts w:ascii="Times New Roman" w:hAnsi="Times New Roman"/>
              </w:rPr>
              <w:t xml:space="preserve">Iestādes atklāj segto obligāciju riska darījumu kopējo vērtību, atskaitot riska darījumus, kuros netiek pildītas saistības.</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Riska darījumi, ko uzskata par riska darījumiem ar valsti</w:t>
            </w:r>
          </w:p>
          <w:p w14:paraId="69E0A116" w14:textId="1BA4E3DF" w:rsidR="00646595" w:rsidRPr="007717F5" w:rsidRDefault="00646595" w:rsidP="17C07D06">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riska darījumu summu, kas ir kopējā riska darījumu vērtība darījumos ar struktūrām, kuras saskaņā ar Regulu (ES) Nr. 575/2013 uzskata par valsti (centrālās valdības un centrālās bankas (Regulas (ES) Nr. 575/2013 114. pants un 147. panta 2. punkta a) apakšpunkts),</w:t>
            </w:r>
            <w:r>
              <w:rPr>
                <w:sz w:val="24"/>
                <w:rFonts w:ascii="Times New Roman" w:hAnsi="Times New Roman"/>
              </w:rPr>
              <w:t xml:space="preserve"> </w:t>
            </w:r>
            <w:r>
              <w:rPr>
                <w:sz w:val="24"/>
                <w:rFonts w:ascii="Times New Roman" w:hAnsi="Times New Roman"/>
              </w:rPr>
              <w:t xml:space="preserve">reģionālās pašvaldības un vietējās iestādes, ko uzskata par valsti (Regulas (ES) Nr. 575/2013 115. panta 2. un 4. punkts un 147. panta 3. punkta a) apakšpunkts), daudzpusējās attīstības bankas un starptautiskās organizācijas, kuras uzskata par valsti (Regulas (ES) Nr. 575/2013 117. panta 2. punkts, 118. pants un 147. panta 3. punkta b) un c) apakšpunkts), publiskā sektora struktūras (Regulas (ES) Nr. 575/2013 116. panta 4. punkts un 147. panta 3. punkta a) apakšpunkts).</w:t>
            </w:r>
          </w:p>
          <w:p w14:paraId="69E0A117" w14:textId="77777777" w:rsidR="00646595" w:rsidRPr="007717F5" w:rsidRDefault="00646595" w:rsidP="00E9371F">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Iestādes atklāj riska darījumu ar valsti kopējo vērtību, atskaitot riska darījumus, kuros netiek pildītas saistības.</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Riska darījumi ar reģionālajām pašvaldībām, DAB, starptautiskām organizācijām un PSS, kuras neuzskata par valsti</w:t>
            </w:r>
          </w:p>
          <w:p w14:paraId="69E0A11B" w14:textId="0C354BAB" w:rsidR="00646595" w:rsidRPr="007717F5" w:rsidRDefault="00646595" w:rsidP="17C07D06">
            <w:pPr>
              <w:pStyle w:val="BodyText1"/>
              <w:spacing w:after="120" w:line="240" w:lineRule="auto"/>
              <w:rPr>
                <w:color w:val="auto"/>
                <w:sz w:val="24"/>
                <w:szCs w:val="24"/>
                <w:rFonts w:ascii="Times New Roman" w:eastAsia="Book Antiqua" w:hAnsi="Times New Roman"/>
              </w:rPr>
            </w:pPr>
            <w:r>
              <w:rPr>
                <w:color w:val="auto"/>
                <w:sz w:val="24"/>
                <w:rFonts w:ascii="Times New Roman" w:hAnsi="Times New Roman"/>
              </w:rPr>
              <w:t xml:space="preserve">Iestādes atklāj riska darījumu summu, kas ir riska darījumu kopējā vērtība darījumos ar reģionālajām pašvaldībām un vietējām iestādēm, kā definēts Regulas (ES) Nr. 575/2013 115. panta 1., 3. un 5. punktā attiecībā uz </w:t>
            </w:r>
            <w:r>
              <w:rPr>
                <w:color w:val="auto"/>
                <w:sz w:val="24"/>
                <w:i/>
                <w:rFonts w:ascii="Times New Roman" w:hAnsi="Times New Roman"/>
              </w:rPr>
              <w:t xml:space="preserve">SA</w:t>
            </w:r>
            <w:r>
              <w:rPr>
                <w:color w:val="auto"/>
                <w:sz w:val="24"/>
                <w:rFonts w:ascii="Times New Roman" w:hAnsi="Times New Roman"/>
              </w:rPr>
              <w:t xml:space="preserve"> riska darījumiem un Regulas (ES) Nr. 575/2013 147. panta 4. punkta a) apakšpunktā attiecībā uz </w:t>
            </w:r>
            <w:r>
              <w:rPr>
                <w:color w:val="auto"/>
                <w:sz w:val="24"/>
                <w:i/>
                <w:rFonts w:ascii="Times New Roman" w:hAnsi="Times New Roman"/>
              </w:rPr>
              <w:t xml:space="preserve">IRB</w:t>
            </w:r>
            <w:r>
              <w:rPr>
                <w:color w:val="auto"/>
                <w:sz w:val="24"/>
                <w:rFonts w:ascii="Times New Roman" w:hAnsi="Times New Roman"/>
              </w:rPr>
              <w:t xml:space="preserve"> riska darījumiem;</w:t>
            </w:r>
            <w:r>
              <w:rPr>
                <w:color w:val="auto"/>
                <w:sz w:val="24"/>
                <w:rFonts w:ascii="Times New Roman" w:hAnsi="Times New Roman"/>
              </w:rPr>
              <w:t xml:space="preserve"> </w:t>
            </w:r>
            <w:r>
              <w:rPr>
                <w:color w:val="auto"/>
                <w:sz w:val="24"/>
                <w:rFonts w:ascii="Times New Roman" w:hAnsi="Times New Roman"/>
              </w:rPr>
              <w:t xml:space="preserve">daudzpusējām attīstības bankām, kā definēts Regulas (ES) Nr. 575/2013 117. panta 1. un 3. punktā attiecībā uz </w:t>
            </w:r>
            <w:r>
              <w:rPr>
                <w:color w:val="auto"/>
                <w:sz w:val="24"/>
                <w:i/>
                <w:rFonts w:ascii="Times New Roman" w:hAnsi="Times New Roman"/>
              </w:rPr>
              <w:t xml:space="preserve">SA</w:t>
            </w:r>
            <w:r>
              <w:rPr>
                <w:color w:val="auto"/>
                <w:sz w:val="24"/>
                <w:rFonts w:ascii="Times New Roman" w:hAnsi="Times New Roman"/>
              </w:rPr>
              <w:t xml:space="preserve"> riska darījumiem un Regulas (ES) Nr. 575/2013 147. panta 4. punkta c) apakšpunktā attiecībā uz </w:t>
            </w:r>
            <w:r>
              <w:rPr>
                <w:color w:val="auto"/>
                <w:sz w:val="24"/>
                <w:i/>
                <w:rFonts w:ascii="Times New Roman" w:hAnsi="Times New Roman"/>
              </w:rPr>
              <w:t xml:space="preserve">IRB</w:t>
            </w:r>
            <w:r>
              <w:rPr>
                <w:color w:val="auto"/>
                <w:sz w:val="24"/>
                <w:rFonts w:ascii="Times New Roman" w:hAnsi="Times New Roman"/>
              </w:rPr>
              <w:t xml:space="preserve"> riska darījumiem;</w:t>
            </w:r>
            <w:r>
              <w:rPr>
                <w:color w:val="auto"/>
                <w:sz w:val="24"/>
                <w:rFonts w:ascii="Times New Roman" w:hAnsi="Times New Roman"/>
              </w:rPr>
              <w:t xml:space="preserve"> </w:t>
            </w:r>
            <w:r>
              <w:rPr>
                <w:color w:val="auto"/>
                <w:sz w:val="24"/>
                <w:rFonts w:ascii="Times New Roman" w:hAnsi="Times New Roman"/>
              </w:rPr>
              <w:t xml:space="preserve">starptautiskām organizācijām un publiskā sektora struktūrām, kā definēts Regulas (ES) Nr. 575/2013 116. panta 1., 2., 3. un 5. punktā attiecībā uz </w:t>
            </w:r>
            <w:r>
              <w:rPr>
                <w:color w:val="auto"/>
                <w:sz w:val="24"/>
                <w:i/>
                <w:rFonts w:ascii="Times New Roman" w:hAnsi="Times New Roman"/>
              </w:rPr>
              <w:t xml:space="preserve">SA</w:t>
            </w:r>
            <w:r>
              <w:rPr>
                <w:color w:val="auto"/>
                <w:sz w:val="24"/>
                <w:rFonts w:ascii="Times New Roman" w:hAnsi="Times New Roman"/>
              </w:rPr>
              <w:t xml:space="preserve"> riska darījumiem un Regulas (ES) Nr. 575/2013 147. panta 4. punkta b) apakšpunktā attiecībā uz </w:t>
            </w:r>
            <w:r>
              <w:rPr>
                <w:color w:val="auto"/>
                <w:sz w:val="24"/>
                <w:i/>
                <w:rFonts w:ascii="Times New Roman" w:hAnsi="Times New Roman"/>
              </w:rPr>
              <w:t xml:space="preserve">IRB</w:t>
            </w:r>
            <w:r>
              <w:rPr>
                <w:color w:val="auto"/>
                <w:sz w:val="24"/>
                <w:rFonts w:ascii="Times New Roman" w:hAnsi="Times New Roman"/>
              </w:rPr>
              <w:t xml:space="preserve"> riska darījumiem, kurus saskaņā ar Regulu (ES) Nr. 575/2013 neuzskata par riska darījumiem ar valsti.</w:t>
            </w:r>
          </w:p>
          <w:p w14:paraId="69E0A11C" w14:textId="77777777" w:rsidR="00646595" w:rsidRPr="007717F5" w:rsidRDefault="00646595" w:rsidP="00E9371F">
            <w:pPr>
              <w:pStyle w:val="BodyText1"/>
              <w:spacing w:after="120" w:line="240" w:lineRule="auto"/>
              <w:rPr>
                <w:bCs/>
                <w:color w:val="auto"/>
                <w:sz w:val="24"/>
                <w:szCs w:val="24"/>
                <w:rFonts w:ascii="Times New Roman" w:hAnsi="Times New Roman"/>
              </w:rPr>
            </w:pPr>
            <w:r>
              <w:rPr>
                <w:color w:val="auto"/>
                <w:sz w:val="24"/>
                <w:rFonts w:ascii="Times New Roman" w:hAnsi="Times New Roman"/>
              </w:rPr>
              <w:t xml:space="preserve">Iestādes atklāj iepriekš minēto riska darījumu kopējo vērtību, atskaitot riska darījumus, kuros netiek pildītas saistības.</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Riska darījumi ar iestādēm</w:t>
            </w:r>
          </w:p>
          <w:p w14:paraId="69E0A120" w14:textId="1CE54689" w:rsidR="00646595" w:rsidRPr="007717F5" w:rsidRDefault="00646595" w:rsidP="17C07D06">
            <w:pPr>
              <w:pStyle w:val="Teksttreci0"/>
              <w:shd w:val="clear" w:color="auto" w:fill="auto"/>
              <w:spacing w:after="120" w:line="240" w:lineRule="auto"/>
              <w:ind w:firstLine="0"/>
              <w:rPr>
                <w:sz w:val="24"/>
                <w:szCs w:val="24"/>
                <w:rFonts w:ascii="Times New Roman" w:eastAsia="Times New Roman" w:hAnsi="Times New Roman" w:cs="Times New Roman"/>
              </w:rPr>
            </w:pPr>
            <w:r>
              <w:rPr>
                <w:sz w:val="24"/>
                <w:rFonts w:ascii="Times New Roman" w:hAnsi="Times New Roman"/>
              </w:rPr>
              <w:t xml:space="preserve">Iestādes atklāj riska darījumu summu, kas ir riska darījumu vērtība darījumiem ar iestādēm, uz kurām attiecas Regulas (ES) Nr. 575/2013 119.–121. pants attiecībā uz </w:t>
            </w:r>
            <w:r>
              <w:rPr>
                <w:sz w:val="24"/>
                <w:i/>
                <w:rFonts w:ascii="Times New Roman" w:hAnsi="Times New Roman"/>
              </w:rPr>
              <w:t xml:space="preserve">SA</w:t>
            </w:r>
            <w:r>
              <w:rPr>
                <w:sz w:val="24"/>
                <w:rFonts w:ascii="Times New Roman" w:hAnsi="Times New Roman"/>
              </w:rPr>
              <w:t xml:space="preserve"> riska darījumiem un Regulas (ES) Nr. 575/2013 147. panta 2. punkta b) apakšpunkts attiecībā uz </w:t>
            </w:r>
            <w:r>
              <w:rPr>
                <w:sz w:val="24"/>
                <w:i/>
                <w:rFonts w:ascii="Times New Roman" w:hAnsi="Times New Roman"/>
              </w:rPr>
              <w:t xml:space="preserve">IRB</w:t>
            </w:r>
            <w:r>
              <w:rPr>
                <w:sz w:val="24"/>
                <w:rFonts w:ascii="Times New Roman" w:hAnsi="Times New Roman"/>
              </w:rPr>
              <w:t xml:space="preserve">, un darījumiem, kuri nav riska darījumi segto obligāciju veidā saskaņā ar Regulas (ES) Nr. 575/2013 161. panta 1. punkta d) apakšpunktu un uz kuriem neattiecas Regulas (ES) Nr. 575/2013 147. panta 4. punkta a)–c) apakšpunkts.</w:t>
            </w:r>
          </w:p>
          <w:p w14:paraId="69E0A121" w14:textId="77777777" w:rsidR="00646595" w:rsidRPr="007717F5" w:rsidRDefault="00646595" w:rsidP="00E9371F">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Iestādes atklāj riska darījumu kopējo vērtību, atskaitot riska darījumus, kuros netiek pildītas saistības.</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Nodrošināti ar nekustamā īpašuma hipotēku</w:t>
            </w:r>
          </w:p>
          <w:p w14:paraId="69E0A125" w14:textId="1DF4863A" w:rsidR="00646595" w:rsidRPr="007717F5" w:rsidRDefault="00646595" w:rsidP="17C07D06">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Iestādes atklāj riska darījumu summu, kas ir to aktīvu riska darījumu vērtība, kuri ir riska darījumi, kas nodrošināti ar nekustamā īpašuma hipotēku un uz ko attiecas Regulas (ES) Nr. 575/2013 124. pants </w:t>
            </w:r>
            <w:r>
              <w:rPr>
                <w:color w:val="auto"/>
                <w:sz w:val="24"/>
                <w:i/>
                <w:rFonts w:ascii="Times New Roman" w:hAnsi="Times New Roman"/>
              </w:rPr>
              <w:t xml:space="preserve">SA</w:t>
            </w:r>
            <w:r>
              <w:rPr>
                <w:color w:val="auto"/>
                <w:sz w:val="24"/>
                <w:rFonts w:ascii="Times New Roman" w:hAnsi="Times New Roman"/>
              </w:rPr>
              <w:t xml:space="preserve"> riska darījumu gadījumā, un kuri ir riska darījumi ar komercsabiedrībām saskaņā ar Regulas (ES) Nr. 575/2013 147. panta 2. punkta c) apakšpunktu vai riska darījumi ar privātpersonām vai MVU saskaņā ar Regulas (ES) Nr. 575/2013 147. panta 2. punkta d) apakšpunktu, ja šie riska darījumi ir nodrošināti ar nekustamā īpašuma hipotēku saskaņā ar Regulas (ES) Nr. 575/2013 199. panta 1. punkta a) apakšpunktu attiecībā uz </w:t>
            </w:r>
            <w:r>
              <w:rPr>
                <w:color w:val="auto"/>
                <w:sz w:val="24"/>
                <w:i/>
                <w:rFonts w:ascii="Times New Roman" w:hAnsi="Times New Roman"/>
              </w:rPr>
              <w:t xml:space="preserve">IRB</w:t>
            </w:r>
            <w:r>
              <w:rPr>
                <w:color w:val="auto"/>
                <w:sz w:val="24"/>
                <w:rFonts w:ascii="Times New Roman" w:hAnsi="Times New Roman"/>
              </w:rPr>
              <w:t xml:space="preserve"> riska darījumiem.</w:t>
            </w:r>
            <w:r>
              <w:rPr>
                <w:color w:val="auto"/>
                <w:sz w:val="24"/>
                <w:rFonts w:ascii="Times New Roman" w:hAnsi="Times New Roman"/>
              </w:rPr>
              <w:t xml:space="preserve"> </w:t>
            </w:r>
          </w:p>
          <w:p w14:paraId="69E0A126" w14:textId="77777777" w:rsidR="00646595" w:rsidRPr="007717F5" w:rsidRDefault="00646595" w:rsidP="00E9371F">
            <w:pPr>
              <w:pStyle w:val="BodyText1"/>
              <w:spacing w:after="120" w:line="240" w:lineRule="auto"/>
              <w:rPr>
                <w:bCs/>
                <w:color w:val="auto"/>
                <w:sz w:val="24"/>
                <w:szCs w:val="24"/>
                <w:rFonts w:ascii="Times New Roman" w:hAnsi="Times New Roman"/>
              </w:rPr>
            </w:pPr>
            <w:r>
              <w:rPr>
                <w:color w:val="auto"/>
                <w:sz w:val="24"/>
                <w:rFonts w:ascii="Times New Roman" w:hAnsi="Times New Roman"/>
              </w:rPr>
              <w:t xml:space="preserve">Iestādes atklāj riska darījumu kopējo vērtību, atskaitot riska darījumus, kuros netiek pildītas saistības.</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Riska darījumi ar privātpersonām vai MVU</w:t>
            </w:r>
          </w:p>
          <w:p w14:paraId="69E0A12A" w14:textId="2B0AE4A6" w:rsidR="00646595" w:rsidRPr="007717F5" w:rsidRDefault="00646595" w:rsidP="17C07D06">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Iestādes atklāj riska darījumu summu, kas ir to aktīvu riska darījumu kopējā vērtība, kuri ir riska darījumi ar privātpersonām vai MVU saskaņā ar Regulas (ES) Nr. 575/2013 123. pantu attiecībā uz </w:t>
            </w:r>
            <w:r>
              <w:rPr>
                <w:color w:val="auto"/>
                <w:sz w:val="24"/>
                <w:i/>
                <w:rFonts w:ascii="Times New Roman" w:hAnsi="Times New Roman"/>
              </w:rPr>
              <w:t xml:space="preserve">SA</w:t>
            </w:r>
            <w:r>
              <w:rPr>
                <w:color w:val="auto"/>
                <w:sz w:val="24"/>
                <w:rFonts w:ascii="Times New Roman" w:hAnsi="Times New Roman"/>
              </w:rPr>
              <w:t xml:space="preserve"> riska darījumiem un kuri ir riska darījumi saskaņā ar Regulas (ES) Nr. 575/2013 147. panta 2. punkta d) apakšpunktu, ja šie riska darījumi </w:t>
            </w:r>
            <w:r>
              <w:rPr>
                <w:color w:val="auto"/>
                <w:sz w:val="24"/>
                <w:b/>
                <w:u w:val="single"/>
                <w:rFonts w:ascii="Times New Roman" w:hAnsi="Times New Roman"/>
              </w:rPr>
              <w:t xml:space="preserve">nav</w:t>
            </w:r>
            <w:r>
              <w:rPr>
                <w:color w:val="auto"/>
                <w:sz w:val="24"/>
                <w:rFonts w:ascii="Times New Roman" w:hAnsi="Times New Roman"/>
              </w:rPr>
              <w:t xml:space="preserve"> nodrošināti ar nekustamā īpašuma hipotēku saskaņā ar Regulas (ES) Nr. 575/2013 199. panta 1. punkta a) apakšpunktu attiecībā uz </w:t>
            </w:r>
            <w:r>
              <w:rPr>
                <w:color w:val="auto"/>
                <w:sz w:val="24"/>
                <w:i/>
                <w:rFonts w:ascii="Times New Roman" w:hAnsi="Times New Roman"/>
              </w:rPr>
              <w:t xml:space="preserve">IRB</w:t>
            </w:r>
            <w:r>
              <w:rPr>
                <w:color w:val="auto"/>
                <w:sz w:val="24"/>
                <w:rFonts w:ascii="Times New Roman" w:hAnsi="Times New Roman"/>
              </w:rPr>
              <w:t xml:space="preserve"> riska darījumiem.</w:t>
            </w:r>
            <w:r>
              <w:rPr>
                <w:color w:val="auto"/>
                <w:sz w:val="24"/>
                <w:rFonts w:ascii="Times New Roman" w:hAnsi="Times New Roman"/>
              </w:rPr>
              <w:t xml:space="preserve"> </w:t>
            </w:r>
          </w:p>
          <w:p w14:paraId="69E0A12B"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riska darījumu kopējo vērtību, atskaitot riska darījumus, kuros netiek pildītas saistības.</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Riska darījumi ar komercsabiedrībām</w:t>
            </w:r>
          </w:p>
          <w:p w14:paraId="69E0A12F" w14:textId="1B36858A" w:rsidR="00646595" w:rsidRPr="007717F5" w:rsidRDefault="00646595" w:rsidP="17C07D06">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riska darījumu summu, kas ir to aktīvu riska darījumu kopējā vērtība, kuri ir riska darījumi ar komercsabiedrībām (t. i., finanšu un nefinanšu sabiedrībām).</w:t>
            </w:r>
            <w:r>
              <w:rPr>
                <w:sz w:val="24"/>
                <w:rFonts w:ascii="Times New Roman" w:hAnsi="Times New Roman"/>
              </w:rPr>
              <w:t xml:space="preserve"> </w:t>
            </w:r>
            <w:r>
              <w:rPr>
                <w:sz w:val="24"/>
                <w:rFonts w:ascii="Times New Roman" w:hAnsi="Times New Roman"/>
              </w:rPr>
              <w:t xml:space="preserve">Attiecībā uz </w:t>
            </w:r>
            <w:r>
              <w:rPr>
                <w:sz w:val="24"/>
                <w:i/>
                <w:rFonts w:ascii="Times New Roman" w:hAnsi="Times New Roman"/>
              </w:rPr>
              <w:t xml:space="preserve">SA</w:t>
            </w:r>
            <w:r>
              <w:rPr>
                <w:sz w:val="24"/>
                <w:rFonts w:ascii="Times New Roman" w:hAnsi="Times New Roman"/>
              </w:rPr>
              <w:t xml:space="preserve"> riska darījumiem tie ir riska darījumi ar komercsabiedrībām, uz kurām attiecas Regulas (ES) Nr. 575/2013 122. pants, bet attiecībā uz </w:t>
            </w:r>
            <w:r>
              <w:rPr>
                <w:sz w:val="24"/>
                <w:i/>
                <w:rFonts w:ascii="Times New Roman" w:hAnsi="Times New Roman"/>
              </w:rPr>
              <w:t xml:space="preserve">IRB</w:t>
            </w:r>
            <w:r>
              <w:rPr>
                <w:sz w:val="24"/>
                <w:rFonts w:ascii="Times New Roman" w:hAnsi="Times New Roman"/>
              </w:rPr>
              <w:t xml:space="preserve"> riska darījumiem – riska darījumi ar komercsabiedrībām saskaņā ar Regulas (ES) Nr. 575/2013 147. panta 2. punkta c) apakšpunktu, ja šie riska darījumi </w:t>
            </w:r>
            <w:r>
              <w:rPr>
                <w:sz w:val="24"/>
                <w:b/>
                <w:u w:val="single"/>
                <w:rFonts w:ascii="Times New Roman" w:hAnsi="Times New Roman"/>
              </w:rPr>
              <w:t xml:space="preserve">nav</w:t>
            </w:r>
            <w:r>
              <w:rPr>
                <w:sz w:val="24"/>
                <w:rFonts w:ascii="Times New Roman" w:hAnsi="Times New Roman"/>
              </w:rPr>
              <w:t xml:space="preserve"> nodrošināti ar nekustamā īpašuma hipotēku saskaņā ar Regulas (ES) Nr. 575/2013 199. panta 1. punkta a) apakšpunktu.</w:t>
            </w:r>
          </w:p>
          <w:p w14:paraId="69E0A130" w14:textId="45AC6532" w:rsidR="00646595" w:rsidRPr="007717F5" w:rsidRDefault="00646595" w:rsidP="17C07D06">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Finanšu sabiedrības ir tādas regulētas un neregulētas sabiedrības, izņemot šīs veidnes EU-7. rindā minētās iestādes, kuru galvenā uzņēmējdarbība ir līdzdalību iegāde vai vienas vai vairāku tādu darbību veikšana, kas uzskaitītas </w:t>
            </w:r>
            <w:r>
              <w:rPr>
                <w:sz w:val="24"/>
                <w:i/>
                <w:rFonts w:ascii="Times New Roman" w:hAnsi="Times New Roman"/>
              </w:rPr>
              <w:t xml:space="preserve">CRD</w:t>
            </w:r>
            <w:r>
              <w:rPr>
                <w:sz w:val="24"/>
                <w:rFonts w:ascii="Times New Roman" w:hAnsi="Times New Roman"/>
              </w:rPr>
              <w:t xml:space="preserve"> I pielikumā, kā arī sabiedrības, kas definētas Regulas (ES) Nr. 575/2013 4. panta 1. punkta 27. apakšpunktā, izņemot šīs veidnes EU-7. rindā minētās iestādes.</w:t>
            </w:r>
          </w:p>
          <w:p w14:paraId="69E0A131" w14:textId="4B0BACF1" w:rsidR="00646595" w:rsidRPr="007717F5" w:rsidRDefault="00646595" w:rsidP="17C07D06">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Šīs šūnas vajadzībām terminu “mazais un vidējais uzņēmums” definē saskaņā ar Regulas (ES) Nr. 575/2013 501. panta 2. punkta b) apakšpunktu.</w:t>
            </w:r>
          </w:p>
          <w:p w14:paraId="69E0A132"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riska darījumu kopējo vērtību, atskaitot riska darījumus, kuros netiek pildītas saistības.</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Riska darījumi, kuros netiek pildītas saistības</w:t>
            </w:r>
          </w:p>
          <w:p w14:paraId="69E0A136" w14:textId="18E90D6D" w:rsidR="00646595" w:rsidRPr="007717F5" w:rsidRDefault="00646595">
            <w:pPr>
              <w:pStyle w:val="BodyText1"/>
              <w:spacing w:after="120" w:line="240" w:lineRule="auto"/>
              <w:rPr>
                <w:color w:val="auto"/>
                <w:sz w:val="24"/>
                <w:szCs w:val="24"/>
                <w:rFonts w:ascii="Times New Roman" w:hAnsi="Times New Roman"/>
              </w:rPr>
            </w:pPr>
            <w:r>
              <w:rPr>
                <w:color w:val="auto"/>
                <w:sz w:val="24"/>
                <w:rFonts w:ascii="Times New Roman" w:hAnsi="Times New Roman"/>
              </w:rPr>
              <w:t xml:space="preserve">Iestādes atklāj riska darījumu summu, kas ir to aktīvu riska darījumu kopējā vērtība, kuriem iestājusies saistību neizpilde un </w:t>
            </w:r>
            <w:r>
              <w:rPr>
                <w:color w:val="auto"/>
                <w:sz w:val="24"/>
                <w:i/>
                <w:rFonts w:ascii="Times New Roman" w:hAnsi="Times New Roman"/>
              </w:rPr>
              <w:t xml:space="preserve">SA</w:t>
            </w:r>
            <w:r>
              <w:rPr>
                <w:color w:val="auto"/>
                <w:sz w:val="24"/>
                <w:rFonts w:ascii="Times New Roman" w:hAnsi="Times New Roman"/>
              </w:rPr>
              <w:t xml:space="preserve"> riska darījumu gadījumā </w:t>
            </w:r>
            <w:r>
              <w:rPr>
                <w:color w:val="auto"/>
                <w:sz w:val="24"/>
                <w:i/>
                <w:rFonts w:ascii="Times New Roman" w:hAnsi="Times New Roman"/>
              </w:rPr>
              <w:t xml:space="preserve">–</w:t>
            </w:r>
            <w:r>
              <w:rPr>
                <w:color w:val="auto"/>
                <w:sz w:val="24"/>
                <w:rFonts w:ascii="Times New Roman" w:hAnsi="Times New Roman"/>
              </w:rPr>
              <w:t xml:space="preserve"> uz kuriem attiecas Regulas (ES) Nr. 575/2013 127. pants vai </w:t>
            </w:r>
            <w:r>
              <w:rPr>
                <w:color w:val="auto"/>
                <w:sz w:val="24"/>
                <w:i/>
                <w:rFonts w:ascii="Times New Roman" w:hAnsi="Times New Roman"/>
              </w:rPr>
              <w:t xml:space="preserve">IRB</w:t>
            </w:r>
            <w:r>
              <w:rPr>
                <w:color w:val="auto"/>
                <w:sz w:val="24"/>
                <w:rFonts w:ascii="Times New Roman" w:hAnsi="Times New Roman"/>
              </w:rPr>
              <w:t xml:space="preserve"> riska darījumu gadījumā – kuri ir klasificēti riska darījumu kategorijās, kas uzskaitītas Regulas (ES) Nr. 575/2013 147. panta 2. punktā, ja ir iestājusies saistību neizpilde saskaņā ar Regulas (ES) Nr. 575/2013 178. pantu.</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Citi riska darījumi (piemēram, pašu kapitāls, vērtspapīrošanas darījumi un citi aktīvi, kas nav kredītsaistības)</w:t>
            </w:r>
          </w:p>
          <w:p w14:paraId="69E0A13A" w14:textId="0BF4831C"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Iestādes atklāj riska darījumu summu, kas ir citu Regulā (ES) Nr. 575/2013 noteikto netirdzniecības portfeļa riska darījumu (piemēram, pašu kapitāla, vērtspapīrošanas darījumu un citu aktīvu, kas nav kredītsaistības) kopējā vērtība;</w:t>
            </w:r>
            <w:r>
              <w:rPr>
                <w:sz w:val="24"/>
                <w:rFonts w:ascii="Times New Roman" w:hAnsi="Times New Roman"/>
              </w:rPr>
              <w:t xml:space="preserve"> </w:t>
            </w:r>
            <w:r>
              <w:rPr>
                <w:sz w:val="24"/>
                <w:i/>
                <w:rFonts w:ascii="Times New Roman" w:hAnsi="Times New Roman"/>
              </w:rPr>
              <w:t xml:space="preserve">SA</w:t>
            </w:r>
            <w:r>
              <w:rPr>
                <w:sz w:val="24"/>
                <w:rFonts w:ascii="Times New Roman" w:hAnsi="Times New Roman"/>
              </w:rPr>
              <w:t xml:space="preserve"> riska darījumu gadījumā šie aktīvi ir klasificēti riska darījumu kategorijās, kas uzskaitītas Regulas (ES) Nr. 575/2013 112. panta k), m), n), o), p) un q) apakšpunktā, un </w:t>
            </w:r>
            <w:r>
              <w:rPr>
                <w:sz w:val="24"/>
                <w:i/>
                <w:rFonts w:ascii="Times New Roman" w:hAnsi="Times New Roman"/>
              </w:rPr>
              <w:t xml:space="preserve">IRB</w:t>
            </w:r>
            <w:r>
              <w:rPr>
                <w:sz w:val="24"/>
                <w:rFonts w:ascii="Times New Roman" w:hAnsi="Times New Roman"/>
              </w:rPr>
              <w:t xml:space="preserve"> riska darījumu gadījumā – Regulas (ES) Nr. 575/2013 147. panta 2. punkta e), f) un g) apakšpunktā.</w:t>
            </w:r>
            <w:r>
              <w:rPr>
                <w:sz w:val="24"/>
                <w:rFonts w:ascii="Times New Roman" w:hAnsi="Times New Roman"/>
              </w:rPr>
              <w:t xml:space="preserve"> </w:t>
            </w:r>
            <w:r>
              <w:rPr>
                <w:sz w:val="24"/>
                <w:rFonts w:ascii="Times New Roman" w:hAnsi="Times New Roman"/>
              </w:rPr>
              <w:t xml:space="preserve">Iestādes iekļauj aktīvus, kas atskaitīti, nosakot pirmā līmeņa kapitālu un tāpēc ir atklāti veidnes EU LR2-LRCom 2. rindā, izņemot, ja šie aktīvi ir iekļauti veidnes EU LR3-LRSpl EU-2. un EU-4. līdz EU-11. rindā.</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sz w:val="24"/>
          <w:szCs w:val="24"/>
          <w:rFonts w:ascii="Times New Roman" w:hAnsi="Times New Roman" w:cs="Times New Roman"/>
        </w:rPr>
      </w:pPr>
      <w:r>
        <w:rPr>
          <w:sz w:val="24"/>
          <w:rFonts w:ascii="Times New Roman" w:hAnsi="Times New Roman"/>
        </w:rPr>
        <w:t xml:space="preserve">Tabula EU LRA – Sviras rādītāja kvalitatīvās informācijas atklāšana.</w:t>
      </w:r>
      <w:r>
        <w:rPr>
          <w:sz w:val="24"/>
          <w:rFonts w:ascii="Times New Roman" w:hAnsi="Times New Roman"/>
        </w:rPr>
        <w:t xml:space="preserve"> </w:t>
      </w:r>
      <w:r>
        <w:rPr>
          <w:sz w:val="24"/>
          <w:b w:val="0"/>
          <w:rFonts w:ascii="Times New Roman" w:hAnsi="Times New Roman"/>
        </w:rPr>
        <w:t xml:space="preserve">Brīva formāta tekstlogi kvalitatīvas informācijas atklāšanai.</w:t>
      </w:r>
    </w:p>
    <w:p w14:paraId="69E0A13E" w14:textId="1920A526" w:rsidR="00646595" w:rsidRPr="007717F5" w:rsidRDefault="00646595" w:rsidP="17C07D06">
      <w:pPr>
        <w:pStyle w:val="ListParagraph"/>
        <w:numPr>
          <w:ilvl w:val="0"/>
          <w:numId w:val="6"/>
        </w:numPr>
        <w:spacing w:after="120"/>
        <w:ind w:left="426"/>
        <w:rPr>
          <w:rStyle w:val="TeksttreciPogrubienie"/>
          <w:b w:val="0"/>
          <w:bCs w:val="0"/>
          <w:color w:val="auto"/>
          <w:sz w:val="24"/>
          <w:szCs w:val="24"/>
          <w:rFonts w:ascii="Times New Roman" w:hAnsi="Times New Roman" w:cs="Times New Roman"/>
        </w:rPr>
      </w:pPr>
      <w:r>
        <w:rPr>
          <w:sz w:val="24"/>
          <w:rFonts w:ascii="Times New Roman" w:hAnsi="Times New Roman"/>
        </w:rPr>
        <w:t xml:space="preserve">Iestādes aizpilda tabulu</w:t>
      </w:r>
      <w:r>
        <w:rPr>
          <w:rFonts w:ascii="Times New Roman" w:hAnsi="Times New Roman"/>
        </w:rPr>
        <w:tab/>
      </w:r>
      <w:r>
        <w:rPr>
          <w:sz w:val="24"/>
          <w:rFonts w:ascii="Times New Roman" w:hAnsi="Times New Roman"/>
        </w:rPr>
        <w:t xml:space="preserve"> </w:t>
      </w:r>
      <w:r>
        <w:rPr>
          <w:sz w:val="24"/>
          <w:rFonts w:ascii="Times New Roman" w:hAnsi="Times New Roman"/>
        </w:rPr>
        <w:t xml:space="preserve">EU LRA saskaņā ar turpmāk sniegtajiem norādījumiem, piemērojot Regulas (ES) Nr. 575/2013 451. panta 1. punkta d) un e) apakšpunktu.</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sz w:val="24"/>
                <w:rFonts w:ascii="Times New Roman" w:hAnsi="Times New Roman" w:cs="Times New Roman"/>
              </w:rPr>
            </w:pPr>
            <w:r>
              <w:rPr>
                <w:b/>
                <w:sz w:val="24"/>
                <w:rFonts w:ascii="Times New Roman" w:hAnsi="Times New Roman"/>
              </w:rPr>
              <w:t xml:space="preserve">Paskaidrojums</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Apraksts par procedūrām, ko izmanto, lai pārvaldītu pārmērīgas sviras risku</w:t>
            </w:r>
          </w:p>
          <w:p w14:paraId="69E0A147" w14:textId="1D4D81C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Regulas (ES) Nr. 575/2013 451. panta 1. punkta d) apakšpunkts.</w:t>
            </w:r>
          </w:p>
          <w:p w14:paraId="69E0A148"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“Apraksts par procedūrām, ko izmanto, lai pārvaldītu pārmērīgas sviras risku” ietver visu būtisko informāciju par:</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sz w:val="24"/>
                <w:szCs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procedūrām un resursiem, ko izmanto, lai novērtētu pārmērīgas sviras risku;</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sz w:val="24"/>
                <w:szCs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kvantitatīvajiem instrumentiem, ja tādi ir, ko izmanto, lai novērtētu pārmērīgas sviras risku, tajā skaitā detalizētu informāciju par iespējamajiem iekšējiem mērķrādītājiem un to, vai tiek izmantoti citi rādītāji papildus sviras rādītājam;</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sz w:val="24"/>
                <w:szCs w:val="24"/>
                <w:rFonts w:ascii="Times New Roman" w:hAnsi="Times New Roman" w:cs="Times New Roman"/>
              </w:rPr>
            </w:pPr>
            <w:r>
              <w:rPr>
                <w:sz w:val="24"/>
                <w:rFonts w:ascii="Times New Roman" w:hAnsi="Times New Roman"/>
              </w:rPr>
              <w:t xml:space="preserve">c) veidiem, kā, pārvaldot pārmērīgas sviras risku, tiek ņemtas vērā termiņu neatbilstības un aktīvu apgrūtinājums;</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sz w:val="24"/>
                <w:szCs w:val="24"/>
                <w:rFonts w:ascii="Times New Roman" w:hAnsi="Times New Roman" w:cs="Times New Roman"/>
              </w:rPr>
            </w:pPr>
            <w:r>
              <w:rPr>
                <w:sz w:val="24"/>
                <w:rFonts w:ascii="Times New Roman" w:hAnsi="Times New Roman"/>
              </w:rPr>
              <w:t xml:space="preserve">d) procesiem reaģēšanai uz sviras rādītāja izmaiņām, tajā skaitā par procesiem un termiņiem iespējamajam pirmā līmeņa kapitāla palielinājumam, lai pārvaldītu pārmērīgas sviras risku,</w:t>
            </w:r>
            <w:r>
              <w:rPr>
                <w:sz w:val="24"/>
                <w:rFonts w:ascii="Times New Roman" w:hAnsi="Times New Roman"/>
              </w:rPr>
              <w:t xml:space="preserve"> </w:t>
            </w:r>
            <w:r>
              <w:rPr>
                <w:sz w:val="24"/>
                <w:rFonts w:ascii="Times New Roman" w:hAnsi="Times New Roman"/>
              </w:rPr>
              <w:t xml:space="preserve">vai procesiem un termiņiem sviras rādītāja saucēja (kopējās riska darījumu vērtības mēra) koriģēšanai nolūkā pārvaldīt pārmērīgas sviras risku.</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sz w:val="24"/>
                <w:szCs w:val="24"/>
                <w:rFonts w:ascii="Times New Roman" w:hAnsi="Times New Roman" w:cs="Times New Roman"/>
              </w:rPr>
            </w:pPr>
            <w:r>
              <w:rPr>
                <w:sz w:val="24"/>
                <w:rFonts w:ascii="Times New Roman" w:hAnsi="Times New Roman"/>
              </w:rPr>
              <w:t xml:space="preserve">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rStyle w:val="TeksttreciPogrubienie"/>
                <w:color w:val="auto"/>
                <w:sz w:val="24"/>
                <w:rFonts w:ascii="Times New Roman" w:hAnsi="Times New Roman"/>
              </w:rPr>
              <w:t xml:space="preserve">Apraksts par faktoriem, kas ir ietekmējuši sviras rādītāju periodā, uz kuru attiecas atklātais sviras rādītājs</w:t>
            </w:r>
          </w:p>
          <w:p w14:paraId="69E0A150" w14:textId="427D70B9"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Regulas (ES) Nr. 575/2013 451. panta 1. punkta e) apakšpunkts.</w:t>
            </w:r>
          </w:p>
          <w:p w14:paraId="69E0A151" w14:textId="77777777" w:rsidR="00646595" w:rsidRPr="007717F5" w:rsidRDefault="00646595" w:rsidP="00E9371F">
            <w:pPr>
              <w:pStyle w:val="Teksttreci0"/>
              <w:shd w:val="clear" w:color="auto" w:fill="auto"/>
              <w:spacing w:after="120" w:line="240" w:lineRule="auto"/>
              <w:ind w:firstLine="0"/>
              <w:rPr>
                <w:sz w:val="24"/>
                <w:szCs w:val="24"/>
                <w:rFonts w:ascii="Times New Roman" w:hAnsi="Times New Roman" w:cs="Times New Roman"/>
              </w:rPr>
            </w:pPr>
            <w:r>
              <w:rPr>
                <w:sz w:val="24"/>
                <w:rFonts w:ascii="Times New Roman" w:hAnsi="Times New Roman"/>
              </w:rPr>
              <w:t xml:space="preserve">“Apraksts par faktoriem, kas ir ietekmējuši sviras rādītāju periodā, uz kuru attiecas atklātais sviras rādītājs”, ietver visu būtisko informāciju par:</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sz w:val="24"/>
                <w:szCs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sviras rādītāja izmaiņu kvantifikāciju kopš iepriekšējā informācijas atklāšanas atsauces datuma;</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sz w:val="24"/>
                <w:szCs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galvenos sviras rādītāja virzītājspēkus kopš iepriekšējā informācijas atklāšanas atsauces datuma ar paskaidrojošiem komentāriem par:</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sz w:val="24"/>
                <w:szCs w:val="24"/>
                <w:rFonts w:ascii="Times New Roman" w:hAnsi="Times New Roman" w:cs="Times New Roman"/>
              </w:rPr>
            </w:pPr>
            <w:r>
              <w:rPr>
                <w:sz w:val="24"/>
                <w:rFonts w:ascii="Times New Roman" w:hAnsi="Times New Roman"/>
              </w:rPr>
              <w:t xml:space="preserve">1) izmaiņu būtību un to, vai tās bija izmaiņas rādītāja skaitītajā vai rādītāja saucējā, vai abos;</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sz w:val="24"/>
                <w:szCs w:val="24"/>
                <w:rFonts w:ascii="Times New Roman" w:hAnsi="Times New Roman" w:cs="Times New Roman"/>
              </w:rPr>
            </w:pPr>
            <w:r>
              <w:rPr>
                <w:sz w:val="24"/>
                <w:rFonts w:ascii="Times New Roman" w:hAnsi="Times New Roman"/>
              </w:rPr>
              <w:t xml:space="preserve">2) vai tās izraisīja iekšējs stratēģisks lēmums un, ja tā bija, vai minētā stratēģiskā lēmuma mērķis bija tieši sviras rādītājs, vai tas ietekmēja sviras rādītāju tikai netieši;</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sz w:val="24"/>
                <w:szCs w:val="24"/>
                <w:rFonts w:ascii="Times New Roman" w:hAnsi="Times New Roman" w:cs="Times New Roman"/>
              </w:rPr>
            </w:pPr>
            <w:r>
              <w:rPr>
                <w:sz w:val="24"/>
                <w:rFonts w:ascii="Times New Roman" w:hAnsi="Times New Roman"/>
              </w:rPr>
              <w:t xml:space="preserve">3) vissvarīgākajiem ārējiem faktoriem, kas saistīti ar ekonomikas un finanšu vidi, kurai bija ietekme uz sviras rādītāju.</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 xml:space="preserve"> </w:t>
      </w:r>
      <w:r>
        <w:tab/>
      </w:r>
      <w:r>
        <w:t xml:space="preserve">Eiropas Parlamenta un Padomes Regula (ES) Nr. 575/2013 (2013. gada 26. jūnijs) par prudenciālajām prasībām attiecībā uz kredītiestādēm, un ar ko groza Regulu (ES) Nr. 648/2012, kas grozīta ar Regulu (ES) 2024/1623 </w:t>
      </w:r>
      <w:r>
        <w:rPr>
          <w:color w:val="444444"/>
        </w:rPr>
        <w:t xml:space="preserve">(</w:t>
      </w:r>
      <w:hyperlink r:id="rId1" w:history="1">
        <w:r>
          <w:rPr>
            <w:rStyle w:val="Hyperlink"/>
            <w:color w:val="800080"/>
          </w:rPr>
          <w:t xml:space="preserve">OV L 176, 27.6.2013., 1. lpp.</w:t>
        </w:r>
      </w:hyperlink>
      <w:r>
        <w:rPr>
          <w:color w:val="800080"/>
          <w:u w:val="single"/>
        </w:rPr>
        <w:t xml:space="preserve">;</w:t>
      </w:r>
      <w:r>
        <w:rPr>
          <w:color w:val="800080"/>
          <w:u w:val="single"/>
        </w:rPr>
        <w:t xml:space="preserve"> </w:t>
      </w:r>
      <w:hyperlink r:id="rId2" w:history="1">
        <w:r>
          <w:rPr>
            <w:rStyle w:val="Hyperlink"/>
          </w:rPr>
          <w:t xml:space="preserve">Regula – ES – 2024/1623 – LV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47EA58B" id="_x0000_t202" coordsize="21600,21600" o:spt="202" path="m,l,21600r21600,l21600,xe">
              <v:stroke joinstyle="miter"/>
              <v:path gradientshapeok="t" o:connecttype="rect"/>
            </v:shapetype>
            <v:shape id="Text Box 577169965" o:spid="_x0000_s1026" type="#_x0000_t202" alt="Title:  - Description: EBI oficiālai lietošanai"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C9B6221" id="_x0000_t202" coordsize="21600,21600" o:spt="202" path="m,l,21600r21600,l21600,xe">
              <v:stroke joinstyle="miter"/>
              <v:path gradientshapeok="t" o:connecttype="rect"/>
            </v:shapetype>
            <v:shape id="Text Box 24114098" o:spid="_x0000_s1027" type="#_x0000_t202" alt="Title:  - Description: EBI oficiālai lietošanai"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6BEBC4F" id="_x0000_t202" coordsize="21600,21600" o:spt="202" path="m,l,21600r21600,l21600,xe">
              <v:stroke joinstyle="miter"/>
              <v:path gradientshapeok="t" o:connecttype="rect"/>
            </v:shapetype>
            <v:shape id="Text Box 911846403" o:spid="_x0000_s1028" type="#_x0000_t202" alt="Title:  - Description: EBI oficiālai lietošanai"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lang w:val="lv-LV"/>
    </w:rPr>
  </w:style>
  <w:style w:type="character" w:customStyle="1" w:styleId="FootnoteTextChar">
    <w:name w:val="Footnote Text Char"/>
    <w:basedOn w:val="DefaultParagraphFont"/>
    <w:link w:val="FootnoteText"/>
    <w:rsid w:val="00646595"/>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lv-LV"/>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64671D76-8602-43A7-8FD2-07F8A9E84A9D}"/>
</file>

<file path=customXml/itemProps3.xml><?xml version="1.0" encoding="utf-8"?>
<ds:datastoreItem xmlns:ds="http://schemas.openxmlformats.org/officeDocument/2006/customXml" ds:itemID="{C31C9B74-04F7-4624-A8A0-C4D89E3843A9}"/>
</file>

<file path=customXml/itemProps4.xml><?xml version="1.0" encoding="utf-8"?>
<ds:datastoreItem xmlns:ds="http://schemas.openxmlformats.org/officeDocument/2006/customXml" ds:itemID="{22CA5B3B-4874-438C-84C9-E5C8C774D17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8837</Words>
  <Characters>48957</Characters>
  <Application>Microsoft Office Word</Application>
  <DocSecurity>0</DocSecurity>
  <Lines>1041</Lines>
  <Paragraphs>520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2024-09-26T14:26:00Z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