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329B3" w14:textId="77777777" w:rsidR="001A67EA" w:rsidRPr="003E4E19" w:rsidRDefault="001A67EA" w:rsidP="001A67EA">
      <w:pPr>
        <w:pStyle w:val="Annexetitre"/>
        <w:spacing w:before="0"/>
      </w:pPr>
      <w:r w:rsidRPr="003E4E19">
        <w:t>XVIII PRIEDAS. Informacijos apie kredito rizikos mažinimo priemonių taikymą atskleidimas</w:t>
      </w:r>
    </w:p>
    <w:p w14:paraId="180377CB" w14:textId="77777777" w:rsidR="001A67EA" w:rsidRPr="003E4E19" w:rsidRDefault="001A67EA" w:rsidP="001A67EA">
      <w:pPr>
        <w:spacing w:after="120"/>
        <w:rPr>
          <w:rFonts w:ascii="Times New Roman" w:hAnsi="Times New Roman" w:cs="Times New Roman"/>
          <w:sz w:val="24"/>
        </w:rPr>
      </w:pPr>
    </w:p>
    <w:p w14:paraId="58177053" w14:textId="77777777" w:rsidR="001A67EA" w:rsidRPr="003E4E19" w:rsidRDefault="001A67EA" w:rsidP="001A67EA">
      <w:pPr>
        <w:spacing w:after="120"/>
        <w:rPr>
          <w:rFonts w:ascii="Times New Roman" w:hAnsi="Times New Roman"/>
          <w:sz w:val="24"/>
        </w:rPr>
      </w:pPr>
      <w:r w:rsidRPr="003E4E19">
        <w:rPr>
          <w:rFonts w:ascii="Times New Roman" w:hAnsi="Times New Roman"/>
          <w:b/>
          <w:sz w:val="24"/>
        </w:rPr>
        <w:t>EU CRC lentelė. Su KRM priemonėmis susiję kokybinės informacijos atskleidimo reikalavimai (lanksčiojo formato lentelė)</w:t>
      </w:r>
    </w:p>
    <w:p w14:paraId="163D083B" w14:textId="60F05672" w:rsidR="001A67EA" w:rsidRPr="003E4E19" w:rsidRDefault="001A67EA" w:rsidP="001A67EA">
      <w:pPr>
        <w:spacing w:after="120"/>
        <w:jc w:val="both"/>
        <w:rPr>
          <w:rFonts w:ascii="Times New Roman" w:hAnsi="Times New Roman" w:cs="Times New Roman"/>
          <w:sz w:val="24"/>
        </w:rPr>
      </w:pPr>
      <w:r w:rsidRPr="003E4E19">
        <w:rPr>
          <w:rFonts w:ascii="Times New Roman" w:hAnsi="Times New Roman"/>
          <w:sz w:val="24"/>
        </w:rPr>
        <w:t>Pildydamos EBI IT sprendimų XVII priede pateiktą EU CRC lentelę įstaigos atskleidžia Reglamento (ES) Nr. 575/2013</w:t>
      </w:r>
      <w:r w:rsidRPr="003E4E19">
        <w:rPr>
          <w:rStyle w:val="FootnoteReference"/>
          <w:rFonts w:ascii="Times New Roman" w:hAnsi="Times New Roman" w:cs="Times New Roman"/>
          <w:sz w:val="24"/>
        </w:rPr>
        <w:footnoteReference w:id="1"/>
      </w:r>
      <w:r w:rsidRPr="003E4E19">
        <w:rPr>
          <w:rFonts w:ascii="Times New Roman" w:hAnsi="Times New Roman"/>
          <w:sz w:val="24"/>
        </w:rPr>
        <w:t xml:space="preserve"> (toliau – KRR) 453 straipsnio a–e punktuose nurodytą informaciją, vadovaudamosi toliau šiame priede pateiktais nurodymais.</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A67EA" w:rsidRPr="003E4E19" w14:paraId="4AD1712D"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E717E60" w14:textId="77777777" w:rsidR="001A67EA" w:rsidRPr="003E4E19" w:rsidRDefault="001A67EA" w:rsidP="004F3087">
            <w:pPr>
              <w:autoSpaceDE w:val="0"/>
              <w:autoSpaceDN w:val="0"/>
              <w:adjustRightInd w:val="0"/>
              <w:spacing w:after="120"/>
              <w:rPr>
                <w:rFonts w:ascii="Times New Roman" w:hAnsi="Times New Roman" w:cs="Times New Roman"/>
                <w:b/>
                <w:sz w:val="24"/>
              </w:rPr>
            </w:pPr>
            <w:r w:rsidRPr="003E4E19">
              <w:rPr>
                <w:rFonts w:ascii="Times New Roman" w:hAnsi="Times New Roman"/>
                <w:b/>
                <w:sz w:val="24"/>
              </w:rPr>
              <w:t>Eilutė</w:t>
            </w:r>
          </w:p>
          <w:p w14:paraId="2309F288" w14:textId="77777777" w:rsidR="001A67EA" w:rsidRPr="003E4E19" w:rsidRDefault="001A67EA" w:rsidP="004F3087">
            <w:pPr>
              <w:autoSpaceDE w:val="0"/>
              <w:autoSpaceDN w:val="0"/>
              <w:adjustRightInd w:val="0"/>
              <w:spacing w:after="120"/>
              <w:rPr>
                <w:rFonts w:ascii="Times New Roman" w:hAnsi="Times New Roman" w:cs="Times New Roman"/>
                <w:b/>
                <w:sz w:val="24"/>
              </w:rPr>
            </w:pPr>
            <w:r w:rsidRPr="003E4E19">
              <w:rPr>
                <w:rFonts w:ascii="Times New Roman" w:hAnsi="Times New Roman"/>
                <w:b/>
                <w:sz w:val="24"/>
              </w:rPr>
              <w:t>Nuoroda</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FAA1416" w14:textId="77777777" w:rsidR="001A67EA" w:rsidRPr="003E4E19" w:rsidRDefault="001A67EA" w:rsidP="004F3087">
            <w:pPr>
              <w:spacing w:after="120"/>
              <w:rPr>
                <w:rFonts w:ascii="Times New Roman" w:hAnsi="Times New Roman" w:cs="Times New Roman"/>
                <w:b/>
                <w:sz w:val="24"/>
              </w:rPr>
            </w:pPr>
            <w:r w:rsidRPr="003E4E19">
              <w:rPr>
                <w:rFonts w:ascii="Times New Roman" w:hAnsi="Times New Roman"/>
                <w:b/>
                <w:sz w:val="24"/>
              </w:rPr>
              <w:t>Nuoroda į teisės aktus ir nurodymai</w:t>
            </w:r>
          </w:p>
        </w:tc>
      </w:tr>
      <w:tr w:rsidR="001A67EA" w:rsidRPr="003E4E19" w14:paraId="60B868A1"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5FEF9560" w14:textId="77777777" w:rsidR="001A67EA" w:rsidRPr="003E4E19" w:rsidRDefault="001A67EA"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05426F67" w14:textId="77777777" w:rsidR="001A67EA" w:rsidRPr="003E4E19" w:rsidRDefault="001A67EA" w:rsidP="004F3087">
            <w:pPr>
              <w:spacing w:after="120"/>
              <w:rPr>
                <w:rFonts w:ascii="Times New Roman" w:hAnsi="Times New Roman" w:cs="Times New Roman"/>
                <w:b/>
                <w:sz w:val="24"/>
              </w:rPr>
            </w:pPr>
            <w:r w:rsidRPr="003E4E19">
              <w:rPr>
                <w:rFonts w:ascii="Times New Roman" w:hAnsi="Times New Roman"/>
                <w:b/>
                <w:sz w:val="24"/>
              </w:rPr>
              <w:t>Paaiškinimas</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1150"/>
        <w:gridCol w:w="6559"/>
      </w:tblGrid>
      <w:tr w:rsidR="001A67EA" w:rsidRPr="003E4E19" w14:paraId="6046C957" w14:textId="77777777" w:rsidTr="004F3087">
        <w:trPr>
          <w:cnfStyle w:val="100000000000" w:firstRow="1" w:lastRow="0" w:firstColumn="0" w:lastColumn="0" w:oddVBand="0" w:evenVBand="0" w:oddHBand="0" w:evenHBand="0" w:firstRowFirstColumn="0" w:firstRowLastColumn="0" w:lastRowFirstColumn="0" w:lastRowLastColumn="0"/>
          <w:trHeight w:val="843"/>
        </w:trPr>
        <w:tc>
          <w:tcPr>
            <w:tcW w:w="140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1D92DAC2" w14:textId="77777777" w:rsidR="001A67EA" w:rsidRPr="003E4E19" w:rsidRDefault="001A67EA" w:rsidP="004F3087">
            <w:pPr>
              <w:spacing w:after="120"/>
              <w:jc w:val="both"/>
              <w:rPr>
                <w:rFonts w:ascii="Times New Roman" w:hAnsi="Times New Roman" w:cs="Times New Roman"/>
                <w:sz w:val="24"/>
                <w:lang w:val="lt-LT"/>
              </w:rPr>
            </w:pPr>
            <w:r w:rsidRPr="003E4E19">
              <w:rPr>
                <w:rFonts w:ascii="Times New Roman" w:hAnsi="Times New Roman"/>
                <w:color w:val="000000"/>
                <w:sz w:val="24"/>
                <w:lang w:val="lt-LT"/>
              </w:rPr>
              <w:t>a)</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25DEF807" w14:textId="77777777" w:rsidR="001A67EA" w:rsidRPr="003E4E19" w:rsidRDefault="001A67EA" w:rsidP="004F3087">
            <w:pPr>
              <w:spacing w:after="120"/>
              <w:jc w:val="both"/>
              <w:rPr>
                <w:rFonts w:ascii="Times New Roman" w:hAnsi="Times New Roman" w:cs="Times New Roman"/>
                <w:sz w:val="24"/>
                <w:lang w:val="lt-LT"/>
              </w:rPr>
            </w:pPr>
            <w:r w:rsidRPr="003E4E19">
              <w:rPr>
                <w:rFonts w:ascii="Times New Roman" w:hAnsi="Times New Roman"/>
                <w:sz w:val="24"/>
                <w:lang w:val="lt-LT"/>
              </w:rPr>
              <w:t>KRR 453 straipsnio a punktas</w:t>
            </w:r>
          </w:p>
        </w:tc>
        <w:tc>
          <w:tcPr>
            <w:tcW w:w="6782"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5DDFD2E" w14:textId="77777777" w:rsidR="001A67EA" w:rsidRPr="003E4E19" w:rsidRDefault="001A67EA" w:rsidP="004F3087">
            <w:pPr>
              <w:spacing w:after="120"/>
              <w:jc w:val="both"/>
              <w:rPr>
                <w:rFonts w:ascii="Times New Roman" w:hAnsi="Times New Roman" w:cs="Times New Roman"/>
                <w:sz w:val="24"/>
                <w:lang w:val="lt-LT"/>
              </w:rPr>
            </w:pPr>
            <w:r w:rsidRPr="003E4E19">
              <w:rPr>
                <w:rFonts w:ascii="Times New Roman" w:hAnsi="Times New Roman"/>
                <w:sz w:val="24"/>
                <w:lang w:val="lt-LT"/>
              </w:rPr>
              <w:t>Atskleisdamos informaciją apie savo užskaitos politiką ir užskaitos taikymą pagal KRR 453 straipsnio a punktą, įstaigos pateikia aiškų su balansine ir nebalansine užskaita bei pagrindiniais užskaitos sandoriais susijusios KRM politikos ir procesų aprašymą. Jos taip pat nurodo, kiek taikyta balansinė ir nebalansinė užskaita bei pagrindiniai užskaitos sandoriai ir kiek jie svarbūs kredito rizikos valdymui. Visų pirma įstaigos galėtų pateikti informacijos apie taikomus metodus ir pozicijas, kurioms taikomi balansiniai užskaitos sandoriai, bei finansines priemones, įtrauktas į pagrindinius užskaitos sandorius. Be to, būtų galima aprašyti ir šių metodų veiksmingumui užtikrinti būtinas sąlygas ir dėl teisinės rizikos taikomas kontrolės priemones.</w:t>
            </w:r>
          </w:p>
        </w:tc>
      </w:tr>
      <w:tr w:rsidR="001A67EA" w:rsidRPr="003E4E19" w14:paraId="088E4178" w14:textId="77777777" w:rsidTr="004F3087">
        <w:trPr>
          <w:trHeight w:val="841"/>
        </w:trPr>
        <w:tc>
          <w:tcPr>
            <w:tcW w:w="1407" w:type="dxa"/>
          </w:tcPr>
          <w:p w14:paraId="16A703B9" w14:textId="77777777" w:rsidR="001A67EA" w:rsidRPr="003E4E19" w:rsidRDefault="001A67EA" w:rsidP="004F3087">
            <w:pPr>
              <w:spacing w:after="120"/>
              <w:jc w:val="both"/>
              <w:rPr>
                <w:rFonts w:ascii="Times New Roman" w:hAnsi="Times New Roman" w:cs="Times New Roman"/>
                <w:sz w:val="24"/>
                <w:lang w:val="lt-LT"/>
              </w:rPr>
            </w:pPr>
            <w:r w:rsidRPr="003E4E19">
              <w:rPr>
                <w:rFonts w:ascii="Times New Roman" w:hAnsi="Times New Roman"/>
                <w:color w:val="000000"/>
                <w:sz w:val="24"/>
                <w:lang w:val="lt-LT"/>
              </w:rPr>
              <w:t>b)</w:t>
            </w:r>
          </w:p>
        </w:tc>
        <w:tc>
          <w:tcPr>
            <w:tcW w:w="883" w:type="dxa"/>
          </w:tcPr>
          <w:p w14:paraId="20468003" w14:textId="77777777" w:rsidR="001A67EA" w:rsidRPr="003E4E19" w:rsidRDefault="001A67EA" w:rsidP="004F3087">
            <w:pPr>
              <w:spacing w:after="120"/>
              <w:jc w:val="both"/>
              <w:rPr>
                <w:rFonts w:ascii="Times New Roman" w:eastAsia="Times New Roman" w:hAnsi="Times New Roman" w:cs="Times New Roman"/>
                <w:iCs/>
                <w:sz w:val="24"/>
                <w:lang w:val="lt-LT"/>
              </w:rPr>
            </w:pPr>
            <w:r w:rsidRPr="003E4E19">
              <w:rPr>
                <w:rFonts w:ascii="Times New Roman" w:hAnsi="Times New Roman"/>
                <w:sz w:val="24"/>
                <w:lang w:val="lt-LT"/>
              </w:rPr>
              <w:t>453 straipsnio b punktas</w:t>
            </w:r>
          </w:p>
          <w:p w14:paraId="4BA9C895" w14:textId="77777777" w:rsidR="001A67EA" w:rsidRPr="003E4E19" w:rsidRDefault="001A67EA" w:rsidP="004F3087">
            <w:pPr>
              <w:spacing w:after="120"/>
              <w:jc w:val="both"/>
              <w:rPr>
                <w:rFonts w:ascii="Times New Roman" w:hAnsi="Times New Roman" w:cs="Times New Roman"/>
                <w:sz w:val="24"/>
                <w:lang w:val="lt-LT"/>
              </w:rPr>
            </w:pPr>
            <w:r w:rsidRPr="003E4E19">
              <w:rPr>
                <w:rFonts w:ascii="Times New Roman" w:hAnsi="Times New Roman"/>
                <w:sz w:val="24"/>
                <w:lang w:val="lt-LT"/>
              </w:rPr>
              <w:t>KRR</w:t>
            </w:r>
          </w:p>
        </w:tc>
        <w:tc>
          <w:tcPr>
            <w:tcW w:w="6782" w:type="dxa"/>
          </w:tcPr>
          <w:p w14:paraId="4B80DFA2" w14:textId="77777777" w:rsidR="001A67EA" w:rsidRPr="003E4E19" w:rsidRDefault="001A67EA" w:rsidP="004F3087">
            <w:pPr>
              <w:spacing w:after="120"/>
              <w:jc w:val="both"/>
              <w:rPr>
                <w:rFonts w:ascii="Times New Roman" w:hAnsi="Times New Roman" w:cs="Times New Roman"/>
                <w:sz w:val="24"/>
                <w:lang w:val="lt-LT"/>
              </w:rPr>
            </w:pPr>
            <w:r w:rsidRPr="003E4E19">
              <w:rPr>
                <w:rFonts w:ascii="Times New Roman" w:hAnsi="Times New Roman"/>
                <w:sz w:val="24"/>
                <w:lang w:val="lt-LT"/>
              </w:rPr>
              <w:t>Atskleisdamos informaciją apie pagrindines reikalavimus atitinkančių užtikrinimo priemonių vertinimo ir valdymo politikos ir procesų ypatybes pagal KRR 453 straipsnio b punktą, įstaigos nurodo:</w:t>
            </w:r>
          </w:p>
          <w:p w14:paraId="2A102C16" w14:textId="77777777" w:rsidR="001A67EA" w:rsidRPr="003E4E19" w:rsidRDefault="001A67EA" w:rsidP="004F3087">
            <w:pPr>
              <w:spacing w:after="120"/>
              <w:jc w:val="both"/>
              <w:rPr>
                <w:rFonts w:ascii="Times New Roman" w:hAnsi="Times New Roman" w:cs="Times New Roman"/>
                <w:sz w:val="24"/>
                <w:lang w:val="lt-LT"/>
              </w:rPr>
            </w:pPr>
            <w:r w:rsidRPr="003E4E19">
              <w:rPr>
                <w:rFonts w:ascii="Times New Roman" w:hAnsi="Times New Roman"/>
                <w:sz w:val="24"/>
                <w:lang w:val="lt-LT"/>
              </w:rPr>
              <w:t>– įkeistos užtikrinimo priemonės vertinimo ir įvertinimo pagrindą, įskaitant KRM priemonių teisinį tikrumą;</w:t>
            </w:r>
          </w:p>
          <w:p w14:paraId="4978007D" w14:textId="77777777" w:rsidR="001A67EA" w:rsidRPr="003E4E19" w:rsidRDefault="001A67EA" w:rsidP="004F3087">
            <w:pPr>
              <w:spacing w:after="120"/>
              <w:jc w:val="both"/>
              <w:rPr>
                <w:rFonts w:ascii="Times New Roman" w:hAnsi="Times New Roman" w:cs="Times New Roman"/>
                <w:sz w:val="24"/>
                <w:lang w:val="lt-LT"/>
              </w:rPr>
            </w:pPr>
            <w:r w:rsidRPr="003E4E19">
              <w:rPr>
                <w:rFonts w:ascii="Times New Roman" w:hAnsi="Times New Roman"/>
                <w:sz w:val="24"/>
                <w:lang w:val="lt-LT"/>
              </w:rPr>
              <w:t>– įvertinimo rūšį (rinkos vertė, hipotekinio skolinimo vertė, kitų rūšių vertės);</w:t>
            </w:r>
          </w:p>
          <w:p w14:paraId="1BB7939A" w14:textId="77777777" w:rsidR="001A67EA" w:rsidRPr="003E4E19" w:rsidRDefault="001A67EA" w:rsidP="004F3087">
            <w:pPr>
              <w:spacing w:after="120"/>
              <w:jc w:val="both"/>
              <w:rPr>
                <w:rFonts w:ascii="Times New Roman" w:hAnsi="Times New Roman" w:cs="Times New Roman"/>
                <w:sz w:val="24"/>
                <w:lang w:val="lt-LT"/>
              </w:rPr>
            </w:pPr>
            <w:r w:rsidRPr="003E4E19">
              <w:rPr>
                <w:rFonts w:ascii="Times New Roman" w:hAnsi="Times New Roman"/>
                <w:sz w:val="24"/>
                <w:lang w:val="lt-LT"/>
              </w:rPr>
              <w:t>– kiek sumažinama apskaičiuota užtikrinimo priemonės vertė;</w:t>
            </w:r>
          </w:p>
          <w:p w14:paraId="6CA64CC4" w14:textId="77777777" w:rsidR="001A67EA" w:rsidRPr="003E4E19" w:rsidRDefault="001A67EA" w:rsidP="004F3087">
            <w:pPr>
              <w:spacing w:after="120"/>
              <w:jc w:val="both"/>
              <w:rPr>
                <w:rFonts w:ascii="Times New Roman" w:hAnsi="Times New Roman" w:cs="Times New Roman"/>
                <w:sz w:val="24"/>
                <w:lang w:val="lt-LT"/>
              </w:rPr>
            </w:pPr>
            <w:r w:rsidRPr="003E4E19">
              <w:rPr>
                <w:rFonts w:ascii="Times New Roman" w:hAnsi="Times New Roman"/>
                <w:sz w:val="24"/>
                <w:lang w:val="lt-LT"/>
              </w:rPr>
              <w:t>– taikomi hipotekinės užtikrinimo priemonės ir kitos fizinės užtikrinimo priemonės vertės stebėsenos procesai, periodiškumas ir metodai.</w:t>
            </w:r>
          </w:p>
          <w:p w14:paraId="42DBE288" w14:textId="77777777" w:rsidR="001A67EA" w:rsidRPr="003E4E19" w:rsidRDefault="001A67EA" w:rsidP="004F3087">
            <w:pPr>
              <w:spacing w:after="120"/>
              <w:jc w:val="both"/>
              <w:rPr>
                <w:rFonts w:ascii="Times New Roman" w:hAnsi="Times New Roman" w:cs="Times New Roman"/>
                <w:sz w:val="24"/>
                <w:lang w:val="lt-LT"/>
              </w:rPr>
            </w:pPr>
            <w:r w:rsidRPr="003E4E19">
              <w:rPr>
                <w:rFonts w:ascii="Times New Roman" w:hAnsi="Times New Roman"/>
                <w:sz w:val="24"/>
                <w:lang w:val="lt-LT"/>
              </w:rPr>
              <w:t>Be to, įstaigos taip pat galėtų atskleisti, ar taikoma kredito pozicijų ribų sistema ir poveikį, kurį priimtinos užtikrinimo priemonės daro kiekybiniam šių ribų įvertinimui.</w:t>
            </w:r>
          </w:p>
        </w:tc>
      </w:tr>
      <w:tr w:rsidR="001A67EA" w:rsidRPr="003E4E19" w:rsidDel="00915DC9" w14:paraId="3A5626B8" w14:textId="77777777" w:rsidTr="004F3087">
        <w:trPr>
          <w:trHeight w:val="973"/>
        </w:trPr>
        <w:tc>
          <w:tcPr>
            <w:tcW w:w="1407" w:type="dxa"/>
          </w:tcPr>
          <w:p w14:paraId="547245B3" w14:textId="77777777" w:rsidR="001A67EA" w:rsidRPr="003E4E19" w:rsidRDefault="001A67EA" w:rsidP="004F3087">
            <w:pPr>
              <w:spacing w:after="120"/>
              <w:jc w:val="both"/>
              <w:rPr>
                <w:rFonts w:ascii="Times New Roman" w:hAnsi="Times New Roman" w:cs="Times New Roman"/>
                <w:sz w:val="24"/>
                <w:lang w:val="lt-LT"/>
              </w:rPr>
            </w:pPr>
            <w:r w:rsidRPr="003E4E19">
              <w:rPr>
                <w:rFonts w:ascii="Times New Roman" w:hAnsi="Times New Roman"/>
                <w:color w:val="000000"/>
                <w:sz w:val="24"/>
                <w:lang w:val="lt-LT"/>
              </w:rPr>
              <w:t>c)</w:t>
            </w:r>
          </w:p>
        </w:tc>
        <w:tc>
          <w:tcPr>
            <w:tcW w:w="883" w:type="dxa"/>
          </w:tcPr>
          <w:p w14:paraId="3EE8CB34" w14:textId="77777777" w:rsidR="001A67EA" w:rsidRPr="003E4E19" w:rsidRDefault="001A67EA" w:rsidP="004F3087">
            <w:pPr>
              <w:spacing w:after="120"/>
              <w:jc w:val="both"/>
              <w:rPr>
                <w:rFonts w:ascii="Times New Roman" w:hAnsi="Times New Roman" w:cs="Times New Roman"/>
                <w:sz w:val="24"/>
                <w:lang w:val="lt-LT"/>
              </w:rPr>
            </w:pPr>
            <w:r w:rsidRPr="003E4E19">
              <w:rPr>
                <w:rFonts w:ascii="Times New Roman" w:hAnsi="Times New Roman"/>
                <w:sz w:val="24"/>
                <w:lang w:val="lt-LT"/>
              </w:rPr>
              <w:t>KRR 453 straipsnio c punktas</w:t>
            </w:r>
          </w:p>
        </w:tc>
        <w:tc>
          <w:tcPr>
            <w:tcW w:w="6782" w:type="dxa"/>
          </w:tcPr>
          <w:p w14:paraId="03C8684E" w14:textId="77777777" w:rsidR="001A67EA" w:rsidRPr="003E4E19" w:rsidDel="00915DC9" w:rsidRDefault="001A67EA" w:rsidP="004F3087">
            <w:pPr>
              <w:spacing w:after="120"/>
              <w:jc w:val="both"/>
              <w:rPr>
                <w:rFonts w:ascii="Times New Roman" w:hAnsi="Times New Roman" w:cs="Times New Roman"/>
                <w:sz w:val="24"/>
                <w:lang w:val="lt-LT"/>
              </w:rPr>
            </w:pPr>
            <w:r w:rsidRPr="003E4E19">
              <w:rPr>
                <w:rFonts w:ascii="Times New Roman" w:hAnsi="Times New Roman"/>
                <w:sz w:val="24"/>
                <w:lang w:val="lt-LT"/>
              </w:rPr>
              <w:t xml:space="preserve">Aprašydamos gautas užtikrinimo priemones pagal KRR 453 straipsnio c punktą, įstaigos pateikia išsamų pagrindinių kredito </w:t>
            </w:r>
            <w:r w:rsidRPr="003E4E19">
              <w:rPr>
                <w:rFonts w:ascii="Times New Roman" w:hAnsi="Times New Roman"/>
                <w:sz w:val="24"/>
                <w:lang w:val="lt-LT"/>
              </w:rPr>
              <w:lastRenderedPageBreak/>
              <w:t>rizikai mažinti priimamų užtikrinimo priemonių rūšių aprašymą pagal pozicijų rūšis.</w:t>
            </w:r>
          </w:p>
        </w:tc>
      </w:tr>
      <w:tr w:rsidR="001A67EA" w:rsidRPr="003E4E19" w14:paraId="0B958E6C" w14:textId="77777777" w:rsidTr="004F3087">
        <w:trPr>
          <w:trHeight w:val="1265"/>
        </w:trPr>
        <w:tc>
          <w:tcPr>
            <w:tcW w:w="1407" w:type="dxa"/>
          </w:tcPr>
          <w:p w14:paraId="16182508" w14:textId="77777777" w:rsidR="001A67EA" w:rsidRPr="003E4E19" w:rsidRDefault="001A67EA" w:rsidP="004F3087">
            <w:pPr>
              <w:spacing w:after="120"/>
              <w:jc w:val="both"/>
              <w:rPr>
                <w:rFonts w:ascii="Times New Roman" w:hAnsi="Times New Roman" w:cs="Times New Roman"/>
                <w:sz w:val="24"/>
                <w:lang w:val="lt-LT"/>
              </w:rPr>
            </w:pPr>
            <w:r w:rsidRPr="003E4E19">
              <w:rPr>
                <w:rFonts w:ascii="Times New Roman" w:hAnsi="Times New Roman"/>
                <w:color w:val="000000"/>
                <w:sz w:val="24"/>
                <w:lang w:val="lt-LT"/>
              </w:rPr>
              <w:lastRenderedPageBreak/>
              <w:t>d)</w:t>
            </w:r>
          </w:p>
        </w:tc>
        <w:tc>
          <w:tcPr>
            <w:tcW w:w="883" w:type="dxa"/>
          </w:tcPr>
          <w:p w14:paraId="3751629F" w14:textId="77777777" w:rsidR="001A67EA" w:rsidRPr="003E4E19" w:rsidRDefault="001A67EA" w:rsidP="004F3087">
            <w:pPr>
              <w:spacing w:after="120"/>
              <w:jc w:val="both"/>
              <w:rPr>
                <w:rFonts w:ascii="Times New Roman" w:hAnsi="Times New Roman" w:cs="Times New Roman"/>
                <w:sz w:val="24"/>
                <w:lang w:val="lt-LT"/>
              </w:rPr>
            </w:pPr>
            <w:r w:rsidRPr="003E4E19">
              <w:rPr>
                <w:rFonts w:ascii="Times New Roman" w:hAnsi="Times New Roman"/>
                <w:sz w:val="24"/>
                <w:lang w:val="lt-LT"/>
              </w:rPr>
              <w:t>KRR 453 straipsnio d punktas</w:t>
            </w:r>
          </w:p>
        </w:tc>
        <w:tc>
          <w:tcPr>
            <w:tcW w:w="6782" w:type="dxa"/>
          </w:tcPr>
          <w:p w14:paraId="484148E0" w14:textId="77777777" w:rsidR="001A67EA" w:rsidRPr="003E4E19" w:rsidRDefault="001A67EA" w:rsidP="004F3087">
            <w:pPr>
              <w:spacing w:after="120"/>
              <w:jc w:val="both"/>
              <w:rPr>
                <w:rFonts w:ascii="Times New Roman" w:hAnsi="Times New Roman" w:cs="Times New Roman"/>
                <w:sz w:val="24"/>
                <w:lang w:val="lt-LT"/>
              </w:rPr>
            </w:pPr>
            <w:r w:rsidRPr="003E4E19">
              <w:rPr>
                <w:rFonts w:ascii="Times New Roman" w:hAnsi="Times New Roman"/>
                <w:sz w:val="24"/>
                <w:lang w:val="lt-LT"/>
              </w:rPr>
              <w:t xml:space="preserve">Į kredito išvestinių finansinių priemonių pagrindinių garantų ir sandorio šalių rūšių ir jų kreditingumo, atskleistinų pagal KRR 453 straipsnio d punktą, aprašymą įtraukiamos kredito išvestinės finansinės priemonės, naudojamos kapitalo reikalavimams mažinti, išskyrus tas priemones, kurios naudojamos sintetinio pakeitimo vertybiniais popieriais struktūrose. Be to, įstaigos galėtų pateikti metodų, taikytų pateiktų garantijų arba kredito išvestinių finansinių priemonių poveikiui pripažinti, aprašymą pagal pagrindines garantų ir sandorio šalių rūšis. </w:t>
            </w:r>
          </w:p>
        </w:tc>
      </w:tr>
      <w:tr w:rsidR="001A67EA" w:rsidRPr="003E4E19" w14:paraId="45D6C7FC" w14:textId="77777777" w:rsidTr="004F3087">
        <w:trPr>
          <w:trHeight w:val="1405"/>
        </w:trPr>
        <w:tc>
          <w:tcPr>
            <w:tcW w:w="1407" w:type="dxa"/>
          </w:tcPr>
          <w:p w14:paraId="03857EEF" w14:textId="77777777" w:rsidR="001A67EA" w:rsidRPr="003E4E19" w:rsidRDefault="001A67EA" w:rsidP="004F3087">
            <w:pPr>
              <w:spacing w:after="120"/>
              <w:jc w:val="both"/>
              <w:rPr>
                <w:rFonts w:ascii="Times New Roman" w:hAnsi="Times New Roman" w:cs="Times New Roman"/>
                <w:sz w:val="24"/>
                <w:lang w:val="lt-LT"/>
              </w:rPr>
            </w:pPr>
            <w:r w:rsidRPr="003E4E19">
              <w:rPr>
                <w:rFonts w:ascii="Times New Roman" w:hAnsi="Times New Roman"/>
                <w:color w:val="000000"/>
                <w:sz w:val="24"/>
                <w:lang w:val="lt-LT"/>
              </w:rPr>
              <w:t>e)</w:t>
            </w:r>
          </w:p>
        </w:tc>
        <w:tc>
          <w:tcPr>
            <w:tcW w:w="883" w:type="dxa"/>
          </w:tcPr>
          <w:p w14:paraId="3363450E" w14:textId="77777777" w:rsidR="001A67EA" w:rsidRPr="003E4E19" w:rsidRDefault="001A67EA" w:rsidP="004F3087">
            <w:pPr>
              <w:spacing w:after="120"/>
              <w:jc w:val="both"/>
              <w:rPr>
                <w:rFonts w:ascii="Times New Roman" w:hAnsi="Times New Roman" w:cs="Times New Roman"/>
                <w:sz w:val="24"/>
                <w:lang w:val="lt-LT"/>
              </w:rPr>
            </w:pPr>
            <w:r w:rsidRPr="003E4E19">
              <w:rPr>
                <w:rFonts w:ascii="Times New Roman" w:hAnsi="Times New Roman"/>
                <w:sz w:val="24"/>
                <w:lang w:val="lt-LT"/>
              </w:rPr>
              <w:t>KRR 453 straipsnio e punktas</w:t>
            </w:r>
          </w:p>
        </w:tc>
        <w:tc>
          <w:tcPr>
            <w:tcW w:w="6782" w:type="dxa"/>
          </w:tcPr>
          <w:p w14:paraId="025D06B4" w14:textId="77777777" w:rsidR="001A67EA" w:rsidRPr="003E4E19" w:rsidRDefault="001A67EA" w:rsidP="004F3087">
            <w:pPr>
              <w:spacing w:after="120"/>
              <w:jc w:val="both"/>
              <w:rPr>
                <w:rFonts w:ascii="Times New Roman" w:hAnsi="Times New Roman" w:cs="Times New Roman"/>
                <w:sz w:val="24"/>
                <w:lang w:val="lt-LT"/>
              </w:rPr>
            </w:pPr>
            <w:r w:rsidRPr="003E4E19">
              <w:rPr>
                <w:rFonts w:ascii="Times New Roman" w:hAnsi="Times New Roman"/>
                <w:sz w:val="24"/>
                <w:lang w:val="lt-LT"/>
              </w:rPr>
              <w:t>Pagal KRR 453 straipsnio e punktą atskleisdamos informaciją apie taikomų KRM priemonių rinkos arba kredito rizikos koncentracijas, įstaigos pateikia bet kokios koncentracijos, kuri susidaro dėl KRM priemonių ir dėl kurios KRM priemonės gali tapti neveiksmingos, analizę. Atskleidžiant šią informaciją būtų galima nurodyti koncentraciją pagal priemonių, kurios naudojamos kaip užtikrinimo priemonės, rūšis, subjektus (koncentracija pagal garanto rūšį ir kredito išvestinių finansinių priemonių teikėjus), sektorius, geografines teritorijas, valiutas, reitingus arba kitus veiksnius, kurie gali daryti poveikį užtikrinimo vertei ir todėl šį užtikrinimą sumažinti.</w:t>
            </w:r>
          </w:p>
        </w:tc>
      </w:tr>
    </w:tbl>
    <w:p w14:paraId="5BC2E8E9" w14:textId="77777777" w:rsidR="001A67EA" w:rsidRPr="003E4E19" w:rsidRDefault="001A67EA" w:rsidP="001A67EA">
      <w:pPr>
        <w:spacing w:after="120"/>
        <w:rPr>
          <w:rFonts w:ascii="Times New Roman" w:hAnsi="Times New Roman" w:cs="Times New Roman"/>
          <w:sz w:val="24"/>
        </w:rPr>
      </w:pPr>
    </w:p>
    <w:p w14:paraId="5F6E25BC" w14:textId="77777777" w:rsidR="001A67EA" w:rsidRPr="003E4E19" w:rsidRDefault="001A67EA" w:rsidP="001A67EA">
      <w:pPr>
        <w:spacing w:after="120"/>
        <w:rPr>
          <w:rFonts w:ascii="Times New Roman" w:hAnsi="Times New Roman" w:cs="Times New Roman"/>
          <w:b/>
          <w:sz w:val="24"/>
        </w:rPr>
      </w:pPr>
      <w:r w:rsidRPr="003E4E19">
        <w:rPr>
          <w:rFonts w:ascii="Times New Roman" w:hAnsi="Times New Roman"/>
          <w:b/>
          <w:sz w:val="24"/>
        </w:rPr>
        <w:t>EU CR3 forma. KRM priemonių apžvalga. Informacijos apie kredito rizikos mažinimo priemonių taikymą atskleidimas (nustatytojo formato forma)</w:t>
      </w:r>
    </w:p>
    <w:p w14:paraId="1FAA7723" w14:textId="77777777" w:rsidR="001A67EA" w:rsidRPr="003E4E19" w:rsidRDefault="001A67EA" w:rsidP="001A67EA">
      <w:pPr>
        <w:spacing w:after="120"/>
        <w:jc w:val="both"/>
        <w:rPr>
          <w:rFonts w:ascii="Times New Roman" w:hAnsi="Times New Roman" w:cs="Times New Roman"/>
          <w:sz w:val="24"/>
        </w:rPr>
      </w:pPr>
      <w:r w:rsidRPr="003E4E19">
        <w:rPr>
          <w:rFonts w:ascii="Times New Roman" w:hAnsi="Times New Roman"/>
          <w:sz w:val="24"/>
        </w:rPr>
        <w:t>Pildydama šio įgyvendinimo reglamento XVII priede pateiktą EU CR3 formą įstaiga atskleidžia KRR 453 straipsnio f punkte nurodytą informaciją, vadovaudamasi toliau šiame priede pateiktais nurodymais.</w:t>
      </w:r>
    </w:p>
    <w:p w14:paraId="69A94B62" w14:textId="77777777" w:rsidR="001A67EA" w:rsidRPr="003E4E19" w:rsidRDefault="001A67EA" w:rsidP="001A67EA">
      <w:pPr>
        <w:spacing w:after="120"/>
        <w:jc w:val="both"/>
        <w:rPr>
          <w:rFonts w:ascii="Times New Roman" w:eastAsia="Times New Roman" w:hAnsi="Times New Roman" w:cs="Times New Roman"/>
          <w:b/>
          <w:iCs/>
          <w:sz w:val="24"/>
        </w:rPr>
      </w:pPr>
      <w:r w:rsidRPr="003E4E19">
        <w:rPr>
          <w:rFonts w:ascii="Times New Roman" w:hAnsi="Times New Roman"/>
          <w:sz w:val="24"/>
        </w:rPr>
        <w:t>Ši forma skirta visoms KRM priemonėms, kurios pripažįstamos pagal taikytiną apskaitos sistemą, nepriklausomai nuo to, ar šios priemonės pripažįstamos pagal KRR, įskaitant, be kita ko, visų rūšių užtikrinimo priemones, finansines garantijas ir kredito išvestines finansines priemones, naudojamas visoms užtikrintoms pozicijoms, neatsižvelgiant į tai, ar apskaičiuojant pagal riziką įvertintų pozicijų sumą (RWEA) taikomas standartizuotas metodas, ar IRB metodas. Įstaigos papildo formą aiškinamosiomis pastabomis ir paaiškina bet kokius reikšmingus pokyčius, įvykusius per informacijos atskleidimo laikotarpį, ir pagrindinius šių pokyčių veiksnius.</w:t>
      </w:r>
    </w:p>
    <w:p w14:paraId="1EBDEE5B" w14:textId="77777777" w:rsidR="001A67EA" w:rsidRPr="003E4E19" w:rsidRDefault="001A67EA" w:rsidP="001A67EA">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A67EA" w:rsidRPr="003E4E19" w14:paraId="3A73F47C"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76DE748" w14:textId="77777777" w:rsidR="001A67EA" w:rsidRPr="003E4E19" w:rsidRDefault="001A67EA" w:rsidP="004F3087">
            <w:pPr>
              <w:autoSpaceDE w:val="0"/>
              <w:autoSpaceDN w:val="0"/>
              <w:adjustRightInd w:val="0"/>
              <w:spacing w:after="120"/>
              <w:rPr>
                <w:rFonts w:ascii="Times New Roman" w:hAnsi="Times New Roman" w:cs="Times New Roman"/>
                <w:b/>
                <w:sz w:val="24"/>
              </w:rPr>
            </w:pPr>
            <w:r w:rsidRPr="003E4E19">
              <w:rPr>
                <w:rFonts w:ascii="Times New Roman" w:hAnsi="Times New Roman"/>
                <w:b/>
                <w:sz w:val="24"/>
              </w:rPr>
              <w:t>Skilties nuoroda</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E4EA746" w14:textId="77777777" w:rsidR="001A67EA" w:rsidRPr="003E4E19" w:rsidRDefault="001A67EA" w:rsidP="004F3087">
            <w:pPr>
              <w:spacing w:after="120"/>
              <w:rPr>
                <w:rFonts w:ascii="Times New Roman" w:hAnsi="Times New Roman" w:cs="Times New Roman"/>
                <w:b/>
                <w:sz w:val="24"/>
              </w:rPr>
            </w:pPr>
            <w:r w:rsidRPr="003E4E19">
              <w:rPr>
                <w:rFonts w:ascii="Times New Roman" w:hAnsi="Times New Roman"/>
                <w:b/>
                <w:sz w:val="24"/>
              </w:rPr>
              <w:t>Nuorodos į teisės aktus ir nurodymai</w:t>
            </w:r>
          </w:p>
        </w:tc>
      </w:tr>
      <w:tr w:rsidR="001A67EA" w:rsidRPr="003E4E19" w14:paraId="583C89A3"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0D76FA8A" w14:textId="77777777" w:rsidR="001A67EA" w:rsidRPr="003E4E19" w:rsidRDefault="001A67EA"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28762A2B" w14:textId="77777777" w:rsidR="001A67EA" w:rsidRPr="003E4E19" w:rsidRDefault="001A67EA" w:rsidP="004F3087">
            <w:pPr>
              <w:spacing w:after="120"/>
              <w:rPr>
                <w:rFonts w:ascii="Times New Roman" w:hAnsi="Times New Roman" w:cs="Times New Roman"/>
                <w:b/>
                <w:sz w:val="24"/>
              </w:rPr>
            </w:pPr>
            <w:r w:rsidRPr="003E4E19">
              <w:rPr>
                <w:rFonts w:ascii="Times New Roman" w:hAnsi="Times New Roman"/>
                <w:b/>
                <w:sz w:val="24"/>
              </w:rPr>
              <w:t>Paaiškinimas</w:t>
            </w:r>
          </w:p>
        </w:tc>
      </w:tr>
      <w:tr w:rsidR="001A67EA" w:rsidRPr="003E4E19" w14:paraId="35223F05" w14:textId="77777777" w:rsidTr="004F3087">
        <w:trPr>
          <w:trHeight w:val="316"/>
        </w:trPr>
        <w:tc>
          <w:tcPr>
            <w:tcW w:w="1413" w:type="dxa"/>
          </w:tcPr>
          <w:p w14:paraId="25792023" w14:textId="77777777" w:rsidR="001A67EA" w:rsidRPr="003E4E19" w:rsidRDefault="001A67EA" w:rsidP="004F3087">
            <w:pPr>
              <w:autoSpaceDE w:val="0"/>
              <w:autoSpaceDN w:val="0"/>
              <w:adjustRightInd w:val="0"/>
              <w:spacing w:after="120"/>
              <w:jc w:val="both"/>
              <w:rPr>
                <w:rFonts w:ascii="Times New Roman" w:eastAsia="Times New Roman" w:hAnsi="Times New Roman" w:cs="Times New Roman"/>
                <w:sz w:val="24"/>
              </w:rPr>
            </w:pPr>
            <w:r w:rsidRPr="003E4E19">
              <w:rPr>
                <w:rFonts w:ascii="Times New Roman" w:hAnsi="Times New Roman"/>
                <w:sz w:val="24"/>
              </w:rPr>
              <w:t>a</w:t>
            </w:r>
          </w:p>
        </w:tc>
        <w:tc>
          <w:tcPr>
            <w:tcW w:w="7654" w:type="dxa"/>
          </w:tcPr>
          <w:p w14:paraId="32D2A419" w14:textId="77777777" w:rsidR="001A67EA" w:rsidRPr="003E4E19" w:rsidRDefault="001A67EA" w:rsidP="004F3087">
            <w:pPr>
              <w:autoSpaceDE w:val="0"/>
              <w:autoSpaceDN w:val="0"/>
              <w:adjustRightInd w:val="0"/>
              <w:spacing w:after="120"/>
              <w:jc w:val="both"/>
              <w:rPr>
                <w:rFonts w:ascii="Times New Roman" w:eastAsia="Times New Roman" w:hAnsi="Times New Roman" w:cs="Times New Roman"/>
                <w:b/>
                <w:iCs/>
                <w:sz w:val="24"/>
              </w:rPr>
            </w:pPr>
            <w:r w:rsidRPr="003E4E19">
              <w:rPr>
                <w:rFonts w:ascii="Times New Roman" w:hAnsi="Times New Roman"/>
                <w:b/>
                <w:sz w:val="24"/>
              </w:rPr>
              <w:t xml:space="preserve">Neužtikrinta balansinė vertė </w:t>
            </w:r>
          </w:p>
          <w:p w14:paraId="55EE3490" w14:textId="427B50BE" w:rsidR="001A67EA" w:rsidRPr="003E4E19" w:rsidRDefault="001A67EA" w:rsidP="004F3087">
            <w:pPr>
              <w:autoSpaceDE w:val="0"/>
              <w:autoSpaceDN w:val="0"/>
              <w:adjustRightInd w:val="0"/>
              <w:spacing w:after="120"/>
              <w:jc w:val="both"/>
              <w:rPr>
                <w:rFonts w:ascii="Times New Roman" w:eastAsia="Times New Roman" w:hAnsi="Times New Roman" w:cs="Times New Roman"/>
                <w:iCs/>
                <w:sz w:val="24"/>
              </w:rPr>
            </w:pPr>
            <w:r w:rsidRPr="003E4E19">
              <w:rPr>
                <w:rFonts w:ascii="Times New Roman" w:hAnsi="Times New Roman"/>
                <w:sz w:val="24"/>
              </w:rPr>
              <w:t>Pozicijų, kurioms netaikoma jokia KRM priemonė, balansinė vertė (atėmus atidėjinius / vertės sumažėjimą), neatsižvelgiant į tai, ar ši priemonė pripažinta KRR</w:t>
            </w:r>
            <w:r w:rsidR="003E4E19">
              <w:rPr>
                <w:rFonts w:ascii="Times New Roman" w:hAnsi="Times New Roman"/>
                <w:sz w:val="24"/>
              </w:rPr>
              <w:t>.</w:t>
            </w:r>
            <w:r w:rsidRPr="003E4E19">
              <w:rPr>
                <w:rFonts w:ascii="Times New Roman" w:hAnsi="Times New Roman"/>
                <w:sz w:val="24"/>
              </w:rPr>
              <w:t xml:space="preserve"> </w:t>
            </w:r>
          </w:p>
          <w:p w14:paraId="2E635E37" w14:textId="77777777" w:rsidR="001A67EA" w:rsidRPr="003E4E19" w:rsidRDefault="001A67EA" w:rsidP="004F3087">
            <w:pPr>
              <w:autoSpaceDE w:val="0"/>
              <w:autoSpaceDN w:val="0"/>
              <w:adjustRightInd w:val="0"/>
              <w:spacing w:after="120"/>
              <w:jc w:val="both"/>
              <w:rPr>
                <w:rFonts w:ascii="Times New Roman" w:eastAsia="Times New Roman" w:hAnsi="Times New Roman" w:cs="Times New Roman"/>
                <w:sz w:val="24"/>
              </w:rPr>
            </w:pPr>
            <w:r w:rsidRPr="003E4E19">
              <w:rPr>
                <w:rFonts w:ascii="Times New Roman" w:hAnsi="Times New Roman"/>
                <w:sz w:val="24"/>
              </w:rPr>
              <w:lastRenderedPageBreak/>
              <w:t>Visų pirma, tai pozicijos, kurių atžvilgiu neįkeista užtikrinimo priemonių ir nepateikta finansinių garantijų. Čia neįtraukiama iš dalies užtikrintos arba iš dalies garantuotos pozicijos neužtikrinta dalis.</w:t>
            </w:r>
          </w:p>
        </w:tc>
      </w:tr>
      <w:tr w:rsidR="001A67EA" w:rsidRPr="003E4E19" w14:paraId="475E6E51" w14:textId="77777777" w:rsidTr="004F3087">
        <w:trPr>
          <w:trHeight w:val="316"/>
        </w:trPr>
        <w:tc>
          <w:tcPr>
            <w:tcW w:w="1413" w:type="dxa"/>
          </w:tcPr>
          <w:p w14:paraId="7DD870E3" w14:textId="77777777" w:rsidR="001A67EA" w:rsidRPr="003E4E19" w:rsidRDefault="001A67EA" w:rsidP="004F3087">
            <w:pPr>
              <w:autoSpaceDE w:val="0"/>
              <w:autoSpaceDN w:val="0"/>
              <w:adjustRightInd w:val="0"/>
              <w:spacing w:after="120"/>
              <w:jc w:val="both"/>
              <w:rPr>
                <w:rFonts w:ascii="Times New Roman" w:eastAsia="Times New Roman" w:hAnsi="Times New Roman" w:cs="Times New Roman"/>
                <w:sz w:val="24"/>
              </w:rPr>
            </w:pPr>
            <w:r w:rsidRPr="003E4E19">
              <w:rPr>
                <w:rFonts w:ascii="Times New Roman" w:hAnsi="Times New Roman"/>
                <w:sz w:val="24"/>
              </w:rPr>
              <w:lastRenderedPageBreak/>
              <w:t>b</w:t>
            </w:r>
          </w:p>
        </w:tc>
        <w:tc>
          <w:tcPr>
            <w:tcW w:w="7654" w:type="dxa"/>
          </w:tcPr>
          <w:p w14:paraId="736FBF01" w14:textId="77777777" w:rsidR="001A67EA" w:rsidRPr="003E4E19" w:rsidRDefault="001A67EA" w:rsidP="004F3087">
            <w:pPr>
              <w:autoSpaceDE w:val="0"/>
              <w:autoSpaceDN w:val="0"/>
              <w:adjustRightInd w:val="0"/>
              <w:spacing w:after="120"/>
              <w:jc w:val="both"/>
              <w:rPr>
                <w:rFonts w:ascii="Times New Roman" w:eastAsia="Times New Roman" w:hAnsi="Times New Roman" w:cs="Times New Roman"/>
                <w:b/>
                <w:iCs/>
                <w:sz w:val="24"/>
              </w:rPr>
            </w:pPr>
            <w:r w:rsidRPr="003E4E19">
              <w:rPr>
                <w:rFonts w:ascii="Times New Roman" w:hAnsi="Times New Roman"/>
                <w:b/>
                <w:sz w:val="24"/>
              </w:rPr>
              <w:t xml:space="preserve">Užtikrinta balansinė vertė </w:t>
            </w:r>
          </w:p>
          <w:p w14:paraId="20FF8406" w14:textId="0FD5554E" w:rsidR="001A67EA" w:rsidRPr="003E4E19" w:rsidRDefault="001A67EA" w:rsidP="004F3087">
            <w:pPr>
              <w:autoSpaceDE w:val="0"/>
              <w:autoSpaceDN w:val="0"/>
              <w:adjustRightInd w:val="0"/>
              <w:spacing w:after="120"/>
              <w:jc w:val="both"/>
              <w:rPr>
                <w:rFonts w:ascii="Times New Roman" w:eastAsia="Times New Roman" w:hAnsi="Times New Roman" w:cs="Times New Roman"/>
                <w:iCs/>
                <w:sz w:val="24"/>
              </w:rPr>
            </w:pPr>
            <w:r w:rsidRPr="003E4E19">
              <w:rPr>
                <w:rFonts w:ascii="Times New Roman" w:hAnsi="Times New Roman"/>
                <w:sz w:val="24"/>
              </w:rPr>
              <w:t>Pozicijų, su kuriomis susieta bent viena KRM priemonė (užtikrinimo priemonės, finansinės garantijos, kredito išvestinės finansinės priemonės), balansinė vertė</w:t>
            </w:r>
            <w:r w:rsidR="003E4E19">
              <w:rPr>
                <w:rFonts w:ascii="Times New Roman" w:hAnsi="Times New Roman"/>
                <w:sz w:val="24"/>
              </w:rPr>
              <w:t>.</w:t>
            </w:r>
          </w:p>
          <w:p w14:paraId="05789AFF" w14:textId="77777777" w:rsidR="001A67EA" w:rsidRPr="003E4E19" w:rsidRDefault="001A67EA" w:rsidP="004F3087">
            <w:pPr>
              <w:autoSpaceDE w:val="0"/>
              <w:autoSpaceDN w:val="0"/>
              <w:adjustRightInd w:val="0"/>
              <w:spacing w:after="120"/>
              <w:jc w:val="both"/>
              <w:rPr>
                <w:rFonts w:ascii="Times New Roman" w:eastAsia="Times New Roman" w:hAnsi="Times New Roman" w:cs="Times New Roman"/>
                <w:iCs/>
                <w:sz w:val="24"/>
              </w:rPr>
            </w:pPr>
            <w:r w:rsidRPr="003E4E19">
              <w:rPr>
                <w:rFonts w:ascii="Times New Roman" w:hAnsi="Times New Roman"/>
                <w:sz w:val="24"/>
              </w:rPr>
              <w:t>Tuo atveju, kai užtikrinimo priemonių, finansinių garantijų ir kredito išvestinių finansinių priemonių, kuriomis užtikrinama pozicija, vertė viršija tos pozicijos balansinę vertę, nurodomos tik tos pozicijos balansinės vertės neviršijančios vertės. Tuo atveju, kai pozicijos balansinė vertė viršija užtikrinimo priemonių, finansinių garantijų ir kredito išvestinių finansinių priemonių, kuriomis užtikrinama ta pozicija, vertę, nurodoma visa tos pozicijos balansinė vertė.</w:t>
            </w:r>
          </w:p>
          <w:p w14:paraId="7EDEE0AE" w14:textId="77777777" w:rsidR="001A67EA" w:rsidRPr="003E4E19" w:rsidRDefault="001A67EA" w:rsidP="004F3087">
            <w:pPr>
              <w:autoSpaceDE w:val="0"/>
              <w:autoSpaceDN w:val="0"/>
              <w:adjustRightInd w:val="0"/>
              <w:spacing w:after="120"/>
              <w:jc w:val="both"/>
              <w:rPr>
                <w:rFonts w:ascii="Times New Roman" w:eastAsia="Times New Roman" w:hAnsi="Times New Roman" w:cs="Times New Roman"/>
                <w:sz w:val="24"/>
              </w:rPr>
            </w:pPr>
            <w:r w:rsidRPr="003E4E19">
              <w:rPr>
                <w:rFonts w:ascii="Times New Roman" w:hAnsi="Times New Roman"/>
                <w:sz w:val="24"/>
              </w:rPr>
              <w:t xml:space="preserve">Pildant c, d ir e skiltis, keliomis priemonėmis užtikrintų pozicijų balansinė vertė prie įvairių KRM priemonių priskiriama pirmumo tvarka, pradedant nuo tos KRM priemonės, kuri, kaip tikėtina, nesumokėjimo atveju būtų taikoma pirmiausia, ir laikantis užtikrintų pozicijų balansinės vertės ribų. Bet kuri pozicijos dalis įtraukiama tik į vieną iš šios formos c, d ar e skilčių. </w:t>
            </w:r>
          </w:p>
        </w:tc>
      </w:tr>
      <w:tr w:rsidR="001A67EA" w:rsidRPr="003E4E19" w14:paraId="37B3496C" w14:textId="77777777" w:rsidTr="004F3087">
        <w:trPr>
          <w:trHeight w:val="316"/>
        </w:trPr>
        <w:tc>
          <w:tcPr>
            <w:tcW w:w="1413" w:type="dxa"/>
          </w:tcPr>
          <w:p w14:paraId="0CBB040D" w14:textId="77777777" w:rsidR="001A67EA" w:rsidRPr="003E4E19" w:rsidRDefault="001A67EA" w:rsidP="004F3087">
            <w:pPr>
              <w:autoSpaceDE w:val="0"/>
              <w:autoSpaceDN w:val="0"/>
              <w:adjustRightInd w:val="0"/>
              <w:spacing w:after="120"/>
              <w:jc w:val="both"/>
              <w:rPr>
                <w:rFonts w:ascii="Times New Roman" w:eastAsia="Times New Roman" w:hAnsi="Times New Roman" w:cs="Times New Roman"/>
                <w:sz w:val="24"/>
              </w:rPr>
            </w:pPr>
            <w:r w:rsidRPr="003E4E19">
              <w:rPr>
                <w:rFonts w:ascii="Times New Roman" w:hAnsi="Times New Roman"/>
                <w:sz w:val="24"/>
              </w:rPr>
              <w:t>c</w:t>
            </w:r>
          </w:p>
        </w:tc>
        <w:tc>
          <w:tcPr>
            <w:tcW w:w="7654" w:type="dxa"/>
          </w:tcPr>
          <w:p w14:paraId="7D972C67" w14:textId="77777777" w:rsidR="001A67EA" w:rsidRPr="003E4E19" w:rsidRDefault="001A67EA" w:rsidP="004F3087">
            <w:pPr>
              <w:autoSpaceDE w:val="0"/>
              <w:autoSpaceDN w:val="0"/>
              <w:adjustRightInd w:val="0"/>
              <w:spacing w:after="120"/>
              <w:jc w:val="both"/>
              <w:rPr>
                <w:rFonts w:ascii="Times New Roman" w:eastAsia="Times New Roman" w:hAnsi="Times New Roman" w:cs="Times New Roman"/>
                <w:b/>
                <w:iCs/>
                <w:sz w:val="24"/>
              </w:rPr>
            </w:pPr>
            <w:r w:rsidRPr="003E4E19">
              <w:rPr>
                <w:rFonts w:ascii="Times New Roman" w:hAnsi="Times New Roman"/>
                <w:b/>
                <w:sz w:val="24"/>
              </w:rPr>
              <w:t xml:space="preserve">Iš jos užtikrinta užtikrinimo priemone </w:t>
            </w:r>
          </w:p>
          <w:p w14:paraId="2B8F68C6" w14:textId="0636415E" w:rsidR="001A67EA" w:rsidRPr="003E4E19" w:rsidRDefault="001A67EA" w:rsidP="004F3087">
            <w:pPr>
              <w:autoSpaceDE w:val="0"/>
              <w:autoSpaceDN w:val="0"/>
              <w:adjustRightInd w:val="0"/>
              <w:spacing w:after="120"/>
              <w:jc w:val="both"/>
              <w:rPr>
                <w:rFonts w:ascii="Times New Roman" w:eastAsia="Times New Roman" w:hAnsi="Times New Roman" w:cs="Times New Roman"/>
                <w:iCs/>
                <w:sz w:val="24"/>
              </w:rPr>
            </w:pPr>
            <w:r w:rsidRPr="003E4E19">
              <w:rPr>
                <w:rFonts w:ascii="Times New Roman" w:hAnsi="Times New Roman"/>
                <w:sz w:val="24"/>
              </w:rPr>
              <w:t>Šios formos b skilties pogrupis, rodantis pozicijų (atėmus atidėjinius / vertės sumažėjimą) arba jų dalių, užtikrintų užtikrinimo priemone, balansinę vertę</w:t>
            </w:r>
            <w:r w:rsidR="003E4E19">
              <w:rPr>
                <w:rFonts w:ascii="Times New Roman" w:hAnsi="Times New Roman"/>
                <w:sz w:val="24"/>
              </w:rPr>
              <w:t>.</w:t>
            </w:r>
            <w:r w:rsidRPr="003E4E19">
              <w:rPr>
                <w:rFonts w:ascii="Times New Roman" w:hAnsi="Times New Roman"/>
                <w:sz w:val="24"/>
              </w:rPr>
              <w:t xml:space="preserve"> Tuo atveju, kai pozicija yra užtikrinta užtikrinimo priemone ir kita (-omis) KRM priemone (-ėmis), kurios nesumokėjimo atveju, tikėtina, būtų panaudotos anksčiau laiko, užtikrinimo priemone užtikrintos pozicijos balansinė vertė yra lygi likusiai pozicijos daliai atsižvelgus į jau kitomis rizikos mažinimo priemonėmis užtikrintų pozicijų dalis, neviršijant tos pozicijos balansinės vertės.</w:t>
            </w:r>
          </w:p>
        </w:tc>
      </w:tr>
      <w:tr w:rsidR="001A67EA" w:rsidRPr="003E4E19" w14:paraId="50B32400" w14:textId="77777777" w:rsidTr="004F3087">
        <w:trPr>
          <w:trHeight w:val="316"/>
        </w:trPr>
        <w:tc>
          <w:tcPr>
            <w:tcW w:w="1413" w:type="dxa"/>
          </w:tcPr>
          <w:p w14:paraId="741497BC" w14:textId="77777777" w:rsidR="001A67EA" w:rsidRPr="003E4E19" w:rsidRDefault="001A67EA" w:rsidP="004F3087">
            <w:pPr>
              <w:autoSpaceDE w:val="0"/>
              <w:autoSpaceDN w:val="0"/>
              <w:adjustRightInd w:val="0"/>
              <w:spacing w:after="120"/>
              <w:jc w:val="both"/>
              <w:rPr>
                <w:rFonts w:ascii="Times New Roman" w:eastAsia="Times New Roman" w:hAnsi="Times New Roman" w:cs="Times New Roman"/>
                <w:sz w:val="24"/>
              </w:rPr>
            </w:pPr>
            <w:r w:rsidRPr="003E4E19">
              <w:rPr>
                <w:rFonts w:ascii="Times New Roman" w:hAnsi="Times New Roman"/>
                <w:sz w:val="24"/>
              </w:rPr>
              <w:t>d</w:t>
            </w:r>
          </w:p>
        </w:tc>
        <w:tc>
          <w:tcPr>
            <w:tcW w:w="7654" w:type="dxa"/>
          </w:tcPr>
          <w:p w14:paraId="550E0FE4" w14:textId="77777777" w:rsidR="001A67EA" w:rsidRPr="003E4E19" w:rsidRDefault="001A67EA" w:rsidP="004F3087">
            <w:pPr>
              <w:autoSpaceDE w:val="0"/>
              <w:autoSpaceDN w:val="0"/>
              <w:adjustRightInd w:val="0"/>
              <w:spacing w:after="120"/>
              <w:jc w:val="both"/>
              <w:rPr>
                <w:rFonts w:ascii="Times New Roman" w:eastAsia="Times New Roman" w:hAnsi="Times New Roman" w:cs="Times New Roman"/>
                <w:b/>
                <w:iCs/>
                <w:sz w:val="24"/>
              </w:rPr>
            </w:pPr>
            <w:r w:rsidRPr="003E4E19">
              <w:rPr>
                <w:rFonts w:ascii="Times New Roman" w:hAnsi="Times New Roman"/>
                <w:b/>
                <w:sz w:val="24"/>
              </w:rPr>
              <w:t xml:space="preserve">Iš jos užtikrinta finansinėmis garantijomis </w:t>
            </w:r>
          </w:p>
          <w:p w14:paraId="17847CC4" w14:textId="6A76772E" w:rsidR="001A67EA" w:rsidRPr="003E4E19" w:rsidRDefault="001A67EA" w:rsidP="004F3087">
            <w:pPr>
              <w:autoSpaceDE w:val="0"/>
              <w:autoSpaceDN w:val="0"/>
              <w:adjustRightInd w:val="0"/>
              <w:spacing w:after="120"/>
              <w:jc w:val="both"/>
              <w:rPr>
                <w:rFonts w:ascii="Times New Roman" w:eastAsia="Times New Roman" w:hAnsi="Times New Roman" w:cs="Times New Roman"/>
                <w:iCs/>
                <w:sz w:val="24"/>
              </w:rPr>
            </w:pPr>
            <w:r w:rsidRPr="003E4E19">
              <w:rPr>
                <w:rFonts w:ascii="Times New Roman" w:hAnsi="Times New Roman"/>
                <w:sz w:val="24"/>
              </w:rPr>
              <w:t>Šios formos b skilties pogrupis, rodantis pozicijų (atėmus atidėjinius / vertės sumažėjimą) arba jų dalių, užtikrintų garantijomis, balansinę vertę</w:t>
            </w:r>
            <w:r w:rsidR="003E4E19">
              <w:rPr>
                <w:rFonts w:ascii="Times New Roman" w:hAnsi="Times New Roman"/>
                <w:sz w:val="24"/>
              </w:rPr>
              <w:t>.</w:t>
            </w:r>
            <w:r w:rsidRPr="003E4E19">
              <w:rPr>
                <w:rFonts w:ascii="Times New Roman" w:hAnsi="Times New Roman"/>
                <w:sz w:val="24"/>
              </w:rPr>
              <w:t xml:space="preserve"> Tuo atveju, kai pozicija yra užtikrinta garantijomis ir kitomis KRM priemonėmis, kurios nesumokėjimo atveju, tikėtina, būtų panaudotos anksčiau laiko, garantijomis užtikrintos pozicijos balansinė vertė yra lygi likusiai pozicijos daliai atsižvelgus į jau kitomis rizikos mažinimo priemonėmis užtikrintas pozicijos dalis, neviršijant tos pozicijos balansinės vertės.</w:t>
            </w:r>
          </w:p>
        </w:tc>
      </w:tr>
      <w:tr w:rsidR="001A67EA" w:rsidRPr="003E4E19" w14:paraId="674417F3" w14:textId="77777777" w:rsidTr="004F3087">
        <w:trPr>
          <w:trHeight w:val="316"/>
        </w:trPr>
        <w:tc>
          <w:tcPr>
            <w:tcW w:w="1413" w:type="dxa"/>
          </w:tcPr>
          <w:p w14:paraId="0378E1B4" w14:textId="77777777" w:rsidR="001A67EA" w:rsidRPr="003E4E19" w:rsidRDefault="001A67EA" w:rsidP="004F3087">
            <w:pPr>
              <w:autoSpaceDE w:val="0"/>
              <w:autoSpaceDN w:val="0"/>
              <w:adjustRightInd w:val="0"/>
              <w:spacing w:after="120"/>
              <w:jc w:val="both"/>
              <w:rPr>
                <w:rFonts w:ascii="Times New Roman" w:eastAsia="Times New Roman" w:hAnsi="Times New Roman" w:cs="Times New Roman"/>
                <w:sz w:val="24"/>
              </w:rPr>
            </w:pPr>
            <w:r w:rsidRPr="003E4E19">
              <w:rPr>
                <w:rFonts w:ascii="Times New Roman" w:hAnsi="Times New Roman"/>
                <w:sz w:val="24"/>
              </w:rPr>
              <w:t>e</w:t>
            </w:r>
          </w:p>
        </w:tc>
        <w:tc>
          <w:tcPr>
            <w:tcW w:w="7654" w:type="dxa"/>
          </w:tcPr>
          <w:p w14:paraId="4F7777BA" w14:textId="77777777" w:rsidR="001A67EA" w:rsidRPr="003E4E19" w:rsidRDefault="001A67EA" w:rsidP="004F3087">
            <w:pPr>
              <w:autoSpaceDE w:val="0"/>
              <w:autoSpaceDN w:val="0"/>
              <w:adjustRightInd w:val="0"/>
              <w:spacing w:after="120"/>
              <w:jc w:val="both"/>
              <w:rPr>
                <w:rFonts w:ascii="Times New Roman" w:eastAsia="Times New Roman" w:hAnsi="Times New Roman" w:cs="Times New Roman"/>
                <w:b/>
                <w:iCs/>
                <w:sz w:val="24"/>
              </w:rPr>
            </w:pPr>
            <w:r w:rsidRPr="003E4E19">
              <w:rPr>
                <w:rFonts w:ascii="Times New Roman" w:hAnsi="Times New Roman"/>
                <w:b/>
                <w:sz w:val="24"/>
              </w:rPr>
              <w:t xml:space="preserve">Iš jos užtikrinta kredito išvestinėmis priemonėmis </w:t>
            </w:r>
          </w:p>
          <w:p w14:paraId="35390365" w14:textId="5DC71D37" w:rsidR="001A67EA" w:rsidRPr="003E4E19" w:rsidRDefault="001A67EA" w:rsidP="004F3087">
            <w:pPr>
              <w:autoSpaceDE w:val="0"/>
              <w:autoSpaceDN w:val="0"/>
              <w:adjustRightInd w:val="0"/>
              <w:spacing w:after="120"/>
              <w:jc w:val="both"/>
              <w:rPr>
                <w:rFonts w:ascii="Times New Roman" w:eastAsia="Times New Roman" w:hAnsi="Times New Roman" w:cs="Times New Roman"/>
                <w:iCs/>
                <w:sz w:val="24"/>
              </w:rPr>
            </w:pPr>
            <w:r w:rsidRPr="003E4E19">
              <w:rPr>
                <w:rFonts w:ascii="Times New Roman" w:hAnsi="Times New Roman"/>
                <w:sz w:val="24"/>
              </w:rPr>
              <w:t>Šios formos d skilties (finansinės garantijos) pogrupis, rodantis pozicijų (atėmus atidėjinius / vertės sumažėjimą) arba jų dalių, užtikrintų kredito išvestinėmis priemonėmis, balansinę vertę</w:t>
            </w:r>
            <w:r w:rsidR="003E4E19">
              <w:rPr>
                <w:rFonts w:ascii="Times New Roman" w:hAnsi="Times New Roman"/>
                <w:sz w:val="24"/>
              </w:rPr>
              <w:t>.</w:t>
            </w:r>
            <w:r w:rsidRPr="003E4E19">
              <w:rPr>
                <w:rFonts w:ascii="Times New Roman" w:hAnsi="Times New Roman"/>
                <w:sz w:val="24"/>
              </w:rPr>
              <w:t xml:space="preserve"> Tuo atveju, kai pozicija yra užtikrinta kredito išvestinėmis priemonėmis ir kitomis KRM priemonėmis, kurios nesumokėjimo atveju, tikėtina, būtų panaudotos anksčiau laiko, kredito išvestinėmis priemonėmis užtikrintos pozicijos balansinė vertė yra lygi likusiai pozicijos daliai atsižvelgus į jau kitomis rizikos mažinimo </w:t>
            </w:r>
            <w:r w:rsidRPr="003E4E19">
              <w:rPr>
                <w:rFonts w:ascii="Times New Roman" w:hAnsi="Times New Roman"/>
                <w:sz w:val="24"/>
              </w:rPr>
              <w:lastRenderedPageBreak/>
              <w:t xml:space="preserve">priemonėmis užtikrintas pozicijos dalis, neviršijant tos pozicijos balansinės vertės. </w:t>
            </w:r>
          </w:p>
        </w:tc>
      </w:tr>
    </w:tbl>
    <w:p w14:paraId="3A57B273" w14:textId="77777777" w:rsidR="001A67EA" w:rsidRPr="003E4E19" w:rsidRDefault="001A67EA" w:rsidP="001A67EA">
      <w:pPr>
        <w:spacing w:after="120"/>
        <w:rPr>
          <w:rFonts w:ascii="Times New Roman" w:hAnsi="Times New Roman" w:cs="Times New Roman"/>
          <w:sz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1A67EA" w:rsidRPr="003E4E19" w14:paraId="4ED59B80" w14:textId="77777777" w:rsidTr="004F3087">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5165B234" w14:textId="77777777" w:rsidR="001A67EA" w:rsidRPr="003E4E19" w:rsidRDefault="001A67EA" w:rsidP="004F3087">
            <w:pPr>
              <w:autoSpaceDE w:val="0"/>
              <w:autoSpaceDN w:val="0"/>
              <w:adjustRightInd w:val="0"/>
              <w:spacing w:after="120"/>
              <w:rPr>
                <w:rFonts w:ascii="Times New Roman" w:hAnsi="Times New Roman" w:cs="Times New Roman"/>
                <w:b/>
                <w:sz w:val="24"/>
              </w:rPr>
            </w:pPr>
            <w:r w:rsidRPr="003E4E19">
              <w:rPr>
                <w:rFonts w:ascii="Times New Roman" w:hAnsi="Times New Roman"/>
                <w:b/>
                <w:sz w:val="24"/>
              </w:rPr>
              <w:t>Eilutės nuoroda</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45725938" w14:textId="77777777" w:rsidR="001A67EA" w:rsidRPr="003E4E19" w:rsidRDefault="001A67EA" w:rsidP="004F3087">
            <w:pPr>
              <w:spacing w:after="120"/>
              <w:rPr>
                <w:rFonts w:ascii="Times New Roman" w:hAnsi="Times New Roman" w:cs="Times New Roman"/>
                <w:b/>
                <w:sz w:val="24"/>
              </w:rPr>
            </w:pPr>
            <w:r w:rsidRPr="003E4E19">
              <w:rPr>
                <w:rFonts w:ascii="Times New Roman" w:hAnsi="Times New Roman"/>
                <w:b/>
                <w:sz w:val="24"/>
              </w:rPr>
              <w:t>Nuorodos į teisės aktus ir nurodymai</w:t>
            </w:r>
          </w:p>
        </w:tc>
      </w:tr>
      <w:tr w:rsidR="001A67EA" w:rsidRPr="003E4E19" w14:paraId="2D299A07" w14:textId="77777777" w:rsidTr="004F3087">
        <w:trPr>
          <w:trHeight w:val="420"/>
        </w:trPr>
        <w:tc>
          <w:tcPr>
            <w:tcW w:w="1381" w:type="dxa"/>
            <w:vMerge/>
            <w:tcBorders>
              <w:left w:val="single" w:sz="4" w:space="0" w:color="auto"/>
              <w:right w:val="single" w:sz="4" w:space="0" w:color="auto"/>
            </w:tcBorders>
            <w:shd w:val="clear" w:color="auto" w:fill="D9D9D9" w:themeFill="background1" w:themeFillShade="D9"/>
          </w:tcPr>
          <w:p w14:paraId="73BB5563" w14:textId="77777777" w:rsidR="001A67EA" w:rsidRPr="003E4E19" w:rsidRDefault="001A67EA" w:rsidP="004F3087">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74C7B9A3" w14:textId="77777777" w:rsidR="001A67EA" w:rsidRPr="003E4E19" w:rsidRDefault="001A67EA" w:rsidP="004F3087">
            <w:pPr>
              <w:spacing w:after="120"/>
              <w:rPr>
                <w:rFonts w:ascii="Times New Roman" w:hAnsi="Times New Roman" w:cs="Times New Roman"/>
                <w:b/>
                <w:sz w:val="24"/>
              </w:rPr>
            </w:pPr>
            <w:r w:rsidRPr="003E4E19">
              <w:rPr>
                <w:rFonts w:ascii="Times New Roman" w:hAnsi="Times New Roman"/>
                <w:b/>
                <w:sz w:val="24"/>
              </w:rPr>
              <w:t>Paaiškinimas</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8266"/>
      </w:tblGrid>
      <w:tr w:rsidR="001A67EA" w:rsidRPr="003E4E19" w14:paraId="67790BED" w14:textId="77777777" w:rsidTr="004F3087">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3006C31B" w14:textId="77777777" w:rsidR="001A67EA" w:rsidRPr="003E4E19" w:rsidRDefault="001A67EA" w:rsidP="004F3087">
            <w:pPr>
              <w:spacing w:after="120"/>
              <w:jc w:val="both"/>
              <w:rPr>
                <w:rFonts w:ascii="Times New Roman" w:hAnsi="Times New Roman" w:cs="Times New Roman"/>
                <w:sz w:val="24"/>
                <w:lang w:val="lt-LT"/>
              </w:rPr>
            </w:pPr>
            <w:r w:rsidRPr="003E4E19">
              <w:rPr>
                <w:rFonts w:ascii="Times New Roman" w:hAnsi="Times New Roman"/>
                <w:sz w:val="24"/>
                <w:lang w:val="lt-LT"/>
              </w:rPr>
              <w:t xml:space="preserve">1 </w:t>
            </w:r>
          </w:p>
        </w:tc>
        <w:tc>
          <w:tcPr>
            <w:tcW w:w="826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0E779E01" w14:textId="77777777" w:rsidR="001A67EA" w:rsidRPr="003E4E19" w:rsidRDefault="001A67EA" w:rsidP="004F3087">
            <w:pPr>
              <w:spacing w:after="120"/>
              <w:jc w:val="both"/>
              <w:rPr>
                <w:rFonts w:ascii="Times New Roman" w:hAnsi="Times New Roman" w:cs="Times New Roman"/>
                <w:b/>
                <w:sz w:val="24"/>
                <w:u w:val="single"/>
                <w:lang w:val="lt-LT"/>
              </w:rPr>
            </w:pPr>
            <w:r w:rsidRPr="003E4E19">
              <w:rPr>
                <w:rFonts w:ascii="Times New Roman" w:hAnsi="Times New Roman"/>
                <w:b/>
                <w:sz w:val="24"/>
                <w:u w:val="single"/>
                <w:lang w:val="lt-LT"/>
              </w:rPr>
              <w:t>Paskolos ir kiti išankstiniai mokėjimai</w:t>
            </w:r>
          </w:p>
          <w:p w14:paraId="1DF552E0" w14:textId="77777777" w:rsidR="001A67EA" w:rsidRPr="003E4E19" w:rsidRDefault="001A67EA" w:rsidP="004F3087">
            <w:pPr>
              <w:spacing w:after="120"/>
              <w:jc w:val="both"/>
              <w:rPr>
                <w:rFonts w:ascii="Times New Roman" w:hAnsi="Times New Roman" w:cs="Times New Roman"/>
                <w:sz w:val="24"/>
                <w:lang w:val="lt-LT"/>
              </w:rPr>
            </w:pPr>
            <w:r w:rsidRPr="003E4E19">
              <w:rPr>
                <w:rFonts w:ascii="Times New Roman" w:hAnsi="Times New Roman"/>
                <w:sz w:val="24"/>
                <w:lang w:val="lt-LT"/>
              </w:rPr>
              <w:t>Paskolos ir kiti išankstiniai mokėjimai – skolos priemonės, kurias laiko įstaigos ir kurios nėra vertybiniai popieriai. Į šį straipsnį įrašomos paskolos pagal Reglamentą (ES) 1071/2013 (toliau – ECB BSI reglamentas)</w:t>
            </w:r>
            <w:r w:rsidRPr="003E4E19">
              <w:rPr>
                <w:rStyle w:val="FootnoteReference"/>
                <w:rFonts w:ascii="Times New Roman" w:hAnsi="Times New Roman" w:cs="Times New Roman"/>
                <w:sz w:val="24"/>
                <w:lang w:val="lt-LT"/>
              </w:rPr>
              <w:footnoteReference w:id="2"/>
            </w:r>
            <w:r w:rsidRPr="003E4E19">
              <w:rPr>
                <w:rFonts w:ascii="Times New Roman" w:hAnsi="Times New Roman"/>
                <w:sz w:val="24"/>
                <w:lang w:val="lt-LT"/>
              </w:rPr>
              <w:t xml:space="preserve"> ir kiti išankstiniai mokėjimai, kurių negalima priskirti prie paskolų pagal ECB BSI reglamentą, kaip apibrėžta Komisijos įgyvendinimo reglamento (ES) Nr. 680/2014</w:t>
            </w:r>
            <w:r w:rsidRPr="003E4E19">
              <w:rPr>
                <w:rStyle w:val="FootnoteReference"/>
                <w:rFonts w:ascii="Times New Roman" w:hAnsi="Times New Roman" w:cs="Times New Roman"/>
                <w:sz w:val="24"/>
                <w:lang w:val="lt-LT"/>
              </w:rPr>
              <w:footnoteReference w:id="3"/>
            </w:r>
            <w:r w:rsidRPr="003E4E19">
              <w:rPr>
                <w:rFonts w:ascii="Times New Roman" w:hAnsi="Times New Roman"/>
                <w:sz w:val="24"/>
                <w:lang w:val="lt-LT"/>
              </w:rPr>
              <w:t xml:space="preserve"> V priedo 1 dalies 32 punkte.</w:t>
            </w:r>
          </w:p>
        </w:tc>
      </w:tr>
      <w:tr w:rsidR="001A67EA" w:rsidRPr="003E4E19" w14:paraId="04E2555D" w14:textId="77777777" w:rsidTr="004F3087">
        <w:trPr>
          <w:trHeight w:val="843"/>
        </w:trPr>
        <w:tc>
          <w:tcPr>
            <w:tcW w:w="1363" w:type="dxa"/>
            <w:tcBorders>
              <w:top w:val="single" w:sz="4" w:space="0" w:color="auto"/>
              <w:left w:val="single" w:sz="4" w:space="0" w:color="auto"/>
              <w:right w:val="single" w:sz="4" w:space="0" w:color="auto"/>
            </w:tcBorders>
          </w:tcPr>
          <w:p w14:paraId="29CB77EA" w14:textId="77777777" w:rsidR="001A67EA" w:rsidRPr="003E4E19" w:rsidRDefault="001A67EA" w:rsidP="004F3087">
            <w:pPr>
              <w:spacing w:after="120"/>
              <w:jc w:val="both"/>
              <w:rPr>
                <w:rFonts w:ascii="Times New Roman" w:hAnsi="Times New Roman" w:cs="Times New Roman"/>
                <w:sz w:val="24"/>
                <w:lang w:val="lt-LT"/>
              </w:rPr>
            </w:pPr>
            <w:r w:rsidRPr="003E4E19">
              <w:rPr>
                <w:rFonts w:ascii="Times New Roman" w:hAnsi="Times New Roman"/>
                <w:sz w:val="24"/>
                <w:lang w:val="lt-LT"/>
              </w:rPr>
              <w:t>2</w:t>
            </w:r>
          </w:p>
        </w:tc>
        <w:tc>
          <w:tcPr>
            <w:tcW w:w="8266" w:type="dxa"/>
            <w:tcBorders>
              <w:top w:val="single" w:sz="4" w:space="0" w:color="auto"/>
              <w:left w:val="single" w:sz="4" w:space="0" w:color="auto"/>
              <w:right w:val="single" w:sz="4" w:space="0" w:color="auto"/>
            </w:tcBorders>
          </w:tcPr>
          <w:p w14:paraId="7DC4064C" w14:textId="77777777" w:rsidR="001A67EA" w:rsidRPr="003E4E19" w:rsidRDefault="001A67EA" w:rsidP="004F3087">
            <w:pPr>
              <w:spacing w:after="120"/>
              <w:jc w:val="both"/>
              <w:rPr>
                <w:rFonts w:ascii="Times New Roman" w:hAnsi="Times New Roman" w:cs="Times New Roman"/>
                <w:b/>
                <w:sz w:val="24"/>
                <w:u w:val="single"/>
                <w:lang w:val="lt-LT"/>
              </w:rPr>
            </w:pPr>
            <w:r w:rsidRPr="003E4E19">
              <w:rPr>
                <w:rFonts w:ascii="Times New Roman" w:hAnsi="Times New Roman"/>
                <w:b/>
                <w:sz w:val="24"/>
                <w:u w:val="single"/>
                <w:lang w:val="lt-LT"/>
              </w:rPr>
              <w:t>Skolos vertybiniai popieriai</w:t>
            </w:r>
          </w:p>
          <w:p w14:paraId="64329DF3" w14:textId="77777777" w:rsidR="001A67EA" w:rsidRPr="003E4E19" w:rsidRDefault="001A67EA" w:rsidP="004F3087">
            <w:pPr>
              <w:spacing w:after="120"/>
              <w:jc w:val="both"/>
              <w:rPr>
                <w:rFonts w:ascii="Times New Roman" w:hAnsi="Times New Roman" w:cs="Times New Roman"/>
                <w:sz w:val="24"/>
                <w:lang w:val="lt-LT"/>
              </w:rPr>
            </w:pPr>
            <w:r w:rsidRPr="003E4E19">
              <w:rPr>
                <w:rFonts w:ascii="Times New Roman" w:hAnsi="Times New Roman"/>
                <w:sz w:val="24"/>
                <w:lang w:val="lt-LT"/>
              </w:rPr>
              <w:t>Skolos vertybiniai popieriai – įstaigos laikomos skolos priemonės, kurios yra išleistos kaip vertybiniai popieriai ir kurios nėra paskolos pagal ECB BSI reglamentą, kaip apibrėžta Komisijos įgyvendinimo reglamento (ES) Nr. 680/2014 V priedo 1 dalies 31 punkte.</w:t>
            </w:r>
          </w:p>
        </w:tc>
      </w:tr>
      <w:tr w:rsidR="001A67EA" w:rsidRPr="003E4E19" w14:paraId="05FBC0A7" w14:textId="77777777" w:rsidTr="004F3087">
        <w:trPr>
          <w:trHeight w:val="843"/>
        </w:trPr>
        <w:tc>
          <w:tcPr>
            <w:tcW w:w="1363" w:type="dxa"/>
            <w:tcBorders>
              <w:top w:val="single" w:sz="4" w:space="0" w:color="auto"/>
              <w:left w:val="single" w:sz="4" w:space="0" w:color="auto"/>
              <w:right w:val="single" w:sz="4" w:space="0" w:color="auto"/>
            </w:tcBorders>
          </w:tcPr>
          <w:p w14:paraId="79F17B57" w14:textId="77777777" w:rsidR="001A67EA" w:rsidRPr="003E4E19" w:rsidRDefault="001A67EA" w:rsidP="004F3087">
            <w:pPr>
              <w:spacing w:after="120"/>
              <w:jc w:val="both"/>
              <w:rPr>
                <w:rFonts w:ascii="Times New Roman" w:hAnsi="Times New Roman" w:cs="Times New Roman"/>
                <w:sz w:val="24"/>
                <w:lang w:val="lt-LT"/>
              </w:rPr>
            </w:pPr>
            <w:r w:rsidRPr="003E4E19">
              <w:rPr>
                <w:rFonts w:ascii="Times New Roman" w:hAnsi="Times New Roman"/>
                <w:sz w:val="24"/>
                <w:lang w:val="lt-LT"/>
              </w:rPr>
              <w:t>3</w:t>
            </w:r>
          </w:p>
        </w:tc>
        <w:tc>
          <w:tcPr>
            <w:tcW w:w="8266" w:type="dxa"/>
            <w:tcBorders>
              <w:top w:val="single" w:sz="4" w:space="0" w:color="auto"/>
              <w:left w:val="single" w:sz="4" w:space="0" w:color="auto"/>
              <w:right w:val="single" w:sz="4" w:space="0" w:color="auto"/>
            </w:tcBorders>
          </w:tcPr>
          <w:p w14:paraId="4015BF67" w14:textId="77777777" w:rsidR="001A67EA" w:rsidRPr="003E4E19" w:rsidRDefault="001A67EA" w:rsidP="004F3087">
            <w:pPr>
              <w:spacing w:after="120"/>
              <w:jc w:val="both"/>
              <w:rPr>
                <w:rFonts w:ascii="Times New Roman" w:hAnsi="Times New Roman" w:cs="Times New Roman"/>
                <w:b/>
                <w:sz w:val="24"/>
                <w:u w:val="single"/>
                <w:lang w:val="lt-LT"/>
              </w:rPr>
            </w:pPr>
            <w:r w:rsidRPr="003E4E19">
              <w:rPr>
                <w:rFonts w:ascii="Times New Roman" w:hAnsi="Times New Roman"/>
                <w:b/>
                <w:sz w:val="24"/>
                <w:u w:val="single"/>
                <w:lang w:val="lt-LT"/>
              </w:rPr>
              <w:t>Iš viso</w:t>
            </w:r>
          </w:p>
          <w:p w14:paraId="1D5CA391" w14:textId="0B2263E0" w:rsidR="001A67EA" w:rsidRPr="003E4E19" w:rsidRDefault="001A67EA" w:rsidP="004F3087">
            <w:pPr>
              <w:spacing w:after="120"/>
              <w:jc w:val="both"/>
              <w:rPr>
                <w:rFonts w:ascii="Times New Roman" w:hAnsi="Times New Roman" w:cs="Times New Roman"/>
                <w:sz w:val="24"/>
                <w:lang w:val="lt-LT"/>
              </w:rPr>
            </w:pPr>
            <w:r w:rsidRPr="003E4E19">
              <w:rPr>
                <w:rFonts w:ascii="Times New Roman" w:hAnsi="Times New Roman"/>
                <w:sz w:val="24"/>
                <w:lang w:val="lt-LT"/>
              </w:rPr>
              <w:t>Šios formos 1–2 eilučių verčių suma</w:t>
            </w:r>
            <w:r w:rsidR="003E4E19">
              <w:rPr>
                <w:rFonts w:ascii="Times New Roman" w:hAnsi="Times New Roman"/>
                <w:sz w:val="24"/>
                <w:lang w:val="lt-LT"/>
              </w:rPr>
              <w:t>.</w:t>
            </w:r>
          </w:p>
        </w:tc>
      </w:tr>
      <w:tr w:rsidR="001A67EA" w:rsidRPr="003E4E19" w14:paraId="232D94F6" w14:textId="77777777" w:rsidTr="004F3087">
        <w:trPr>
          <w:trHeight w:val="843"/>
        </w:trPr>
        <w:tc>
          <w:tcPr>
            <w:tcW w:w="1363" w:type="dxa"/>
            <w:tcBorders>
              <w:top w:val="single" w:sz="4" w:space="0" w:color="auto"/>
              <w:left w:val="single" w:sz="4" w:space="0" w:color="auto"/>
              <w:right w:val="single" w:sz="4" w:space="0" w:color="auto"/>
            </w:tcBorders>
          </w:tcPr>
          <w:p w14:paraId="261A8B61" w14:textId="77777777" w:rsidR="001A67EA" w:rsidRPr="003E4E19" w:rsidRDefault="001A67EA" w:rsidP="004F3087">
            <w:pPr>
              <w:spacing w:after="120"/>
              <w:jc w:val="both"/>
              <w:rPr>
                <w:rFonts w:ascii="Times New Roman" w:hAnsi="Times New Roman" w:cs="Times New Roman"/>
                <w:sz w:val="24"/>
                <w:lang w:val="lt-LT"/>
              </w:rPr>
            </w:pPr>
            <w:r w:rsidRPr="003E4E19">
              <w:rPr>
                <w:rFonts w:ascii="Times New Roman" w:hAnsi="Times New Roman"/>
                <w:sz w:val="24"/>
                <w:lang w:val="lt-LT"/>
              </w:rPr>
              <w:t>4</w:t>
            </w:r>
          </w:p>
        </w:tc>
        <w:tc>
          <w:tcPr>
            <w:tcW w:w="8266" w:type="dxa"/>
            <w:tcBorders>
              <w:top w:val="single" w:sz="4" w:space="0" w:color="auto"/>
              <w:left w:val="single" w:sz="4" w:space="0" w:color="auto"/>
              <w:right w:val="single" w:sz="4" w:space="0" w:color="auto"/>
            </w:tcBorders>
          </w:tcPr>
          <w:p w14:paraId="6361D15E" w14:textId="77777777" w:rsidR="001A67EA" w:rsidRPr="003E4E19" w:rsidRDefault="001A67EA" w:rsidP="004F3087">
            <w:pPr>
              <w:spacing w:after="120"/>
              <w:jc w:val="both"/>
              <w:rPr>
                <w:rFonts w:ascii="Times New Roman" w:hAnsi="Times New Roman" w:cs="Times New Roman"/>
                <w:b/>
                <w:sz w:val="24"/>
                <w:u w:val="single"/>
                <w:lang w:val="lt-LT"/>
              </w:rPr>
            </w:pPr>
            <w:r w:rsidRPr="003E4E19">
              <w:rPr>
                <w:rFonts w:ascii="Times New Roman" w:hAnsi="Times New Roman"/>
                <w:b/>
                <w:sz w:val="24"/>
                <w:u w:val="single"/>
                <w:lang w:val="lt-LT"/>
              </w:rPr>
              <w:t>Iš jų neveiksnios pozicijos</w:t>
            </w:r>
          </w:p>
          <w:p w14:paraId="3AA9E7C7" w14:textId="3AB8AA56" w:rsidR="001A67EA" w:rsidRPr="003E4E19" w:rsidRDefault="001A67EA" w:rsidP="004F3087">
            <w:pPr>
              <w:spacing w:after="120"/>
              <w:jc w:val="both"/>
              <w:rPr>
                <w:rFonts w:ascii="Times New Roman" w:hAnsi="Times New Roman" w:cs="Times New Roman"/>
                <w:sz w:val="24"/>
                <w:lang w:val="lt-LT"/>
              </w:rPr>
            </w:pPr>
            <w:r w:rsidRPr="003E4E19">
              <w:rPr>
                <w:rFonts w:ascii="Times New Roman" w:hAnsi="Times New Roman"/>
                <w:sz w:val="24"/>
                <w:lang w:val="lt-LT"/>
              </w:rPr>
              <w:t>Neveiksnios pozicijos pagal KRR 47a straipsnį</w:t>
            </w:r>
            <w:r w:rsidR="003E4E19">
              <w:rPr>
                <w:rFonts w:ascii="Times New Roman" w:hAnsi="Times New Roman"/>
                <w:sz w:val="24"/>
                <w:lang w:val="lt-LT"/>
              </w:rPr>
              <w:t>.</w:t>
            </w:r>
          </w:p>
        </w:tc>
      </w:tr>
      <w:tr w:rsidR="001A67EA" w:rsidRPr="003E4E19" w14:paraId="1562F9C2" w14:textId="77777777" w:rsidTr="004F3087">
        <w:trPr>
          <w:trHeight w:val="843"/>
        </w:trPr>
        <w:tc>
          <w:tcPr>
            <w:tcW w:w="1363" w:type="dxa"/>
            <w:tcBorders>
              <w:top w:val="single" w:sz="4" w:space="0" w:color="auto"/>
              <w:left w:val="single" w:sz="4" w:space="0" w:color="auto"/>
              <w:right w:val="single" w:sz="4" w:space="0" w:color="auto"/>
            </w:tcBorders>
          </w:tcPr>
          <w:p w14:paraId="26B868C7" w14:textId="77777777" w:rsidR="001A67EA" w:rsidRPr="003E4E19" w:rsidRDefault="001A67EA" w:rsidP="004F3087">
            <w:pPr>
              <w:spacing w:after="120"/>
              <w:jc w:val="both"/>
              <w:rPr>
                <w:rFonts w:ascii="Times New Roman" w:hAnsi="Times New Roman" w:cs="Times New Roman"/>
                <w:sz w:val="24"/>
                <w:lang w:val="lt-LT"/>
              </w:rPr>
            </w:pPr>
            <w:r w:rsidRPr="003E4E19">
              <w:rPr>
                <w:rFonts w:ascii="Times New Roman" w:hAnsi="Times New Roman"/>
                <w:sz w:val="24"/>
                <w:lang w:val="lt-LT"/>
              </w:rPr>
              <w:t>EU-5</w:t>
            </w:r>
          </w:p>
        </w:tc>
        <w:tc>
          <w:tcPr>
            <w:tcW w:w="8266" w:type="dxa"/>
            <w:tcBorders>
              <w:top w:val="single" w:sz="4" w:space="0" w:color="auto"/>
              <w:left w:val="single" w:sz="4" w:space="0" w:color="auto"/>
              <w:right w:val="single" w:sz="4" w:space="0" w:color="auto"/>
            </w:tcBorders>
          </w:tcPr>
          <w:p w14:paraId="0B9851BE" w14:textId="77777777" w:rsidR="001A67EA" w:rsidRPr="003E4E19" w:rsidRDefault="001A67EA" w:rsidP="004F3087">
            <w:pPr>
              <w:spacing w:after="120"/>
              <w:jc w:val="both"/>
              <w:rPr>
                <w:rFonts w:ascii="Times New Roman" w:hAnsi="Times New Roman" w:cs="Times New Roman"/>
                <w:b/>
                <w:sz w:val="24"/>
                <w:u w:val="single"/>
                <w:lang w:val="lt-LT"/>
              </w:rPr>
            </w:pPr>
            <w:r w:rsidRPr="003E4E19">
              <w:rPr>
                <w:rFonts w:ascii="Times New Roman" w:hAnsi="Times New Roman"/>
                <w:b/>
                <w:sz w:val="24"/>
                <w:u w:val="single"/>
                <w:lang w:val="lt-LT"/>
              </w:rPr>
              <w:t>Iš jų pozicijos esant įsipareigojimų neįvykdymui</w:t>
            </w:r>
          </w:p>
          <w:p w14:paraId="6D84A962" w14:textId="596B7989" w:rsidR="001A67EA" w:rsidRPr="003E4E19" w:rsidRDefault="001A67EA" w:rsidP="004F3087">
            <w:pPr>
              <w:spacing w:after="120"/>
              <w:jc w:val="both"/>
              <w:rPr>
                <w:rFonts w:ascii="Times New Roman" w:hAnsi="Times New Roman" w:cs="Times New Roman"/>
                <w:sz w:val="24"/>
                <w:lang w:val="lt-LT"/>
              </w:rPr>
            </w:pPr>
            <w:r w:rsidRPr="003E4E19">
              <w:rPr>
                <w:rFonts w:ascii="Times New Roman" w:hAnsi="Times New Roman"/>
                <w:sz w:val="24"/>
                <w:lang w:val="lt-LT"/>
              </w:rPr>
              <w:t>Pozicijos esant įsipareigojimų neįvykdymui pagal KRR 178 straipsnį</w:t>
            </w:r>
            <w:r w:rsidR="003E4E19">
              <w:rPr>
                <w:rFonts w:ascii="Times New Roman" w:hAnsi="Times New Roman"/>
                <w:sz w:val="24"/>
                <w:lang w:val="lt-LT"/>
              </w:rPr>
              <w:t>.</w:t>
            </w:r>
          </w:p>
        </w:tc>
      </w:tr>
    </w:tbl>
    <w:p w14:paraId="11144359" w14:textId="77777777" w:rsidR="001A67EA" w:rsidRPr="003E4E19" w:rsidRDefault="001A67EA" w:rsidP="001A67EA">
      <w:pPr>
        <w:spacing w:after="120"/>
        <w:rPr>
          <w:rFonts w:ascii="Times New Roman" w:hAnsi="Times New Roman" w:cs="Times New Roman"/>
          <w:sz w:val="24"/>
          <w:highlight w:val="yellow"/>
        </w:rPr>
      </w:pPr>
    </w:p>
    <w:p w14:paraId="516865D4" w14:textId="77777777" w:rsidR="001A67EA" w:rsidRPr="003E4E19" w:rsidRDefault="001A67EA" w:rsidP="001A67EA">
      <w:pPr>
        <w:spacing w:after="120"/>
        <w:rPr>
          <w:rFonts w:ascii="Times New Roman" w:hAnsi="Times New Roman" w:cs="Times New Roman"/>
          <w:sz w:val="24"/>
          <w:highlight w:val="yellow"/>
        </w:rPr>
      </w:pPr>
    </w:p>
    <w:p w14:paraId="2D174E35" w14:textId="77777777" w:rsidR="00993FC2" w:rsidRPr="003E4E19" w:rsidRDefault="00993FC2" w:rsidP="001A67EA"/>
    <w:sectPr w:rsidR="00993FC2" w:rsidRPr="003E4E19">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053CB" w14:textId="77777777" w:rsidR="007C10F0" w:rsidRDefault="007C10F0" w:rsidP="001A67EA">
      <w:r>
        <w:separator/>
      </w:r>
    </w:p>
  </w:endnote>
  <w:endnote w:type="continuationSeparator" w:id="0">
    <w:p w14:paraId="47A5B7D0" w14:textId="77777777" w:rsidR="007C10F0" w:rsidRDefault="007C10F0" w:rsidP="001A6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856962"/>
      <w:docPartObj>
        <w:docPartGallery w:val="Page Numbers (Bottom of Page)"/>
        <w:docPartUnique/>
      </w:docPartObj>
    </w:sdtPr>
    <w:sdtEndPr>
      <w:rPr>
        <w:noProof/>
      </w:rPr>
    </w:sdtEndPr>
    <w:sdtContent>
      <w:p w14:paraId="4DF45D7D" w14:textId="77777777" w:rsidR="001A67EA" w:rsidRDefault="001A67EA">
        <w:pPr>
          <w:pStyle w:val="Footer"/>
          <w:jc w:val="right"/>
        </w:pPr>
        <w:r>
          <w:fldChar w:fldCharType="begin"/>
        </w:r>
        <w:r>
          <w:instrText xml:space="preserve"> PAGE   \* MERGEFORMAT </w:instrText>
        </w:r>
        <w:r>
          <w:fldChar w:fldCharType="separate"/>
        </w:r>
        <w:r>
          <w:t>4</w:t>
        </w:r>
        <w:r>
          <w:fldChar w:fldCharType="end"/>
        </w:r>
      </w:p>
    </w:sdtContent>
  </w:sdt>
  <w:p w14:paraId="32B367C4" w14:textId="77777777" w:rsidR="001A67EA" w:rsidRDefault="001A67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51FBBF" w14:textId="77777777" w:rsidR="007C10F0" w:rsidRDefault="007C10F0" w:rsidP="001A67EA">
      <w:r>
        <w:separator/>
      </w:r>
    </w:p>
  </w:footnote>
  <w:footnote w:type="continuationSeparator" w:id="0">
    <w:p w14:paraId="128872C8" w14:textId="77777777" w:rsidR="007C10F0" w:rsidRDefault="007C10F0" w:rsidP="001A67EA">
      <w:r>
        <w:continuationSeparator/>
      </w:r>
    </w:p>
  </w:footnote>
  <w:footnote w:id="1">
    <w:p w14:paraId="46EBDC9A" w14:textId="0643DC4B" w:rsidR="001A67EA" w:rsidRPr="00222AAB" w:rsidRDefault="001A67EA" w:rsidP="001A67EA">
      <w:pPr>
        <w:pStyle w:val="FootnoteText"/>
        <w:rPr>
          <w:rFonts w:cstheme="minorHAnsi"/>
        </w:rPr>
      </w:pPr>
      <w:r>
        <w:rPr>
          <w:rStyle w:val="FootnoteReference"/>
          <w:rFonts w:cstheme="minorHAnsi"/>
        </w:rPr>
        <w:footnoteRef/>
      </w:r>
      <w:r>
        <w:tab/>
        <w:t>2013 m. birželio 26 d. Europos Parlamento ir Tarybos reglamentas (ES) Nr. 575/2013 dėl riziką ribojančių reikalavimų kredito įstaigoms, kuriuo iš dalies keičiamas Reglamentas (ES) Nr. 648/2012, su pakeitimais, padarytais Reglamentu (ES) 2024/1623, (</w:t>
      </w:r>
      <w:hyperlink r:id="rId1" w:history="1">
        <w:r>
          <w:rPr>
            <w:rStyle w:val="Hyperlink"/>
            <w:color w:val="800080"/>
          </w:rPr>
          <w:t>OL L 176, 2013 6 27, p. 1;</w:t>
        </w:r>
      </w:hyperlink>
      <w:r>
        <w:t>.</w:t>
      </w:r>
      <w:r>
        <w:rPr>
          <w:color w:val="800080"/>
          <w:u w:val="single"/>
        </w:rPr>
        <w:t xml:space="preserve"> </w:t>
      </w:r>
      <w:hyperlink r:id="rId2" w:history="1">
        <w:r>
          <w:rPr>
            <w:rStyle w:val="Hyperlink"/>
          </w:rPr>
          <w:t>Reglamentas (ES) 2024/1623 - LT - EUR-Lex (europa.eu)</w:t>
        </w:r>
      </w:hyperlink>
      <w:r>
        <w:rPr>
          <w:color w:val="444444"/>
        </w:rPr>
        <w:t>)</w:t>
      </w:r>
      <w:r>
        <w:t>.</w:t>
      </w:r>
    </w:p>
  </w:footnote>
  <w:footnote w:id="2">
    <w:p w14:paraId="617AD8CF" w14:textId="77777777" w:rsidR="001A67EA" w:rsidRPr="00222AAB" w:rsidRDefault="001A67EA" w:rsidP="001A67EA">
      <w:pPr>
        <w:pStyle w:val="FootnoteText"/>
        <w:rPr>
          <w:rFonts w:cstheme="minorHAnsi"/>
        </w:rPr>
      </w:pPr>
      <w:r>
        <w:rPr>
          <w:rStyle w:val="FootnoteReference"/>
          <w:rFonts w:cstheme="minorHAnsi"/>
        </w:rPr>
        <w:footnoteRef/>
      </w:r>
      <w:r>
        <w:tab/>
        <w:t>2013 m. rugsėjo 24 d. EUROPOS CENTRINIO BANKO REGLAMENTAS (ES) Nr. 1071/2013 dėl pinigų finansų įstaigų sektoriaus balanso (ECB/2013/33) (OL L 297, 2013 11 7, p. 1).</w:t>
      </w:r>
    </w:p>
  </w:footnote>
  <w:footnote w:id="3">
    <w:p w14:paraId="40DC675F" w14:textId="77777777" w:rsidR="001A67EA" w:rsidRPr="00222AAB" w:rsidRDefault="001A67EA" w:rsidP="001A67EA">
      <w:pPr>
        <w:pStyle w:val="FootnoteText"/>
        <w:rPr>
          <w:rFonts w:cstheme="minorHAnsi"/>
        </w:rPr>
      </w:pPr>
      <w:r>
        <w:rPr>
          <w:rStyle w:val="FootnoteReference"/>
          <w:rFonts w:cstheme="minorHAnsi"/>
        </w:rPr>
        <w:footnoteRef/>
      </w:r>
      <w:r>
        <w:tab/>
        <w:t>2014 m. balandžio 16 d. KOMISIJOS ĮGYVENDINIMO REGLAMENTAS (ES) Nr. 680/2014, kuriuo pagal Europos Parlamento ir Tarybos reglamentą (ES) Nr. 575/2013 nustatomi įstaigų priežiūros ataskaitų teikimo techniniai įgyvendinimo standartai, (OL L 191, 2014 6 28,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4CD94" w14:textId="0D45C6BA" w:rsidR="00D03F87" w:rsidRDefault="00D03F87">
    <w:pPr>
      <w:pStyle w:val="Header"/>
    </w:pPr>
    <w:r>
      <w:rPr>
        <w:noProof/>
      </w:rPr>
      <mc:AlternateContent>
        <mc:Choice Requires="wps">
          <w:drawing>
            <wp:anchor distT="0" distB="0" distL="0" distR="0" simplePos="0" relativeHeight="251659264" behindDoc="0" locked="0" layoutInCell="1" allowOverlap="1" wp14:anchorId="48E57A27" wp14:editId="38EFA058">
              <wp:simplePos x="635" y="635"/>
              <wp:positionH relativeFrom="page">
                <wp:align>left</wp:align>
              </wp:positionH>
              <wp:positionV relativeFrom="page">
                <wp:align>top</wp:align>
              </wp:positionV>
              <wp:extent cx="1273175" cy="376555"/>
              <wp:effectExtent l="0" t="0" r="3175" b="4445"/>
              <wp:wrapNone/>
              <wp:docPr id="1511192801"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CF14E2E" w14:textId="6051178C" w:rsidR="00D03F87" w:rsidRPr="00D03F87" w:rsidRDefault="00D03F87" w:rsidP="00D03F87">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8E57A27" id="_x0000_t202" coordsize="21600,21600" o:spt="202" path="m,l,21600r21600,l21600,xe">
              <v:stroke joinstyle="miter"/>
              <v:path gradientshapeok="t" o:connecttype="rect"/>
            </v:shapetype>
            <v:shape id="Text Box 2" o:spid="_x0000_s1026" type="#_x0000_t202" alt="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4CF14E2E" w14:textId="6051178C" w:rsidR="00D03F87" w:rsidRPr="00D03F87" w:rsidRDefault="00D03F87" w:rsidP="00D03F87">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A84A0" w14:textId="4D7564CB" w:rsidR="00D03F87" w:rsidRDefault="00D03F87">
    <w:pPr>
      <w:pStyle w:val="Header"/>
    </w:pPr>
    <w:r>
      <w:rPr>
        <w:noProof/>
      </w:rPr>
      <mc:AlternateContent>
        <mc:Choice Requires="wps">
          <w:drawing>
            <wp:anchor distT="0" distB="0" distL="0" distR="0" simplePos="0" relativeHeight="251660288" behindDoc="0" locked="0" layoutInCell="1" allowOverlap="1" wp14:anchorId="2BA8A8F2" wp14:editId="73F2E6A4">
              <wp:simplePos x="914400" y="447675"/>
              <wp:positionH relativeFrom="page">
                <wp:align>left</wp:align>
              </wp:positionH>
              <wp:positionV relativeFrom="page">
                <wp:align>top</wp:align>
              </wp:positionV>
              <wp:extent cx="1273175" cy="376555"/>
              <wp:effectExtent l="0" t="0" r="3175" b="4445"/>
              <wp:wrapNone/>
              <wp:docPr id="551966805"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2B33A51A" w14:textId="77519130" w:rsidR="00D03F87" w:rsidRPr="00D03F87" w:rsidRDefault="00D03F87" w:rsidP="00D03F87">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BA8A8F2" id="_x0000_t202" coordsize="21600,21600" o:spt="202" path="m,l,21600r21600,l21600,xe">
              <v:stroke joinstyle="miter"/>
              <v:path gradientshapeok="t" o:connecttype="rect"/>
            </v:shapetype>
            <v:shape id="Text Box 3" o:spid="_x0000_s1027" type="#_x0000_t202" alt="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2B33A51A" w14:textId="77519130" w:rsidR="00D03F87" w:rsidRPr="00D03F87" w:rsidRDefault="00D03F87" w:rsidP="00D03F87">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F2360" w14:textId="228A2E9F" w:rsidR="00D03F87" w:rsidRDefault="00D03F87">
    <w:pPr>
      <w:pStyle w:val="Header"/>
    </w:pPr>
    <w:r>
      <w:rPr>
        <w:noProof/>
      </w:rPr>
      <mc:AlternateContent>
        <mc:Choice Requires="wps">
          <w:drawing>
            <wp:anchor distT="0" distB="0" distL="0" distR="0" simplePos="0" relativeHeight="251658240" behindDoc="0" locked="0" layoutInCell="1" allowOverlap="1" wp14:anchorId="2A2B5F7B" wp14:editId="256233AA">
              <wp:simplePos x="635" y="635"/>
              <wp:positionH relativeFrom="page">
                <wp:align>left</wp:align>
              </wp:positionH>
              <wp:positionV relativeFrom="page">
                <wp:align>top</wp:align>
              </wp:positionV>
              <wp:extent cx="1273175" cy="376555"/>
              <wp:effectExtent l="0" t="0" r="3175" b="4445"/>
              <wp:wrapNone/>
              <wp:docPr id="413512796"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295F4275" w14:textId="46855021" w:rsidR="00D03F87" w:rsidRPr="00D03F87" w:rsidRDefault="00D03F87" w:rsidP="00D03F87">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A2B5F7B" id="_x0000_t202" coordsize="21600,21600" o:spt="202" path="m,l,21600r21600,l21600,xe">
              <v:stroke joinstyle="miter"/>
              <v:path gradientshapeok="t" o:connecttype="rect"/>
            </v:shapetype>
            <v:shape id="Text Box 1" o:spid="_x0000_s1028" type="#_x0000_t202" alt="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295F4275" w14:textId="46855021" w:rsidR="00D03F87" w:rsidRPr="00D03F87" w:rsidRDefault="00D03F87" w:rsidP="00D03F87">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82C49"/>
    <w:rsid w:val="001A67EA"/>
    <w:rsid w:val="00382C49"/>
    <w:rsid w:val="003E4E19"/>
    <w:rsid w:val="004E6337"/>
    <w:rsid w:val="007C10F0"/>
    <w:rsid w:val="00993FC2"/>
    <w:rsid w:val="00CA68B1"/>
    <w:rsid w:val="00D03F87"/>
    <w:rsid w:val="00FE23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50B00"/>
  <w15:chartTrackingRefBased/>
  <w15:docId w15:val="{10B9F566-ECEB-472F-BF93-6D8F7AA9F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67EA"/>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1A67EA"/>
    <w:rPr>
      <w:rFonts w:eastAsiaTheme="minorEastAsia"/>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1A67EA"/>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1A67EA"/>
    <w:rPr>
      <w:rFonts w:eastAsiaTheme="minorEastAsia"/>
      <w:sz w:val="18"/>
      <w:szCs w:val="18"/>
      <w:lang w:val="lt-LT"/>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1A67EA"/>
    <w:rPr>
      <w:rFonts w:asciiTheme="minorHAnsi" w:hAnsiTheme="minorHAnsi"/>
      <w:sz w:val="22"/>
      <w:szCs w:val="18"/>
      <w:vertAlign w:val="superscript"/>
    </w:rPr>
  </w:style>
  <w:style w:type="character" w:styleId="Hyperlink">
    <w:name w:val="Hyperlink"/>
    <w:basedOn w:val="DefaultParagraphFont"/>
    <w:uiPriority w:val="99"/>
    <w:rsid w:val="001A67EA"/>
    <w:rPr>
      <w:color w:val="0563C1" w:themeColor="hyperlink"/>
      <w:u w:val="single"/>
    </w:rPr>
  </w:style>
  <w:style w:type="paragraph" w:customStyle="1" w:styleId="Annexetitre">
    <w:name w:val="Annexe titre"/>
    <w:basedOn w:val="Normal"/>
    <w:next w:val="Normal"/>
    <w:rsid w:val="001A67EA"/>
    <w:pPr>
      <w:spacing w:before="120" w:after="120"/>
      <w:jc w:val="center"/>
    </w:pPr>
    <w:rPr>
      <w:rFonts w:ascii="Times New Roman" w:eastAsia="Times New Roman" w:hAnsi="Times New Roman" w:cs="Times New Roman"/>
      <w:b/>
      <w:sz w:val="24"/>
      <w:u w:val="single"/>
    </w:rPr>
  </w:style>
  <w:style w:type="table" w:styleId="TableProfessional">
    <w:name w:val="Table Professional"/>
    <w:basedOn w:val="TableNormal"/>
    <w:uiPriority w:val="99"/>
    <w:semiHidden/>
    <w:unhideWhenUsed/>
    <w:rsid w:val="001A67EA"/>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1A67EA"/>
    <w:pPr>
      <w:tabs>
        <w:tab w:val="center" w:pos="4513"/>
        <w:tab w:val="right" w:pos="9026"/>
      </w:tabs>
    </w:pPr>
  </w:style>
  <w:style w:type="character" w:customStyle="1" w:styleId="HeaderChar">
    <w:name w:val="Header Char"/>
    <w:basedOn w:val="DefaultParagraphFont"/>
    <w:link w:val="Header"/>
    <w:uiPriority w:val="99"/>
    <w:rsid w:val="001A67EA"/>
    <w:rPr>
      <w:rFonts w:eastAsiaTheme="minorEastAsia"/>
      <w:szCs w:val="24"/>
    </w:rPr>
  </w:style>
  <w:style w:type="paragraph" w:styleId="Footer">
    <w:name w:val="footer"/>
    <w:basedOn w:val="Normal"/>
    <w:link w:val="FooterChar"/>
    <w:uiPriority w:val="99"/>
    <w:unhideWhenUsed/>
    <w:rsid w:val="001A67EA"/>
    <w:pPr>
      <w:tabs>
        <w:tab w:val="center" w:pos="4513"/>
        <w:tab w:val="right" w:pos="9026"/>
      </w:tabs>
    </w:pPr>
  </w:style>
  <w:style w:type="character" w:customStyle="1" w:styleId="FooterChar">
    <w:name w:val="Footer Char"/>
    <w:basedOn w:val="DefaultParagraphFont"/>
    <w:link w:val="Footer"/>
    <w:uiPriority w:val="99"/>
    <w:rsid w:val="001A67EA"/>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LT/TXT/?uri=OJ:L_202401623" TargetMode="External"/><Relationship Id="rId1" Type="http://schemas.openxmlformats.org/officeDocument/2006/relationships/hyperlink" Target="https://eur-lex.europa.eu/legal-content/L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C963EB4-1483-4C73-B719-90053AF6BF71}"/>
</file>

<file path=customXml/itemProps2.xml><?xml version="1.0" encoding="utf-8"?>
<ds:datastoreItem xmlns:ds="http://schemas.openxmlformats.org/officeDocument/2006/customXml" ds:itemID="{61C8C766-79CC-4487-A32E-51AC6FA6D3FE}"/>
</file>

<file path=customXml/itemProps3.xml><?xml version="1.0" encoding="utf-8"?>
<ds:datastoreItem xmlns:ds="http://schemas.openxmlformats.org/officeDocument/2006/customXml" ds:itemID="{EDB6C1F0-649D-4022-928C-B115680DE2C7}"/>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4</TotalTime>
  <Pages>4</Pages>
  <Words>1137</Words>
  <Characters>7848</Characters>
  <Application>Microsoft Office Word</Application>
  <DocSecurity>0</DocSecurity>
  <Lines>191</Lines>
  <Paragraphs>80</Paragraphs>
  <ScaleCrop>false</ScaleCrop>
  <Company>European Banking Authority</Company>
  <LinksUpToDate>false</LinksUpToDate>
  <CharactersWithSpaces>8905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MALAKAUSKIENE Inga (DGT)</cp:lastModifiedBy>
  <cp:revision>5</cp:revision>
  <dcterms:created xsi:type="dcterms:W3CDTF">2021-03-11T13:17:00Z</dcterms:created>
  <dcterms:modified xsi:type="dcterms:W3CDTF">2024-10-18T13:00:00Z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18a5b45c,5a12f8e1,20e65855</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2024-09-26T15:08:54Z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70db11ff-dbab-49fe-8b5a-723b3ae89617</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