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E3943" w14:textId="2F47723D" w:rsidR="0005278F" w:rsidRPr="00BC439A" w:rsidRDefault="0005278F" w:rsidP="0005278F">
      <w:pPr>
        <w:pStyle w:val="Annexetitre"/>
        <w:spacing w:before="0"/>
      </w:pPr>
      <w:r>
        <w:t>ANEXO XX — Instruções relativas à divulgação da utilização do método-padrão para o risco de crédito (excluindo o risco de crédito de contraparte e as posições de titularização)</w:t>
      </w:r>
    </w:p>
    <w:p w14:paraId="137E3944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45" w14:textId="67437BFC" w:rsidR="0005278F" w:rsidRPr="00BC439A" w:rsidRDefault="0005278F" w:rsidP="0005278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Os instrumentos abrangidos pela parte III, título II, capítulo 6, do Regulamento (UE) n.º 575/2013 (CRR)</w:t>
      </w:r>
      <w:r w:rsidR="00166E0C" w:rsidRPr="00BC439A">
        <w:rPr>
          <w:rStyle w:val="FootnoteReference"/>
          <w:rFonts w:ascii="Times New Roman" w:hAnsi="Times New Roman"/>
        </w:rPr>
        <w:footnoteReference w:id="2"/>
      </w:r>
      <w:r>
        <w:rPr>
          <w:rFonts w:ascii="Times New Roman" w:hAnsi="Times New Roman"/>
          <w:sz w:val="24"/>
        </w:rPr>
        <w:t xml:space="preserve"> (posições em risco de crédito de contraparte), bem como os instrumentos aos quais são aplicáveis os requisitos da parte III, título II, capítulo 5, do Regulamento (UE) n.º 575/2013 (posições em risco sobre titularizações), não são abrangidos pelos modelos para os quais são fornecidas instruções no presente anexo.</w:t>
      </w:r>
    </w:p>
    <w:p w14:paraId="137E3946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Quadro EU CRD — Requisitos de divulgação qualitativa relacionados com o método padrão. </w:t>
      </w:r>
      <w:r>
        <w:rPr>
          <w:rFonts w:ascii="Times New Roman" w:hAnsi="Times New Roman"/>
          <w:sz w:val="24"/>
        </w:rPr>
        <w:t>Formato flexível</w:t>
      </w:r>
    </w:p>
    <w:p w14:paraId="137E3947" w14:textId="5594AA8B" w:rsidR="0005278F" w:rsidRPr="00BC439A" w:rsidRDefault="0005278F" w:rsidP="0005278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As instituições devem divulgar as informações referidas no artigo 444.º, alínea a) a d), do Regulamento (UE) n.º 575/2013, seguindo as instruções indicadas abaixo no presente anexo, a fim de preencher o quadro EU CRD apresentado no anexo XIX das soluções informáticas da EBA.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BC439A" w14:paraId="137E394B" w14:textId="77777777" w:rsidTr="004F3087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8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Linha</w:t>
            </w:r>
          </w:p>
          <w:p w14:paraId="137E3949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da linha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A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Referências jurídicas e instruções</w:t>
            </w:r>
          </w:p>
        </w:tc>
      </w:tr>
      <w:tr w:rsidR="0005278F" w:rsidRPr="00BC439A" w14:paraId="137E394E" w14:textId="77777777" w:rsidTr="004F3087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C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D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Explicação</w:t>
            </w:r>
          </w:p>
        </w:tc>
      </w:tr>
    </w:tbl>
    <w:tbl>
      <w:tblPr>
        <w:tblStyle w:val="TableGrid"/>
        <w:tblW w:w="9072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8"/>
        <w:gridCol w:w="3118"/>
        <w:gridCol w:w="4546"/>
      </w:tblGrid>
      <w:tr w:rsidR="00166E0C" w:rsidRPr="00BC439A" w14:paraId="137E3952" w14:textId="77777777" w:rsidTr="00FB64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2"/>
        </w:trPr>
        <w:tc>
          <w:tcPr>
            <w:tcW w:w="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top"/>
          </w:tcPr>
          <w:p w14:paraId="137E394F" w14:textId="77777777" w:rsidR="0005278F" w:rsidRPr="00BC439A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E3950" w14:textId="77777777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Artigo 444.º, alínea a), do CRR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E3951" w14:textId="77777777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As instituições devem divulgar as denominações das instituições externas de avaliação de crédito (ECAI) e das agências de crédito à exportação (ACE) designadas e as razões subjacentes a quaisquer alterações dessas designações ao longo do período de divulgação. </w:t>
            </w:r>
          </w:p>
        </w:tc>
      </w:tr>
      <w:tr w:rsidR="0005278F" w:rsidRPr="00BC439A" w14:paraId="137E3956" w14:textId="77777777" w:rsidTr="00FB64CF">
        <w:trPr>
          <w:trHeight w:val="1492"/>
        </w:trPr>
        <w:tc>
          <w:tcPr>
            <w:tcW w:w="1408" w:type="dxa"/>
            <w:vAlign w:val="top"/>
          </w:tcPr>
          <w:p w14:paraId="137E3953" w14:textId="77777777" w:rsidR="0005278F" w:rsidRPr="00BC439A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3118" w:type="dxa"/>
          </w:tcPr>
          <w:p w14:paraId="137E3954" w14:textId="77777777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Artigo 444.º, alínea b), do CRR</w:t>
            </w:r>
          </w:p>
        </w:tc>
        <w:tc>
          <w:tcPr>
            <w:tcW w:w="4546" w:type="dxa"/>
          </w:tcPr>
          <w:p w14:paraId="137E3955" w14:textId="116E6D70" w:rsidR="0005278F" w:rsidRPr="00BC439A" w:rsidRDefault="0005278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As instituições devem indicar as classes de risco, especificadas no artigo 112.º do Regulamento (UE) n.º 575/2013, relativamente às quais calcularam os montantes das posições ponderadas pelo risco, em conformidade com a parte III, título II, capítulo 2, do CRR, utilizando a avaliação de crédito estabelecida pela ECAI ou ECA designada. </w:t>
            </w:r>
          </w:p>
        </w:tc>
      </w:tr>
      <w:tr w:rsidR="0005278F" w:rsidRPr="00BC439A" w:rsidDel="00915DC9" w14:paraId="137E395A" w14:textId="77777777" w:rsidTr="00FB64CF">
        <w:trPr>
          <w:trHeight w:val="973"/>
        </w:trPr>
        <w:tc>
          <w:tcPr>
            <w:tcW w:w="1408" w:type="dxa"/>
            <w:vAlign w:val="top"/>
          </w:tcPr>
          <w:p w14:paraId="137E3957" w14:textId="6B9106A6" w:rsidR="0005278F" w:rsidRPr="00BC439A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3118" w:type="dxa"/>
          </w:tcPr>
          <w:p w14:paraId="137E3958" w14:textId="77777777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Artigo 444.º, alínea c), do CRR</w:t>
            </w:r>
          </w:p>
        </w:tc>
        <w:tc>
          <w:tcPr>
            <w:tcW w:w="4546" w:type="dxa"/>
          </w:tcPr>
          <w:p w14:paraId="137E3959" w14:textId="5469201A" w:rsidR="0005278F" w:rsidRPr="00BC439A" w:rsidDel="00915DC9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Sempre que é utilizada uma avaliação de crédito do emitente ou de uma emissão para determinar o ponderador de risco aplicável a uma posição em risco não incluída na carteira de negociação, em conformidade com a parte III, título II, capítulo 2, artigo 139.º, do Regulamento (UE) n.º 575/2013, as </w:t>
            </w:r>
            <w:r>
              <w:rPr>
                <w:rFonts w:ascii="Times New Roman" w:hAnsi="Times New Roman"/>
                <w:sz w:val="24"/>
              </w:rPr>
              <w:lastRenderedPageBreak/>
              <w:t>instituições devem descrever o processo utilizado.</w:t>
            </w:r>
          </w:p>
        </w:tc>
      </w:tr>
      <w:tr w:rsidR="0005278F" w:rsidRPr="00BC439A" w14:paraId="137E395E" w14:textId="77777777" w:rsidTr="00FB64CF">
        <w:trPr>
          <w:trHeight w:val="1265"/>
        </w:trPr>
        <w:tc>
          <w:tcPr>
            <w:tcW w:w="1408" w:type="dxa"/>
            <w:vAlign w:val="top"/>
          </w:tcPr>
          <w:p w14:paraId="137E395B" w14:textId="77777777" w:rsidR="0005278F" w:rsidRPr="00BC439A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lastRenderedPageBreak/>
              <w:t>d)</w:t>
            </w:r>
          </w:p>
        </w:tc>
        <w:tc>
          <w:tcPr>
            <w:tcW w:w="3118" w:type="dxa"/>
          </w:tcPr>
          <w:p w14:paraId="137E395C" w14:textId="77777777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Artigo 444.º, alínea d), do CRR</w:t>
            </w:r>
          </w:p>
        </w:tc>
        <w:tc>
          <w:tcPr>
            <w:tcW w:w="4546" w:type="dxa"/>
          </w:tcPr>
          <w:p w14:paraId="137E395D" w14:textId="60016B0C" w:rsidR="0005278F" w:rsidRPr="00BC439A" w:rsidRDefault="0005278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As instituições devem indicar, para cada uma das classes de risco especificadas no artigo 112.º do Regulamento (UE) n.º 575/2013, a escala alfanumérica de cada ECAI/ACE (conforme referido na linha a deste modelo) com os ponderadores de risco que correspondem aos graus da qualidade de crédito descritos na parte III, título II, capítulo 2, do Regulamento (UE) n.º 575/2013, exceto se a instituição respeitar a relação padrão publicada pela EBA. </w:t>
            </w:r>
          </w:p>
        </w:tc>
      </w:tr>
    </w:tbl>
    <w:p w14:paraId="137E395F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60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61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Modelo EU CR4 – Posições em risco de crédito e efeitos de CRM.</w:t>
      </w:r>
      <w:r>
        <w:rPr>
          <w:rFonts w:ascii="Times New Roman" w:hAnsi="Times New Roman"/>
          <w:sz w:val="24"/>
        </w:rPr>
        <w:t xml:space="preserve"> Formato fixo</w:t>
      </w:r>
    </w:p>
    <w:p w14:paraId="137E3962" w14:textId="789BFD53" w:rsidR="0005278F" w:rsidRPr="00BC439A" w:rsidRDefault="0005278F" w:rsidP="5A0D947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As instituições que calculam os montantes das posições ponderadas pelo risco relativamente ao risco de crédito, em conformidade com a parte III, título II, capítulo 2, do Regulamento (UE) n.º 575/2013, devem divulgar as informações referidas no artigo 453.º, alíneas g), h) e i), e no artigo 444.º, alínea e), do Regulamento (UE) n.º 575/2013, seguindo as instruções indicadas abaixo no presente anexo, a fim de preencher o modelo EU CR4 apresentado no anexo XIX das soluções informáticas da EBA.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BC439A" w14:paraId="137E3965" w14:textId="77777777" w:rsidTr="5A0D947F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3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Referência da coluna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4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Referências jurídicas e instruções</w:t>
            </w:r>
          </w:p>
        </w:tc>
      </w:tr>
      <w:tr w:rsidR="0005278F" w:rsidRPr="00BC439A" w14:paraId="137E3968" w14:textId="77777777" w:rsidTr="5A0D947F">
        <w:trPr>
          <w:trHeight w:val="277"/>
        </w:trPr>
        <w:tc>
          <w:tcPr>
            <w:tcW w:w="1413" w:type="dxa"/>
            <w:vMerge/>
          </w:tcPr>
          <w:p w14:paraId="137E3966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7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Explicação</w:t>
            </w:r>
          </w:p>
        </w:tc>
      </w:tr>
      <w:tr w:rsidR="0005278F" w:rsidRPr="00BC439A" w14:paraId="137E396C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69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137E396A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Posições em risco antes de CCF e antes de CRM – Posições em risco patrimoniais: </w:t>
            </w:r>
          </w:p>
          <w:p w14:paraId="137E396B" w14:textId="70539396" w:rsidR="0005278F" w:rsidRPr="00BC439A" w:rsidRDefault="0005278F" w:rsidP="0027241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 instituições devem divulgar o valor das posições em risco patrimoniais no âmbito da consolidação prudencial, em conformidade com o artigo 111.º do Regulamento (UE) n.º 575/2013, após a aplicação dos ajustamentos para risco específico de crédito em conformidade com o artigo 110.º, do Regulamento (UE) n.º 575/2013, dos ajustamentos de valor adicionais em conformidade com os artigos 34.º e 105.º, do Regulamento (UE) n.º 575/2013, dos montantes deduzidos em conformidade com o artigo 36.º, n.º 1, alínea m), do Regulamento (UE) n.º 575/2013, e de outros abatimentos e reduções de fundos próprios (tal como definido no quadro contabilístico aplicável), mas antes i) da aplicação dos fatores de conversão especificados no mesmo artigo e ii) da aplicação das técnicas de CRM especificadas na parte III, título II, capítulo 4, do Regulamento (UE) n.º 575/2013. Os valores das posições em risco sobre locações financeiras estão sujeitos ao artigo 134.º, n.º 7, do Regulamento (UE) n.º 575/2013.</w:t>
            </w:r>
            <w:r>
              <w:rPr>
                <w:rFonts w:ascii="Times New Roman" w:hAnsi="Times New Roman"/>
                <w:sz w:val="24"/>
                <w:highlight w:val="yellow"/>
              </w:rPr>
              <w:t xml:space="preserve"> </w:t>
            </w:r>
          </w:p>
        </w:tc>
      </w:tr>
      <w:tr w:rsidR="0005278F" w:rsidRPr="00BC439A" w14:paraId="137E3970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6D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37E396E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Posições em risco antes de CCF e antes de CRM – Posições em risco extrapatrimoniais:</w:t>
            </w:r>
          </w:p>
          <w:p w14:paraId="137E396F" w14:textId="70A24ABD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As instituições devem divulgar o valor das posições em risco extrapatrimoniais no âmbito da consolidação prudencial, após redução dos </w:t>
            </w:r>
            <w:r>
              <w:rPr>
                <w:rFonts w:ascii="Times New Roman" w:hAnsi="Times New Roman"/>
                <w:sz w:val="24"/>
              </w:rPr>
              <w:lastRenderedPageBreak/>
              <w:t>ajustamentos para risco específico de crédito e dos montantes deduzidos, em conformidade com o artigo 36.º, n.º 1, alínea m), do Regulamento (UE) n.º 575/2013, mas antes da aplicação dos fatores de conversão de crédito, em conformidade com o artigo 111.º do Regulamento (UE) n.º 575/2013 e antes do efeito das técnicas de CRM (em aplicação da parte III, título II, capítulo 4, do Regulamento (UE) n.º 575/2013).</w:t>
            </w:r>
          </w:p>
        </w:tc>
      </w:tr>
      <w:tr w:rsidR="0005278F" w:rsidRPr="00BC439A" w14:paraId="137E3974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1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c</w:t>
            </w:r>
          </w:p>
        </w:tc>
        <w:tc>
          <w:tcPr>
            <w:tcW w:w="7654" w:type="dxa"/>
          </w:tcPr>
          <w:p w14:paraId="137E3972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Posições em risco após CCF e após CRM – Posições em risco patrimoniais: </w:t>
            </w:r>
          </w:p>
          <w:p w14:paraId="137E3973" w14:textId="3965907F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 instituições devem divulgar o montante das posições em risco patrimoniais no âmbito da consolidação prudencial (em conformidade com o artigo 111.º do Regulamento (UE) n.º 575/2013), após a aplicação dos ajustamentos para risco específico de crédito em conformidade com o artigo 110.º do Regulamento (UE) n.º 575/2013, dos ajustamentos de valor adicionais em conformidade com os artigos 34.º e 105.º do Regulamento (UE) n.º 575/2013, dos montantes deduzidos em conformidade com o artigo 36.º, n.º 1, alínea m), do Regulamento (UE) n.º 575/2013, e de outros abatimentos e reduções de fundos próprios, tal como definido no quadro contabilístico aplicável, após a aplicação de todas as técnicas de redução do risco de crédito e fatores de conversão de crédito. Trata-se do montante ao qual são aplicados os ponderadores de risco (em conformidade com o artigo 113.º e com a parte III, título II, capítulo 2, secção 2, do Regulamento (UE) n.º 575/2013). É um montante líquido em equivalente-crédito, após a aplicação de técnicas de CRM e de CCF.</w:t>
            </w:r>
          </w:p>
        </w:tc>
      </w:tr>
      <w:tr w:rsidR="0005278F" w:rsidRPr="00BC439A" w14:paraId="137E3978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5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654" w:type="dxa"/>
          </w:tcPr>
          <w:p w14:paraId="137E3976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Posições em risco após CCF e após CRM — Posições em risco extrapatrimoniais: </w:t>
            </w:r>
          </w:p>
          <w:p w14:paraId="137E3977" w14:textId="3A31757C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 instituições de crédito devem divulgar o valor das posições em risco extrapatrimoniais após a aplicação dos ajustamentos para risco de crédito específico, tal como definido no Regulamento Delegado (UE) 183/2014 da Comissão</w:t>
            </w:r>
            <w:r w:rsidRPr="00166E0C">
              <w:rPr>
                <w:rStyle w:val="FootnoteReference"/>
                <w:rFonts w:ascii="Times New Roman" w:eastAsia="Times New Roman" w:hAnsi="Times New Roman" w:cs="Times New Roman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>, dos ajustamentos de valor adicionais e de outras reduções de fundos próprios, após a aplicação de todas as técnicas de redução do risco de crédito e de conversão de crédito. Trata-se do montante ao qual são aplicados os ponderadores de risco (em conformidade com o artigo 113.º e com a parte III, título II, capítulo 2, secção 2, do Regulamento (UE) n.º 575/2013). É um montante líquido em equivalente-crédito, após a aplicação de técnicas de CRM e de CCF.</w:t>
            </w:r>
          </w:p>
        </w:tc>
      </w:tr>
      <w:tr w:rsidR="0005278F" w:rsidRPr="00BC439A" w14:paraId="137E397C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9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654" w:type="dxa"/>
          </w:tcPr>
          <w:p w14:paraId="137E397A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</w:t>
            </w:r>
          </w:p>
          <w:p w14:paraId="137E397B" w14:textId="1F9983D6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Os montantes das exposições ponderadas pelo risco (RWEA), calculados em conformidade com a parte III, título II, capítulo 2, secção 2, do Regulamento (UE) n.º 575/2013.</w:t>
            </w:r>
          </w:p>
        </w:tc>
      </w:tr>
      <w:tr w:rsidR="0005278F" w:rsidRPr="00BC439A" w14:paraId="137E3981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D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654" w:type="dxa"/>
          </w:tcPr>
          <w:p w14:paraId="137E397E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Densidade dos RWEA</w:t>
            </w:r>
          </w:p>
          <w:p w14:paraId="137E397F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(Coluna e/Colunas (c+d) deste modelo)</w:t>
            </w:r>
          </w:p>
          <w:p w14:paraId="137E3980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O rácio deve ser calculado dividindo os RWEA da respetiva classe de risco (coluna e deste modelo) pelo montante das respetivas posições em risco após a aplicação de todas as técnicas de redução do risco de crédito e de conversão de crédito (soma dos montantes das colunas c e d deste modelo).</w:t>
            </w:r>
          </w:p>
        </w:tc>
      </w:tr>
    </w:tbl>
    <w:p w14:paraId="137E3982" w14:textId="664BD25D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5A70FA" w:rsidRPr="00BC439A" w14:paraId="3A3E48F5" w14:textId="77777777" w:rsidTr="00E549F2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B06C79" w14:textId="5B60C711" w:rsidR="005A70FA" w:rsidRPr="00BC439A" w:rsidRDefault="005A70FA" w:rsidP="00A518F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Referências jurídicas e instruções</w:t>
            </w:r>
          </w:p>
        </w:tc>
      </w:tr>
      <w:tr w:rsidR="00535F36" w:rsidRPr="00BC439A" w14:paraId="15637106" w14:textId="77777777" w:rsidTr="005A70FA">
        <w:trPr>
          <w:trHeight w:val="336"/>
        </w:trPr>
        <w:tc>
          <w:tcPr>
            <w:tcW w:w="1413" w:type="dxa"/>
            <w:shd w:val="clear" w:color="auto" w:fill="D9D9D9" w:themeFill="background1" w:themeFillShade="D9"/>
          </w:tcPr>
          <w:p w14:paraId="0281A12B" w14:textId="26D7D1F8" w:rsidR="00535F36" w:rsidRPr="00BC439A" w:rsidRDefault="005A70FA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Número da linha</w:t>
            </w: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210B102" w14:textId="77777777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Explicação</w:t>
            </w:r>
          </w:p>
        </w:tc>
      </w:tr>
      <w:tr w:rsidR="00535F36" w:rsidRPr="00BC439A" w14:paraId="7FCC92DA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2F3AEC0" w14:textId="3F00C73A" w:rsidR="00535F36" w:rsidRPr="00BC439A" w:rsidRDefault="00926A01" w:rsidP="00FB64CF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1, EU 2a, EU2b, 3, EU 3a, 4, 5, 6, EU 7a, EU 7b, 8, 9, 10, EU 10a, EU 10b, EU 10c </w:t>
            </w:r>
          </w:p>
        </w:tc>
        <w:tc>
          <w:tcPr>
            <w:tcW w:w="7654" w:type="dxa"/>
            <w:shd w:val="clear" w:color="auto" w:fill="auto"/>
          </w:tcPr>
          <w:p w14:paraId="7983BEBC" w14:textId="7FFA78E2" w:rsidR="00535F36" w:rsidRPr="00BC439A" w:rsidRDefault="00535F36" w:rsidP="00A518F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Classes de risco como definido em conformidade com o artigo 112.º do Regulamento (UE) n.º 575/2013 </w:t>
            </w:r>
          </w:p>
          <w:p w14:paraId="4E391AF9" w14:textId="6574451E" w:rsidR="00535F36" w:rsidRPr="00BC439A" w:rsidRDefault="5682D6C4" w:rsidP="5A0D947F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 posições em risco afetadas à classe de risco «elementos representativos de posições de titularização», como referido no artigo 112.º, alínea m), do Regulamento (UE) n.º 575/2013, não são incluídas.</w:t>
            </w:r>
          </w:p>
        </w:tc>
      </w:tr>
      <w:tr w:rsidR="00C337F1" w:rsidRPr="00BC439A" w14:paraId="64CF4F9F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7981A2E1" w14:textId="3F1FF913" w:rsidR="00C337F1" w:rsidRPr="00BC439A" w:rsidRDefault="00C337F1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4" w:type="dxa"/>
            <w:shd w:val="clear" w:color="auto" w:fill="auto"/>
          </w:tcPr>
          <w:p w14:paraId="2853DB1C" w14:textId="6EED0555" w:rsidR="00FF5357" w:rsidRDefault="002A2B60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Entidades do setor público não pertencentes à administração central</w:t>
            </w:r>
          </w:p>
          <w:p w14:paraId="7D529948" w14:textId="15F28325" w:rsidR="00C337F1" w:rsidRPr="00BC439A" w:rsidRDefault="00FF5357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soma das posições em risco nas linhas EU 2a e EU 2b.</w:t>
            </w:r>
          </w:p>
        </w:tc>
      </w:tr>
      <w:tr w:rsidR="00535F36" w:rsidRPr="00BC439A" w14:paraId="3305E816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D1E255D" w14:textId="6DDF26D9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2a</w:t>
            </w:r>
          </w:p>
        </w:tc>
        <w:tc>
          <w:tcPr>
            <w:tcW w:w="7654" w:type="dxa"/>
            <w:shd w:val="clear" w:color="auto" w:fill="auto"/>
          </w:tcPr>
          <w:p w14:paraId="17AB2AE5" w14:textId="139DE043" w:rsidR="00FF5357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Administrações regionais ou autoridades locais</w:t>
            </w:r>
          </w:p>
          <w:p w14:paraId="788C221F" w14:textId="388C84CA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Posições em risco na aceção da artigo 112.º, alínea b), do Regulamento (UE) n.º 575/2013 e do artigo 115.º, n.</w:t>
            </w:r>
            <w:r>
              <w:rPr>
                <w:rFonts w:ascii="Times New Roman" w:hAnsi="Times New Roman"/>
                <w:vertAlign w:val="superscript"/>
              </w:rPr>
              <w:t>os</w:t>
            </w:r>
            <w:r>
              <w:rPr>
                <w:rFonts w:ascii="Times New Roman" w:hAnsi="Times New Roman"/>
              </w:rPr>
              <w:t xml:space="preserve"> -1, 1, 3, 4 e 5 do Regulamento (UE) n.º 575/2013 para as posições em risco ao abrigo do método padrão. </w:t>
            </w:r>
          </w:p>
        </w:tc>
      </w:tr>
      <w:tr w:rsidR="00535F36" w:rsidRPr="00BC439A" w14:paraId="6406D71A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0C866ADB" w14:textId="153184B7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2b</w:t>
            </w:r>
          </w:p>
        </w:tc>
        <w:tc>
          <w:tcPr>
            <w:tcW w:w="7654" w:type="dxa"/>
            <w:shd w:val="clear" w:color="auto" w:fill="auto"/>
          </w:tcPr>
          <w:p w14:paraId="0E9CAEB2" w14:textId="076DA4A8" w:rsidR="00FF5357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Entidades do setor público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BBE065D" w14:textId="524818C4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Posições em risco na aceção do artigo 4.º, n.º 1, ponto 8, do Regulamento (UE) n.º 575/2013, do artigo 112.º, alínea c), e do artigo 116.º, n.</w:t>
            </w:r>
            <w:r>
              <w:rPr>
                <w:rFonts w:ascii="Times New Roman" w:hAnsi="Times New Roman"/>
                <w:sz w:val="24"/>
                <w:vertAlign w:val="superscript"/>
              </w:rPr>
              <w:t>os</w:t>
            </w:r>
            <w:r>
              <w:rPr>
                <w:rFonts w:ascii="Times New Roman" w:hAnsi="Times New Roman"/>
                <w:sz w:val="24"/>
              </w:rPr>
              <w:t> 1, 2, 3, 4 e 5 do Regulamento (UE) n.º 575/2013 para as posições em risco ao abrigo do método padrão.</w:t>
            </w:r>
          </w:p>
        </w:tc>
      </w:tr>
      <w:tr w:rsidR="00535F36" w:rsidRPr="00BC439A" w14:paraId="273E3177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65F0472" w14:textId="1D4E7D2F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4" w:type="dxa"/>
            <w:shd w:val="clear" w:color="auto" w:fill="auto"/>
          </w:tcPr>
          <w:p w14:paraId="78704303" w14:textId="1DA2D51A" w:rsidR="00FF5357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Empresas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63A5792" w14:textId="0257AF9A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Posições em risco na aceção do artigo 112.º, alínea g), e do artigo 122.º do Regulamento (UE) n.º 575/2013.</w:t>
            </w:r>
          </w:p>
        </w:tc>
      </w:tr>
      <w:tr w:rsidR="00535F36" w:rsidRPr="00BC439A" w14:paraId="10225A37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05AFD83A" w14:textId="41C4FD2E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6,1</w:t>
            </w:r>
          </w:p>
        </w:tc>
        <w:tc>
          <w:tcPr>
            <w:tcW w:w="7654" w:type="dxa"/>
            <w:shd w:val="clear" w:color="auto" w:fill="auto"/>
          </w:tcPr>
          <w:p w14:paraId="520CB388" w14:textId="38E1D245" w:rsidR="00FF5357" w:rsidRPr="00FB64CF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do qual: Crédito especializado</w:t>
            </w:r>
          </w:p>
          <w:p w14:paraId="4606DB92" w14:textId="6A3BD835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Posições em risco na aceção do artigo 122.º-A do Regulamento (UE) n.º 575/2013.</w:t>
            </w:r>
          </w:p>
        </w:tc>
      </w:tr>
      <w:tr w:rsidR="00535F36" w:rsidRPr="00BC439A" w14:paraId="2FFFC133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10EBB238" w14:textId="1ADD0383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4" w:type="dxa"/>
            <w:shd w:val="clear" w:color="auto" w:fill="auto"/>
          </w:tcPr>
          <w:p w14:paraId="47E0CC5E" w14:textId="38F4C285" w:rsidR="00FF5357" w:rsidRPr="00FB64CF" w:rsidRDefault="00535F36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Posições em risco sobre títulos de dívida subordinados e ações</w:t>
            </w:r>
          </w:p>
          <w:p w14:paraId="3D20D7B3" w14:textId="20D736B2" w:rsidR="00535F36" w:rsidRPr="00BC439A" w:rsidRDefault="00FF5357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Soma das posições em risco nas linhas EU 7a e EU 7b.</w:t>
            </w:r>
          </w:p>
        </w:tc>
      </w:tr>
      <w:tr w:rsidR="00535F36" w:rsidRPr="00BC439A" w14:paraId="18C3B0E5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01A38CD6" w14:textId="4158C34A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7a</w:t>
            </w:r>
          </w:p>
        </w:tc>
        <w:tc>
          <w:tcPr>
            <w:tcW w:w="7654" w:type="dxa"/>
            <w:shd w:val="clear" w:color="auto" w:fill="auto"/>
          </w:tcPr>
          <w:p w14:paraId="235943EF" w14:textId="7B59FDFD" w:rsidR="00FF5357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Posições em risco sobre títulos de dívida subordinados</w:t>
            </w:r>
          </w:p>
          <w:p w14:paraId="7A5E8FE8" w14:textId="01CEFAA6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Posições em risco na aceção do artigo 112.º, alínea k), do Regulamento (UE) n.º 575/2013 e artigo 128.º do Regulamento (UE) n.º 575/2013.</w:t>
            </w:r>
          </w:p>
        </w:tc>
      </w:tr>
      <w:tr w:rsidR="00535F36" w:rsidRPr="00BC439A" w14:paraId="66F33C3B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665F8B7" w14:textId="5328C121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7b</w:t>
            </w:r>
          </w:p>
        </w:tc>
        <w:tc>
          <w:tcPr>
            <w:tcW w:w="7654" w:type="dxa"/>
            <w:shd w:val="clear" w:color="auto" w:fill="auto"/>
          </w:tcPr>
          <w:p w14:paraId="3BED8548" w14:textId="18A49974" w:rsidR="00FF5357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Ações</w:t>
            </w:r>
          </w:p>
          <w:p w14:paraId="31034ED0" w14:textId="7C726DCB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Posições em risco na aceção do artigo 112.º, alínea p), do Regulamento (UE) n.º 575/2013 e artigo 133.º, n.º 1, do Regulamento (UE) n.º 575/2013.</w:t>
            </w:r>
          </w:p>
        </w:tc>
      </w:tr>
      <w:tr w:rsidR="00535F36" w:rsidRPr="00166E0C" w14:paraId="19C205C7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778DE6F5" w14:textId="772D6892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7654" w:type="dxa"/>
            <w:shd w:val="clear" w:color="auto" w:fill="auto"/>
          </w:tcPr>
          <w:p w14:paraId="1AD83094" w14:textId="3714119C" w:rsidR="007F1438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Garantidas por hipotecas sobre bens imóveis e posições em risco ADC</w:t>
            </w:r>
          </w:p>
          <w:p w14:paraId="01108BAD" w14:textId="7A881266" w:rsidR="00535F36" w:rsidRPr="00166E0C" w:rsidRDefault="007F1438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As posições em risco garantidas por hipotecas sobre bens imóveis na aceção do artigo 4.º, n.º 1, pontos 75 a 75-F, do Regulamento (UE) n.º 575/2013 e as posições em risco na aceção do artigo 4.º, n.º 1, ponto 78-A, do Regulamento (UE) n.º 575/2013 devem ser comunicadas aqui. </w:t>
            </w:r>
          </w:p>
          <w:p w14:paraId="19E24D73" w14:textId="6A0F3423" w:rsidR="00D60B05" w:rsidRPr="00166E0C" w:rsidRDefault="00D60B05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Esta linha é a soma das linhas 9.1; 9.2; 9.3; 9.4 9.5. </w:t>
            </w:r>
          </w:p>
        </w:tc>
      </w:tr>
      <w:tr w:rsidR="00535F36" w:rsidRPr="00166E0C" w14:paraId="02ECFA10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64CD7987" w14:textId="5265FA6A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7654" w:type="dxa"/>
            <w:shd w:val="clear" w:color="auto" w:fill="auto"/>
          </w:tcPr>
          <w:p w14:paraId="767946BA" w14:textId="417EA438" w:rsidR="007F1438" w:rsidRPr="00FB64CF" w:rsidRDefault="00535F36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Garantidas por hipotecas sobre imóveis de habitação — não IPRE</w:t>
            </w:r>
          </w:p>
          <w:p w14:paraId="4DB2B534" w14:textId="5136C073" w:rsidR="00535F36" w:rsidRPr="00166E0C" w:rsidRDefault="007F1438" w:rsidP="00535F3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 posições em risco tratadas de acordo com o artigo 125.º, n.º 1, do Regulamento (UE) n.º 575/2013 devem ser comunicadas aqui.</w:t>
            </w:r>
          </w:p>
          <w:p w14:paraId="39BC2BE6" w14:textId="40A39FE4" w:rsidR="00FD6952" w:rsidRPr="00FB64CF" w:rsidRDefault="00FD6952" w:rsidP="00FB64CF">
            <w:pPr>
              <w:spacing w:after="120"/>
              <w:jc w:val="both"/>
              <w:rPr>
                <w:rFonts w:eastAsiaTheme="minorHAnsi"/>
              </w:rPr>
            </w:pPr>
            <w:r>
              <w:rPr>
                <w:rFonts w:ascii="Times New Roman" w:hAnsi="Times New Roman"/>
                <w:sz w:val="24"/>
              </w:rPr>
              <w:t>Nesta linha, são também divulgadas: outras posições em risco garantidas por hipotecas sobre imóveis de habitação - não IPRE que não preencham as condições do artigo 124.º, n.º 3, ou qualquer parte de uma posição em risco não ADC que exceda o montante nominal do direito de retenção do bem imóvel, a que se refere o artigo 124.º, n.º 1, alínea b), do Regulamento (UE) n.º 575/2013.</w:t>
            </w:r>
          </w:p>
        </w:tc>
      </w:tr>
      <w:tr w:rsidR="00535F36" w:rsidRPr="00BC439A" w14:paraId="095056BC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5841F3AE" w14:textId="39B6E246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7654" w:type="dxa"/>
            <w:shd w:val="clear" w:color="auto" w:fill="auto"/>
          </w:tcPr>
          <w:p w14:paraId="0A4DA91A" w14:textId="6039BA7A" w:rsidR="007F1438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Garantidas por hipotecas sobre imóveis de habitação — IPRE</w:t>
            </w:r>
          </w:p>
          <w:p w14:paraId="683E626E" w14:textId="03E1AF1F" w:rsidR="00535F36" w:rsidRPr="00166E0C" w:rsidRDefault="007F1438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Só devem ser comunicadas as posições em risco que correspondem à definição do artigo 4.º, n.º 1, ponto 75-B, do Regulamento (UE) n.º 575/2013, incluindo as posições em risco IPRE que preencham qualquer das condições estabelecidas no artigo 124.º, n.º 2, alínea a), subalínea ii), pontos 1 a 4, do Regulamento (UE) n.º 575/2013; as posições em risco IPRE em que é aplicada a derrogação prevista no artigo 125.º, n.º 2, do Regulamento (UE) n.º 575/2013.</w:t>
            </w:r>
          </w:p>
          <w:p w14:paraId="752E3912" w14:textId="33220D5C" w:rsidR="00900E99" w:rsidRPr="00BC439A" w:rsidRDefault="00900E99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Nesta linha, são também divulgadas outras posições em risco garantidas por hipotecas sobre bens imóveis destinados a habitação-IPRE que não preencham as condições do artigo 124.º, n.º 3, ou qualquer parte de uma posição em risco não ADC que exceda o montante nominal do direito de retenção do bem imóvel, a que se refere o artigo 124.º, n.º 1, alínea b), do Regulamento (UE) n.º 575/2013.</w:t>
            </w:r>
          </w:p>
        </w:tc>
      </w:tr>
      <w:tr w:rsidR="00535F36" w:rsidRPr="00166E0C" w14:paraId="52BA9448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6A1C330D" w14:textId="5A3E34A5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7654" w:type="dxa"/>
            <w:shd w:val="clear" w:color="auto" w:fill="auto"/>
          </w:tcPr>
          <w:p w14:paraId="4E2BB22E" w14:textId="65455CC2" w:rsidR="007F1438" w:rsidRPr="00FB64CF" w:rsidRDefault="00535F36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Garantidas por hipotecas sobre bens imóveis com fins comerciais — não IPRE </w:t>
            </w:r>
          </w:p>
          <w:p w14:paraId="599BA328" w14:textId="126EA28D" w:rsidR="00535F36" w:rsidRPr="00166E0C" w:rsidRDefault="007F1438" w:rsidP="00535F3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 posições em risco tratadas de acordo com o artigo 126.º, n.º 1, do Regulamento (UE) n.º 575/2013 devem ser comunicadas aqui.</w:t>
            </w:r>
          </w:p>
          <w:p w14:paraId="56DF61DF" w14:textId="3ED6FADA" w:rsidR="00A93447" w:rsidRPr="00FB64CF" w:rsidRDefault="00A93447" w:rsidP="00900E99">
            <w:pPr>
              <w:spacing w:after="120"/>
              <w:jc w:val="both"/>
              <w:rPr>
                <w:rFonts w:ascii="Times New Roman" w:eastAsiaTheme="minorHAnsi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Nesta linha, são também divulgadas: outras posições em risco garantidas por hipotecas sobre bens imóveis com fins comerciais — não IPRE que não preencham as condições do artigo 124.º, n.º 3, ou qualquer parte de uma posição em risco não ADC que exceda o montante nominal do direito de retenção do bem imóvel, a que se refere o artigo 124.º, n.º 1, alínea a), do Regulamento (UE) n.º 575/2013.</w:t>
            </w:r>
          </w:p>
        </w:tc>
      </w:tr>
      <w:tr w:rsidR="00535F36" w:rsidRPr="00166E0C" w14:paraId="134726BE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5AD77A0D" w14:textId="22AC797D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7654" w:type="dxa"/>
            <w:shd w:val="clear" w:color="auto" w:fill="auto"/>
          </w:tcPr>
          <w:p w14:paraId="606B4A71" w14:textId="586254A3" w:rsidR="00FB4914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Garantidas por hipotecas sobre bens imóveis com fins comerciais — IPRE</w:t>
            </w:r>
          </w:p>
          <w:p w14:paraId="570AD855" w14:textId="377A4690" w:rsidR="00535F36" w:rsidRPr="00166E0C" w:rsidRDefault="00FB4914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Devem ser comunicadas as posições em risco que correspondem à definição do artigo 4.º, n.º 1, ponto 75-B, e do artigo 124.º, n.º 2, alínea b), subalínea ii), do Regulamento (UE) n.º 575/2013, incluindo as posições em risco IPRE em </w:t>
            </w:r>
            <w:r>
              <w:rPr>
                <w:rFonts w:ascii="Times New Roman" w:hAnsi="Times New Roman"/>
                <w:sz w:val="24"/>
              </w:rPr>
              <w:lastRenderedPageBreak/>
              <w:t>que é aplicada a derrogação prevista no artigo 126.º, n.º 2, do Regulamento (UE) n.º 575/2013.</w:t>
            </w:r>
          </w:p>
          <w:p w14:paraId="17723425" w14:textId="4CA6C755" w:rsidR="00900E99" w:rsidRPr="00166E0C" w:rsidRDefault="00900E99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Nesta linha, são também divulgadas outras posições em risco garantidas por hipotecas sobre bens imóveis com fins comerciais — IPRE que não preencham as condições do artigo 124.º, n.º 3, ou qualquer parte de uma posição em risco não ADC que exceda o montante nominal do direito de retenção do bem imóvel, a que se refere o artigo 124.º, n.º 1, alínea b), do Regulamento (UE) n.º 575/2013.</w:t>
            </w:r>
          </w:p>
        </w:tc>
      </w:tr>
      <w:tr w:rsidR="00395831" w:rsidRPr="00BC439A" w14:paraId="49538D8A" w14:textId="77777777" w:rsidTr="00FB64CF">
        <w:trPr>
          <w:trHeight w:val="699"/>
        </w:trPr>
        <w:tc>
          <w:tcPr>
            <w:tcW w:w="1413" w:type="dxa"/>
            <w:shd w:val="clear" w:color="auto" w:fill="D9D9D9" w:themeFill="background1" w:themeFillShade="D9"/>
          </w:tcPr>
          <w:p w14:paraId="63BD0DD8" w14:textId="72A0B6E9" w:rsidR="00395831" w:rsidRPr="00BC439A" w:rsidRDefault="00395831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66C90862" w14:textId="75D35FB5" w:rsidR="00395831" w:rsidRPr="00BC439A" w:rsidRDefault="00395831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Não aplicável</w:t>
            </w:r>
          </w:p>
        </w:tc>
      </w:tr>
      <w:tr w:rsidR="00395831" w:rsidRPr="00BC439A" w14:paraId="55E3893A" w14:textId="77777777" w:rsidTr="5A0D947F">
        <w:trPr>
          <w:trHeight w:val="558"/>
        </w:trPr>
        <w:tc>
          <w:tcPr>
            <w:tcW w:w="1413" w:type="dxa"/>
          </w:tcPr>
          <w:p w14:paraId="662AB193" w14:textId="4746E76F" w:rsidR="00395831" w:rsidRPr="00166E0C" w:rsidRDefault="00395831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654" w:type="dxa"/>
          </w:tcPr>
          <w:p w14:paraId="132C0D24" w14:textId="77777777" w:rsidR="00395831" w:rsidRPr="00FB64CF" w:rsidRDefault="00395831" w:rsidP="00926A01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«Total» </w:t>
            </w:r>
          </w:p>
          <w:p w14:paraId="55987C40" w14:textId="74538114" w:rsidR="00395831" w:rsidRPr="00BC439A" w:rsidRDefault="00395831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Soma das posições em risco nas linhas 1, 2, 3, EU 3a, 4, 5, 6, 7, 8, 9, 10, EU 10a, EU 10b, EU 10c acima.</w:t>
            </w:r>
          </w:p>
        </w:tc>
      </w:tr>
    </w:tbl>
    <w:p w14:paraId="137E3992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93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Modelo EU CR5 — Método-Padrão.</w:t>
      </w:r>
      <w:r>
        <w:rPr>
          <w:rFonts w:ascii="Times New Roman" w:hAnsi="Times New Roman"/>
          <w:sz w:val="24"/>
        </w:rPr>
        <w:t xml:space="preserve"> Formato fixo</w:t>
      </w:r>
    </w:p>
    <w:p w14:paraId="137E3994" w14:textId="0AE68309" w:rsidR="0005278F" w:rsidRPr="00BC439A" w:rsidRDefault="0005278F" w:rsidP="5A0D947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As instituições devem divulgar as informações referidas no artigo 444.º, alínea e), do Regulamento (UE) n.º 575/2013, seguindo as instruções indicadas abaixo no presente anexo, a fim de preencher o modelo EU CR5 apresentado no anexo XIX das soluções informáticas da EBA.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BC439A" w14:paraId="137E3997" w14:textId="77777777" w:rsidTr="5A0D947F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5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Referência da coluna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6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Referências jurídicas e instruções</w:t>
            </w:r>
          </w:p>
        </w:tc>
      </w:tr>
      <w:tr w:rsidR="0005278F" w:rsidRPr="00BC439A" w14:paraId="137E399A" w14:textId="77777777" w:rsidTr="5A0D947F">
        <w:trPr>
          <w:trHeight w:val="277"/>
        </w:trPr>
        <w:tc>
          <w:tcPr>
            <w:tcW w:w="1413" w:type="dxa"/>
            <w:vMerge/>
          </w:tcPr>
          <w:p w14:paraId="137E3998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9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Explicação</w:t>
            </w:r>
          </w:p>
        </w:tc>
      </w:tr>
      <w:tr w:rsidR="0005278F" w:rsidRPr="00BC439A" w14:paraId="137E399E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9B" w14:textId="22A2BDCD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- y</w:t>
            </w:r>
          </w:p>
        </w:tc>
        <w:tc>
          <w:tcPr>
            <w:tcW w:w="7654" w:type="dxa"/>
          </w:tcPr>
          <w:p w14:paraId="137E399C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Ponderador de risco: </w:t>
            </w:r>
          </w:p>
          <w:p w14:paraId="137E399D" w14:textId="6FB71B4F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 instituições devem divulgar as informações sobre a afetação dos ponderadores de risco na respetiva classe de risco, de acordo com a parte III, título II, capítulo 2, secção 2, do Regulamento (UE) n.º 575/2013.</w:t>
            </w:r>
          </w:p>
        </w:tc>
      </w:tr>
      <w:tr w:rsidR="0005278F" w:rsidRPr="00BC439A" w14:paraId="137E39A5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9F" w14:textId="58582E93" w:rsidR="0005278F" w:rsidRPr="00BC439A" w:rsidRDefault="00AF4B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</w:t>
            </w:r>
          </w:p>
        </w:tc>
        <w:tc>
          <w:tcPr>
            <w:tcW w:w="7654" w:type="dxa"/>
          </w:tcPr>
          <w:p w14:paraId="137E39A0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Total: </w:t>
            </w:r>
          </w:p>
          <w:p w14:paraId="137E39A1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Montante total das posições em risco patrimoniais e extrapatrimoniais no âmbito de consolidação prudencial: </w:t>
            </w:r>
          </w:p>
          <w:p w14:paraId="137E39A2" w14:textId="6B6AE66E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após a aplicação dos ajustamentos para risco específico de crédito em conformidade com o artigo 110.º, do Regulamento (UE) n.º 575/2013, dos ajustamentos de valor adicionais em conformidade com os artigos 34.º e 105.º, do Regulamento (UE) n.º 575/2013, dos montantes deduzidos em conformidade com o artigo 36.º, n.º 1, alínea m), do Regulamento (UE) n.º 575/2013, e de outros abatimentos e reduções de fundos próprios (tal como definido no quadro contabilístico aplicável) no que respeita às posições em risco patrimoniais, em conformidade com artigo 111.º do Regulamento (UE) n.º 575/2013;</w:t>
            </w:r>
          </w:p>
          <w:p w14:paraId="137E39A3" w14:textId="5D0C5323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após a redução dos ajustamentos para risco de crédito específico e dos montantes deduzidos em conformidade com o artigo 36.º, n.º 1, alínea m), do Regulamento (UE) n.º 575/2013 no que respeita às posições em risco extrapatrimoniais, em conformidade com o artigo 111.º do Regulamento (UE) n.º 575/2013;</w:t>
            </w:r>
          </w:p>
          <w:p w14:paraId="137E39A4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após i) a aplicação dos fatores de conversão especificados no mesmo artigo e ii) a aplicação das técnicas de CRM especificadas na parte III, título II, </w:t>
            </w:r>
            <w:r>
              <w:rPr>
                <w:rFonts w:ascii="Times New Roman" w:hAnsi="Times New Roman"/>
                <w:sz w:val="24"/>
              </w:rPr>
              <w:lastRenderedPageBreak/>
              <w:t>capítulo 4, do CRR, no que respeita às posições em risco patrimoniais e às posições em risco extrapatrimoniais.</w:t>
            </w:r>
          </w:p>
        </w:tc>
      </w:tr>
      <w:tr w:rsidR="0005278F" w:rsidRPr="00BC439A" w14:paraId="137E39A9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A6" w14:textId="0F8A40D0" w:rsidR="0005278F" w:rsidRPr="00BC439A" w:rsidRDefault="00AF4B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aa</w:t>
            </w:r>
          </w:p>
        </w:tc>
        <w:tc>
          <w:tcPr>
            <w:tcW w:w="7654" w:type="dxa"/>
          </w:tcPr>
          <w:p w14:paraId="137E39A7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do qual, não objeto de notação:</w:t>
            </w:r>
          </w:p>
          <w:p w14:paraId="137E39A8" w14:textId="3CDE48FF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 posições em risco em relação às quais não exista uma avaliação de crédito estabelecida por uma ECAI reconhecida e sejam aplicados ponderadores de risco específicos dependendo da respetiva classe de risco, conforme especificado nos artigos 113.º a 134.º do Regulamento (UE) n.º 575/2013.</w:t>
            </w:r>
          </w:p>
        </w:tc>
      </w:tr>
    </w:tbl>
    <w:p w14:paraId="137E39AA" w14:textId="44CC0DF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535F36" w:rsidRPr="00BC439A" w14:paraId="49F9BEA4" w14:textId="77777777" w:rsidTr="5A0D947F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5C3199" w14:textId="397D99F3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Número da linha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E78583" w14:textId="77777777" w:rsidR="00535F36" w:rsidRPr="00BC439A" w:rsidRDefault="00535F36" w:rsidP="00A518F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Referências jurídicas e instruções</w:t>
            </w:r>
          </w:p>
        </w:tc>
      </w:tr>
      <w:tr w:rsidR="00535F36" w:rsidRPr="00BC439A" w14:paraId="37948471" w14:textId="77777777" w:rsidTr="5A0D947F">
        <w:trPr>
          <w:trHeight w:val="336"/>
        </w:trPr>
        <w:tc>
          <w:tcPr>
            <w:tcW w:w="1413" w:type="dxa"/>
            <w:vMerge/>
          </w:tcPr>
          <w:p w14:paraId="0D13816F" w14:textId="77777777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059295C" w14:textId="77777777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Explicação</w:t>
            </w:r>
          </w:p>
        </w:tc>
      </w:tr>
      <w:tr w:rsidR="00B731E6" w:rsidRPr="00BC439A" w14:paraId="633F9A94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57A9AA9B" w14:textId="01045E65" w:rsidR="00B731E6" w:rsidRPr="00FB64CF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 EU2a, EU 2b, 3, EU 3a, 4, 5, 6, EU 7a, EU 7b, 8, 9, 10, EU 10a, EU 10b, EU 10c</w:t>
            </w:r>
          </w:p>
        </w:tc>
        <w:tc>
          <w:tcPr>
            <w:tcW w:w="7654" w:type="dxa"/>
            <w:shd w:val="clear" w:color="auto" w:fill="auto"/>
          </w:tcPr>
          <w:p w14:paraId="2302E80F" w14:textId="03182913" w:rsidR="00B731E6" w:rsidRPr="00BC439A" w:rsidRDefault="00B731E6" w:rsidP="00B731E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Classes de risco em conformidade com o artigo 112.º do Regulamento (UE) n.º 575/2013 </w:t>
            </w:r>
          </w:p>
          <w:p w14:paraId="418D4291" w14:textId="757AEF54" w:rsidR="00B731E6" w:rsidRPr="00BC439A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 posições em risco afetadas à classe de risco «elementos representativos de posições de titularização», como referido no artigo 112.º, alínea m), do Regulamento (UE) n.º 575/2013, não são incluídas.</w:t>
            </w:r>
          </w:p>
        </w:tc>
      </w:tr>
      <w:tr w:rsidR="00AF5033" w:rsidRPr="00BC439A" w14:paraId="685DA180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1C0D8004" w14:textId="77777777" w:rsidR="00AF5033" w:rsidRPr="00BC439A" w:rsidRDefault="00AF5033" w:rsidP="00AB03E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4" w:type="dxa"/>
            <w:shd w:val="clear" w:color="auto" w:fill="auto"/>
          </w:tcPr>
          <w:p w14:paraId="79E951C7" w14:textId="311E1895" w:rsidR="00F26067" w:rsidRPr="00FB64CF" w:rsidRDefault="009B6905" w:rsidP="00AB03E9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Entidades do setor público não pertencentes à administração central </w:t>
            </w:r>
          </w:p>
          <w:p w14:paraId="4CF4DA0A" w14:textId="6AA1E2BE" w:rsidR="00AF5033" w:rsidRPr="00BC439A" w:rsidRDefault="00F26067" w:rsidP="00AB03E9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soma das posições em risco nas linhas EU 2a e EU 2b.</w:t>
            </w:r>
          </w:p>
        </w:tc>
      </w:tr>
      <w:tr w:rsidR="00B731E6" w:rsidRPr="00BC439A" w14:paraId="43E2EF2A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7172C4D" w14:textId="2D7F1A6B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2a</w:t>
            </w:r>
          </w:p>
        </w:tc>
        <w:tc>
          <w:tcPr>
            <w:tcW w:w="7654" w:type="dxa"/>
            <w:shd w:val="clear" w:color="auto" w:fill="auto"/>
          </w:tcPr>
          <w:p w14:paraId="6E395D8A" w14:textId="5F849253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Administrações regionais ou autoridades locais</w:t>
            </w:r>
          </w:p>
          <w:p w14:paraId="0F0B69B5" w14:textId="1A951C07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Posições em risco na aceção da artigo 112.º, alínea b), do Regulamento (UE) n.º 575/2013 e do artigo 115.º, n.</w:t>
            </w:r>
            <w:r>
              <w:rPr>
                <w:rFonts w:ascii="Times New Roman" w:hAnsi="Times New Roman"/>
                <w:vertAlign w:val="superscript"/>
              </w:rPr>
              <w:t>os</w:t>
            </w:r>
            <w:r>
              <w:rPr>
                <w:rFonts w:ascii="Times New Roman" w:hAnsi="Times New Roman"/>
              </w:rPr>
              <w:t> -1, 1, 3, 4 e 5 do Regulamento (UE) n.º 575/2013 para as posições em risco ao abrigo do método padrão.</w:t>
            </w:r>
          </w:p>
        </w:tc>
      </w:tr>
      <w:tr w:rsidR="00B731E6" w:rsidRPr="00BC439A" w14:paraId="5C5BD0AC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4E17DAB0" w14:textId="48A8906B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2b</w:t>
            </w:r>
          </w:p>
        </w:tc>
        <w:tc>
          <w:tcPr>
            <w:tcW w:w="7654" w:type="dxa"/>
            <w:shd w:val="clear" w:color="auto" w:fill="auto"/>
          </w:tcPr>
          <w:p w14:paraId="6B0874A8" w14:textId="7C1E20B6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Entidades do setor público</w:t>
            </w:r>
          </w:p>
          <w:p w14:paraId="042D63D7" w14:textId="03ACF4BC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Posições em risco na aceção do artigo 4.º, n.º 1, ponto 8, do Regulamento (UE) n.º 575/2013, do artigo 112.º, alínea c), e do artigo 116.º, n.</w:t>
            </w:r>
            <w:r>
              <w:rPr>
                <w:rFonts w:ascii="Times New Roman" w:hAnsi="Times New Roman"/>
                <w:sz w:val="24"/>
                <w:vertAlign w:val="superscript"/>
              </w:rPr>
              <w:t>os</w:t>
            </w:r>
            <w:r>
              <w:rPr>
                <w:rFonts w:ascii="Times New Roman" w:hAnsi="Times New Roman"/>
                <w:sz w:val="24"/>
              </w:rPr>
              <w:t> 1, 2, 3, 4 e 5 do Regulamento (UE) n.º 575/2013 para as posições em risco ao abrigo do método padrão.</w:t>
            </w:r>
          </w:p>
        </w:tc>
      </w:tr>
      <w:tr w:rsidR="00B731E6" w:rsidRPr="00BC439A" w14:paraId="31C58E90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88254C4" w14:textId="5508F69D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4" w:type="dxa"/>
            <w:shd w:val="clear" w:color="auto" w:fill="auto"/>
          </w:tcPr>
          <w:p w14:paraId="0D63781E" w14:textId="3D73F3E2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Empresas</w:t>
            </w:r>
          </w:p>
          <w:p w14:paraId="6AFAC788" w14:textId="55730926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Posições em risco na aceção do artigo 112.º, alínea g), e do artigo 122.º do Regulamento (UE) n.º 575/2013.</w:t>
            </w:r>
          </w:p>
        </w:tc>
      </w:tr>
      <w:tr w:rsidR="00B731E6" w:rsidRPr="00BC439A" w14:paraId="15791A2F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2C67CA19" w14:textId="46E29F06" w:rsidR="00B731E6" w:rsidRPr="00BC439A" w:rsidRDefault="00F9364E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6,1</w:t>
            </w:r>
          </w:p>
        </w:tc>
        <w:tc>
          <w:tcPr>
            <w:tcW w:w="7654" w:type="dxa"/>
            <w:shd w:val="clear" w:color="auto" w:fill="auto"/>
          </w:tcPr>
          <w:p w14:paraId="7434934B" w14:textId="62424925" w:rsidR="00F26067" w:rsidRPr="00FB64CF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do qual: Crédito especializado</w:t>
            </w:r>
          </w:p>
          <w:p w14:paraId="24C0DA08" w14:textId="36A32BF7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Posições em risco na aceção do artigo 122.º-A do Regulamento (UE) n.º 575/2013. </w:t>
            </w:r>
          </w:p>
        </w:tc>
      </w:tr>
      <w:tr w:rsidR="00B731E6" w:rsidRPr="00BC439A" w14:paraId="5C84CA61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1EE362B" w14:textId="6EA863F3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4" w:type="dxa"/>
            <w:shd w:val="clear" w:color="auto" w:fill="auto"/>
          </w:tcPr>
          <w:p w14:paraId="4D223688" w14:textId="3E9BBE9B" w:rsidR="00F26067" w:rsidRPr="00FB64CF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Posições em risco sobre títulos de dívida subordinados e ações</w:t>
            </w:r>
          </w:p>
          <w:p w14:paraId="0AA0F933" w14:textId="77EC0BD5" w:rsidR="00B731E6" w:rsidRPr="00BC439A" w:rsidRDefault="00F2606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soma das linhas abaixo definidas (EU 7a e EU 7b).</w:t>
            </w:r>
          </w:p>
        </w:tc>
      </w:tr>
      <w:tr w:rsidR="00B731E6" w:rsidRPr="00BC439A" w14:paraId="75520DAB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D54D58F" w14:textId="40B5DA6A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7a</w:t>
            </w:r>
          </w:p>
        </w:tc>
        <w:tc>
          <w:tcPr>
            <w:tcW w:w="7654" w:type="dxa"/>
            <w:shd w:val="clear" w:color="auto" w:fill="auto"/>
          </w:tcPr>
          <w:p w14:paraId="2087D858" w14:textId="358EEE2E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Posições em risco sobre títulos de dívida subordinados</w:t>
            </w:r>
          </w:p>
          <w:p w14:paraId="6A91C57C" w14:textId="5BCEFCB5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Posições em risco na aceção do artigo 112.º, alínea k), do Regulamento (UE) n.º 575/2013 e artigo 128.º do Regulamento (UE) n.º 575/2013.</w:t>
            </w:r>
          </w:p>
        </w:tc>
      </w:tr>
      <w:tr w:rsidR="00B731E6" w:rsidRPr="00BC439A" w14:paraId="1BA8F816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7E36157" w14:textId="40601992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7b</w:t>
            </w:r>
          </w:p>
        </w:tc>
        <w:tc>
          <w:tcPr>
            <w:tcW w:w="7654" w:type="dxa"/>
            <w:shd w:val="clear" w:color="auto" w:fill="auto"/>
          </w:tcPr>
          <w:p w14:paraId="1433F3D8" w14:textId="30F87742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Ações</w:t>
            </w:r>
          </w:p>
          <w:p w14:paraId="191A2924" w14:textId="2CDA6797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Posições em risco na aceção do artigo 112.º, alínea p), do Regulamento (UE) n.º 575/2013 e artigo 133.º, n.º 1, do Regulamento (UE) n.º 575/2013.</w:t>
            </w:r>
          </w:p>
        </w:tc>
      </w:tr>
      <w:tr w:rsidR="00B731E6" w:rsidRPr="00166E0C" w14:paraId="2F5024A7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C8D4DD7" w14:textId="53CC0B91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7654" w:type="dxa"/>
            <w:shd w:val="clear" w:color="auto" w:fill="auto"/>
          </w:tcPr>
          <w:p w14:paraId="6F18D30C" w14:textId="20BDB687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Garantidas por hipotecas sobre bens imóveis e posições em risco ADC</w:t>
            </w:r>
          </w:p>
          <w:p w14:paraId="652029AE" w14:textId="28474DBD" w:rsidR="00B731E6" w:rsidRPr="00166E0C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 posições em risco garantidas por hipotecas sobre bens imóveis na aceção do artigo 4.º, n.º 1, pontos 75 a 75-F, do Regulamento (UE) n.º 575/2013 e as posições em risco na aceção do artigo 4.º, n.º 1, ponto 78-A, do Regulamento (UE) n.º 575/2013 devem ser comunicadas aqui.</w:t>
            </w:r>
          </w:p>
          <w:p w14:paraId="03F0288C" w14:textId="5F4104D7" w:rsidR="00324117" w:rsidRPr="00166E0C" w:rsidRDefault="0032411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Esta linha é a soma das linhas 9.1; 9.2; 9.3; 9.4; 9.5.</w:t>
            </w:r>
          </w:p>
        </w:tc>
      </w:tr>
      <w:tr w:rsidR="00B731E6" w:rsidRPr="00166E0C" w14:paraId="33B98B6E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09AF170" w14:textId="317795BB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7654" w:type="dxa"/>
            <w:shd w:val="clear" w:color="auto" w:fill="auto"/>
          </w:tcPr>
          <w:p w14:paraId="0DE2BD5F" w14:textId="7880F40C" w:rsidR="00F26067" w:rsidRPr="00FB64CF" w:rsidRDefault="00B731E6" w:rsidP="007750BC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Garantidas por hipotecas sobre imóveis de habitação — não IPRE</w:t>
            </w:r>
          </w:p>
          <w:p w14:paraId="1A8747F6" w14:textId="045D4EEB" w:rsidR="00F26067" w:rsidRPr="00166E0C" w:rsidRDefault="00F26067" w:rsidP="007750BC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 posições em risco tratadas de acordo com o artigo 125.º, n.º 1, do Regulamento (UE) n.º 575/2013 devem ser comunicadas aqui.</w:t>
            </w:r>
          </w:p>
          <w:p w14:paraId="739769BE" w14:textId="77777777" w:rsidR="00FB64CF" w:rsidRDefault="007750BC" w:rsidP="007750BC">
            <w:pPr>
              <w:spacing w:after="120"/>
              <w:jc w:val="both"/>
              <w:rPr>
                <w:rFonts w:ascii="Times New Roman" w:eastAsiaTheme="minorHAnsi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  <w:t>Nesta linha, são também divulgadas: outras posições em risco garantidas por hipotecas sobre bens imóveis destinados a habitação — não IPRE que não preencham as condições do artigo 124.º, n.º 3, ou qualquer parte de uma posição em risco não ADC que exceda o montante nominal do direito de retenção do bem imóvel, a que se refere o artigo 124.º, n.º 1, alínea a), do Regulamento (UE) n.º 575/2013.</w:t>
            </w:r>
          </w:p>
          <w:p w14:paraId="432D1633" w14:textId="5C6396A7" w:rsidR="004E3D87" w:rsidRPr="00166E0C" w:rsidRDefault="004E3D87" w:rsidP="007750BC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Esta linha é a soma das linhas 9.1.1, 9.1.2 e 9.1.3.</w:t>
            </w:r>
          </w:p>
        </w:tc>
      </w:tr>
      <w:tr w:rsidR="00B731E6" w:rsidRPr="00166E0C" w14:paraId="3757A5E1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947CF4E" w14:textId="20DCDB33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9.1.1</w:t>
            </w:r>
          </w:p>
        </w:tc>
        <w:tc>
          <w:tcPr>
            <w:tcW w:w="7654" w:type="dxa"/>
            <w:shd w:val="clear" w:color="auto" w:fill="auto"/>
          </w:tcPr>
          <w:p w14:paraId="7643D411" w14:textId="53D2093F" w:rsidR="00F26067" w:rsidRPr="00FB64CF" w:rsidRDefault="00F2606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Não foi aplicado um fracionamento de empréstimos</w:t>
            </w:r>
          </w:p>
          <w:p w14:paraId="02E8C845" w14:textId="57A0B1B1" w:rsidR="00B731E6" w:rsidRPr="00166E0C" w:rsidRDefault="00F2606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Posições em risco garantidas por hipotecas sobre bens imóveis destinados a habitação — não IPRE às quais não se aplica o método do fracionamento de empréstimos descrito no artigo 125.º, n.º 1, do Regulamento (UE) n.º 575/2013. </w:t>
            </w:r>
          </w:p>
        </w:tc>
      </w:tr>
      <w:tr w:rsidR="00B731E6" w:rsidRPr="00BC439A" w14:paraId="7102D657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8838607" w14:textId="5063C525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9.1.2</w:t>
            </w:r>
          </w:p>
        </w:tc>
        <w:tc>
          <w:tcPr>
            <w:tcW w:w="7654" w:type="dxa"/>
            <w:shd w:val="clear" w:color="auto" w:fill="auto"/>
          </w:tcPr>
          <w:p w14:paraId="0F9D3D69" w14:textId="1E8EFD2D" w:rsidR="00F26067" w:rsidRPr="00FB64CF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Fracionamento de empréstimos aplicado (com garantia)</w:t>
            </w:r>
          </w:p>
          <w:p w14:paraId="28B98A7E" w14:textId="6E936DED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Parte garantida das posições em risco garantidas por hipotecas sobre bens imóveis destinados a habitação às quais se aplica o método do fracionamento por empréstimos descrito no artigo 125.º, n.º 1, alínea a), do Regulamento (UE) n.º 575/2013.</w:t>
            </w:r>
          </w:p>
        </w:tc>
      </w:tr>
      <w:tr w:rsidR="00B731E6" w:rsidRPr="00BC439A" w14:paraId="0CDDB3DF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14E5CE41" w14:textId="2C251DBD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9.1.3</w:t>
            </w:r>
          </w:p>
        </w:tc>
        <w:tc>
          <w:tcPr>
            <w:tcW w:w="7654" w:type="dxa"/>
            <w:shd w:val="clear" w:color="auto" w:fill="auto"/>
          </w:tcPr>
          <w:p w14:paraId="276011BB" w14:textId="26F29D4D" w:rsidR="00F26067" w:rsidRPr="00FB64CF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Fracionamento de empréstimos aplicado (sem garantia)</w:t>
            </w:r>
          </w:p>
          <w:p w14:paraId="4F2656D3" w14:textId="59CF83C6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 parte remanescente das posições em risco garantidas por hipotecas sobre bens imóveis destinados a habitação às quais se aplica o método do fracionamento de empréstimos, tal como descrito no artigo 125.º, n.º 1, do Regulamento (UE) n.º 575/2013. </w:t>
            </w:r>
          </w:p>
        </w:tc>
      </w:tr>
      <w:tr w:rsidR="00B731E6" w:rsidRPr="00166E0C" w14:paraId="2B7F44F7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04A35F9" w14:textId="540EF342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7654" w:type="dxa"/>
            <w:shd w:val="clear" w:color="auto" w:fill="auto"/>
          </w:tcPr>
          <w:p w14:paraId="70C82B6D" w14:textId="2D504FDB" w:rsidR="00AF565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Garantidas por hipotecas sobre imóveis de habitação — IPRE</w:t>
            </w:r>
          </w:p>
          <w:p w14:paraId="4E83C986" w14:textId="06AEEF5B" w:rsidR="00B731E6" w:rsidRPr="00166E0C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Só devem ser comunicadas aqui as posições em risco que correspondem à definição do artigo 4.º, n.º 1, ponto 75-B, do Regulamento (UE) n.º 575/2013.</w:t>
            </w:r>
          </w:p>
          <w:p w14:paraId="46AB10B2" w14:textId="77777777" w:rsidR="008D77B1" w:rsidRPr="00166E0C" w:rsidRDefault="00BC278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Nesta linha, são também divulgadas: </w:t>
            </w:r>
          </w:p>
          <w:p w14:paraId="56D10EDE" w14:textId="53C433B5" w:rsidR="008D77B1" w:rsidRPr="00166E0C" w:rsidRDefault="008D77B1" w:rsidP="5A0D947F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outras posições em risco garantidas por hipotecas sobre bens imóveis destinados a habitação — IPRE que não preencham as condições do artigo 124.º, n.º 3, ou qualquer parte de uma posição em risco não ADC que </w:t>
            </w:r>
            <w:r>
              <w:rPr>
                <w:rFonts w:ascii="Times New Roman" w:hAnsi="Times New Roman"/>
                <w:sz w:val="24"/>
              </w:rPr>
              <w:lastRenderedPageBreak/>
              <w:t>exceda o montante nominal do direito de retenção do bem imóvel, a que se refere o artigo 124.º, n.º 1, alínea b), do Regulamento (UE) n.º 575/2013;</w:t>
            </w:r>
          </w:p>
          <w:p w14:paraId="54B1CD31" w14:textId="77777777" w:rsidR="00DE1541" w:rsidRDefault="008D77B1" w:rsidP="5A0D947F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posições em risco IPRE que cumprem qualquer das condições estabelecidas no artigo 124.º, n.º 2, alínea a), subalínea ii), pontos 1 a 4, do Regulamento (UE) n.º 575/2013; </w:t>
            </w:r>
          </w:p>
          <w:p w14:paraId="2A0561A2" w14:textId="62F31EDE" w:rsidR="00BC2787" w:rsidRPr="00166E0C" w:rsidRDefault="00DE1541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posições em risco IPRE em que é aplicada a derrogação prevista no artigo 125.º, n.º 2, do Regulamento (UE) n.º 575/2013.</w:t>
            </w:r>
          </w:p>
        </w:tc>
      </w:tr>
      <w:tr w:rsidR="00B731E6" w:rsidRPr="00166E0C" w14:paraId="755FF524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4C858BA6" w14:textId="2DD3BA13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9,3</w:t>
            </w:r>
          </w:p>
        </w:tc>
        <w:tc>
          <w:tcPr>
            <w:tcW w:w="7654" w:type="dxa"/>
            <w:shd w:val="clear" w:color="auto" w:fill="auto"/>
          </w:tcPr>
          <w:p w14:paraId="1FB5BC8C" w14:textId="150F29C1" w:rsidR="00AF5657" w:rsidRPr="00FB64CF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Garantidas por hipotecas sobre bens imóveis com fins comerciais — não IPRE</w:t>
            </w:r>
          </w:p>
          <w:p w14:paraId="6D774530" w14:textId="076B20CB" w:rsidR="00B731E6" w:rsidRPr="00166E0C" w:rsidRDefault="00AF5657" w:rsidP="00B731E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 posições em risco tratadas de acordo com o artigo 126.º, n.º 1, do Regulamento (UE) n.º 575/2013 devem ser divulgadas aqui.</w:t>
            </w:r>
          </w:p>
          <w:p w14:paraId="7E6B1435" w14:textId="2E512A61" w:rsidR="00DA7EF5" w:rsidRPr="00166E0C" w:rsidRDefault="0033556A" w:rsidP="00B731E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Nesta linha, são também divulgadas: outras posições em risco garantidas por hipotecas sobre bens imóveis para fins comerciais — não IPRE que não preencham as condições do artigo 124.º, n.º 3, ou qualquer parte de uma posição em risco não ADC que exceda o montante nominal do direito de retenção do bem imóvel, a que se refere o artigo 124.º, n.º 1, alínea a), do Regulamento (UE) n.º 575/2013.</w:t>
            </w:r>
          </w:p>
          <w:p w14:paraId="3A4B49EE" w14:textId="21BC011B" w:rsidR="007E0548" w:rsidRPr="00166E0C" w:rsidRDefault="007E0548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Esta linha é a soma das linhas 9.3.1, 9.3.2 e 9.3.3.</w:t>
            </w:r>
          </w:p>
        </w:tc>
      </w:tr>
      <w:tr w:rsidR="00B731E6" w:rsidRPr="00BC439A" w14:paraId="2A6FA185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49DC0412" w14:textId="50C2D05B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9.3.1.</w:t>
            </w:r>
          </w:p>
        </w:tc>
        <w:tc>
          <w:tcPr>
            <w:tcW w:w="7654" w:type="dxa"/>
            <w:shd w:val="clear" w:color="auto" w:fill="auto"/>
          </w:tcPr>
          <w:p w14:paraId="6F533409" w14:textId="44833E01" w:rsidR="00AF5657" w:rsidRPr="00FB64CF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Não foi aplicado um fracionamento de empréstimos</w:t>
            </w:r>
          </w:p>
          <w:p w14:paraId="189515BD" w14:textId="4BE4C9FD" w:rsidR="00B731E6" w:rsidRPr="00166E0C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Posições em risco garantidas por hipotecas sobre bens imóveis para fins comerciais às quais não se aplica o método do fracionamento de empréstimos descrito no artigo 126.º, n.º 1, do Regulamento (UE) n.º 575/2013.</w:t>
            </w:r>
          </w:p>
        </w:tc>
      </w:tr>
      <w:tr w:rsidR="00B731E6" w:rsidRPr="00BC439A" w14:paraId="536C5813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17942517" w14:textId="2325CC59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9.3.2.</w:t>
            </w:r>
          </w:p>
        </w:tc>
        <w:tc>
          <w:tcPr>
            <w:tcW w:w="7654" w:type="dxa"/>
            <w:shd w:val="clear" w:color="auto" w:fill="auto"/>
          </w:tcPr>
          <w:p w14:paraId="2A4977BE" w14:textId="7C1D3936" w:rsidR="00AF5657" w:rsidRPr="00FB64CF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Fracionamento de empréstimos aplicado (com garantia)</w:t>
            </w:r>
          </w:p>
          <w:p w14:paraId="295F988E" w14:textId="163AC587" w:rsidR="00B731E6" w:rsidRPr="00BC439A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parte garantida das posições em risco garantidas por hipotecas sobre bens imóveis para fins comerciais às quais se aplica o método do fracionamento de empréstimos, tal como descrito no artigo 126.º, n.º 1, do Regulamento (UE) n.º 575/2013.</w:t>
            </w:r>
          </w:p>
        </w:tc>
      </w:tr>
      <w:tr w:rsidR="00B731E6" w:rsidRPr="00BC439A" w14:paraId="32A17F28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7E7BBE98" w14:textId="308FFA9D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9.3.3.</w:t>
            </w:r>
          </w:p>
        </w:tc>
        <w:tc>
          <w:tcPr>
            <w:tcW w:w="7654" w:type="dxa"/>
            <w:shd w:val="clear" w:color="auto" w:fill="auto"/>
          </w:tcPr>
          <w:p w14:paraId="4ECB5244" w14:textId="1E8E28D6" w:rsidR="00AF5657" w:rsidRPr="00FB64CF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Fracionamento de empréstimos aplicado (sem garantia)</w:t>
            </w:r>
          </w:p>
          <w:p w14:paraId="6C4BCA6C" w14:textId="42BC1D87" w:rsidR="00B731E6" w:rsidRPr="00BC439A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parte remanescente das posições em risco garantidas por hipotecas sobre bens imóveis para fins comerciais às quais se aplica o método do fracionamento de empréstimos, tal como descrito no artigo 126.º, n.º 1, do Regulamento (UE) n.º 575/2013.</w:t>
            </w:r>
          </w:p>
        </w:tc>
      </w:tr>
      <w:tr w:rsidR="00B731E6" w:rsidRPr="00166E0C" w14:paraId="75CE8B5A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7897E6FD" w14:textId="412E48BE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7654" w:type="dxa"/>
            <w:shd w:val="clear" w:color="auto" w:fill="auto"/>
          </w:tcPr>
          <w:p w14:paraId="5DC2F5DD" w14:textId="1CB33C48" w:rsidR="00AF565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Garantidas por hipotecas sobre bens imóveis com fins comerciais — IPRE</w:t>
            </w:r>
          </w:p>
          <w:p w14:paraId="6B5C20F3" w14:textId="231C48A9" w:rsidR="00B731E6" w:rsidRPr="00166E0C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Só devem ser comunicadas aqui as posições em risco que correspondem à definição do artigo 4.º, n.º 1, ponto 75-B, e do artigo 124.º, n.º 2, alínea b), subalínea ii), do Regulamento (UE) n.º 575/2013. </w:t>
            </w:r>
          </w:p>
          <w:p w14:paraId="753C2F57" w14:textId="77777777" w:rsidR="008D77B1" w:rsidRPr="00166E0C" w:rsidRDefault="00DA7EF5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Nesta linha, são também divulgadas:</w:t>
            </w:r>
          </w:p>
          <w:p w14:paraId="5FECF5F7" w14:textId="5AE5B58A" w:rsidR="008D77B1" w:rsidRPr="00166E0C" w:rsidRDefault="008D77B1" w:rsidP="5A0D947F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outras posições em risco garantidas por hipotecas sobre bens imóveis para fins comerciais — IPRE que não preencham as condições do artigo 124.º, n.º 3, ou qualquer parte de uma posição em risco não ADC que exceda o montante nominal do direito de retenção do bem imóvel, a que se refere o artigo 124.º, n.º 1, alínea b), do Regulamento (UE) n.º 575/2013;</w:t>
            </w:r>
          </w:p>
          <w:p w14:paraId="7685605B" w14:textId="29DF1160" w:rsidR="00DA7EF5" w:rsidRPr="00166E0C" w:rsidRDefault="008D77B1" w:rsidP="5A0D947F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posições em risco IPRE em que é aplicada a derrogação prevista no artigo 126.º, n.º 2, do Regulamento (UE) n.º 575/2014.</w:t>
            </w:r>
          </w:p>
        </w:tc>
      </w:tr>
      <w:tr w:rsidR="00B731E6" w:rsidRPr="00BC439A" w14:paraId="20764392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0FC4E51F" w14:textId="36B43C49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9.5</w:t>
            </w:r>
          </w:p>
        </w:tc>
        <w:tc>
          <w:tcPr>
            <w:tcW w:w="7654" w:type="dxa"/>
            <w:shd w:val="clear" w:color="auto" w:fill="auto"/>
          </w:tcPr>
          <w:p w14:paraId="341A3252" w14:textId="49B1967E" w:rsidR="00AF565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Aquisição de terrenos, remodelação e construção (ADC)</w:t>
            </w:r>
          </w:p>
          <w:p w14:paraId="0F969F9F" w14:textId="52C7FD3B" w:rsidR="00B731E6" w:rsidRPr="00BC439A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Só devem ser comunicadas aqui as posições em risco que correspondem à definição do artigo 4.º, n.º 1, ponto 78-A, do Regulamento (UE) n.º 575/2013.</w:t>
            </w:r>
          </w:p>
        </w:tc>
      </w:tr>
      <w:tr w:rsidR="00B731E6" w:rsidRPr="00BC439A" w14:paraId="55E6C904" w14:textId="77777777" w:rsidTr="5A0D947F">
        <w:trPr>
          <w:trHeight w:val="4791"/>
        </w:trPr>
        <w:tc>
          <w:tcPr>
            <w:tcW w:w="1413" w:type="dxa"/>
          </w:tcPr>
          <w:p w14:paraId="1A19FACE" w14:textId="25B6BF34" w:rsidR="00B731E6" w:rsidRPr="00166E0C" w:rsidRDefault="6D7E96F7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10c</w:t>
            </w:r>
          </w:p>
        </w:tc>
        <w:tc>
          <w:tcPr>
            <w:tcW w:w="7654" w:type="dxa"/>
          </w:tcPr>
          <w:p w14:paraId="44064BA9" w14:textId="08D5F5C0" w:rsidR="00AF5657" w:rsidRPr="00FB64CF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Outros elementos</w:t>
            </w:r>
          </w:p>
          <w:p w14:paraId="71B77EE9" w14:textId="278AF798" w:rsidR="00B731E6" w:rsidRPr="00166E0C" w:rsidRDefault="00AF565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classe de risco refere-se a:</w:t>
            </w:r>
          </w:p>
          <w:p w14:paraId="278C94D3" w14:textId="1D604FCC" w:rsidR="00B731E6" w:rsidRPr="00166E0C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ativos sujeitos a um ponderador de risco específico previsto na parte III, título II, capítulo 4, artigo 134.º do Regulamento (UE) n.º 575/2013;</w:t>
            </w:r>
          </w:p>
          <w:p w14:paraId="573636F2" w14:textId="044BB2FD" w:rsidR="00B731E6" w:rsidRPr="00BC439A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ativos não deduzidos em aplicação do artigo 39.º do Regulamento (UE) n.º 575/2013 (excesso de pagamento de imposto, reporte de prejuízos fiscais e ativos por impostos diferidos que não dependam de rendibilidade futura), do artigo 41.º do Regulamento (UE) n.º 575/2013 (dedução de ativos do fundo de pensões de benefício definido), dos artigos 46.º e 469.º do Regulamento (UE) n.º 575/2013 (investimentos não significativos em CET1 de entidades do setor financeiro) dos artigos 49.º e 471.º, do Regulamento (UE) n.º 575/2013 (participações em empresas de seguros, quer as entidades de seguros sejam ou não supervisionadas ao abrigo da Diretiva relativa à supervisão dos conglomerados financeiros), dos artigos 60.º e 475.º do Regulamento (UE) n.º 575/2013 (investimentos indiretos, diretos e sintéticos, significativos e não significativos em instrumentos de fundos próprios adicionais de nível 1 (AT1) de entidades do setor financeiro), dos artigos 70.º e 477.º do Regulamento (UE) n.º 575/2013 (fundos próprios de nível 1 (T2) de uma entidade do setor financeiro detidos direta, indireta e sinteticamente de forma significativa e não significativa) quando não atribuídos a outras classes de risco e a participações qualificadas fora do setor financeiro no caso de não existir um ponderador de risco de 1250 % (em aplicação da parte II, título I, capítulo 2, artigo 36.º, alínea k), do Regulamento (UE) n.º 575/2013).</w:t>
            </w:r>
          </w:p>
        </w:tc>
      </w:tr>
      <w:tr w:rsidR="006D3144" w:rsidRPr="00BC439A" w14:paraId="5BD2F47E" w14:textId="77777777" w:rsidTr="00FB64CF">
        <w:trPr>
          <w:trHeight w:val="643"/>
        </w:trPr>
        <w:tc>
          <w:tcPr>
            <w:tcW w:w="1413" w:type="dxa"/>
            <w:shd w:val="clear" w:color="auto" w:fill="D9D9D9" w:themeFill="background1" w:themeFillShade="D9"/>
          </w:tcPr>
          <w:p w14:paraId="264F36FD" w14:textId="11D07211" w:rsidR="006D3144" w:rsidRPr="00BC439A" w:rsidRDefault="006D314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47FD4F2B" w14:textId="1FCF9627" w:rsidR="006D3144" w:rsidRPr="00BC439A" w:rsidRDefault="006D3144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Não aplicável</w:t>
            </w:r>
          </w:p>
        </w:tc>
      </w:tr>
      <w:tr w:rsidR="00B731E6" w:rsidRPr="00AF5657" w14:paraId="11F0EEAC" w14:textId="77777777" w:rsidTr="5A0D947F">
        <w:trPr>
          <w:trHeight w:val="71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50B7" w14:textId="216B59DC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11c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F137" w14:textId="1E994679" w:rsidR="00AF5657" w:rsidRPr="00FB64CF" w:rsidRDefault="00B731E6" w:rsidP="00B731E6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</w:t>
            </w:r>
          </w:p>
          <w:p w14:paraId="463C4A08" w14:textId="7392B85F" w:rsidR="00B731E6" w:rsidRPr="00FB64CF" w:rsidRDefault="00AF5657" w:rsidP="00B731E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Soma das linhas 1, 2, 3, EU 3a, 4, 5, 6, 7, 8, 9, 10, EU 10a, EU 10b, EU 10c acima.</w:t>
            </w:r>
          </w:p>
        </w:tc>
      </w:tr>
    </w:tbl>
    <w:p w14:paraId="63408E1A" w14:textId="77777777" w:rsidR="008B70BD" w:rsidRPr="00FB64CF" w:rsidRDefault="008B70BD" w:rsidP="0005278F">
      <w:pPr>
        <w:spacing w:after="120"/>
        <w:rPr>
          <w:rFonts w:ascii="Times New Roman" w:hAnsi="Times New Roman" w:cs="Times New Roman"/>
          <w:sz w:val="24"/>
          <w:lang w:val="fr-FR"/>
        </w:rPr>
      </w:pPr>
    </w:p>
    <w:p w14:paraId="137E39BA" w14:textId="67FE8595" w:rsidR="00993FC2" w:rsidRPr="00FB64CF" w:rsidRDefault="00993FC2">
      <w:pPr>
        <w:rPr>
          <w:rFonts w:ascii="Times New Roman" w:hAnsi="Times New Roman" w:cs="Times New Roman"/>
          <w:lang w:val="fr-FR"/>
        </w:rPr>
      </w:pPr>
    </w:p>
    <w:sectPr w:rsidR="00993FC2" w:rsidRPr="00FB64C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DDBB1" w14:textId="77777777" w:rsidR="00105833" w:rsidRDefault="00105833" w:rsidP="0005278F">
      <w:r>
        <w:separator/>
      </w:r>
    </w:p>
  </w:endnote>
  <w:endnote w:type="continuationSeparator" w:id="0">
    <w:p w14:paraId="57CC355F" w14:textId="77777777" w:rsidR="00105833" w:rsidRDefault="00105833" w:rsidP="0005278F">
      <w:r>
        <w:continuationSeparator/>
      </w:r>
    </w:p>
  </w:endnote>
  <w:endnote w:type="continuationNotice" w:id="1">
    <w:p w14:paraId="3971E96D" w14:textId="77777777" w:rsidR="00105833" w:rsidRDefault="001058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16801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7E39BF" w14:textId="34D5F876" w:rsidR="0005278F" w:rsidRDefault="000527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31E6">
          <w:t>1</w:t>
        </w:r>
        <w:r>
          <w:fldChar w:fldCharType="end"/>
        </w:r>
      </w:p>
    </w:sdtContent>
  </w:sdt>
  <w:p w14:paraId="137E39C0" w14:textId="77777777" w:rsidR="0005278F" w:rsidRDefault="000527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40137" w14:textId="77777777" w:rsidR="00105833" w:rsidRDefault="00105833" w:rsidP="0005278F">
      <w:r>
        <w:separator/>
      </w:r>
    </w:p>
  </w:footnote>
  <w:footnote w:type="continuationSeparator" w:id="0">
    <w:p w14:paraId="74AB3C3E" w14:textId="77777777" w:rsidR="00105833" w:rsidRDefault="00105833" w:rsidP="0005278F">
      <w:r>
        <w:continuationSeparator/>
      </w:r>
    </w:p>
  </w:footnote>
  <w:footnote w:type="continuationNotice" w:id="1">
    <w:p w14:paraId="06CE5F6E" w14:textId="77777777" w:rsidR="00105833" w:rsidRDefault="00105833"/>
  </w:footnote>
  <w:footnote w:id="2">
    <w:p w14:paraId="0743D20D" w14:textId="51D365B9" w:rsidR="00166E0C" w:rsidRPr="00222AAB" w:rsidRDefault="00166E0C" w:rsidP="00166E0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  <w:t>Regulamento (UE) n.º 575/2013 do Parlamento Europeu e do Conselho, 26 de junho de 2013, relativo aos requisitos prudenciais das instituições de crédito e que altera o Regulamento (UE) n.º 648/2012, com a redação que lhe foi dada pelo Regulamento (UE) 2024/1623 (</w:t>
      </w:r>
      <w:hyperlink r:id="rId1" w:history="1">
        <w:r>
          <w:rPr>
            <w:rStyle w:val="Hyperlink"/>
            <w:color w:val="800080"/>
          </w:rPr>
          <w:t>JO L 176 de 27.6.2013, p. 1</w:t>
        </w:r>
      </w:hyperlink>
      <w:r>
        <w:t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Regulamento — UE — 2024/1623 — PT — EUR-Lex (europa.eu)</w:t>
        </w:r>
      </w:hyperlink>
      <w:r>
        <w:t>).</w:t>
      </w:r>
    </w:p>
  </w:footnote>
  <w:footnote w:id="3">
    <w:p w14:paraId="137E39C2" w14:textId="77777777" w:rsidR="0005278F" w:rsidRPr="00222AAB" w:rsidRDefault="0005278F" w:rsidP="0005278F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  <w:t>REGULAMENTO DELEGADO (UE) n.º 183/2014 DA COMISSÃO, de 20 de dezembro de 2013, que complementa o Regulamento (UE) n.</w:t>
      </w:r>
      <w:r w:rsidRPr="00767FB1">
        <w:rPr>
          <w:vertAlign w:val="superscript"/>
        </w:rPr>
        <w:t>o</w:t>
      </w:r>
      <w:r>
        <w:t xml:space="preserve"> 575/2013 do Parlamento Europeu e do Conselho, relativo aos requisitos prudenciais para as instituições de crédito e para as empresas de investimento, no que respeita às normas técnicas de regulamentação para especificação do cálculo dos ajustamentos para o risco específico e geral de crédito (JO L 57 de 27.2.2014, p. 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DDC2F" w14:textId="4FD4780F" w:rsidR="00AE1158" w:rsidRDefault="00AE1158">
    <w:pPr>
      <w:pStyle w:val="Header"/>
    </w:pPr>
  </w:p>
  <w:p w14:paraId="6F097C03" w14:textId="77777777" w:rsidR="00D21AB6" w:rsidRDefault="00D21A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9254A"/>
    <w:multiLevelType w:val="hybridMultilevel"/>
    <w:tmpl w:val="78304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018B1"/>
    <w:multiLevelType w:val="hybridMultilevel"/>
    <w:tmpl w:val="82B6FEA0"/>
    <w:lvl w:ilvl="0" w:tplc="8BCE09E8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717083">
    <w:abstractNumId w:val="0"/>
  </w:num>
  <w:num w:numId="2" w16cid:durableId="50272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E4BE4"/>
    <w:rsid w:val="000004A4"/>
    <w:rsid w:val="00004DAA"/>
    <w:rsid w:val="00004E31"/>
    <w:rsid w:val="000109EE"/>
    <w:rsid w:val="0005278F"/>
    <w:rsid w:val="00076BFB"/>
    <w:rsid w:val="00094811"/>
    <w:rsid w:val="000E1984"/>
    <w:rsid w:val="000F5E48"/>
    <w:rsid w:val="00105833"/>
    <w:rsid w:val="00115107"/>
    <w:rsid w:val="00152E53"/>
    <w:rsid w:val="00157B31"/>
    <w:rsid w:val="00164B1E"/>
    <w:rsid w:val="00166E0C"/>
    <w:rsid w:val="00195789"/>
    <w:rsid w:val="001C3FDD"/>
    <w:rsid w:val="001D0015"/>
    <w:rsid w:val="001D48EF"/>
    <w:rsid w:val="001D6B68"/>
    <w:rsid w:val="001E0D83"/>
    <w:rsid w:val="001E3C41"/>
    <w:rsid w:val="002050A2"/>
    <w:rsid w:val="0022219D"/>
    <w:rsid w:val="00240B1D"/>
    <w:rsid w:val="00241526"/>
    <w:rsid w:val="0026300A"/>
    <w:rsid w:val="0027241B"/>
    <w:rsid w:val="002740A6"/>
    <w:rsid w:val="00276065"/>
    <w:rsid w:val="00284FF1"/>
    <w:rsid w:val="00294B8A"/>
    <w:rsid w:val="002A2B60"/>
    <w:rsid w:val="002C4FA7"/>
    <w:rsid w:val="002D0D8E"/>
    <w:rsid w:val="002D1DE6"/>
    <w:rsid w:val="002F744F"/>
    <w:rsid w:val="00301E0E"/>
    <w:rsid w:val="0032013E"/>
    <w:rsid w:val="00323171"/>
    <w:rsid w:val="00324117"/>
    <w:rsid w:val="0033556A"/>
    <w:rsid w:val="00372E04"/>
    <w:rsid w:val="00395831"/>
    <w:rsid w:val="00396B81"/>
    <w:rsid w:val="003D6746"/>
    <w:rsid w:val="003F5A5D"/>
    <w:rsid w:val="0041192F"/>
    <w:rsid w:val="00416282"/>
    <w:rsid w:val="0043232E"/>
    <w:rsid w:val="00451358"/>
    <w:rsid w:val="00453692"/>
    <w:rsid w:val="00462771"/>
    <w:rsid w:val="004645B2"/>
    <w:rsid w:val="00470A0F"/>
    <w:rsid w:val="00496A4C"/>
    <w:rsid w:val="004A2FB7"/>
    <w:rsid w:val="004A5DB1"/>
    <w:rsid w:val="004C11DE"/>
    <w:rsid w:val="004D166A"/>
    <w:rsid w:val="004D2470"/>
    <w:rsid w:val="004E3D87"/>
    <w:rsid w:val="004F0F3D"/>
    <w:rsid w:val="00535F36"/>
    <w:rsid w:val="00540283"/>
    <w:rsid w:val="00570FCF"/>
    <w:rsid w:val="005908B4"/>
    <w:rsid w:val="005929C9"/>
    <w:rsid w:val="005A480B"/>
    <w:rsid w:val="005A5DE7"/>
    <w:rsid w:val="005A70FA"/>
    <w:rsid w:val="005C4B4B"/>
    <w:rsid w:val="005E2CAC"/>
    <w:rsid w:val="005E387C"/>
    <w:rsid w:val="005F2750"/>
    <w:rsid w:val="00603007"/>
    <w:rsid w:val="00606099"/>
    <w:rsid w:val="00607E4F"/>
    <w:rsid w:val="00612F57"/>
    <w:rsid w:val="00622571"/>
    <w:rsid w:val="00626613"/>
    <w:rsid w:val="006624BC"/>
    <w:rsid w:val="006A3C2C"/>
    <w:rsid w:val="006C3E03"/>
    <w:rsid w:val="006D2ED0"/>
    <w:rsid w:val="006D3144"/>
    <w:rsid w:val="006F45EA"/>
    <w:rsid w:val="007013FB"/>
    <w:rsid w:val="007050D6"/>
    <w:rsid w:val="00713EFB"/>
    <w:rsid w:val="00736421"/>
    <w:rsid w:val="0075466E"/>
    <w:rsid w:val="00767FB1"/>
    <w:rsid w:val="0077150F"/>
    <w:rsid w:val="007750BC"/>
    <w:rsid w:val="007835E0"/>
    <w:rsid w:val="00790935"/>
    <w:rsid w:val="007A6ACF"/>
    <w:rsid w:val="007C38A8"/>
    <w:rsid w:val="007C61C9"/>
    <w:rsid w:val="007E0548"/>
    <w:rsid w:val="007F1438"/>
    <w:rsid w:val="007F180C"/>
    <w:rsid w:val="007F43D5"/>
    <w:rsid w:val="0080088A"/>
    <w:rsid w:val="00827042"/>
    <w:rsid w:val="00842D74"/>
    <w:rsid w:val="00861491"/>
    <w:rsid w:val="008626C2"/>
    <w:rsid w:val="00865C18"/>
    <w:rsid w:val="008673E6"/>
    <w:rsid w:val="00874367"/>
    <w:rsid w:val="00875DED"/>
    <w:rsid w:val="008B112D"/>
    <w:rsid w:val="008B70BD"/>
    <w:rsid w:val="008B725E"/>
    <w:rsid w:val="008D77B1"/>
    <w:rsid w:val="008D79A7"/>
    <w:rsid w:val="008F05D9"/>
    <w:rsid w:val="00900E99"/>
    <w:rsid w:val="0090774B"/>
    <w:rsid w:val="00920232"/>
    <w:rsid w:val="00926A01"/>
    <w:rsid w:val="00933A1E"/>
    <w:rsid w:val="00945A67"/>
    <w:rsid w:val="009710AE"/>
    <w:rsid w:val="00972CE0"/>
    <w:rsid w:val="00976A5B"/>
    <w:rsid w:val="00993FC2"/>
    <w:rsid w:val="009B08A5"/>
    <w:rsid w:val="009B59DD"/>
    <w:rsid w:val="009B6905"/>
    <w:rsid w:val="009D2F8A"/>
    <w:rsid w:val="009F3754"/>
    <w:rsid w:val="00A077EE"/>
    <w:rsid w:val="00A2123C"/>
    <w:rsid w:val="00A218FA"/>
    <w:rsid w:val="00A3539C"/>
    <w:rsid w:val="00A45D00"/>
    <w:rsid w:val="00A50858"/>
    <w:rsid w:val="00A668A1"/>
    <w:rsid w:val="00A904C5"/>
    <w:rsid w:val="00A93447"/>
    <w:rsid w:val="00A95FF8"/>
    <w:rsid w:val="00AC0868"/>
    <w:rsid w:val="00AD03E8"/>
    <w:rsid w:val="00AD25F5"/>
    <w:rsid w:val="00AD2BD2"/>
    <w:rsid w:val="00AE1158"/>
    <w:rsid w:val="00AF4BEA"/>
    <w:rsid w:val="00AF5033"/>
    <w:rsid w:val="00AF5657"/>
    <w:rsid w:val="00AF5A11"/>
    <w:rsid w:val="00AF749F"/>
    <w:rsid w:val="00B10492"/>
    <w:rsid w:val="00B12424"/>
    <w:rsid w:val="00B156A1"/>
    <w:rsid w:val="00B27022"/>
    <w:rsid w:val="00B36691"/>
    <w:rsid w:val="00B42423"/>
    <w:rsid w:val="00B63190"/>
    <w:rsid w:val="00B731E6"/>
    <w:rsid w:val="00B77A89"/>
    <w:rsid w:val="00BB7FE4"/>
    <w:rsid w:val="00BC0308"/>
    <w:rsid w:val="00BC234D"/>
    <w:rsid w:val="00BC2787"/>
    <w:rsid w:val="00BC439A"/>
    <w:rsid w:val="00BD68E5"/>
    <w:rsid w:val="00BE5DF2"/>
    <w:rsid w:val="00BF242C"/>
    <w:rsid w:val="00C01132"/>
    <w:rsid w:val="00C048C9"/>
    <w:rsid w:val="00C167E4"/>
    <w:rsid w:val="00C26E1D"/>
    <w:rsid w:val="00C337F1"/>
    <w:rsid w:val="00C47733"/>
    <w:rsid w:val="00C61252"/>
    <w:rsid w:val="00C80C35"/>
    <w:rsid w:val="00C974B7"/>
    <w:rsid w:val="00CA6E3D"/>
    <w:rsid w:val="00CB51E8"/>
    <w:rsid w:val="00CC31FB"/>
    <w:rsid w:val="00CE5D58"/>
    <w:rsid w:val="00CE61A5"/>
    <w:rsid w:val="00D00E7E"/>
    <w:rsid w:val="00D02341"/>
    <w:rsid w:val="00D15E9B"/>
    <w:rsid w:val="00D21AB6"/>
    <w:rsid w:val="00D4273B"/>
    <w:rsid w:val="00D60B05"/>
    <w:rsid w:val="00D66A1E"/>
    <w:rsid w:val="00D82A01"/>
    <w:rsid w:val="00DA7EF5"/>
    <w:rsid w:val="00DB271D"/>
    <w:rsid w:val="00DC6346"/>
    <w:rsid w:val="00DC7309"/>
    <w:rsid w:val="00DD25C2"/>
    <w:rsid w:val="00DD57FD"/>
    <w:rsid w:val="00DE1541"/>
    <w:rsid w:val="00DE2242"/>
    <w:rsid w:val="00E00D52"/>
    <w:rsid w:val="00E26DAC"/>
    <w:rsid w:val="00E5072E"/>
    <w:rsid w:val="00E50839"/>
    <w:rsid w:val="00E55526"/>
    <w:rsid w:val="00E7156E"/>
    <w:rsid w:val="00E71D19"/>
    <w:rsid w:val="00E7707F"/>
    <w:rsid w:val="00E86654"/>
    <w:rsid w:val="00F11555"/>
    <w:rsid w:val="00F12632"/>
    <w:rsid w:val="00F17792"/>
    <w:rsid w:val="00F26067"/>
    <w:rsid w:val="00F319A6"/>
    <w:rsid w:val="00F65129"/>
    <w:rsid w:val="00F9364E"/>
    <w:rsid w:val="00FA0245"/>
    <w:rsid w:val="00FB4914"/>
    <w:rsid w:val="00FB5EB0"/>
    <w:rsid w:val="00FB64CF"/>
    <w:rsid w:val="00FC25D3"/>
    <w:rsid w:val="00FD282A"/>
    <w:rsid w:val="00FD6952"/>
    <w:rsid w:val="00FE4BE4"/>
    <w:rsid w:val="00FF13D7"/>
    <w:rsid w:val="00FF5357"/>
    <w:rsid w:val="0174C094"/>
    <w:rsid w:val="0240A7F4"/>
    <w:rsid w:val="030392D4"/>
    <w:rsid w:val="0363508E"/>
    <w:rsid w:val="03A54947"/>
    <w:rsid w:val="05B06C64"/>
    <w:rsid w:val="05F9F8DA"/>
    <w:rsid w:val="06468360"/>
    <w:rsid w:val="077B8912"/>
    <w:rsid w:val="07D60CA4"/>
    <w:rsid w:val="08A24672"/>
    <w:rsid w:val="08CDEABD"/>
    <w:rsid w:val="098ECA13"/>
    <w:rsid w:val="09A02855"/>
    <w:rsid w:val="0B701945"/>
    <w:rsid w:val="0B7993BE"/>
    <w:rsid w:val="0BA82B25"/>
    <w:rsid w:val="0CDBCE93"/>
    <w:rsid w:val="0D0A32D4"/>
    <w:rsid w:val="0D0DA1AB"/>
    <w:rsid w:val="0DEBE262"/>
    <w:rsid w:val="0F4C4848"/>
    <w:rsid w:val="0F628D79"/>
    <w:rsid w:val="0F79A292"/>
    <w:rsid w:val="11016227"/>
    <w:rsid w:val="11E19082"/>
    <w:rsid w:val="12369A42"/>
    <w:rsid w:val="12718659"/>
    <w:rsid w:val="12FC444F"/>
    <w:rsid w:val="138161DE"/>
    <w:rsid w:val="13FAC8EF"/>
    <w:rsid w:val="14B8F34C"/>
    <w:rsid w:val="16B902A0"/>
    <w:rsid w:val="16E75277"/>
    <w:rsid w:val="17214809"/>
    <w:rsid w:val="172B4F2C"/>
    <w:rsid w:val="1760EFCF"/>
    <w:rsid w:val="17DDF193"/>
    <w:rsid w:val="18DE6E8E"/>
    <w:rsid w:val="1A942730"/>
    <w:rsid w:val="1BFC727B"/>
    <w:rsid w:val="1DD5B944"/>
    <w:rsid w:val="1E4487F7"/>
    <w:rsid w:val="1F87C345"/>
    <w:rsid w:val="2046BC89"/>
    <w:rsid w:val="20F2D655"/>
    <w:rsid w:val="214798D6"/>
    <w:rsid w:val="21EDBB12"/>
    <w:rsid w:val="22B4E8B0"/>
    <w:rsid w:val="23EF059E"/>
    <w:rsid w:val="24F44747"/>
    <w:rsid w:val="2565C5B4"/>
    <w:rsid w:val="25C945CD"/>
    <w:rsid w:val="27DB4511"/>
    <w:rsid w:val="2810D356"/>
    <w:rsid w:val="2834F115"/>
    <w:rsid w:val="285345E0"/>
    <w:rsid w:val="2915581B"/>
    <w:rsid w:val="2A218ED9"/>
    <w:rsid w:val="2B0D228D"/>
    <w:rsid w:val="2B5BADB9"/>
    <w:rsid w:val="2C126FE4"/>
    <w:rsid w:val="2CDA9D8F"/>
    <w:rsid w:val="2D3AB304"/>
    <w:rsid w:val="2D63B10F"/>
    <w:rsid w:val="2DB314E8"/>
    <w:rsid w:val="2DCC27B7"/>
    <w:rsid w:val="2E2BF86D"/>
    <w:rsid w:val="2F1C2143"/>
    <w:rsid w:val="307608B0"/>
    <w:rsid w:val="31A6A119"/>
    <w:rsid w:val="323321B0"/>
    <w:rsid w:val="32A211FC"/>
    <w:rsid w:val="32EC73A7"/>
    <w:rsid w:val="331F13C0"/>
    <w:rsid w:val="33DA278F"/>
    <w:rsid w:val="34884408"/>
    <w:rsid w:val="356B7199"/>
    <w:rsid w:val="36241469"/>
    <w:rsid w:val="37BD3F3E"/>
    <w:rsid w:val="395BB52B"/>
    <w:rsid w:val="3B534DEF"/>
    <w:rsid w:val="3B5ED09E"/>
    <w:rsid w:val="3B88644F"/>
    <w:rsid w:val="3C1663F5"/>
    <w:rsid w:val="3C9355ED"/>
    <w:rsid w:val="3CABD484"/>
    <w:rsid w:val="3CDD6D84"/>
    <w:rsid w:val="3FDA5591"/>
    <w:rsid w:val="4166C710"/>
    <w:rsid w:val="4207BF2A"/>
    <w:rsid w:val="43029771"/>
    <w:rsid w:val="449E67D2"/>
    <w:rsid w:val="44CD70E4"/>
    <w:rsid w:val="44D479A0"/>
    <w:rsid w:val="4539F054"/>
    <w:rsid w:val="45EA11DC"/>
    <w:rsid w:val="463A3833"/>
    <w:rsid w:val="46EA3327"/>
    <w:rsid w:val="47925ACA"/>
    <w:rsid w:val="47ED6249"/>
    <w:rsid w:val="496B549E"/>
    <w:rsid w:val="4A58ED9B"/>
    <w:rsid w:val="4A8AE56E"/>
    <w:rsid w:val="4AAAA1B5"/>
    <w:rsid w:val="4ADBD6E4"/>
    <w:rsid w:val="4CA703BE"/>
    <w:rsid w:val="4E2B0C1C"/>
    <w:rsid w:val="4E5D19A6"/>
    <w:rsid w:val="4F14B8E5"/>
    <w:rsid w:val="4F622CF0"/>
    <w:rsid w:val="4FA64758"/>
    <w:rsid w:val="4FE884A7"/>
    <w:rsid w:val="5074C388"/>
    <w:rsid w:val="50BBB50F"/>
    <w:rsid w:val="50E75061"/>
    <w:rsid w:val="51EDB44B"/>
    <w:rsid w:val="522CE5CE"/>
    <w:rsid w:val="5311614F"/>
    <w:rsid w:val="53CCA127"/>
    <w:rsid w:val="554A39C3"/>
    <w:rsid w:val="5571AD77"/>
    <w:rsid w:val="5682D6C4"/>
    <w:rsid w:val="56A447B0"/>
    <w:rsid w:val="56CF15CF"/>
    <w:rsid w:val="57AC65FB"/>
    <w:rsid w:val="5899E76D"/>
    <w:rsid w:val="58C31359"/>
    <w:rsid w:val="59390C61"/>
    <w:rsid w:val="59393C0C"/>
    <w:rsid w:val="59A87682"/>
    <w:rsid w:val="5A0D947F"/>
    <w:rsid w:val="5A6146ED"/>
    <w:rsid w:val="5B4446E3"/>
    <w:rsid w:val="5D5BB453"/>
    <w:rsid w:val="5E6FF55D"/>
    <w:rsid w:val="5FACC789"/>
    <w:rsid w:val="6087E2F8"/>
    <w:rsid w:val="608E1265"/>
    <w:rsid w:val="6255D862"/>
    <w:rsid w:val="625C6E63"/>
    <w:rsid w:val="6375B74C"/>
    <w:rsid w:val="63D653CB"/>
    <w:rsid w:val="63F83EC4"/>
    <w:rsid w:val="64FCE72B"/>
    <w:rsid w:val="6614325F"/>
    <w:rsid w:val="6639C510"/>
    <w:rsid w:val="67AFA134"/>
    <w:rsid w:val="67F11551"/>
    <w:rsid w:val="695CC3FA"/>
    <w:rsid w:val="69779682"/>
    <w:rsid w:val="6BE3510E"/>
    <w:rsid w:val="6C124B9B"/>
    <w:rsid w:val="6D7E96F7"/>
    <w:rsid w:val="6DF738C1"/>
    <w:rsid w:val="6F6CA605"/>
    <w:rsid w:val="6FADF5D0"/>
    <w:rsid w:val="7278B49B"/>
    <w:rsid w:val="72F46A5B"/>
    <w:rsid w:val="73CB1646"/>
    <w:rsid w:val="747A2E8E"/>
    <w:rsid w:val="75752FA8"/>
    <w:rsid w:val="772572A9"/>
    <w:rsid w:val="7970A0C0"/>
    <w:rsid w:val="79E699C8"/>
    <w:rsid w:val="7C1E165D"/>
    <w:rsid w:val="7C458A11"/>
    <w:rsid w:val="7CDD5443"/>
    <w:rsid w:val="7FB33B4D"/>
    <w:rsid w:val="7FC59373"/>
    <w:rsid w:val="7FFCA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E39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78F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Professional"/>
    <w:uiPriority w:val="59"/>
    <w:rsid w:val="0005278F"/>
    <w:rPr>
      <w:rFonts w:eastAsiaTheme="minorEastAsia"/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paragraph" w:styleId="FootnoteText">
    <w:name w:val="footnote text"/>
    <w:basedOn w:val="Normal"/>
    <w:link w:val="FootnoteTextChar"/>
    <w:autoRedefine/>
    <w:qFormat/>
    <w:rsid w:val="0005278F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05278F"/>
    <w:rPr>
      <w:rFonts w:eastAsiaTheme="minorEastAsia"/>
      <w:sz w:val="18"/>
      <w:szCs w:val="18"/>
      <w:lang w:val="pt-P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05278F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05278F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05278F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05278F"/>
    <w:pPr>
      <w:ind w:left="720"/>
    </w:pPr>
    <w:rPr>
      <w:rFonts w:ascii="Calibri" w:eastAsia="Calibri" w:hAnsi="Calibri" w:cs="Times New Roman"/>
      <w:szCs w:val="22"/>
    </w:rPr>
  </w:style>
  <w:style w:type="table" w:styleId="TableProfessional">
    <w:name w:val="Table Professional"/>
    <w:basedOn w:val="TableNormal"/>
    <w:uiPriority w:val="99"/>
    <w:semiHidden/>
    <w:unhideWhenUsed/>
    <w:rsid w:val="0005278F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link w:val="HeaderChar"/>
    <w:uiPriority w:val="99"/>
    <w:unhideWhenUsed/>
    <w:rsid w:val="000527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78F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0527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78F"/>
    <w:rPr>
      <w:rFonts w:eastAsiaTheme="minorEastAsia"/>
      <w:szCs w:val="24"/>
    </w:rPr>
  </w:style>
  <w:style w:type="paragraph" w:styleId="Revision">
    <w:name w:val="Revision"/>
    <w:hidden/>
    <w:uiPriority w:val="99"/>
    <w:semiHidden/>
    <w:rsid w:val="00540283"/>
    <w:pPr>
      <w:spacing w:after="0" w:line="240" w:lineRule="auto"/>
    </w:pPr>
    <w:rPr>
      <w:rFonts w:eastAsiaTheme="minorEastAsi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F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F36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90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04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04C5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04C5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T/TXT/?uri=OJ:L_202401623" TargetMode="External"/><Relationship Id="rId1" Type="http://schemas.openxmlformats.org/officeDocument/2006/relationships/hyperlink" Target="https://eur-lex.europa.eu/legal-content/P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DA017E-ABA5-4721-A10C-393119DB2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F66AEE-68CF-40E4-8E07-81A6EB6614B2}"/>
</file>

<file path=customXml/itemProps3.xml><?xml version="1.0" encoding="utf-8"?>
<ds:datastoreItem xmlns:ds="http://schemas.openxmlformats.org/officeDocument/2006/customXml" ds:itemID="{0ED281A6-0A30-4F4F-A4DD-16D4C83E77BA}"/>
</file>

<file path=customXml/itemProps4.xml><?xml version="1.0" encoding="utf-8"?>
<ds:datastoreItem xmlns:ds="http://schemas.openxmlformats.org/officeDocument/2006/customXml" ds:itemID="{A0687774-B094-4DC9-993F-AAE0BA029394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3953</Words>
  <Characters>19845</Characters>
  <Application>Microsoft Office Word</Application>
  <DocSecurity>0</DocSecurity>
  <Lines>496</Lines>
  <Paragraphs>245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2024-06-06T14:23:00Z</dcterms:created>
  <dcterms:modified xsi:type="dcterms:W3CDTF">2024-10-17T12:56:00Z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2024-09-26T14:27:18Z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b93c4b32-9114-4059-afe6-18f7575813d6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