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RO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ANEXA XLIV</w:t>
      </w:r>
    </w:p>
    <w:p w14:paraId="327777EC" w14:textId="412B4B5A" w:rsidR="002648B0" w:rsidRPr="00562190" w:rsidRDefault="00D03B1B" w:rsidP="00C87CEE">
      <w:pPr>
        <w:jc w:val="center"/>
        <w:rPr>
          <w:rFonts w:ascii="Times New Roman" w:hAnsi="Times New Roman"/>
          <w:b/>
          <w:sz w:val="24"/>
        </w:rPr>
      </w:pPr>
      <w:r w:rsidRPr="00562190">
        <w:rPr>
          <w:rFonts w:ascii="Times New Roman" w:hAnsi="Times New Roman"/>
          <w:b/>
          <w:sz w:val="24"/>
        </w:rPr>
        <w:t>Instrucțiuni pentru publicarea de informații privind expunerile față de criptoactive</w:t>
      </w:r>
    </w:p>
    <w:p w14:paraId="2C40683C" w14:textId="77777777" w:rsidR="00436204" w:rsidRPr="00562190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562190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 w:rsidRPr="00562190">
        <w:rPr>
          <w:rFonts w:ascii="Times New Roman" w:hAnsi="Times New Roman"/>
          <w:b/>
          <w:sz w:val="24"/>
          <w:u w:val="none"/>
        </w:rPr>
        <w:t>Modelul EU CAE 1 – Modelul privind criptoactivele</w:t>
      </w:r>
      <w:bookmarkEnd w:id="2"/>
      <w:r w:rsidRPr="00562190">
        <w:rPr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Format fix.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Instituțiile aplică instrucțiunile de mai jos pentru a completa modelul EU CAE</w:t>
      </w:r>
      <w:r w:rsidRPr="00562190">
        <w:t>1</w:t>
      </w:r>
      <w:r>
        <w:t xml:space="preserve"> care figurează în anexa XLIII la soluțiile informatice ale ABE, pentru a publica informații privind cuantumurile ponderate la risc ale expunerilor și cerințele de fonduri proprii pentru tipurile de expuneri față de criptoactive menționate la articolul </w:t>
      </w:r>
      <w:r w:rsidRPr="00562190">
        <w:t>501</w:t>
      </w:r>
      <w:r>
        <w:t>d alineatul (</w:t>
      </w:r>
      <w:r w:rsidRPr="00562190">
        <w:t>2</w:t>
      </w:r>
      <w:r>
        <w:t xml:space="preserve">) din Regulamentul (UE) nr. </w:t>
      </w:r>
      <w:r w:rsidRPr="00562190">
        <w:t>575</w:t>
      </w:r>
      <w:r>
        <w:t>/</w:t>
      </w:r>
      <w:r w:rsidRPr="00562190">
        <w:t>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Referințe juridice și instrucțiuni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Numărul coloanei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Explicație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56219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Valoarea expunerii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Valoarea expunerilor față de criptoactive pentru diferitele tipuri de criptoactive menționate la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>
              <w:t xml:space="preserve"> din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 w:rsidRPr="0037673B">
              <w:rPr>
                <w:rStyle w:val="InstructionsTabelleberschrift"/>
                <w:u w:val="none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562190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Cuantumurile ponderate la risc ale expunerilor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din</w:t>
            </w:r>
            <w:r>
              <w:t xml:space="preserve">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Cuantumurile ponderate la risc ale expunerilor pentru diferitele tipuri de expuneri față de criptoactive, calculate în conformitate cu 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litera (f) din</w:t>
            </w:r>
            <w:r>
              <w:t xml:space="preserve">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Pr="00562190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Cerințe de fonduri proprii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din</w:t>
            </w:r>
            <w:r>
              <w:t xml:space="preserve">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Cerințele de fonduri proprii corespunzătoare cuantumurilor ponderate la risc ale expunerilor pentru diferitele tipuri de criptoactive.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Referințe juridice și instrucțiuni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Numărul rândului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Explicație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 w:rsidRPr="00562190">
              <w:t>1</w:t>
            </w:r>
          </w:p>
        </w:tc>
        <w:tc>
          <w:tcPr>
            <w:tcW w:w="8363" w:type="dxa"/>
          </w:tcPr>
          <w:p w14:paraId="6642D329" w14:textId="77777777" w:rsidR="002F1D8D" w:rsidRPr="00562190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562190">
              <w:rPr>
                <w:rStyle w:val="cf01"/>
                <w:rFonts w:ascii="Times New Roman" w:hAnsi="Times New Roman"/>
                <w:b/>
                <w:sz w:val="24"/>
              </w:rPr>
              <w:t>Active tradiționale tokenizate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litera (a)</w:t>
            </w:r>
            <w:r>
              <w:t xml:space="preserve"> din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t>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 w:rsidRPr="00562190">
              <w:lastRenderedPageBreak/>
              <w:t>2</w:t>
            </w:r>
          </w:p>
        </w:tc>
        <w:tc>
          <w:tcPr>
            <w:tcW w:w="8363" w:type="dxa"/>
          </w:tcPr>
          <w:p w14:paraId="1BDD91BD" w14:textId="121E64C7" w:rsidR="000C1FFC" w:rsidRPr="00562190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Tokenuri raportate la active</w:t>
            </w:r>
          </w:p>
          <w:p w14:paraId="1D7215CE" w14:textId="2358370C" w:rsidR="000811A0" w:rsidRPr="00562190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 xml:space="preserve">Articolul </w:t>
            </w:r>
            <w:r w:rsidRPr="00562190">
              <w:t>501</w:t>
            </w:r>
            <w:r>
              <w:t>d alineatul (</w:t>
            </w:r>
            <w:r w:rsidRPr="00562190">
              <w:t>2</w:t>
            </w:r>
            <w:r>
              <w:t xml:space="preserve">) litera (b) din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t>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 w:rsidRPr="00562190"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Expuneri față de alte criptoactive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litera (c)</w:t>
            </w:r>
            <w:r>
              <w:t xml:space="preserve"> din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 w:rsidRPr="00562190">
              <w:rPr>
                <w:rStyle w:val="InstructionsTabelleberschrift"/>
                <w:rFonts w:ascii="Times New Roman" w:hAnsi="Times New Roman"/>
                <w:b w:val="0"/>
                <w:spacing w:val="-6"/>
                <w:sz w:val="24"/>
                <w:u w:val="none"/>
              </w:rPr>
              <w:t>Alte expuneri față de criptoactive care sunt diferite de cele prevăzute la articolul 501d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literele (a) și (b) din</w:t>
            </w:r>
            <w:r>
              <w:t xml:space="preserve">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 w:rsidRPr="00562190"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Total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Valorile totale calculate ca suma rândurilor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Cuantumurile totale ponderate la risc sunt egale cu cuantumul publicat pe rândul EU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a, în coloana (a) din modelul EU OV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Cerințele totale de fonduri proprii sunt egale cu cuantumul publicat pe rândul EU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a, în coloana (c) din modelul EU OV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562190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Element memorandum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 w:rsidRPr="00562190">
              <w:t>5</w:t>
            </w:r>
          </w:p>
        </w:tc>
        <w:tc>
          <w:tcPr>
            <w:tcW w:w="8363" w:type="dxa"/>
          </w:tcPr>
          <w:p w14:paraId="47F1511E" w14:textId="768E44DB" w:rsidR="00AA385A" w:rsidRPr="00562190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562190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Expuneri față de alte criptoactive exprimate ca procent din fondurile proprii de nivel 1 ale instituțiilor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Articolul 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501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 alineatul (</w:t>
            </w:r>
            <w:r w:rsidRPr="00562190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din</w:t>
            </w:r>
            <w:r>
              <w:t xml:space="preserve"> Regulamentul (UE) nr. </w:t>
            </w:r>
            <w:r w:rsidRPr="00562190">
              <w:t>575</w:t>
            </w:r>
            <w:r>
              <w:t>/</w:t>
            </w:r>
            <w:r w:rsidRPr="00562190">
              <w:t>2013</w:t>
            </w:r>
            <w:r>
              <w:t>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sz w:val="18"/>
        </w:rPr>
        <w:t xml:space="preserve">Regulamentul (UE) nr. </w:t>
      </w:r>
      <w:r w:rsidRPr="00562190">
        <w:rPr>
          <w:sz w:val="18"/>
        </w:rPr>
        <w:t>575</w:t>
      </w:r>
      <w:r>
        <w:rPr>
          <w:sz w:val="18"/>
        </w:rPr>
        <w:t>/</w:t>
      </w:r>
      <w:r w:rsidRPr="00562190">
        <w:rPr>
          <w:sz w:val="18"/>
        </w:rPr>
        <w:t>2013</w:t>
      </w:r>
      <w:r>
        <w:rPr>
          <w:sz w:val="18"/>
        </w:rPr>
        <w:t xml:space="preserve"> al Parlamentului European și al Consiliului din </w:t>
      </w:r>
      <w:r w:rsidRPr="00562190">
        <w:rPr>
          <w:sz w:val="18"/>
        </w:rPr>
        <w:t>26</w:t>
      </w:r>
      <w:r>
        <w:rPr>
          <w:sz w:val="18"/>
        </w:rPr>
        <w:t xml:space="preserve"> iunie </w:t>
      </w:r>
      <w:r w:rsidRPr="00562190">
        <w:rPr>
          <w:sz w:val="18"/>
        </w:rPr>
        <w:t>2013</w:t>
      </w:r>
      <w:r>
        <w:rPr>
          <w:sz w:val="18"/>
        </w:rPr>
        <w:t xml:space="preserve"> privind cerințele prudențiale pentru instituțiile de credit și de modificare a Regulamentului (UE) nr. </w:t>
      </w:r>
      <w:r w:rsidRPr="00562190">
        <w:rPr>
          <w:sz w:val="18"/>
        </w:rPr>
        <w:t>648</w:t>
      </w:r>
      <w:r>
        <w:rPr>
          <w:sz w:val="18"/>
        </w:rPr>
        <w:t>/</w:t>
      </w:r>
      <w:r w:rsidRPr="00562190">
        <w:rPr>
          <w:sz w:val="18"/>
        </w:rPr>
        <w:t>2012</w:t>
      </w:r>
      <w:r>
        <w:rPr>
          <w:sz w:val="18"/>
        </w:rPr>
        <w:t xml:space="preserve">, astfel cum a fost modificat prin Regulamentului (UE) </w:t>
      </w:r>
      <w:r w:rsidRPr="00562190">
        <w:rPr>
          <w:sz w:val="18"/>
        </w:rPr>
        <w:t>2024</w:t>
      </w:r>
      <w:r>
        <w:rPr>
          <w:sz w:val="18"/>
        </w:rPr>
        <w:t>/</w:t>
      </w:r>
      <w:r w:rsidRPr="00562190">
        <w:rPr>
          <w:sz w:val="18"/>
        </w:rPr>
        <w:t>1623</w:t>
      </w:r>
      <w:r>
        <w:t xml:space="preserve"> </w:t>
      </w:r>
      <w:r>
        <w:rPr>
          <w:color w:val="444444"/>
        </w:rPr>
        <w:t>[</w:t>
      </w:r>
      <w:hyperlink r:id="rId1" w:history="1">
        <w:r w:rsidRPr="00562190">
          <w:rPr>
            <w:rStyle w:val="Hyperlink"/>
            <w:color w:val="800080"/>
          </w:rPr>
          <w:t>JO L 176, 27.6.2013, p. 1</w:t>
        </w:r>
      </w:hyperlink>
      <w:r w:rsidRPr="00562190">
        <w:rPr>
          <w:color w:val="800080"/>
          <w:u w:val="single"/>
        </w:rPr>
        <w:t xml:space="preserve">; </w:t>
      </w:r>
      <w:hyperlink r:id="rId2" w:history="1">
        <w:r w:rsidRPr="00562190">
          <w:rPr>
            <w:rStyle w:val="Hyperlink"/>
          </w:rPr>
          <w:t>Reg</w:t>
        </w:r>
        <w:r w:rsidRPr="00562190">
          <w:rPr>
            <w:rStyle w:val="Hyperlink"/>
          </w:rPr>
          <w:t>u</w:t>
        </w:r>
        <w:r w:rsidRPr="00562190">
          <w:rPr>
            <w:rStyle w:val="Hyperlink"/>
          </w:rPr>
          <w:t>lamentul (UE) 2024/1623 – RO – EUR-Lex (europa.eu)</w:t>
        </w:r>
      </w:hyperlink>
      <w:r>
        <w:rPr>
          <w:color w:val="444444"/>
        </w:rPr>
        <w:t>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7673B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190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ro-RO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ro-RO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ro-RO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ro-RO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ro-RO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ro-RO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ro-RO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ro-RO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ro-RO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ro-RO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ro-RO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ro-RO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ro-RO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ro-RO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RO/TXT/?uri=OJ:L_202401623" TargetMode="External"/><Relationship Id="rId1" Type="http://schemas.openxmlformats.org/officeDocument/2006/relationships/hyperlink" Target="https://eur-lex.europa.eu/legal-content/RO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C17C5-0392-4371-B51F-8FA2F5A02F35}"/>
</file>

<file path=customXml/itemProps3.xml><?xml version="1.0" encoding="utf-8"?>
<ds:datastoreItem xmlns:ds="http://schemas.openxmlformats.org/officeDocument/2006/customXml" ds:itemID="{4E3AB54D-59DA-4C36-986E-1099B78C11EA}"/>
</file>

<file path=customXml/itemProps4.xml><?xml version="1.0" encoding="utf-8"?>
<ds:datastoreItem xmlns:ds="http://schemas.openxmlformats.org/officeDocument/2006/customXml" ds:itemID="{3121BB0C-25F0-4D41-AEEF-5AFCBF15474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2088</Characters>
  <Application>Microsoft Office Word</Application>
  <DocSecurity>0</DocSecurity>
  <Lines>65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