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ПРИЛОЖЕНИЕ XXXIV — Указания за образците за оповестяване на политиката за възнагражденията</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Таблица EU REMA — Политика за възнагражденията: </w:t>
      </w:r>
      <w:r>
        <w:rPr>
          <w:rFonts w:ascii="Times New Roman" w:hAnsi="Times New Roman"/>
          <w:color w:val="auto"/>
          <w:sz w:val="24"/>
        </w:rPr>
        <w:t>Свободен формат</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оповестяват информацията, посочена в член 450, параграф 1, букви а), б), в), г), д), е), й) и к) и член 450, параграф 2 от РКИ</w:t>
      </w:r>
      <w:r w:rsidRPr="007F4CC8">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като попълват таблица EU REMA от приложение XXXIII към ИТ решенията на ЕБО, следвайки изложените по-долу в настоящото приложение указания.</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Форматът на настоящата таблица не е зададен. Ако институциите използват различен формат, предоставяната от тях информация трябва да е сравнима с информацията, изисквана в настоящата таблица, със сходна степен на детайлност и включваща всички изисквани сведения по същество.</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За целите на настоящата таблица и образците, обяснени в настоящото приложение, „предоставяне“ означава предоставяне на променливо възнаграждение за даден период на начисляване, независимо от действителния момент във времето, в който се изплаща предоставената сума.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а)</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Информация за органите, които упражняват надзор върху възнагражденията. В оповестяванията се посочват:</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наименованието, съставът и мандатът на основния орган (ръководен орган и комитет по възнагражденията, ако има такъв), който контролира политиката за възнагражденията, и броят на заседанията, проведени от този основен орган през финансовата година;</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външните консултанти, чието становище е било поискано, органът възложител и обхванатите области на рамката на възнагражденията;</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обхватът на политиката за възнагражденията на институцията (например по региони, групи дейности), в т.ч. степента, в която тя се прилага за дъщерните дружества и клоновете, разположени в трети държави;</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служителите или категориите служители, чиято професионална дейност има съществено въздействие върху рисковия профил на институцията (установен персонал).</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б)</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Информация за концепцията и структурата на системата за възнаграждения на установения персонал. В оповестяванията се посочват:</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обзор на основните белези и цели на политиката за възнагражденията и информация за процеса, с който се решава каква да бъде политиката за възнагражденията, и за ролята на съответните заинтересовани страни (напр. събрание на акционерите);</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информация за критериите за измерване на резултатите от дейността, както и за предварителното и последващо коригиране на риска;</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информация за това дали ръководният орган и комитетът по възнагражденията, когато е създаден такъв, са преразгледали политиката за възнагражденията на институцията през изминалата година и ако това е така, преглед на всички направени промени, причините за тях и тяхното въздействие върху възнагражденията;</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информация за начина, по който институцията се уверява, че възнаграждението на служителите в звената за вътрешен контрол не е обвързано със стопанските дейности, върху които те упражняват надзор;</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въведената политика и критерии за предоставяне на гарантирано променливо възнаграждение и на обезщетение при прекратяване на трудовите правоотношения.</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в)</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Описание на начините, по които текущите и бъдещите рискове се взимат предвид при определянето на възнагражденията.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В оповестяванията се прави обзор на основните рискове, на начина им на измерване и на отражението на резултатите от измерванията върху възнагражденията.</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г)</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Отношенията между постоянните и променливите елементи на възнаграждението, определени в изпълнение на член 94, параграф 1, буква ж) от Директива 2013/36/ЕС („ДКИ“)</w:t>
            </w:r>
            <w:r w:rsidRPr="007F4CC8">
              <w:rPr>
                <w:rStyle w:val="FootnoteReference"/>
                <w:rFonts w:ascii="Times New Roman" w:hAnsi="Times New Roman"/>
                <w:sz w:val="24"/>
              </w:rPr>
              <w:footnoteReference w:id="2"/>
            </w:r>
            <w:r>
              <w:rPr>
                <w:rFonts w:ascii="Times New Roman" w:hAnsi="Times New Roman"/>
                <w:sz w:val="24"/>
              </w:rPr>
              <w:t>.</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д)</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Описание на начините, по които институцията се стреми да обвърже резултатите за даден период на тяхно отчитане с равнищата на възнаграждение.</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В оповестяванията се посочват:</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обзор на основните критерии и показатели за резултатите от дейността на институцията, групите дейности и служителите;</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обзор на начина, по който размерът на индивидуалното променливо възнаграждение е свързан с резултатите за цялата институция и с индивидуалните резултати;</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информация за критериите за балансиране на различните видове предоставени инструменти, в т.ч. акции, равностойни права на собственост, опции и други инструменти;</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информация за мерките, които институцията ще приложи, за да коригира променливото възнаграждение при слаби показатели за резултатите, в т.ч. критериите ѝ за определяне на показателите за резултатите, когато тези показатели се считат за „слаби“. По силата на член 94, параграф 1, буква н) от ДКИ променливото възнаграждение се изплаща или право на такова се придобива само въз основа на резултатите от дейността на институцията, стопанската единица и съответния служител. Институциите обясняват критериите/праговете, с които се определят слабите резултати, даващи основание да не се изплаща или придобива право на променливо възнаграждение.</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е)</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Описание на начините, по които институцията се стреми да коригира възнаграждението, за да се вземат предвид дългосрочните резултати.</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В оповестяванията се посочват:</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обзор на политиката на институцията за отлагане на променливото възнаграждение, за изплащането му под формата на инструменти, за периодите на задържане и за придобиване на правото на получаването му, в т.ч. когато то е различно за отделните служители или категории служители;</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информация за критериите на институцията за последващи корекции (отрицателна корекция по време на периода на отлагане и отнемане на придобитото право на възнаграждение — ако това е разрешено от националното законодателство);</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изискванията за акционерно участие, които могат да бъдат наложени на установения персонал — ако има такива.</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ж)</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Описание на основните параметри и на логиката на схемите за променливите елементи на възнаграждението и другите материални стимули, както е посочено в член 450, параграф 1, буква е) от РКИ. В оповестяванията се посочват:</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информация за специфичните показатели за риска/резултатите, използвани за определяне на променливите елементи на възнаграждението, и за критериите за балансиране на различните видове предоставени инструменти, в т.ч. акции, равностойни права на собственост, свързани с акции инструменти, еквивалентни непарични инструменти, опции и други инструменти.</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з)</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При поискване от съответната държава членка или компетентен орган — общото възнаграждение на всеки член на ръководния орган или на висшето ръководство, както е посочено в член 450, параграф 1, буква й) от РКИ.</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lastRenderedPageBreak/>
              <w:t>и)</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Информация за това дали институцията се ползва от дерогацията, предвидена в член 94, параграф 3 от ДКИ — както е посочено в член 450, параграф 1, буква к) от РКИ.</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За целите на настоящата буква институциите, които се ползват от такава дерогация, посочват дали това е въз основа на член 94, параграф 3, буква а) и/или буква б) от ДКИ. Те посочват също така спрямо кои изисквания за възнагражденията прилагат дерогацията (или дерогациите) — т.е. член 94, параграф 1, буква л) и/или м) и/или о) от ДКИ, броя на служителите, които се ползват от дерогацията (или дерогациите), както и общото им възнаграждение, разделено на постоянно и променливо възнаграждение.</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й)</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Големите институции оповестяват количествената информация за възнагражденията на своя колективен ръководен орган, като се прави разграничение между членовете с изпълнителни и тези с неизпълнителни функции — както е посочено в член 450, параграф 2 от РКИ.</w:t>
            </w:r>
          </w:p>
        </w:tc>
      </w:tr>
    </w:tbl>
    <w:p w14:paraId="253E4D29" w14:textId="77777777" w:rsidR="00965CEB" w:rsidRPr="00084B60"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084B60"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084B60"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084B60"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REM1 — Възнаграждение, предоставено за финансовата година </w:t>
      </w:r>
      <w:r>
        <w:rPr>
          <w:rFonts w:ascii="Times New Roman" w:hAnsi="Times New Roman"/>
          <w:color w:val="auto"/>
          <w:sz w:val="24"/>
        </w:rPr>
        <w:t>Зададен формат</w:t>
      </w:r>
    </w:p>
    <w:p w14:paraId="0B701908" w14:textId="1953CC6E"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В изпълнение на член 450, параграф 1, буква з), подточки i) — ii) от РКИ институциите попълват образец EU REM1 от приложение XXXIII към настоящия регламент за изпълнение, следвайки изложените</w:t>
      </w:r>
      <w:r w:rsidR="00084B60">
        <w:rPr>
          <w:rFonts w:ascii="Times New Roman" w:hAnsi="Times New Roman"/>
          <w:color w:val="auto"/>
          <w:sz w:val="24"/>
        </w:rPr>
        <w:t xml:space="preserve"> по-долу</w:t>
      </w:r>
      <w:r>
        <w:rPr>
          <w:rFonts w:ascii="Times New Roman" w:hAnsi="Times New Roman"/>
          <w:color w:val="auto"/>
          <w:sz w:val="24"/>
        </w:rPr>
        <w:t xml:space="preserve"> в настоящото приложение указания.</w:t>
      </w:r>
    </w:p>
    <w:p w14:paraId="667CF96F" w14:textId="77777777" w:rsidR="00965CEB" w:rsidRPr="00084B60"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и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Численост на установения персонал</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Броят на служителите, чиято професионална дейност има съществено въздействие върху рисковия профил на институциите — в съответствие с член 92 от ДКИ и Делегирания регламент на Комисията относно установения персонал</w:t>
            </w:r>
            <w:r w:rsidRPr="007F4CC8">
              <w:rPr>
                <w:rStyle w:val="FootnoteReference"/>
                <w:rFonts w:ascii="Times New Roman" w:hAnsi="Times New Roman" w:cs="Times New Roman"/>
                <w:sz w:val="24"/>
              </w:rPr>
              <w:footnoteReference w:id="3"/>
            </w:r>
            <w:r>
              <w:rPr>
                <w:rFonts w:ascii="Times New Roman" w:hAnsi="Times New Roman"/>
                <w:sz w:val="24"/>
              </w:rPr>
              <w:t>, с който се прилага член 94, параграф 2 от ДКИ (установен персонал), и които се ползват от изброените в настоящия образец елементи на възнаграждение. Числеността на установения персонал, в който не са включени членовете на ръководния орган, се изчислява, като се използва подходът на ЕПРВ (еквивалент на пълно работно време), и се оповестява като брой служители.</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Общо постоянно възнаграждение</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Сборът на стойностите в редове 3—7 на настоящия образец.</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парично</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Стойността на паричното възнаграждение в рамките на постоянното възнаграждение.</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акции или равностойни права на собственост</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Общата стойност, в рамките на постоянното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В т.ч.: свързани с акции инструменти или еквивалентни непарични инструменти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постоянното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EU-5х</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други инструменти</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Стойността, в рамките на постоянното възнаграждение, на другите инструменти — както е предвидено в член 94, параграф 1, буква л), подточка ii) от ДКИ.</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други форми</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предоставените за финансовата година елементи на постоянното възнаграждение, които не са сред оповестените в останалите редове от раздела за общото постоянно възнаграждение.</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Тук биха могли да спадат посочените в съображение 64 от ДКИ пропорционални редовни пенсионни вноски или материални стимули (когато последните не са обвързани с критерии за постигнати резултати), или други форми на възнаграждение, като например надбавка за автомобил.</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Общо променливо възнаграждение</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стойностите в редове 11, EU-13а, EU-13б, EU-14х и 15 на настоящия образец.</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всички елементи, които не представляват постоянно възнаграждение (оповестено в ред 2 на настоящия образец), в т.ч. предоставените през дадената година гарантирани променливи плащания и обезщетения при прекратяване на трудовите правоотношения.</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парично</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Стойността на паричното възнаграждение в рамките на променливото възнаграждение.</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 xml:space="preserve">12, EU-14а, EU-14б, </w:t>
            </w:r>
            <w:r>
              <w:rPr>
                <w:rFonts w:ascii="Times New Roman" w:hAnsi="Times New Roman"/>
                <w:sz w:val="24"/>
              </w:rPr>
              <w:lastRenderedPageBreak/>
              <w:t>EU-14ш и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lastRenderedPageBreak/>
              <w:t>В т.ч.: отлoжено</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Стойността на променливото възнаграждение по подлежащи на отлагане елементи, както са определени в съответствие с член 94 от ДКИ.</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EU-13а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акции или равностойни права на собственост</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Общата стойност, в рамките на променливото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В т.ч.: свързани с акции инструменти или еквивалентни непарични инструменти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променливото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EU-14ч</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други инструменти</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Стойността, в рамките на променливото възнаграждение, на другите инструменти — както е предвидено в член 94, параграф 1, буква л), подточка ii) от ДКИ.</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В т.ч.: други форми</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предоставените за финансовата година елементи на променливото възнаграждение, които не са сред оповестените в останалите редове от раздела за променливото възнаграждение.</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Общо възнаграждение</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Сборът на стойностите в редове 2 и 10 на настоящия образец.</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Обяснение</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Надзорна функция на ръководния орган</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Институциите оповестяват информацията по брой служители.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По силата на член 13 от РКИ институциите майки от ЕС оповестяват тази информация на консолидирана основа, а големите дъщерни предприятия на институциите майки от ЕС — на индивидуална основа, а когато е приложимо в съответствие с РКИ и с ДКИ — на подконсолидирана основа. Оповестяващият субект посочва в тази колона информация за своя ръководен орган. Ако по силата на членове 6 и 13 от РКИ оповестяването е на консолидирана или подконсолидирана основа, информацията за установения персонал на ръководните органи на дъщерните предприятия се оповестява при съответната стопанска дейност.</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Членовете на управителния орган, които имат управленски функции.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Членовете на управителния орган, които имат управленски функции.</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 В съответствие с член 13 от РКИ, институциите майки от ЕС оповестяват тази информация на консолидирана основа, а големите дъщерни предприятия на институциите майки от ЕС — на индивидуална основа, а когато е приложимо в съответствие с РКИ и с ДКИ — на подконсолидирана основа. Оповестяващият субект посочва в тази колона информация за своя ръководен орган. Ако по силата на членове 6 и 13 от РКИ оповестяването е на консолидирана или подконсолидирана основа, информацията за установения персонал на ръководните органи на дъщерните предприятия се оповестява при съответната стопанска дейност.</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Друго висше ръководство</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броя на висшите ръководители, които не са оповестени при „Управленска функция на ръководния орган“, нито при „Друг установен персонал“. Институциите оповестяват информацията въз основа на ЕПРВ.</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Друг установен персонал</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установения персонал, с който се прилага член 94, параграф 2 от ДКИ, а когато е целесъобразно — според критериите на дадената институция.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могат да включат в този образец разбивката по предложените в образец EU REM5 видове дейност. Институциите оповестяват информацията въз основа на ЕПРВ.</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Образец EU REM2 — Специално възнаграждение за служителите, чиято професионална дейност има съществено въздействие върху рисковия профил на институцията (установен персонал) </w:t>
      </w:r>
      <w:r>
        <w:rPr>
          <w:rFonts w:ascii="Times New Roman" w:hAnsi="Times New Roman"/>
          <w:color w:val="auto"/>
          <w:sz w:val="24"/>
        </w:rPr>
        <w:t>Зададен формат</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оповестяват информацията, посочена в член 450, параграф 1, буква з), подточки v) — vii) от РКИ, като попълват образец EU REM2 от приложение XXXIII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и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Численост на установения персонал</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За всеки елемент на специалното възнаграждение се оповестява броят на установените служители, чиято професионална дейност има съществено </w:t>
            </w:r>
            <w:r>
              <w:rPr>
                <w:rFonts w:ascii="Times New Roman" w:hAnsi="Times New Roman"/>
                <w:sz w:val="24"/>
              </w:rPr>
              <w:lastRenderedPageBreak/>
              <w:t>въздействие върху рисковия профил на институциите — в съответствие с член 92 от ДКИ и Делегирания регламент на Комисията относно  установения персонал, с който се прилага член 94, параграф 2 от ДКИ.</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За колони „а“ и „б“ (ръководен орган) на настоящия образец величината представлява броят служители. За колони „в“ и „г“ на настоящия образец величината се изчислява въз основа на ЕПРВ (еквивалент на пълно работно време).</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Ред 4 на настоящия образец обхваща обезщетенията при прекратяване на трудовите правоотношения, предоставени през предходни периоди и изплатени през финансовата година (текущата година), а ред 6 — за предоставените през финансовата година (текущата година).</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Общ размер на предоставеното гарантирано променливо възнаграждение</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Размерът на предоставеното гарантирано променливо възнаграждение по смисъла на член 94, параграф 1, буква д) от ДКИ.</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в т.ч.: предоставено гарантирано променливо възнаграждение, изплатено през финансовата година, което не е взето предвид в тавана на премиите</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Размерът на предоставеното гарантирано променливо възнаграждение, посочено в член 94, параграф 1, буква д) от ДКИ, изплатено през финансовата година (текущата година), което не е взето предвид в тавана на премиите.</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По отношение на оповестяваната информация, посочена в член 450, параграф 1, буква ж) и буква з), подточки v) — vi) от РКИ, институциите ясно посочват дали обобщената количествена информация за възнагражденията, разбита по видове дейност, отразява тавана на премиите, когато става въпрос за възнаграждения при нови назначения и обезщетения при прекратяване на трудовите правоотношения.</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Общ размер на предоставените през предходни периоди и изплатени през финансовата година обезщетения при прекратяване на трудовите правоотношения</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които са били предоставени през предходни периоди и изплатени през финансовата година (текущата година).</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Общ размер на предоставените през финансовата година обезщетения при прекратяване на трудовите правоотношения</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които са били предоставени през финансовата година (текущата година).</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изплатени през финансовата година</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lastRenderedPageBreak/>
              <w:t>Размерът на посочените в член 94, параграф 1, буква з) от ДКИ обезщетения при прекратяване на трудовите правоотношения, предоставени и изплатени през финансовата година.</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отложени</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Определеният в съответствие с член 94 от ДКИ размер на посочените в член 94, параграф 1, буква з) от ДКИ обезщетения при прекратяване на трудовите правоотношения, които са били предоставени през финансовата година, но изплащането им е било отложено.</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в т.ч.: изплатени през финансовата година обезщетения при прекратяване на трудовите правоотношения, които не са взети предвид в тавана на премиите</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изплатени през финансовата година, които не са взети предвид в тавана на премиите.</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По отношение на оповестяваната информация, посочена в член 450, параграф 1, буква ж) и буква з), подточки v) — vi) от РКИ, институциите ясно посочват дали обобщената количествена информация за възнагражденията, разбита по видове дейност, отразява тавана на премиите, когато става въпрос за възнаграждения при нови назначения и обезщетения при прекратяване на трудовите правоотношения.</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най-голямото обезщетение, предоставено на едно лице</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Най-голямото посочено в член 94, параграф 1, буква з) от ДКИ обезщетение при прекратяване на трудовите правоотношения, предоставено през финансовата година на едно лице.</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Обяснение</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Надзорна функция на ръководния орган</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 (брой служители).</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Членовете на управителния орган, които имат управленски функции.</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Членовете на управителния орган, които имат управленски функции (брой служители).</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Друго висше ръководство</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lastRenderedPageBreak/>
              <w:t>Институциите оповестяват броя на висшите ръководители, които не са оповестени при „Управленска функция на ръководния орган“, нито при „Друг установен персонал“ (ЕПРВ).</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lastRenderedPageBreak/>
              <w:t>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Друг установен персонал</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установения персонал, с който се прилага член 94, параграф 2 от ДКИ, а когато е целесъобразно — според критериите на дадената институция.</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Институциите могат да включат в този образец разбивката по предложените в образец EU REM5 видове дейност (ЕПРВ).</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Образец EU REM3 — Отложено възнаграждение </w:t>
      </w:r>
      <w:r>
        <w:rPr>
          <w:rFonts w:ascii="Times New Roman" w:hAnsi="Times New Roman"/>
          <w:color w:val="auto"/>
          <w:sz w:val="24"/>
        </w:rPr>
        <w:t>Зададен формат</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оповестяват информацията, посочена в член 450, параграф 1, буква з), подточки iii) — iv) от РКИ, като попълват образец EU REM3 от приложение XXXIII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Надзорна функция на ръководния орган</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Сборът на стойностите в редове 2, 3, 4, 5 и 6 на настоящия образец.</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и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Парично</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Стойността на паричното възнаграждение в рамките на променливото възнаграждение.</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и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Акции или равностойни права на собственост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Общата стойност, в рамките на променливото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и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Свързани с акции инструменти или еквивалентни непарични инструменти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променливото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и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Други инструменти</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lastRenderedPageBreak/>
              <w:t>Стойността, в рамките на променливото възнаграждение, на другите инструменти — както е предвидено в член 94, параграф 1, буква л), подточка ii) от ДКИ.</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lastRenderedPageBreak/>
              <w:t>6, 12, 18 и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Други форми</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Стойността на променливото възнаграждение, което не спада към оповестеното — в зависимост от правно-организационната форма на съответната институция — в редове „Парично“, „Акции или равностойни права на собственост“, „Свързани с акции инструменти или еквивалентни непарични инструменти“ и „Други инструменти“.</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Тук биха могли да спадат посочените в съображение 64 от ДКИ пропорционални редовни пенсионни вноски или материални стимули (когато последните не са обвързани с критерии за постигнати резултати), или други форми на възнаграждение, като например надбавка за автомобил.</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Членовете на управителния орган, които имат управленски функции.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Членовете на управителния орган, които имат управленски функции. Сборът на стойностите в редове 8, 9, 10, 11 и 12 на настоящия образец.</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Друго висше ръководство</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 Сборът на стойностите в редове 14, 15, 16, 17 и 18 на настоящия образец.</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Институциите оповестяват броя на висшите ръководители, които не са оповестени при „Управленска функция на ръководния орган“, нито при „Друг установен персонал“.</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Друг установен персонал</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установения персонал, с който се прилага член 94, параграф 2 от ДКИ, а когато е целесъобразно — и според критериите на дадената институция. Сборът на стойностите в редове 20, 21, 22, 23 и 24 на настоящия образец.</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Обща сума</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Сборът на стойностите в редове 1, 7, 13 и 19 на настоящия образец.</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Обяснение</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Общ размер на отложеното възнаграждение, предоставено за предходни периоди на изпълнение</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(сборът на стойностите в колони „б“ и „в“ на настоящия образец).</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lastRenderedPageBreak/>
              <w:t>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В т.ч.: дължимо през финансовата година</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дължимо през финансовата година.</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В т.ч.: дължимо през следващите финансови години</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което става дължимо през следващите финансови години.</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Коригиране през финансовата година, с оглед на резултатите, на отложеното възнаграждение, дължимо през финансовата година</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Размерът на извършената корекция на отложеното възнаграждение, определено в съответствие с член 94 от ДКИ, което става дължимо през финансовата година.</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Коригиране през финансовата година, с оглед на резултатите, на отложеното възнаграждение, дължимо през следващите финансови години</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Размерът на извършената корекция на отложеното възнаграждение, определено в съответствие с член 94 от ДКИ, което става дължимо през следващите финансови години.</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е</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Общ размер на извършената през финансовата година корекция поради последващи имплицитни корекции през финансовата година (напр. промяна в стойността на отложеното възнаграждение поради промяна в цената на инструментите)</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Когато е уместно — максимално добросъвестна оценка на настъпилата през финансовата година промяна в стойността поради последващи имплицитни корекции (напр. промяна в стойността на отложеното възнаграждение поради промяна в цената на инструментите).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EU-ж</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Общ размер на отложеното възнаграждение, предоставено преди финансовата година и действително изплатено през финансовата година</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изплатено през финансовата година.</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Веднага след като отложеното възнаграждение стане дължимо, то се приема за платено.</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EU-з</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Общ размер на отложеното възнаграждение, предоставено за предходен период на изпълнение, което е станало дължимо, но подлежи на периоди на задържане.</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което е станало дължимо, но подлежи на периоди на задържане.</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REM4 — Годишно възнаграждение от 1 млн. евро или повече: </w:t>
      </w:r>
      <w:r>
        <w:rPr>
          <w:rFonts w:ascii="Times New Roman" w:hAnsi="Times New Roman"/>
          <w:color w:val="auto"/>
          <w:sz w:val="24"/>
        </w:rPr>
        <w:t>Зададен формат</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Институциите оповестяват информацията, посочена в член 450, параграф 1, буква и) от РКИ, като попълват образец EU REM4 от приложение XXXIII към настоящия регламент за изпълнение, следвайки изложените по-долу в настоящото приложение указания.</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За целта се взимат стойностите в края на счетоводната година в евро. Всички стойности се оповестяват в евро в пълния си размер, т.е. без да се закръглят (1 234 567 евро, а не 1,2 млн. евро). Когато възнаграждението е в парична единица, различна от евро, оповестяваните консолидирани данни се обменят по курса, който Комисията използва за финансовото програмиране и бюджета през декември на годината на оповестяване.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Възнагражденията между 1 и 5 млн. евро за финансова година, с разбивка по интервали от 500 000 евро.</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Възнагражденията над 5 млн. евро за финансова година, с разбивка по интервали от 1 млн. евро.</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Обяснение</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Численост на установения персонал, получаващ възнаграждение от 1 млн. евро или повече за финансова година</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Институциите оповестяват информацията по брой служители.</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REM5 — Информация за служителите, чиято професионална дейност има съществено въздействие върху рисковия профил на институцията (установен персонал). </w:t>
      </w:r>
      <w:r>
        <w:rPr>
          <w:rFonts w:ascii="Times New Roman" w:hAnsi="Times New Roman"/>
          <w:color w:val="auto"/>
          <w:sz w:val="24"/>
        </w:rPr>
        <w:t>Зададен формат</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оповестяват информацията, посочена в член 450, параграф 1, буква ж) от РКИ, като попълват образец EU REM5 от приложение XXXIII към настоящия регламент за изпълнение, следвайки изложените по-долу в настоящото приложение указания.</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По отношение на колоните с разбивка по видове дейност, всички кредити, в т.ч. на едро, се включват в кредитирането на дребно. Инвестиционното банкиране включва корпоративните финанси, търгуването и продажбите. Допълнителни насоки за дейностите, включени в тези видове дейност, се съдържат в член 317 от РКИ — в таблицата, в която се определят групите дейности при стандартизирания подход към операционния риск.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Общ брой на установения персонал</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Служителите, чиято професионална дейност има съществено въздействие върху рисковия профил на дадена институция (установен персонал) и нейните дъщерни дружества, в т.ч. извън обхвата на ДКИ, и върху всички членове на съответните им ръководни органи.</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Сведенията се оповестяват въз основа на ЕПРВ.</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В т.ч.: членове на ръководния орган</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Броят на членовете на съответния ръководен орган — в рамките на надзорната и на управленската му функция, както и числеността на целия ръководен орган.</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В т.ч.: друго висше ръководство</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Служителите, които, без да са членове на ръководния орган, представляват висше ръководство по смисъла на член 3, параграф 1, точка 9 от ДКИ.</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В т.ч.: друг установен персонал</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Другият персонал, който не се числи нито към ръководния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установения персонал, с който се прилага член 94, параграф 2 от ДКИ, а когато е целесъобразно — и според критериите на дадената институция.</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Общо възнаграждение на установения персонал</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Общият размер на възнаграждението обхваща всички форми на постоянно и променливо възнаграждение, предоставено от или от името на институцията в замяна на предоставени професионални услуги, и включва предоставените пряко на персонала парични и други материални облаги и обезщетения, извършените лихвени плащания по смисъла на член 4, параграф 1, буква г) от Директива 2011/61/ЕС</w:t>
            </w:r>
            <w:r>
              <w:rPr>
                <w:rStyle w:val="FootnoteReference"/>
                <w:rFonts w:cs="Times New Roman"/>
              </w:rPr>
              <w:footnoteReference w:id="4"/>
            </w:r>
            <w:r>
              <w:rPr>
                <w:rFonts w:ascii="Times New Roman" w:hAnsi="Times New Roman"/>
                <w:sz w:val="24"/>
              </w:rPr>
              <w:t>, както и другите плащания, извършени чрез методи и инструменти, които, ако не се считат за възнаграждение, биха представлявали заобикаляне на изискванията на ДКИ относно възнагражденията.</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В т.ч.: променливо възнаграждение</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всички елементи на възнаграждението, които не са постоянно възнаграждение (ред 7 на настоящия образец).</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В т.ч.: постоянно възнаграждение</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взимат предвид постоянното възнаграждение, когато условията за предоставянето му и неговият размер: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се основават на предварително определени критерии;</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не са по усмотрение, а отразяват професионалния опит и длъжността на служителите;</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са прозрачни по отношение на размера, който получава даден служител;</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lastRenderedPageBreak/>
              <w:t>са постоянни, т.е. за период, свързан със специфичната роля и организационни отговорности;</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са неотменими; постоянният размер се променя само чрез колективно договаряне или след предоговаряне в съответствие с националните критерии за определяне на заплатите;</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не могат да бъдат намалени, преустановени или анулирани от институцията;</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не предоставят стимули за поемане на риск; както и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не зависят от постигнатите резултати.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lastRenderedPageBreak/>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Обяснение</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а, б и 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Ръководен орган</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Ръководният орган на институцията, с разбивка по надзорна и управленска функция.</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г — 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Видове дейност</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Основните видове дейност на институцията — инвестиционно банкиране, банкиране на дребно, управление на активи, корпоративни функции, функции за независим вътрешен контрол.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Сведенията се оповестяват въз основа на ЕПРВ.</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и</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Всички останали</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Всички други видове дейност, които не са били обхванати отделно в предходните колони.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Сведенията се оповестяват въз основа на ЕПРВ.</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Делегиран регламент (ЕС) № 604/2014 на Комисията от 4 март 2014 г. за допълване на Директива 2013/36/ЕС на Европейския парламент и на Съвета по отношение на регулаторните технически стандарти във връзка с качествените и подходящите количествени критерии за установяване на категориите персонал, чиито професионални дейности имат съществено въздействие върху рисковия профил на институцията (ОВ L 167, 6.6.2014 г., стр. 30).</w:t>
      </w:r>
    </w:p>
  </w:footnote>
  <w:footnote w:id="4">
    <w:p w14:paraId="2890C799" w14:textId="77777777" w:rsidR="00965CEB" w:rsidRDefault="00965CEB" w:rsidP="00965CEB">
      <w:pPr>
        <w:pStyle w:val="FootnoteText"/>
      </w:pPr>
      <w:r>
        <w:rPr>
          <w:rStyle w:val="FootnoteReference"/>
        </w:rPr>
        <w:footnoteRef/>
      </w:r>
      <w:r>
        <w:t xml:space="preserve"> Директива 2011/61/ЕС на Европейския парламент и на Съвета от 8 юни 2011 г. относно лицата, управляващи алтернативни инвестиционни фондове и за изменение на директиви 2003/41/ЕО и 2009/65/ЕО и на регламенти (ЕО) № 1060/2009 и (ЕС) № 1095/2010 (OJ L 174, 1.7.2011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78303F3A"/>
    <w:lvl w:ilvl="0" w:tplc="1B90DC9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084B60"/>
    <w:rsid w:val="0042516C"/>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34B975-3D54-426A-9A5B-20223B38A0D0}"/>
</file>

<file path=customXml/itemProps2.xml><?xml version="1.0" encoding="utf-8"?>
<ds:datastoreItem xmlns:ds="http://schemas.openxmlformats.org/officeDocument/2006/customXml" ds:itemID="{A086F018-977B-4AA7-86C9-AFFEB31C2A86}"/>
</file>

<file path=customXml/itemProps3.xml><?xml version="1.0" encoding="utf-8"?>
<ds:datastoreItem xmlns:ds="http://schemas.openxmlformats.org/officeDocument/2006/customXml" ds:itemID="{F4161C79-5AB2-4EAE-A267-7F13E6DCC65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15</Pages>
  <Words>4793</Words>
  <Characters>26458</Characters>
  <Application>Microsoft Office Word</Application>
  <DocSecurity>0</DocSecurity>
  <Lines>661</Lines>
  <Paragraphs>385</Paragraphs>
  <ScaleCrop>false</ScaleCrop>
  <Company>European Banking Authority</Company>
  <LinksUpToDate>false</LinksUpToDate>
  <CharactersWithSpaces>30866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BAKOS Tamas (DGT)</cp:lastModifiedBy>
  <cp:revision>7</cp:revision>
  <dcterms:created xsi:type="dcterms:W3CDTF">2021-03-11T13:58:00Z</dcterms:created>
  <dcterms:modified xsi:type="dcterms:W3CDTF">2024-10-18T09:21:00Z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