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0DF1" w14:textId="2BC44508" w:rsidR="006A78BA" w:rsidRPr="00482070" w:rsidRDefault="006A78BA" w:rsidP="006A78BA">
      <w:pPr>
        <w:pStyle w:val="Annexetitre"/>
      </w:pPr>
      <w:r w:rsidRPr="00482070">
        <w:t xml:space="preserve">ANNEX </w:t>
      </w:r>
      <w:r w:rsidR="000B212C" w:rsidRPr="00482070">
        <w:t>XX</w:t>
      </w:r>
      <w:r w:rsidR="007269B1" w:rsidRPr="00482070">
        <w:t>XVIII</w:t>
      </w:r>
      <w:r w:rsidRPr="00482070">
        <w:t xml:space="preserve"> </w:t>
      </w:r>
      <w:r w:rsidR="0078309E" w:rsidRPr="00482070">
        <w:t>– Instructio</w:t>
      </w:r>
      <w:r w:rsidR="007D1AE4" w:rsidRPr="00482070">
        <w:t>ns for interest rate risk of</w:t>
      </w:r>
      <w:r w:rsidR="0078309E" w:rsidRPr="00482070">
        <w:t xml:space="preserve"> </w:t>
      </w:r>
      <w:r w:rsidR="003942C9" w:rsidRPr="00482070">
        <w:t xml:space="preserve">non-trading book activities </w:t>
      </w:r>
      <w:r w:rsidRPr="00482070">
        <w:t>disclosure templates</w:t>
      </w:r>
    </w:p>
    <w:p w14:paraId="09721089" w14:textId="77777777" w:rsidR="006A78BA" w:rsidRPr="00482070" w:rsidRDefault="006A78BA" w:rsidP="0054744B">
      <w:pPr>
        <w:jc w:val="both"/>
        <w:rPr>
          <w:rFonts w:ascii="Times New Roman" w:hAnsi="Times New Roman"/>
          <w:b/>
          <w:bCs/>
          <w:sz w:val="24"/>
        </w:rPr>
      </w:pPr>
    </w:p>
    <w:p w14:paraId="47A0C8EE" w14:textId="60C1845D" w:rsidR="00CD3692" w:rsidRPr="00482070" w:rsidRDefault="00CD3692" w:rsidP="00CD3692">
      <w:pPr>
        <w:rPr>
          <w:rFonts w:ascii="Times New Roman" w:hAnsi="Times New Roman"/>
          <w:bCs/>
          <w:sz w:val="24"/>
        </w:rPr>
      </w:pPr>
      <w:r w:rsidRPr="00482070">
        <w:rPr>
          <w:rFonts w:ascii="Times New Roman" w:hAnsi="Times New Roman"/>
          <w:b/>
          <w:bCs/>
          <w:sz w:val="24"/>
        </w:rPr>
        <w:t xml:space="preserve">Table EU </w:t>
      </w:r>
      <w:r w:rsidR="0078309E" w:rsidRPr="00482070">
        <w:rPr>
          <w:rFonts w:ascii="Times New Roman" w:hAnsi="Times New Roman"/>
          <w:b/>
          <w:bCs/>
          <w:sz w:val="24"/>
        </w:rPr>
        <w:t>IRRBB</w:t>
      </w:r>
      <w:r w:rsidRPr="00482070">
        <w:rPr>
          <w:rFonts w:ascii="Times New Roman" w:hAnsi="Times New Roman"/>
          <w:b/>
          <w:bCs/>
          <w:sz w:val="24"/>
        </w:rPr>
        <w:t xml:space="preserve">A </w:t>
      </w:r>
      <w:r w:rsidR="00482070">
        <w:rPr>
          <w:rFonts w:ascii="Times New Roman" w:hAnsi="Times New Roman"/>
          <w:b/>
          <w:bCs/>
          <w:sz w:val="24"/>
        </w:rPr>
        <w:t>–</w:t>
      </w:r>
      <w:r w:rsidRPr="00482070">
        <w:rPr>
          <w:rFonts w:ascii="Times New Roman" w:hAnsi="Times New Roman"/>
          <w:b/>
          <w:bCs/>
          <w:sz w:val="24"/>
        </w:rPr>
        <w:t xml:space="preserve"> Qualitative</w:t>
      </w:r>
      <w:r w:rsidR="0078309E" w:rsidRPr="00482070">
        <w:rPr>
          <w:rFonts w:ascii="Times New Roman" w:hAnsi="Times New Roman"/>
          <w:b/>
          <w:bCs/>
          <w:sz w:val="24"/>
        </w:rPr>
        <w:t xml:space="preserve"> informati</w:t>
      </w:r>
      <w:r w:rsidR="007D1AE4" w:rsidRPr="00482070">
        <w:rPr>
          <w:rFonts w:ascii="Times New Roman" w:hAnsi="Times New Roman"/>
          <w:b/>
          <w:bCs/>
          <w:sz w:val="24"/>
        </w:rPr>
        <w:t xml:space="preserve">on on interest rate risk of </w:t>
      </w:r>
      <w:r w:rsidR="002711B6" w:rsidRPr="00482070">
        <w:rPr>
          <w:rFonts w:ascii="Times New Roman" w:hAnsi="Times New Roman"/>
          <w:b/>
          <w:bCs/>
          <w:sz w:val="24"/>
        </w:rPr>
        <w:t>non-trading</w:t>
      </w:r>
      <w:r w:rsidR="0078309E" w:rsidRPr="00482070">
        <w:rPr>
          <w:rFonts w:ascii="Times New Roman" w:hAnsi="Times New Roman"/>
          <w:b/>
          <w:bCs/>
          <w:sz w:val="24"/>
        </w:rPr>
        <w:t xml:space="preserve"> book</w:t>
      </w:r>
      <w:r w:rsidR="002711B6" w:rsidRPr="00482070">
        <w:rPr>
          <w:rFonts w:ascii="Times New Roman" w:hAnsi="Times New Roman"/>
          <w:b/>
          <w:bCs/>
          <w:sz w:val="24"/>
        </w:rPr>
        <w:t xml:space="preserve"> activities</w:t>
      </w:r>
      <w:r w:rsidRPr="00482070">
        <w:rPr>
          <w:rFonts w:ascii="Times New Roman" w:hAnsi="Times New Roman"/>
          <w:b/>
          <w:bCs/>
          <w:sz w:val="24"/>
        </w:rPr>
        <w:t xml:space="preserve">. </w:t>
      </w:r>
      <w:r w:rsidRPr="00482070">
        <w:rPr>
          <w:rFonts w:ascii="Times New Roman" w:hAnsi="Times New Roman"/>
          <w:bCs/>
          <w:sz w:val="24"/>
        </w:rPr>
        <w:t>Flexible table</w:t>
      </w:r>
    </w:p>
    <w:p w14:paraId="7E4925DA" w14:textId="77777777" w:rsidR="00CD3692" w:rsidRPr="00482070" w:rsidRDefault="00CD3692" w:rsidP="00CD3692">
      <w:pPr>
        <w:rPr>
          <w:rFonts w:ascii="Times New Roman" w:hAnsi="Times New Roman"/>
          <w:bCs/>
          <w:sz w:val="24"/>
        </w:rPr>
      </w:pPr>
    </w:p>
    <w:p w14:paraId="573E22C4" w14:textId="3FC438AD" w:rsidR="00CD3692" w:rsidRPr="00482070" w:rsidRDefault="00CD3692" w:rsidP="00CD3692">
      <w:pPr>
        <w:numPr>
          <w:ilvl w:val="0"/>
          <w:numId w:val="1"/>
        </w:numPr>
        <w:spacing w:after="120"/>
        <w:jc w:val="both"/>
        <w:rPr>
          <w:rFonts w:ascii="Calibri" w:eastAsia="Times New Roman" w:hAnsi="Calibri" w:cs="Times New Roman"/>
          <w:color w:val="000000"/>
          <w:szCs w:val="22"/>
          <w:lang w:eastAsia="en-GB"/>
        </w:rPr>
      </w:pPr>
      <w:r w:rsidRPr="00482070">
        <w:rPr>
          <w:rFonts w:ascii="Times New Roman" w:hAnsi="Times New Roman"/>
          <w:bCs/>
          <w:sz w:val="24"/>
        </w:rPr>
        <w:t xml:space="preserve">Institutions shall disclose the information included in this </w:t>
      </w:r>
      <w:r w:rsidR="00C07A00" w:rsidRPr="00482070">
        <w:rPr>
          <w:rFonts w:ascii="Times New Roman" w:hAnsi="Times New Roman"/>
          <w:bCs/>
          <w:sz w:val="24"/>
        </w:rPr>
        <w:t>template</w:t>
      </w:r>
      <w:r w:rsidRPr="00482070">
        <w:rPr>
          <w:rFonts w:ascii="Times New Roman" w:hAnsi="Times New Roman"/>
          <w:bCs/>
          <w:sz w:val="24"/>
        </w:rPr>
        <w:t xml:space="preserve"> in application of </w:t>
      </w:r>
      <w:r w:rsidR="00013240" w:rsidRPr="00482070">
        <w:rPr>
          <w:rFonts w:ascii="Times New Roman" w:hAnsi="Times New Roman"/>
          <w:bCs/>
          <w:sz w:val="24"/>
        </w:rPr>
        <w:t xml:space="preserve">Article 448 </w:t>
      </w:r>
      <w:r w:rsidRPr="00482070">
        <w:rPr>
          <w:rFonts w:ascii="Times New Roman" w:hAnsi="Times New Roman"/>
          <w:bCs/>
          <w:sz w:val="24"/>
        </w:rPr>
        <w:t>of Regulation (EU) No 575/2013 (</w:t>
      </w:r>
      <w:r w:rsidR="00A8375D" w:rsidRPr="00482070">
        <w:rPr>
          <w:rFonts w:ascii="Times New Roman" w:hAnsi="Times New Roman"/>
          <w:bCs/>
          <w:sz w:val="24"/>
        </w:rPr>
        <w:t>‘</w:t>
      </w:r>
      <w:r w:rsidRPr="00482070">
        <w:rPr>
          <w:rFonts w:ascii="Times New Roman" w:hAnsi="Times New Roman"/>
          <w:bCs/>
          <w:sz w:val="24"/>
        </w:rPr>
        <w:t>CRR</w:t>
      </w:r>
      <w:r w:rsidR="00A8375D" w:rsidRPr="00482070">
        <w:rPr>
          <w:rFonts w:ascii="Times New Roman" w:hAnsi="Times New Roman"/>
          <w:bCs/>
          <w:sz w:val="24"/>
        </w:rPr>
        <w:t>’</w:t>
      </w:r>
      <w:r w:rsidRPr="00482070">
        <w:rPr>
          <w:rFonts w:ascii="Times New Roman" w:hAnsi="Times New Roman"/>
          <w:bCs/>
          <w:sz w:val="24"/>
        </w:rPr>
        <w:t>).</w:t>
      </w:r>
    </w:p>
    <w:p w14:paraId="31D9779B" w14:textId="65BF26C7" w:rsidR="00580D58" w:rsidRPr="00482070" w:rsidRDefault="00580D58" w:rsidP="00580D58">
      <w:pPr>
        <w:numPr>
          <w:ilvl w:val="0"/>
          <w:numId w:val="1"/>
        </w:numPr>
        <w:spacing w:after="120"/>
        <w:jc w:val="both"/>
        <w:rPr>
          <w:rFonts w:ascii="Calibri" w:eastAsia="Times New Roman" w:hAnsi="Calibri" w:cs="Times New Roman"/>
          <w:color w:val="000000"/>
          <w:szCs w:val="22"/>
          <w:lang w:eastAsia="en-GB"/>
        </w:rPr>
      </w:pPr>
      <w:r w:rsidRPr="00482070">
        <w:rPr>
          <w:rFonts w:ascii="Times New Roman" w:hAnsi="Times New Roman"/>
          <w:bCs/>
          <w:sz w:val="24"/>
        </w:rPr>
        <w:t xml:space="preserve">Institutions shall disclose the qualitative information </w:t>
      </w:r>
      <w:proofErr w:type="gramStart"/>
      <w:r w:rsidRPr="00482070">
        <w:rPr>
          <w:rFonts w:ascii="Times New Roman" w:hAnsi="Times New Roman"/>
          <w:bCs/>
          <w:sz w:val="24"/>
        </w:rPr>
        <w:t>on the basis of</w:t>
      </w:r>
      <w:proofErr w:type="gramEnd"/>
      <w:r w:rsidRPr="00482070">
        <w:rPr>
          <w:rFonts w:ascii="Times New Roman" w:hAnsi="Times New Roman"/>
          <w:bCs/>
          <w:sz w:val="24"/>
        </w:rPr>
        <w:t xml:space="preserve"> their internal measurement system (IMS) methodology</w:t>
      </w:r>
      <w:r w:rsidR="007F71C4" w:rsidRPr="00482070">
        <w:rPr>
          <w:rFonts w:ascii="Times New Roman" w:hAnsi="Times New Roman"/>
          <w:bCs/>
          <w:sz w:val="24"/>
        </w:rPr>
        <w:t xml:space="preserve">, </w:t>
      </w:r>
      <w:r w:rsidR="007F71C4" w:rsidRPr="00952741">
        <w:rPr>
          <w:rFonts w:ascii="Times New Roman" w:eastAsia="Times New Roman" w:hAnsi="Times New Roman" w:cs="Times New Roman"/>
          <w:color w:val="000000"/>
          <w:sz w:val="24"/>
          <w:lang w:eastAsia="en-GB"/>
        </w:rPr>
        <w:t>standardised methodology or the simplified standardised methodology, when applicable</w:t>
      </w:r>
      <w:r w:rsidR="00697A36" w:rsidRPr="00952741">
        <w:rPr>
          <w:rFonts w:ascii="Times New Roman" w:eastAsia="Times New Roman" w:hAnsi="Times New Roman" w:cs="Times New Roman"/>
          <w:color w:val="000000"/>
          <w:sz w:val="24"/>
          <w:lang w:eastAsia="en-GB"/>
        </w:rPr>
        <w:t>,</w:t>
      </w:r>
      <w:r w:rsidRPr="00697A36">
        <w:rPr>
          <w:rFonts w:ascii="Times New Roman" w:hAnsi="Times New Roman"/>
          <w:bCs/>
          <w:sz w:val="24"/>
        </w:rPr>
        <w:t xml:space="preserve"> as</w:t>
      </w:r>
      <w:r w:rsidRPr="00482070">
        <w:rPr>
          <w:rFonts w:ascii="Times New Roman" w:hAnsi="Times New Roman"/>
          <w:bCs/>
          <w:sz w:val="24"/>
        </w:rPr>
        <w:t xml:space="preserve"> defined in accordance with </w:t>
      </w:r>
      <w:r w:rsidR="002F2E04" w:rsidRPr="00482070">
        <w:rPr>
          <w:rFonts w:ascii="Times New Roman" w:hAnsi="Times New Roman"/>
          <w:bCs/>
          <w:sz w:val="24"/>
        </w:rPr>
        <w:t>A</w:t>
      </w:r>
      <w:r w:rsidRPr="00482070">
        <w:rPr>
          <w:rFonts w:ascii="Times New Roman" w:hAnsi="Times New Roman"/>
          <w:bCs/>
          <w:sz w:val="24"/>
        </w:rPr>
        <w:t>rticle 84 of Directive 2013/36/EU (‘CRD’).</w:t>
      </w:r>
    </w:p>
    <w:p w14:paraId="7C0B4FAA" w14:textId="65E12EA9" w:rsidR="00CD3692" w:rsidRPr="00482070" w:rsidRDefault="00CD3692" w:rsidP="00C1556C">
      <w:pPr>
        <w:numPr>
          <w:ilvl w:val="0"/>
          <w:numId w:val="1"/>
        </w:numPr>
        <w:jc w:val="both"/>
        <w:rPr>
          <w:rFonts w:ascii="Times New Roman" w:hAnsi="Times New Roman"/>
          <w:bCs/>
          <w:sz w:val="24"/>
        </w:rPr>
      </w:pPr>
      <w:r w:rsidRPr="00482070">
        <w:rPr>
          <w:rFonts w:ascii="Times New Roman" w:hAnsi="Times New Roman"/>
          <w:bCs/>
          <w:sz w:val="24"/>
        </w:rPr>
        <w:t xml:space="preserve">Institutions shall apply the instructions provided below in this Annex </w:t>
      </w:r>
      <w:proofErr w:type="gramStart"/>
      <w:r w:rsidRPr="00482070">
        <w:rPr>
          <w:rFonts w:ascii="Times New Roman" w:hAnsi="Times New Roman"/>
          <w:bCs/>
          <w:sz w:val="24"/>
        </w:rPr>
        <w:t xml:space="preserve">in order </w:t>
      </w:r>
      <w:r w:rsidR="00013240" w:rsidRPr="00482070">
        <w:rPr>
          <w:rFonts w:ascii="Times New Roman" w:hAnsi="Times New Roman"/>
          <w:bCs/>
          <w:sz w:val="24"/>
        </w:rPr>
        <w:t>to</w:t>
      </w:r>
      <w:proofErr w:type="gramEnd"/>
      <w:r w:rsidR="00013240" w:rsidRPr="00482070">
        <w:rPr>
          <w:rFonts w:ascii="Times New Roman" w:hAnsi="Times New Roman"/>
          <w:bCs/>
          <w:sz w:val="24"/>
        </w:rPr>
        <w:t xml:space="preserve"> complete the interest rate risk of the banking book</w:t>
      </w:r>
      <w:r w:rsidRPr="00482070">
        <w:rPr>
          <w:rFonts w:ascii="Times New Roman" w:hAnsi="Times New Roman"/>
          <w:bCs/>
          <w:sz w:val="24"/>
        </w:rPr>
        <w:t xml:space="preserve"> disclosure </w:t>
      </w:r>
      <w:r w:rsidR="00C07A00" w:rsidRPr="00482070">
        <w:rPr>
          <w:rFonts w:ascii="Times New Roman" w:hAnsi="Times New Roman"/>
          <w:bCs/>
          <w:sz w:val="24"/>
        </w:rPr>
        <w:t>template</w:t>
      </w:r>
      <w:r w:rsidR="00013240" w:rsidRPr="00482070">
        <w:rPr>
          <w:rFonts w:ascii="Times New Roman" w:hAnsi="Times New Roman"/>
          <w:bCs/>
          <w:sz w:val="24"/>
        </w:rPr>
        <w:t xml:space="preserve"> E</w:t>
      </w:r>
      <w:r w:rsidR="00C1556C" w:rsidRPr="00482070">
        <w:rPr>
          <w:rFonts w:ascii="Times New Roman" w:hAnsi="Times New Roman"/>
          <w:bCs/>
          <w:sz w:val="24"/>
        </w:rPr>
        <w:t>U IRRBBA as presented in Annex XXXVII</w:t>
      </w:r>
      <w:r w:rsidRPr="00482070">
        <w:rPr>
          <w:rFonts w:ascii="Times New Roman" w:hAnsi="Times New Roman"/>
          <w:bCs/>
          <w:sz w:val="24"/>
        </w:rPr>
        <w:t>.</w:t>
      </w:r>
      <w:r w:rsidR="00C07A00" w:rsidRPr="00482070">
        <w:rPr>
          <w:rFonts w:ascii="Times New Roman" w:hAnsi="Times New Roman"/>
          <w:bCs/>
          <w:sz w:val="24"/>
        </w:rPr>
        <w:t xml:space="preserve"> </w:t>
      </w:r>
    </w:p>
    <w:p w14:paraId="3D633743" w14:textId="77777777" w:rsidR="00C07A00" w:rsidRPr="00482070" w:rsidRDefault="00C07A00" w:rsidP="00C07A00">
      <w:pPr>
        <w:ind w:left="360"/>
        <w:jc w:val="both"/>
        <w:rPr>
          <w:rFonts w:ascii="Times New Roman" w:hAnsi="Times New Roman"/>
          <w:bCs/>
          <w:sz w:val="24"/>
        </w:rPr>
      </w:pPr>
    </w:p>
    <w:tbl>
      <w:tblPr>
        <w:tblW w:w="8926" w:type="dxa"/>
        <w:tblLook w:val="04A0" w:firstRow="1" w:lastRow="0" w:firstColumn="1" w:lastColumn="0" w:noHBand="0" w:noVBand="1"/>
      </w:tblPr>
      <w:tblGrid>
        <w:gridCol w:w="1555"/>
        <w:gridCol w:w="7371"/>
      </w:tblGrid>
      <w:tr w:rsidR="00CD3692" w:rsidRPr="00482070" w14:paraId="5A9E0A69" w14:textId="77777777" w:rsidTr="00F930E4">
        <w:trPr>
          <w:trHeight w:val="330"/>
        </w:trPr>
        <w:tc>
          <w:tcPr>
            <w:tcW w:w="89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8FC1AD4" w14:textId="77777777" w:rsidR="00CD3692" w:rsidRPr="00482070" w:rsidRDefault="00CD3692" w:rsidP="00F930E4">
            <w:pPr>
              <w:rPr>
                <w:rFonts w:ascii="Times New Roman" w:eastAsia="Times New Roman" w:hAnsi="Times New Roman" w:cs="Times New Roman"/>
                <w:b/>
                <w:bCs/>
                <w:color w:val="000000"/>
                <w:szCs w:val="22"/>
                <w:lang w:eastAsia="en-GB"/>
              </w:rPr>
            </w:pPr>
            <w:r w:rsidRPr="00482070">
              <w:rPr>
                <w:rFonts w:ascii="Times New Roman" w:eastAsia="Times New Roman" w:hAnsi="Times New Roman" w:cs="Times New Roman"/>
                <w:b/>
                <w:bCs/>
                <w:color w:val="000000"/>
                <w:szCs w:val="22"/>
                <w:lang w:eastAsia="en-GB"/>
              </w:rPr>
              <w:t>Legal references and instructions</w:t>
            </w:r>
          </w:p>
        </w:tc>
      </w:tr>
      <w:tr w:rsidR="00CD3692" w:rsidRPr="00482070" w14:paraId="254CB684" w14:textId="77777777" w:rsidTr="00F930E4">
        <w:trPr>
          <w:trHeight w:val="315"/>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7C023E59" w14:textId="77777777" w:rsidR="00CD3692" w:rsidRPr="00482070" w:rsidRDefault="00CD3692" w:rsidP="00F930E4">
            <w:pPr>
              <w:rPr>
                <w:rFonts w:ascii="Times New Roman" w:eastAsia="Times New Roman" w:hAnsi="Times New Roman" w:cs="Times New Roman"/>
                <w:b/>
                <w:bCs/>
                <w:color w:val="000000"/>
                <w:szCs w:val="22"/>
                <w:lang w:eastAsia="en-GB"/>
              </w:rPr>
            </w:pPr>
            <w:r w:rsidRPr="00482070">
              <w:rPr>
                <w:rFonts w:ascii="Times New Roman" w:eastAsia="Times New Roman" w:hAnsi="Times New Roman" w:cs="Times New Roman"/>
                <w:b/>
                <w:bCs/>
                <w:color w:val="000000"/>
                <w:szCs w:val="22"/>
                <w:lang w:eastAsia="en-GB"/>
              </w:rPr>
              <w:t>Row number</w:t>
            </w:r>
          </w:p>
        </w:tc>
        <w:tc>
          <w:tcPr>
            <w:tcW w:w="7371" w:type="dxa"/>
            <w:tcBorders>
              <w:top w:val="single" w:sz="4" w:space="0" w:color="auto"/>
              <w:left w:val="nil"/>
              <w:bottom w:val="single" w:sz="4" w:space="0" w:color="auto"/>
              <w:right w:val="single" w:sz="4" w:space="0" w:color="auto"/>
            </w:tcBorders>
            <w:shd w:val="clear" w:color="000000" w:fill="D9D9D9"/>
            <w:vAlign w:val="center"/>
            <w:hideMark/>
          </w:tcPr>
          <w:p w14:paraId="7D1EE539" w14:textId="77777777" w:rsidR="00CD3692" w:rsidRPr="00482070" w:rsidRDefault="00CD3692" w:rsidP="00F930E4">
            <w:pPr>
              <w:rPr>
                <w:rFonts w:ascii="Times New Roman" w:eastAsia="Times New Roman" w:hAnsi="Times New Roman" w:cs="Times New Roman"/>
                <w:b/>
                <w:bCs/>
                <w:color w:val="000000"/>
                <w:szCs w:val="22"/>
                <w:lang w:eastAsia="en-GB"/>
              </w:rPr>
            </w:pPr>
            <w:r w:rsidRPr="00482070">
              <w:rPr>
                <w:rFonts w:ascii="Times New Roman" w:eastAsia="Times New Roman" w:hAnsi="Times New Roman" w:cs="Times New Roman"/>
                <w:b/>
                <w:bCs/>
                <w:color w:val="000000"/>
                <w:szCs w:val="22"/>
                <w:lang w:eastAsia="en-GB"/>
              </w:rPr>
              <w:t>Explanation</w:t>
            </w:r>
          </w:p>
        </w:tc>
      </w:tr>
      <w:tr w:rsidR="00FC2089" w:rsidRPr="00482070" w14:paraId="5BBA757F" w14:textId="77777777" w:rsidTr="00C143B2">
        <w:trPr>
          <w:trHeight w:val="244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25657E" w14:textId="73DDAA01" w:rsidR="00FC2089" w:rsidRPr="00482070" w:rsidRDefault="00FC2089" w:rsidP="00F930E4">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(a)</w:t>
            </w:r>
          </w:p>
        </w:tc>
        <w:tc>
          <w:tcPr>
            <w:tcW w:w="7371" w:type="dxa"/>
            <w:tcBorders>
              <w:top w:val="single" w:sz="4" w:space="0" w:color="auto"/>
              <w:left w:val="nil"/>
              <w:bottom w:val="single" w:sz="4" w:space="0" w:color="auto"/>
              <w:right w:val="single" w:sz="4" w:space="0" w:color="auto"/>
            </w:tcBorders>
            <w:shd w:val="clear" w:color="auto" w:fill="auto"/>
            <w:vAlign w:val="center"/>
          </w:tcPr>
          <w:p w14:paraId="2DF47E25" w14:textId="66C09E90" w:rsidR="00FC2089" w:rsidRPr="00482070" w:rsidRDefault="00465DF4" w:rsidP="00F930E4">
            <w:pPr>
              <w:spacing w:before="120" w:after="120"/>
              <w:jc w:val="both"/>
              <w:rPr>
                <w:rFonts w:ascii="Times New Roman" w:eastAsia="Times New Roman" w:hAnsi="Times New Roman" w:cs="Times New Roman"/>
                <w:b/>
                <w:color w:val="000000"/>
                <w:sz w:val="24"/>
                <w:szCs w:val="22"/>
                <w:lang w:eastAsia="en-GB"/>
              </w:rPr>
            </w:pPr>
            <w:r w:rsidRPr="00482070">
              <w:rPr>
                <w:rFonts w:ascii="Times New Roman" w:eastAsia="Times New Roman" w:hAnsi="Times New Roman" w:cs="Times New Roman"/>
                <w:b/>
                <w:color w:val="000000"/>
                <w:sz w:val="24"/>
                <w:szCs w:val="22"/>
                <w:lang w:eastAsia="en-GB"/>
              </w:rPr>
              <w:t>A d</w:t>
            </w:r>
            <w:r w:rsidR="00FC2089" w:rsidRPr="00482070">
              <w:rPr>
                <w:rFonts w:ascii="Times New Roman" w:eastAsia="Times New Roman" w:hAnsi="Times New Roman" w:cs="Times New Roman"/>
                <w:b/>
                <w:color w:val="000000"/>
                <w:sz w:val="24"/>
                <w:szCs w:val="22"/>
                <w:lang w:eastAsia="en-GB"/>
              </w:rPr>
              <w:t xml:space="preserve">escription of </w:t>
            </w:r>
            <w:r w:rsidR="00EA2452" w:rsidRPr="00482070">
              <w:rPr>
                <w:rFonts w:ascii="Times New Roman" w:eastAsia="Times New Roman" w:hAnsi="Times New Roman" w:cs="Times New Roman"/>
                <w:b/>
                <w:color w:val="000000"/>
                <w:sz w:val="24"/>
                <w:szCs w:val="22"/>
                <w:lang w:eastAsia="en-GB"/>
              </w:rPr>
              <w:t xml:space="preserve">how </w:t>
            </w:r>
            <w:r w:rsidR="00FC2089" w:rsidRPr="00482070">
              <w:rPr>
                <w:rFonts w:ascii="Times New Roman" w:eastAsia="Times New Roman" w:hAnsi="Times New Roman" w:cs="Times New Roman"/>
                <w:b/>
                <w:color w:val="000000"/>
                <w:sz w:val="24"/>
                <w:szCs w:val="22"/>
                <w:lang w:eastAsia="en-GB"/>
              </w:rPr>
              <w:t xml:space="preserve">the </w:t>
            </w:r>
            <w:r w:rsidR="00EA2452" w:rsidRPr="00482070">
              <w:rPr>
                <w:rFonts w:ascii="Times New Roman" w:eastAsia="Times New Roman" w:hAnsi="Times New Roman" w:cs="Times New Roman"/>
                <w:b/>
                <w:color w:val="000000"/>
                <w:sz w:val="24"/>
                <w:szCs w:val="22"/>
                <w:lang w:eastAsia="en-GB"/>
              </w:rPr>
              <w:t>institution</w:t>
            </w:r>
            <w:r w:rsidR="00FC2089" w:rsidRPr="00482070">
              <w:rPr>
                <w:rFonts w:ascii="Times New Roman" w:eastAsia="Times New Roman" w:hAnsi="Times New Roman" w:cs="Times New Roman"/>
                <w:b/>
                <w:color w:val="000000"/>
                <w:sz w:val="24"/>
                <w:szCs w:val="22"/>
                <w:lang w:eastAsia="en-GB"/>
              </w:rPr>
              <w:t xml:space="preserve"> defines </w:t>
            </w:r>
            <w:r w:rsidRPr="00482070">
              <w:rPr>
                <w:rFonts w:ascii="Times New Roman" w:eastAsia="Times New Roman" w:hAnsi="Times New Roman" w:cs="Times New Roman"/>
                <w:b/>
                <w:color w:val="000000"/>
                <w:sz w:val="24"/>
                <w:szCs w:val="22"/>
                <w:lang w:eastAsia="en-GB"/>
              </w:rPr>
              <w:t>IRRBB</w:t>
            </w:r>
            <w:r w:rsidR="00FC2089" w:rsidRPr="00482070">
              <w:rPr>
                <w:rFonts w:ascii="Times New Roman" w:eastAsia="Times New Roman" w:hAnsi="Times New Roman" w:cs="Times New Roman"/>
                <w:b/>
                <w:color w:val="000000"/>
                <w:sz w:val="24"/>
                <w:szCs w:val="22"/>
                <w:lang w:eastAsia="en-GB"/>
              </w:rPr>
              <w:t xml:space="preserve"> for purposes of risk control and measurement</w:t>
            </w:r>
          </w:p>
          <w:p w14:paraId="3FB34713" w14:textId="22CE4FB3" w:rsidR="00FC2089" w:rsidRPr="00482070" w:rsidRDefault="00133E44" w:rsidP="00133E44">
            <w:pPr>
              <w:spacing w:before="120" w:after="120"/>
              <w:jc w:val="both"/>
              <w:rPr>
                <w:rFonts w:ascii="Times New Roman" w:eastAsia="Times New Roman" w:hAnsi="Times New Roman" w:cs="Times New Roman"/>
                <w:b/>
                <w:color w:val="000000"/>
                <w:sz w:val="24"/>
                <w:szCs w:val="22"/>
                <w:lang w:eastAsia="en-GB"/>
              </w:rPr>
            </w:pPr>
            <w:r w:rsidRPr="00482070">
              <w:rPr>
                <w:rFonts w:ascii="Times New Roman" w:eastAsia="Times New Roman" w:hAnsi="Times New Roman" w:cs="Times New Roman"/>
                <w:color w:val="000000"/>
                <w:szCs w:val="22"/>
                <w:lang w:eastAsia="en-GB"/>
              </w:rPr>
              <w:t>In accordance with</w:t>
            </w:r>
            <w:r w:rsidR="00465DF4" w:rsidRPr="00482070">
              <w:rPr>
                <w:rFonts w:ascii="Times New Roman" w:eastAsia="Times New Roman" w:hAnsi="Times New Roman" w:cs="Times New Roman"/>
                <w:color w:val="000000"/>
                <w:szCs w:val="22"/>
                <w:lang w:eastAsia="en-GB"/>
              </w:rPr>
              <w:t xml:space="preserve"> Article 448(1)</w:t>
            </w:r>
            <w:r w:rsidR="00A77093">
              <w:rPr>
                <w:rFonts w:ascii="Times New Roman" w:eastAsia="Times New Roman" w:hAnsi="Times New Roman" w:cs="Times New Roman"/>
                <w:color w:val="000000"/>
                <w:szCs w:val="22"/>
                <w:lang w:eastAsia="en-GB"/>
              </w:rPr>
              <w:t>,</w:t>
            </w:r>
            <w:r w:rsidR="00A8375D" w:rsidRPr="00482070">
              <w:rPr>
                <w:rFonts w:ascii="Times New Roman" w:eastAsia="Times New Roman" w:hAnsi="Times New Roman" w:cs="Times New Roman"/>
                <w:color w:val="000000"/>
                <w:szCs w:val="22"/>
                <w:lang w:eastAsia="en-GB"/>
              </w:rPr>
              <w:t xml:space="preserve"> </w:t>
            </w:r>
            <w:r w:rsidR="00A77093" w:rsidRPr="00482070">
              <w:rPr>
                <w:rFonts w:ascii="Times New Roman" w:eastAsia="Times New Roman" w:hAnsi="Times New Roman" w:cs="Times New Roman"/>
                <w:color w:val="000000"/>
                <w:szCs w:val="22"/>
                <w:lang w:eastAsia="en-GB"/>
              </w:rPr>
              <w:t xml:space="preserve">point (e) </w:t>
            </w:r>
            <w:r w:rsidR="00A8375D" w:rsidRPr="00482070">
              <w:rPr>
                <w:rFonts w:ascii="Times New Roman" w:eastAsia="Times New Roman" w:hAnsi="Times New Roman" w:cs="Times New Roman"/>
                <w:color w:val="000000"/>
                <w:szCs w:val="22"/>
                <w:lang w:eastAsia="en-GB"/>
              </w:rPr>
              <w:t>CRR</w:t>
            </w:r>
            <w:r w:rsidR="00465DF4" w:rsidRPr="00482070">
              <w:rPr>
                <w:rFonts w:ascii="Times New Roman" w:eastAsia="Times New Roman" w:hAnsi="Times New Roman" w:cs="Times New Roman"/>
                <w:color w:val="000000"/>
                <w:szCs w:val="22"/>
                <w:lang w:eastAsia="en-GB"/>
              </w:rPr>
              <w:t xml:space="preserve">, institutions shall </w:t>
            </w:r>
            <w:r w:rsidR="00B54332" w:rsidRPr="00482070">
              <w:rPr>
                <w:rFonts w:ascii="Times New Roman" w:eastAsia="Times New Roman" w:hAnsi="Times New Roman" w:cs="Times New Roman"/>
                <w:color w:val="000000"/>
                <w:szCs w:val="22"/>
                <w:lang w:eastAsia="en-GB"/>
              </w:rPr>
              <w:t xml:space="preserve">provide a general </w:t>
            </w:r>
            <w:r w:rsidR="00465DF4" w:rsidRPr="00482070">
              <w:rPr>
                <w:rFonts w:ascii="Times New Roman" w:eastAsia="Times New Roman" w:hAnsi="Times New Roman" w:cs="Times New Roman"/>
                <w:color w:val="000000"/>
                <w:szCs w:val="22"/>
                <w:lang w:eastAsia="en-GB"/>
              </w:rPr>
              <w:t>descri</w:t>
            </w:r>
            <w:r w:rsidR="00B54332" w:rsidRPr="00482070">
              <w:rPr>
                <w:rFonts w:ascii="Times New Roman" w:eastAsia="Times New Roman" w:hAnsi="Times New Roman" w:cs="Times New Roman"/>
                <w:color w:val="000000"/>
                <w:szCs w:val="22"/>
                <w:lang w:eastAsia="en-GB"/>
              </w:rPr>
              <w:t>ption of</w:t>
            </w:r>
            <w:r w:rsidR="00465DF4" w:rsidRPr="00482070">
              <w:rPr>
                <w:rFonts w:ascii="Times New Roman" w:eastAsia="Times New Roman" w:hAnsi="Times New Roman" w:cs="Times New Roman"/>
                <w:color w:val="000000"/>
                <w:szCs w:val="22"/>
                <w:lang w:eastAsia="en-GB"/>
              </w:rPr>
              <w:t xml:space="preserve"> how the interest rate risk of their non-trading book activities for the purposes of the competent authorities' review in accordance with Article 84 of Directive 2013/36/EU is defined, measured, </w:t>
            </w:r>
            <w:proofErr w:type="gramStart"/>
            <w:r w:rsidR="00465DF4" w:rsidRPr="00482070">
              <w:rPr>
                <w:rFonts w:ascii="Times New Roman" w:eastAsia="Times New Roman" w:hAnsi="Times New Roman" w:cs="Times New Roman"/>
                <w:color w:val="000000"/>
                <w:szCs w:val="22"/>
                <w:lang w:eastAsia="en-GB"/>
              </w:rPr>
              <w:t>mitigated</w:t>
            </w:r>
            <w:proofErr w:type="gramEnd"/>
            <w:r w:rsidR="00465DF4" w:rsidRPr="00482070">
              <w:rPr>
                <w:rFonts w:ascii="Times New Roman" w:eastAsia="Times New Roman" w:hAnsi="Times New Roman" w:cs="Times New Roman"/>
                <w:color w:val="000000"/>
                <w:szCs w:val="22"/>
                <w:lang w:eastAsia="en-GB"/>
              </w:rPr>
              <w:t xml:space="preserve"> and controlled.</w:t>
            </w:r>
          </w:p>
        </w:tc>
      </w:tr>
      <w:tr w:rsidR="00465DF4" w:rsidRPr="00482070" w14:paraId="68082CB2" w14:textId="77777777" w:rsidTr="00F930E4">
        <w:trPr>
          <w:trHeight w:val="30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74795CC" w14:textId="1C705731" w:rsidR="00465DF4" w:rsidRPr="00482070" w:rsidRDefault="00465DF4" w:rsidP="00F930E4">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(b)</w:t>
            </w:r>
          </w:p>
        </w:tc>
        <w:tc>
          <w:tcPr>
            <w:tcW w:w="7371" w:type="dxa"/>
            <w:tcBorders>
              <w:top w:val="single" w:sz="4" w:space="0" w:color="auto"/>
              <w:left w:val="nil"/>
              <w:bottom w:val="single" w:sz="4" w:space="0" w:color="auto"/>
              <w:right w:val="single" w:sz="4" w:space="0" w:color="auto"/>
            </w:tcBorders>
            <w:shd w:val="clear" w:color="auto" w:fill="auto"/>
            <w:vAlign w:val="center"/>
          </w:tcPr>
          <w:p w14:paraId="602EFF4A" w14:textId="20E6E488" w:rsidR="00465DF4" w:rsidRPr="00482070" w:rsidRDefault="00EA2452" w:rsidP="00F930E4">
            <w:pPr>
              <w:spacing w:before="120" w:after="120"/>
              <w:jc w:val="both"/>
              <w:rPr>
                <w:rFonts w:ascii="Times New Roman" w:eastAsia="Times New Roman" w:hAnsi="Times New Roman" w:cs="Times New Roman"/>
                <w:b/>
                <w:color w:val="000000"/>
                <w:sz w:val="24"/>
                <w:szCs w:val="22"/>
                <w:lang w:eastAsia="en-GB"/>
              </w:rPr>
            </w:pPr>
            <w:r w:rsidRPr="00482070">
              <w:rPr>
                <w:rFonts w:ascii="Times New Roman" w:eastAsia="Times New Roman" w:hAnsi="Times New Roman" w:cs="Times New Roman"/>
                <w:b/>
                <w:color w:val="000000"/>
                <w:sz w:val="24"/>
                <w:szCs w:val="22"/>
                <w:lang w:eastAsia="en-GB"/>
              </w:rPr>
              <w:t>A description of the institution</w:t>
            </w:r>
            <w:r w:rsidR="005F58E6" w:rsidRPr="00482070">
              <w:rPr>
                <w:rFonts w:ascii="Times New Roman" w:eastAsia="Times New Roman" w:hAnsi="Times New Roman" w:cs="Times New Roman"/>
                <w:b/>
                <w:color w:val="000000"/>
                <w:sz w:val="24"/>
                <w:szCs w:val="22"/>
                <w:lang w:eastAsia="en-GB"/>
              </w:rPr>
              <w:t>’s overall IRRBB management and mitigation strategies</w:t>
            </w:r>
          </w:p>
          <w:p w14:paraId="204A9378" w14:textId="5FD43B26" w:rsidR="005F58E6" w:rsidRPr="00482070" w:rsidRDefault="005F58E6" w:rsidP="00133E44">
            <w:pPr>
              <w:spacing w:before="120" w:after="120"/>
              <w:jc w:val="both"/>
              <w:rPr>
                <w:rFonts w:ascii="Times New Roman" w:eastAsia="Times New Roman" w:hAnsi="Times New Roman" w:cs="Times New Roman"/>
                <w:color w:val="000000"/>
                <w:sz w:val="24"/>
                <w:szCs w:val="22"/>
                <w:lang w:eastAsia="en-GB"/>
              </w:rPr>
            </w:pPr>
            <w:r w:rsidRPr="00482070">
              <w:rPr>
                <w:rFonts w:ascii="Times New Roman" w:eastAsia="Times New Roman" w:hAnsi="Times New Roman" w:cs="Times New Roman"/>
                <w:color w:val="000000"/>
                <w:szCs w:val="22"/>
                <w:lang w:eastAsia="en-GB"/>
              </w:rPr>
              <w:t>In accordance with Article 448(1)</w:t>
            </w:r>
            <w:r w:rsidR="00A77093">
              <w:rPr>
                <w:rFonts w:ascii="Times New Roman" w:eastAsia="Times New Roman" w:hAnsi="Times New Roman" w:cs="Times New Roman"/>
                <w:color w:val="000000"/>
                <w:szCs w:val="22"/>
                <w:lang w:eastAsia="en-GB"/>
              </w:rPr>
              <w:t>,</w:t>
            </w:r>
            <w:r w:rsidR="00A8375D" w:rsidRPr="00482070">
              <w:rPr>
                <w:rFonts w:ascii="Times New Roman" w:eastAsia="Times New Roman" w:hAnsi="Times New Roman" w:cs="Times New Roman"/>
                <w:color w:val="000000"/>
                <w:szCs w:val="22"/>
                <w:lang w:eastAsia="en-GB"/>
              </w:rPr>
              <w:t xml:space="preserve"> </w:t>
            </w:r>
            <w:r w:rsidR="00A77093" w:rsidRPr="00482070">
              <w:rPr>
                <w:rFonts w:ascii="Times New Roman" w:eastAsia="Times New Roman" w:hAnsi="Times New Roman" w:cs="Times New Roman"/>
                <w:color w:val="000000"/>
                <w:szCs w:val="22"/>
                <w:lang w:eastAsia="en-GB"/>
              </w:rPr>
              <w:t xml:space="preserve">point (f) </w:t>
            </w:r>
            <w:r w:rsidR="00A8375D" w:rsidRPr="00482070">
              <w:rPr>
                <w:rFonts w:ascii="Times New Roman" w:eastAsia="Times New Roman" w:hAnsi="Times New Roman" w:cs="Times New Roman"/>
                <w:color w:val="000000"/>
                <w:szCs w:val="22"/>
                <w:lang w:eastAsia="en-GB"/>
              </w:rPr>
              <w:t>CRR</w:t>
            </w:r>
            <w:r w:rsidRPr="00482070">
              <w:rPr>
                <w:rFonts w:ascii="Times New Roman" w:eastAsia="Times New Roman" w:hAnsi="Times New Roman" w:cs="Times New Roman"/>
                <w:color w:val="000000"/>
                <w:szCs w:val="22"/>
                <w:lang w:eastAsia="en-GB"/>
              </w:rPr>
              <w:t xml:space="preserve">, institutions shall </w:t>
            </w:r>
            <w:r w:rsidR="00B54332" w:rsidRPr="00482070">
              <w:rPr>
                <w:rFonts w:ascii="Times New Roman" w:eastAsia="Times New Roman" w:hAnsi="Times New Roman" w:cs="Times New Roman"/>
                <w:color w:val="000000"/>
                <w:szCs w:val="22"/>
                <w:lang w:eastAsia="en-GB"/>
              </w:rPr>
              <w:t xml:space="preserve">provide a general </w:t>
            </w:r>
            <w:r w:rsidRPr="00482070">
              <w:rPr>
                <w:rFonts w:ascii="Times New Roman" w:eastAsia="Times New Roman" w:hAnsi="Times New Roman" w:cs="Times New Roman"/>
                <w:color w:val="000000"/>
                <w:szCs w:val="22"/>
                <w:lang w:eastAsia="en-GB"/>
              </w:rPr>
              <w:t>descri</w:t>
            </w:r>
            <w:r w:rsidR="00B54332" w:rsidRPr="00482070">
              <w:rPr>
                <w:rFonts w:ascii="Times New Roman" w:eastAsia="Times New Roman" w:hAnsi="Times New Roman" w:cs="Times New Roman"/>
                <w:color w:val="000000"/>
                <w:szCs w:val="22"/>
                <w:lang w:eastAsia="en-GB"/>
              </w:rPr>
              <w:t>ption of</w:t>
            </w:r>
            <w:r w:rsidRPr="00482070">
              <w:rPr>
                <w:rFonts w:ascii="Times New Roman" w:eastAsia="Times New Roman" w:hAnsi="Times New Roman" w:cs="Times New Roman"/>
                <w:color w:val="000000"/>
                <w:szCs w:val="22"/>
                <w:lang w:eastAsia="en-GB"/>
              </w:rPr>
              <w:t xml:space="preserve"> the overall IRRBB management and mitigation strategies. In particular, </w:t>
            </w:r>
            <w:r w:rsidR="00D97456" w:rsidRPr="00482070">
              <w:rPr>
                <w:rFonts w:ascii="Times New Roman" w:eastAsia="Times New Roman" w:hAnsi="Times New Roman" w:cs="Times New Roman"/>
                <w:color w:val="000000"/>
                <w:szCs w:val="22"/>
                <w:lang w:eastAsia="en-GB"/>
              </w:rPr>
              <w:t xml:space="preserve">the description </w:t>
            </w:r>
            <w:r w:rsidR="00A67645" w:rsidRPr="00482070">
              <w:rPr>
                <w:rFonts w:ascii="Times New Roman" w:eastAsia="Times New Roman" w:hAnsi="Times New Roman" w:cs="Times New Roman"/>
                <w:color w:val="000000"/>
                <w:szCs w:val="22"/>
                <w:lang w:eastAsia="en-GB"/>
              </w:rPr>
              <w:t>can include:</w:t>
            </w:r>
            <w:r w:rsidRPr="00482070">
              <w:rPr>
                <w:rFonts w:ascii="Times New Roman" w:eastAsia="Times New Roman" w:hAnsi="Times New Roman" w:cs="Times New Roman"/>
                <w:color w:val="000000"/>
                <w:szCs w:val="22"/>
                <w:lang w:eastAsia="en-GB"/>
              </w:rPr>
              <w:t xml:space="preserve"> the monitoring of economic value of equity (EVE) and net interest income (NII) in relation to established limits, hedging practices, conduct of stress testing, outcome analysis, the role of independent audit, the role and practices of the asset and liability management committee, the </w:t>
            </w:r>
            <w:r w:rsidR="00EA2452" w:rsidRPr="00482070">
              <w:rPr>
                <w:rFonts w:ascii="Times New Roman" w:eastAsia="Times New Roman" w:hAnsi="Times New Roman" w:cs="Times New Roman"/>
                <w:color w:val="000000"/>
                <w:szCs w:val="22"/>
                <w:lang w:eastAsia="en-GB"/>
              </w:rPr>
              <w:t>institution</w:t>
            </w:r>
            <w:r w:rsidRPr="00482070">
              <w:rPr>
                <w:rFonts w:ascii="Times New Roman" w:eastAsia="Times New Roman" w:hAnsi="Times New Roman" w:cs="Times New Roman"/>
                <w:color w:val="000000"/>
                <w:szCs w:val="22"/>
                <w:lang w:eastAsia="en-GB"/>
              </w:rPr>
              <w:t>’s practices to ensure appropriate model validation, and timely updates in response to changing market conditions.</w:t>
            </w:r>
          </w:p>
        </w:tc>
      </w:tr>
      <w:tr w:rsidR="00EA2452" w:rsidRPr="00482070" w14:paraId="00B80900" w14:textId="77777777" w:rsidTr="00C41D59">
        <w:trPr>
          <w:trHeight w:val="84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01763AB" w14:textId="4C8DCD01" w:rsidR="00EA2452" w:rsidRPr="00482070" w:rsidRDefault="00EA2452" w:rsidP="00EA2452">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(c)</w:t>
            </w:r>
          </w:p>
        </w:tc>
        <w:tc>
          <w:tcPr>
            <w:tcW w:w="7371" w:type="dxa"/>
            <w:tcBorders>
              <w:top w:val="single" w:sz="4" w:space="0" w:color="auto"/>
              <w:left w:val="nil"/>
              <w:bottom w:val="single" w:sz="4" w:space="0" w:color="auto"/>
              <w:right w:val="single" w:sz="4" w:space="0" w:color="auto"/>
            </w:tcBorders>
            <w:shd w:val="clear" w:color="auto" w:fill="auto"/>
            <w:vAlign w:val="center"/>
          </w:tcPr>
          <w:p w14:paraId="3F78C5C7" w14:textId="77777777" w:rsidR="008F617B" w:rsidRPr="00482070" w:rsidRDefault="008F617B" w:rsidP="00B650A9">
            <w:pPr>
              <w:spacing w:after="120"/>
              <w:jc w:val="both"/>
              <w:rPr>
                <w:rFonts w:ascii="Times New Roman" w:eastAsia="Times New Roman" w:hAnsi="Times New Roman" w:cs="Times New Roman"/>
                <w:color w:val="000000"/>
                <w:szCs w:val="22"/>
                <w:lang w:eastAsia="en-GB"/>
              </w:rPr>
            </w:pPr>
          </w:p>
          <w:p w14:paraId="074838C9" w14:textId="79671406" w:rsidR="00716636" w:rsidRPr="00482070" w:rsidRDefault="00716636" w:rsidP="00B650A9">
            <w:pPr>
              <w:spacing w:after="120"/>
              <w:jc w:val="both"/>
              <w:rPr>
                <w:rFonts w:ascii="Times New Roman" w:eastAsia="Times New Roman" w:hAnsi="Times New Roman" w:cs="Times New Roman"/>
                <w:b/>
                <w:color w:val="000000"/>
                <w:szCs w:val="22"/>
                <w:lang w:eastAsia="en-GB"/>
              </w:rPr>
            </w:pPr>
            <w:r w:rsidRPr="00482070">
              <w:rPr>
                <w:rFonts w:ascii="Times New Roman" w:eastAsia="Times New Roman" w:hAnsi="Times New Roman" w:cs="Times New Roman"/>
                <w:b/>
                <w:color w:val="000000"/>
                <w:szCs w:val="22"/>
                <w:lang w:eastAsia="en-GB"/>
              </w:rPr>
              <w:t xml:space="preserve">The periodicity of the calculation of the institution's IRRBB measures, and a description of the </w:t>
            </w:r>
            <w:r w:rsidR="00EA1CF8" w:rsidRPr="00482070">
              <w:rPr>
                <w:rFonts w:ascii="Times New Roman" w:eastAsia="Times New Roman" w:hAnsi="Times New Roman" w:cs="Times New Roman"/>
                <w:b/>
                <w:color w:val="000000"/>
                <w:szCs w:val="22"/>
                <w:lang w:eastAsia="en-GB"/>
              </w:rPr>
              <w:t>specific measures that the institution</w:t>
            </w:r>
            <w:r w:rsidRPr="00482070">
              <w:rPr>
                <w:rFonts w:ascii="Times New Roman" w:eastAsia="Times New Roman" w:hAnsi="Times New Roman" w:cs="Times New Roman"/>
                <w:b/>
                <w:color w:val="000000"/>
                <w:szCs w:val="22"/>
                <w:lang w:eastAsia="en-GB"/>
              </w:rPr>
              <w:t xml:space="preserve"> uses to gauge its sensitivity to IRRBB</w:t>
            </w:r>
          </w:p>
          <w:p w14:paraId="6FC20A2F" w14:textId="6BEE18B0" w:rsidR="00EA2452" w:rsidRPr="00482070" w:rsidRDefault="00716636" w:rsidP="00B650A9">
            <w:pPr>
              <w:spacing w:after="120"/>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In accordance with Article 448(1)</w:t>
            </w:r>
            <w:r w:rsidR="00A77093">
              <w:rPr>
                <w:rFonts w:ascii="Times New Roman" w:eastAsia="Times New Roman" w:hAnsi="Times New Roman" w:cs="Times New Roman"/>
                <w:color w:val="000000"/>
                <w:szCs w:val="22"/>
                <w:lang w:eastAsia="en-GB"/>
              </w:rPr>
              <w:t>,</w:t>
            </w:r>
            <w:r w:rsidR="00A8375D" w:rsidRPr="00482070">
              <w:rPr>
                <w:rFonts w:ascii="Times New Roman" w:eastAsia="Times New Roman" w:hAnsi="Times New Roman" w:cs="Times New Roman"/>
                <w:color w:val="000000"/>
                <w:szCs w:val="22"/>
                <w:lang w:eastAsia="en-GB"/>
              </w:rPr>
              <w:t xml:space="preserve"> </w:t>
            </w:r>
            <w:r w:rsidR="00A77093" w:rsidRPr="00482070">
              <w:rPr>
                <w:rFonts w:ascii="Times New Roman" w:eastAsia="Times New Roman" w:hAnsi="Times New Roman" w:cs="Times New Roman"/>
                <w:color w:val="000000"/>
                <w:szCs w:val="22"/>
                <w:lang w:eastAsia="en-GB"/>
              </w:rPr>
              <w:t>point (e)(</w:t>
            </w:r>
            <w:proofErr w:type="spellStart"/>
            <w:r w:rsidR="00A77093" w:rsidRPr="00482070">
              <w:rPr>
                <w:rFonts w:ascii="Times New Roman" w:eastAsia="Times New Roman" w:hAnsi="Times New Roman" w:cs="Times New Roman"/>
                <w:color w:val="000000"/>
                <w:szCs w:val="22"/>
                <w:lang w:eastAsia="en-GB"/>
              </w:rPr>
              <w:t>i</w:t>
            </w:r>
            <w:proofErr w:type="spellEnd"/>
            <w:r w:rsidR="00A77093" w:rsidRPr="00482070">
              <w:rPr>
                <w:rFonts w:ascii="Times New Roman" w:eastAsia="Times New Roman" w:hAnsi="Times New Roman" w:cs="Times New Roman"/>
                <w:color w:val="000000"/>
                <w:szCs w:val="22"/>
                <w:lang w:eastAsia="en-GB"/>
              </w:rPr>
              <w:t xml:space="preserve">) and (v) </w:t>
            </w:r>
            <w:r w:rsidR="00A8375D" w:rsidRPr="00482070">
              <w:rPr>
                <w:rFonts w:ascii="Times New Roman" w:eastAsia="Times New Roman" w:hAnsi="Times New Roman" w:cs="Times New Roman"/>
                <w:color w:val="000000"/>
                <w:szCs w:val="22"/>
                <w:lang w:eastAsia="en-GB"/>
              </w:rPr>
              <w:t>CRR</w:t>
            </w:r>
            <w:r w:rsidRPr="00482070">
              <w:rPr>
                <w:rFonts w:ascii="Times New Roman" w:eastAsia="Times New Roman" w:hAnsi="Times New Roman" w:cs="Times New Roman"/>
                <w:color w:val="000000"/>
                <w:szCs w:val="22"/>
                <w:lang w:eastAsia="en-GB"/>
              </w:rPr>
              <w:t xml:space="preserve">, institutions shall </w:t>
            </w:r>
            <w:r w:rsidR="00B54332" w:rsidRPr="00482070">
              <w:rPr>
                <w:rFonts w:ascii="Times New Roman" w:eastAsia="Times New Roman" w:hAnsi="Times New Roman" w:cs="Times New Roman"/>
                <w:color w:val="000000"/>
                <w:szCs w:val="22"/>
                <w:lang w:eastAsia="en-GB"/>
              </w:rPr>
              <w:t xml:space="preserve">provide a general </w:t>
            </w:r>
            <w:r w:rsidR="008F617B" w:rsidRPr="00482070">
              <w:rPr>
                <w:rFonts w:ascii="Times New Roman" w:eastAsia="Times New Roman" w:hAnsi="Times New Roman" w:cs="Times New Roman"/>
                <w:color w:val="000000"/>
                <w:szCs w:val="22"/>
                <w:lang w:eastAsia="en-GB"/>
              </w:rPr>
              <w:t>descri</w:t>
            </w:r>
            <w:r w:rsidR="00B54332" w:rsidRPr="00482070">
              <w:rPr>
                <w:rFonts w:ascii="Times New Roman" w:eastAsia="Times New Roman" w:hAnsi="Times New Roman" w:cs="Times New Roman"/>
                <w:color w:val="000000"/>
                <w:szCs w:val="22"/>
                <w:lang w:eastAsia="en-GB"/>
              </w:rPr>
              <w:t>ption of</w:t>
            </w:r>
            <w:r w:rsidR="008F617B" w:rsidRPr="00482070">
              <w:rPr>
                <w:rFonts w:ascii="Times New Roman" w:eastAsia="Times New Roman" w:hAnsi="Times New Roman" w:cs="Times New Roman"/>
                <w:color w:val="000000"/>
                <w:szCs w:val="22"/>
                <w:lang w:eastAsia="en-GB"/>
              </w:rPr>
              <w:t xml:space="preserve"> the specific risk measures that are used to estimate changes in their economic value of equity and in their net interest income</w:t>
            </w:r>
            <w:r w:rsidRPr="00482070">
              <w:rPr>
                <w:rFonts w:ascii="Times New Roman" w:eastAsia="Times New Roman" w:hAnsi="Times New Roman" w:cs="Times New Roman"/>
                <w:color w:val="000000"/>
                <w:szCs w:val="22"/>
                <w:lang w:eastAsia="en-GB"/>
              </w:rPr>
              <w:t xml:space="preserve"> and i</w:t>
            </w:r>
            <w:r w:rsidR="008F617B" w:rsidRPr="00482070">
              <w:rPr>
                <w:rFonts w:ascii="Times New Roman" w:eastAsia="Times New Roman" w:hAnsi="Times New Roman" w:cs="Times New Roman"/>
                <w:color w:val="000000"/>
                <w:szCs w:val="22"/>
                <w:lang w:eastAsia="en-GB"/>
              </w:rPr>
              <w:t>ndicate the periodicity of the evaluation of the interest rate risks.</w:t>
            </w:r>
          </w:p>
          <w:p w14:paraId="3C576B31" w14:textId="45CC3BFE" w:rsidR="0013410F" w:rsidRPr="00482070" w:rsidRDefault="0013410F" w:rsidP="00B650A9">
            <w:pPr>
              <w:spacing w:after="120"/>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 xml:space="preserve">In accordance with Article 448(2) CRR, the description of the specific risk measures used to gauge the sensitivity to IRRBB shall not apply to institutions </w:t>
            </w:r>
            <w:r w:rsidRPr="00482070">
              <w:rPr>
                <w:rFonts w:ascii="Times New Roman" w:eastAsia="Times New Roman" w:hAnsi="Times New Roman" w:cs="Times New Roman"/>
                <w:color w:val="000000"/>
                <w:szCs w:val="22"/>
                <w:lang w:eastAsia="en-GB"/>
              </w:rPr>
              <w:lastRenderedPageBreak/>
              <w:t>that use the standardised methodology or the simplified standardised methodology referred to in Article 84(1) CRD.</w:t>
            </w:r>
          </w:p>
        </w:tc>
      </w:tr>
      <w:tr w:rsidR="00716636" w:rsidRPr="00482070" w14:paraId="3452DFD3" w14:textId="77777777" w:rsidTr="00C143B2">
        <w:trPr>
          <w:trHeight w:val="197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93A998" w14:textId="3472E13E" w:rsidR="00716636" w:rsidRPr="00482070" w:rsidRDefault="00716636" w:rsidP="00F930E4">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lastRenderedPageBreak/>
              <w:t>(d)</w:t>
            </w:r>
          </w:p>
        </w:tc>
        <w:tc>
          <w:tcPr>
            <w:tcW w:w="7371" w:type="dxa"/>
            <w:tcBorders>
              <w:top w:val="single" w:sz="4" w:space="0" w:color="auto"/>
              <w:left w:val="nil"/>
              <w:bottom w:val="single" w:sz="4" w:space="0" w:color="auto"/>
              <w:right w:val="single" w:sz="4" w:space="0" w:color="auto"/>
            </w:tcBorders>
            <w:shd w:val="clear" w:color="auto" w:fill="auto"/>
            <w:vAlign w:val="center"/>
          </w:tcPr>
          <w:p w14:paraId="086EC818" w14:textId="713F89A4" w:rsidR="00716636" w:rsidRPr="00482070" w:rsidRDefault="00716636" w:rsidP="00716636">
            <w:pPr>
              <w:spacing w:before="120" w:after="120"/>
              <w:jc w:val="both"/>
              <w:rPr>
                <w:rFonts w:ascii="Times New Roman" w:eastAsia="Times New Roman" w:hAnsi="Times New Roman" w:cs="Times New Roman"/>
                <w:b/>
                <w:color w:val="000000"/>
                <w:sz w:val="24"/>
                <w:szCs w:val="22"/>
                <w:lang w:eastAsia="en-GB"/>
              </w:rPr>
            </w:pPr>
            <w:r w:rsidRPr="00482070">
              <w:rPr>
                <w:rFonts w:ascii="Times New Roman" w:eastAsia="Times New Roman" w:hAnsi="Times New Roman" w:cs="Times New Roman"/>
                <w:b/>
                <w:color w:val="000000"/>
                <w:sz w:val="24"/>
                <w:szCs w:val="22"/>
                <w:lang w:eastAsia="en-GB"/>
              </w:rPr>
              <w:t>A description of the interest rate shock and stress scenarios</w:t>
            </w:r>
            <w:r w:rsidR="00EA1CF8" w:rsidRPr="00482070">
              <w:rPr>
                <w:rFonts w:ascii="Times New Roman" w:eastAsia="Times New Roman" w:hAnsi="Times New Roman" w:cs="Times New Roman"/>
                <w:b/>
                <w:color w:val="000000"/>
                <w:sz w:val="24"/>
                <w:szCs w:val="22"/>
                <w:lang w:eastAsia="en-GB"/>
              </w:rPr>
              <w:t xml:space="preserve"> that the institution</w:t>
            </w:r>
            <w:r w:rsidRPr="00482070">
              <w:rPr>
                <w:rFonts w:ascii="Times New Roman" w:eastAsia="Times New Roman" w:hAnsi="Times New Roman" w:cs="Times New Roman"/>
                <w:b/>
                <w:color w:val="000000"/>
                <w:sz w:val="24"/>
                <w:szCs w:val="22"/>
                <w:lang w:eastAsia="en-GB"/>
              </w:rPr>
              <w:t xml:space="preserve"> uses to estimate changes in the economic value and in </w:t>
            </w:r>
            <w:r w:rsidR="00580D58" w:rsidRPr="00482070">
              <w:rPr>
                <w:rFonts w:ascii="Times New Roman" w:eastAsia="Times New Roman" w:hAnsi="Times New Roman" w:cs="Times New Roman"/>
                <w:b/>
                <w:color w:val="000000"/>
                <w:sz w:val="24"/>
                <w:szCs w:val="22"/>
                <w:lang w:eastAsia="en-GB"/>
              </w:rPr>
              <w:t>net interest income</w:t>
            </w:r>
            <w:r w:rsidR="0013410F" w:rsidRPr="00482070">
              <w:rPr>
                <w:rFonts w:ascii="Times New Roman" w:eastAsia="Times New Roman" w:hAnsi="Times New Roman" w:cs="Times New Roman"/>
                <w:b/>
                <w:color w:val="000000"/>
                <w:sz w:val="24"/>
                <w:szCs w:val="22"/>
                <w:lang w:eastAsia="en-GB"/>
              </w:rPr>
              <w:t xml:space="preserve"> (if applicable)</w:t>
            </w:r>
          </w:p>
          <w:p w14:paraId="24AB856B" w14:textId="283609C1" w:rsidR="00716636" w:rsidRPr="00A77093" w:rsidRDefault="00716636" w:rsidP="00226654">
            <w:pPr>
              <w:spacing w:before="120" w:after="120"/>
              <w:jc w:val="both"/>
              <w:rPr>
                <w:rFonts w:ascii="Times New Roman" w:eastAsia="Times New Roman" w:hAnsi="Times New Roman" w:cs="Times New Roman"/>
                <w:color w:val="000000"/>
                <w:szCs w:val="22"/>
                <w:lang w:eastAsia="en-GB"/>
              </w:rPr>
            </w:pPr>
            <w:r w:rsidRPr="00F10FFC">
              <w:rPr>
                <w:rFonts w:ascii="Times New Roman" w:eastAsia="Times New Roman" w:hAnsi="Times New Roman" w:cs="Times New Roman"/>
                <w:color w:val="000000"/>
                <w:szCs w:val="22"/>
                <w:lang w:eastAsia="en-GB"/>
              </w:rPr>
              <w:t>In accordance with Article 448(1)</w:t>
            </w:r>
            <w:r w:rsidR="00A77093" w:rsidRPr="00F10FFC">
              <w:rPr>
                <w:rFonts w:ascii="Times New Roman" w:eastAsia="Times New Roman" w:hAnsi="Times New Roman" w:cs="Times New Roman"/>
                <w:color w:val="000000"/>
                <w:szCs w:val="22"/>
                <w:lang w:eastAsia="en-GB"/>
              </w:rPr>
              <w:t>,</w:t>
            </w:r>
            <w:r w:rsidR="00A8375D" w:rsidRPr="00F10FFC">
              <w:rPr>
                <w:rFonts w:ascii="Times New Roman" w:eastAsia="Times New Roman" w:hAnsi="Times New Roman" w:cs="Times New Roman"/>
                <w:color w:val="000000"/>
                <w:szCs w:val="22"/>
                <w:lang w:eastAsia="en-GB"/>
              </w:rPr>
              <w:t xml:space="preserve"> </w:t>
            </w:r>
            <w:r w:rsidR="00A77093" w:rsidRPr="00F10FFC">
              <w:rPr>
                <w:rFonts w:ascii="Times New Roman" w:eastAsia="Times New Roman" w:hAnsi="Times New Roman" w:cs="Times New Roman"/>
                <w:color w:val="000000"/>
                <w:szCs w:val="22"/>
                <w:lang w:eastAsia="en-GB"/>
              </w:rPr>
              <w:t xml:space="preserve">point (e)(iii) </w:t>
            </w:r>
            <w:r w:rsidR="00A8375D" w:rsidRPr="00F10FFC">
              <w:rPr>
                <w:rFonts w:ascii="Times New Roman" w:eastAsia="Times New Roman" w:hAnsi="Times New Roman" w:cs="Times New Roman"/>
                <w:color w:val="000000"/>
                <w:szCs w:val="22"/>
                <w:lang w:eastAsia="en-GB"/>
              </w:rPr>
              <w:t>CRR</w:t>
            </w:r>
            <w:r w:rsidRPr="00F10FFC">
              <w:rPr>
                <w:rFonts w:ascii="Times New Roman" w:eastAsia="Times New Roman" w:hAnsi="Times New Roman" w:cs="Times New Roman"/>
                <w:color w:val="000000"/>
                <w:szCs w:val="22"/>
                <w:lang w:eastAsia="en-GB"/>
              </w:rPr>
              <w:t xml:space="preserve">, institutions shall </w:t>
            </w:r>
            <w:r w:rsidR="00B54332" w:rsidRPr="00F10FFC">
              <w:rPr>
                <w:rFonts w:ascii="Times New Roman" w:eastAsia="Times New Roman" w:hAnsi="Times New Roman" w:cs="Times New Roman"/>
                <w:color w:val="000000"/>
                <w:szCs w:val="22"/>
                <w:lang w:eastAsia="en-GB"/>
              </w:rPr>
              <w:t xml:space="preserve">provide a general </w:t>
            </w:r>
            <w:r w:rsidRPr="00A77093">
              <w:rPr>
                <w:rFonts w:ascii="Times New Roman" w:eastAsia="Times New Roman" w:hAnsi="Times New Roman" w:cs="Times New Roman"/>
                <w:color w:val="000000"/>
                <w:szCs w:val="22"/>
                <w:lang w:eastAsia="en-GB"/>
              </w:rPr>
              <w:t>descri</w:t>
            </w:r>
            <w:r w:rsidR="00B54332" w:rsidRPr="00A77093">
              <w:rPr>
                <w:rFonts w:ascii="Times New Roman" w:eastAsia="Times New Roman" w:hAnsi="Times New Roman" w:cs="Times New Roman"/>
                <w:color w:val="000000"/>
                <w:szCs w:val="22"/>
                <w:lang w:eastAsia="en-GB"/>
              </w:rPr>
              <w:t>ption of</w:t>
            </w:r>
            <w:r w:rsidRPr="00A77093">
              <w:rPr>
                <w:rFonts w:ascii="Times New Roman" w:eastAsia="Times New Roman" w:hAnsi="Times New Roman" w:cs="Times New Roman"/>
                <w:color w:val="000000"/>
                <w:szCs w:val="22"/>
                <w:lang w:eastAsia="en-GB"/>
              </w:rPr>
              <w:t xml:space="preserve"> the interest rate shock scenarios used to estimate the interest rate risk.</w:t>
            </w:r>
          </w:p>
          <w:p w14:paraId="05DE1832" w14:textId="632A12E4" w:rsidR="0013410F" w:rsidRPr="00482070" w:rsidRDefault="0013410F" w:rsidP="00226654">
            <w:pPr>
              <w:spacing w:before="120" w:after="120"/>
              <w:jc w:val="both"/>
              <w:rPr>
                <w:rFonts w:ascii="Times New Roman" w:eastAsia="Times New Roman" w:hAnsi="Times New Roman" w:cs="Times New Roman"/>
                <w:color w:val="000000"/>
                <w:sz w:val="24"/>
                <w:szCs w:val="22"/>
                <w:lang w:eastAsia="en-GB"/>
              </w:rPr>
            </w:pPr>
            <w:r w:rsidRPr="00482070">
              <w:rPr>
                <w:rFonts w:ascii="Times New Roman" w:eastAsia="Times New Roman" w:hAnsi="Times New Roman" w:cs="Times New Roman"/>
                <w:color w:val="000000"/>
                <w:szCs w:val="22"/>
                <w:lang w:eastAsia="en-GB"/>
              </w:rPr>
              <w:t>In accordance with Article 448(2) CRR, these disclosure requirements shall not apply to institutions that use the standardised methodology or the simplified standardised methodology referred to in Article 84(1) CRD.</w:t>
            </w:r>
          </w:p>
        </w:tc>
      </w:tr>
      <w:tr w:rsidR="00716636" w:rsidRPr="00482070" w14:paraId="7F74CA5A" w14:textId="77777777" w:rsidTr="00005B93">
        <w:trPr>
          <w:trHeight w:val="29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210618" w14:textId="7713D88E" w:rsidR="00716636" w:rsidRPr="00482070" w:rsidRDefault="00716636" w:rsidP="00F930E4">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(e)</w:t>
            </w:r>
          </w:p>
        </w:tc>
        <w:tc>
          <w:tcPr>
            <w:tcW w:w="7371" w:type="dxa"/>
            <w:tcBorders>
              <w:top w:val="single" w:sz="4" w:space="0" w:color="auto"/>
              <w:left w:val="nil"/>
              <w:bottom w:val="single" w:sz="4" w:space="0" w:color="auto"/>
              <w:right w:val="single" w:sz="4" w:space="0" w:color="auto"/>
            </w:tcBorders>
            <w:shd w:val="clear" w:color="auto" w:fill="auto"/>
            <w:vAlign w:val="center"/>
          </w:tcPr>
          <w:p w14:paraId="7576C839" w14:textId="00FE41FE" w:rsidR="0094340A" w:rsidRPr="00482070" w:rsidRDefault="0094340A" w:rsidP="00F930E4">
            <w:pPr>
              <w:spacing w:before="120" w:after="120"/>
              <w:jc w:val="both"/>
              <w:rPr>
                <w:rFonts w:ascii="Times New Roman" w:eastAsia="Times New Roman" w:hAnsi="Times New Roman" w:cs="Times New Roman"/>
                <w:b/>
                <w:color w:val="000000"/>
                <w:sz w:val="24"/>
                <w:szCs w:val="22"/>
                <w:lang w:eastAsia="en-GB"/>
              </w:rPr>
            </w:pPr>
            <w:r w:rsidRPr="00482070">
              <w:rPr>
                <w:rFonts w:ascii="Times New Roman" w:eastAsia="Times New Roman" w:hAnsi="Times New Roman" w:cs="Times New Roman"/>
                <w:b/>
                <w:color w:val="000000"/>
                <w:sz w:val="24"/>
                <w:szCs w:val="22"/>
                <w:lang w:eastAsia="en-GB"/>
              </w:rPr>
              <w:t>A description of the key modelling and parametric assumptions</w:t>
            </w:r>
            <w:r w:rsidR="00862897" w:rsidRPr="00482070">
              <w:rPr>
                <w:rFonts w:ascii="Times New Roman" w:eastAsia="Times New Roman" w:hAnsi="Times New Roman" w:cs="Times New Roman"/>
                <w:b/>
                <w:color w:val="000000"/>
                <w:sz w:val="24"/>
                <w:szCs w:val="22"/>
                <w:lang w:eastAsia="en-GB"/>
              </w:rPr>
              <w:t xml:space="preserve"> different</w:t>
            </w:r>
            <w:r w:rsidR="00711138" w:rsidRPr="00482070">
              <w:rPr>
                <w:rFonts w:ascii="Times New Roman" w:eastAsia="Times New Roman" w:hAnsi="Times New Roman" w:cs="Times New Roman"/>
                <w:b/>
                <w:color w:val="000000"/>
                <w:sz w:val="24"/>
                <w:szCs w:val="22"/>
                <w:lang w:eastAsia="en-GB"/>
              </w:rPr>
              <w:t xml:space="preserve"> </w:t>
            </w:r>
            <w:r w:rsidR="00862897" w:rsidRPr="00482070">
              <w:rPr>
                <w:rFonts w:ascii="Times New Roman" w:eastAsia="Times New Roman" w:hAnsi="Times New Roman" w:cs="Times New Roman"/>
                <w:b/>
                <w:color w:val="000000"/>
                <w:sz w:val="24"/>
                <w:szCs w:val="22"/>
                <w:lang w:eastAsia="en-GB"/>
              </w:rPr>
              <w:t xml:space="preserve">from </w:t>
            </w:r>
            <w:r w:rsidR="00FB0584" w:rsidRPr="00482070">
              <w:rPr>
                <w:rFonts w:ascii="Times New Roman" w:eastAsia="Times New Roman" w:hAnsi="Times New Roman" w:cs="Times New Roman"/>
                <w:b/>
                <w:color w:val="000000"/>
                <w:sz w:val="24"/>
                <w:szCs w:val="22"/>
                <w:lang w:eastAsia="en-GB"/>
              </w:rPr>
              <w:t>those used for</w:t>
            </w:r>
            <w:r w:rsidR="00711138" w:rsidRPr="00482070">
              <w:rPr>
                <w:rFonts w:ascii="Times New Roman" w:eastAsia="Times New Roman" w:hAnsi="Times New Roman" w:cs="Times New Roman"/>
                <w:b/>
                <w:color w:val="000000"/>
                <w:sz w:val="24"/>
                <w:szCs w:val="22"/>
                <w:lang w:eastAsia="en-GB"/>
              </w:rPr>
              <w:t xml:space="preserve"> disclosure of </w:t>
            </w:r>
            <w:r w:rsidR="00146DB4" w:rsidRPr="00482070">
              <w:rPr>
                <w:rFonts w:ascii="Times New Roman" w:eastAsia="Times New Roman" w:hAnsi="Times New Roman" w:cs="Times New Roman"/>
                <w:b/>
                <w:color w:val="000000"/>
                <w:sz w:val="24"/>
                <w:szCs w:val="22"/>
                <w:lang w:eastAsia="en-GB"/>
              </w:rPr>
              <w:t xml:space="preserve">template EU </w:t>
            </w:r>
            <w:r w:rsidR="00711138" w:rsidRPr="00482070">
              <w:rPr>
                <w:rFonts w:ascii="Times New Roman" w:eastAsia="Times New Roman" w:hAnsi="Times New Roman" w:cs="Times New Roman"/>
                <w:b/>
                <w:color w:val="000000"/>
                <w:sz w:val="24"/>
                <w:szCs w:val="22"/>
                <w:lang w:eastAsia="en-GB"/>
              </w:rPr>
              <w:t>IRRBB1</w:t>
            </w:r>
            <w:r w:rsidR="0013410F" w:rsidRPr="00482070">
              <w:rPr>
                <w:rFonts w:ascii="Times New Roman" w:eastAsia="Times New Roman" w:hAnsi="Times New Roman" w:cs="Times New Roman"/>
                <w:b/>
                <w:color w:val="000000"/>
                <w:sz w:val="24"/>
                <w:szCs w:val="22"/>
                <w:lang w:eastAsia="en-GB"/>
              </w:rPr>
              <w:t xml:space="preserve"> (if applicable)</w:t>
            </w:r>
          </w:p>
          <w:p w14:paraId="15A00557" w14:textId="3C2107A8" w:rsidR="00716636" w:rsidRPr="00482070" w:rsidRDefault="0094340A" w:rsidP="0094340A">
            <w:pPr>
              <w:spacing w:before="120" w:after="120"/>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In accordance with Article 448 (1)</w:t>
            </w:r>
            <w:r w:rsidR="00A77093">
              <w:rPr>
                <w:rFonts w:ascii="Times New Roman" w:eastAsia="Times New Roman" w:hAnsi="Times New Roman" w:cs="Times New Roman"/>
                <w:color w:val="000000"/>
                <w:szCs w:val="22"/>
                <w:lang w:eastAsia="en-GB"/>
              </w:rPr>
              <w:t>,</w:t>
            </w:r>
            <w:r w:rsidR="00A8375D" w:rsidRPr="00482070">
              <w:rPr>
                <w:rFonts w:ascii="Times New Roman" w:eastAsia="Times New Roman" w:hAnsi="Times New Roman" w:cs="Times New Roman"/>
                <w:color w:val="000000"/>
                <w:szCs w:val="22"/>
                <w:lang w:eastAsia="en-GB"/>
              </w:rPr>
              <w:t xml:space="preserve"> </w:t>
            </w:r>
            <w:r w:rsidR="00A77093" w:rsidRPr="00482070">
              <w:rPr>
                <w:rFonts w:ascii="Times New Roman" w:eastAsia="Times New Roman" w:hAnsi="Times New Roman" w:cs="Times New Roman"/>
                <w:color w:val="000000"/>
                <w:szCs w:val="22"/>
                <w:lang w:eastAsia="en-GB"/>
              </w:rPr>
              <w:t xml:space="preserve">point (e)(ii) </w:t>
            </w:r>
            <w:r w:rsidR="00A8375D" w:rsidRPr="00482070">
              <w:rPr>
                <w:rFonts w:ascii="Times New Roman" w:eastAsia="Times New Roman" w:hAnsi="Times New Roman" w:cs="Times New Roman"/>
                <w:color w:val="000000"/>
                <w:szCs w:val="22"/>
                <w:lang w:eastAsia="en-GB"/>
              </w:rPr>
              <w:t>CRR</w:t>
            </w:r>
            <w:r w:rsidRPr="00482070">
              <w:rPr>
                <w:rFonts w:ascii="Times New Roman" w:eastAsia="Times New Roman" w:hAnsi="Times New Roman" w:cs="Times New Roman"/>
                <w:color w:val="000000"/>
                <w:szCs w:val="22"/>
                <w:lang w:eastAsia="en-GB"/>
              </w:rPr>
              <w:t>, w</w:t>
            </w:r>
            <w:r w:rsidR="00716636" w:rsidRPr="00482070">
              <w:rPr>
                <w:rFonts w:ascii="Times New Roman" w:eastAsia="Times New Roman" w:hAnsi="Times New Roman" w:cs="Times New Roman"/>
                <w:color w:val="000000"/>
                <w:szCs w:val="22"/>
                <w:lang w:eastAsia="en-GB"/>
              </w:rPr>
              <w:t xml:space="preserve">here key modelling and parametric assumptions used in the institution’s internal measurement systems differ from </w:t>
            </w:r>
            <w:r w:rsidR="00146DB4" w:rsidRPr="00482070">
              <w:rPr>
                <w:rFonts w:ascii="Times New Roman" w:eastAsia="Times New Roman" w:hAnsi="Times New Roman" w:cs="Times New Roman"/>
                <w:color w:val="000000"/>
                <w:szCs w:val="22"/>
                <w:lang w:eastAsia="en-GB"/>
              </w:rPr>
              <w:t xml:space="preserve">those </w:t>
            </w:r>
            <w:r w:rsidR="00716636" w:rsidRPr="00482070">
              <w:rPr>
                <w:rFonts w:ascii="Times New Roman" w:eastAsia="Times New Roman" w:hAnsi="Times New Roman" w:cs="Times New Roman"/>
                <w:color w:val="000000"/>
                <w:szCs w:val="22"/>
                <w:lang w:eastAsia="en-GB"/>
              </w:rPr>
              <w:t>referred to in Article 98(5a) of Directive 2013/36/EU</w:t>
            </w:r>
            <w:r w:rsidR="00146DB4" w:rsidRPr="00482070">
              <w:rPr>
                <w:rFonts w:ascii="Times New Roman" w:eastAsia="Times New Roman" w:hAnsi="Times New Roman" w:cs="Times New Roman"/>
                <w:color w:val="000000"/>
                <w:szCs w:val="22"/>
                <w:lang w:eastAsia="en-GB"/>
              </w:rPr>
              <w:t xml:space="preserve"> used for disclosure of template EU IRRBB1</w:t>
            </w:r>
            <w:r w:rsidR="00716636" w:rsidRPr="00482070">
              <w:rPr>
                <w:rFonts w:ascii="Times New Roman" w:eastAsia="Times New Roman" w:hAnsi="Times New Roman" w:cs="Times New Roman"/>
                <w:color w:val="000000"/>
                <w:szCs w:val="22"/>
                <w:lang w:eastAsia="en-GB"/>
              </w:rPr>
              <w:t xml:space="preserve">, the institution shall provide a </w:t>
            </w:r>
            <w:r w:rsidR="00B54332" w:rsidRPr="00482070">
              <w:rPr>
                <w:rFonts w:ascii="Times New Roman" w:eastAsia="Times New Roman" w:hAnsi="Times New Roman" w:cs="Times New Roman"/>
                <w:color w:val="000000"/>
                <w:szCs w:val="22"/>
                <w:lang w:eastAsia="en-GB"/>
              </w:rPr>
              <w:t xml:space="preserve">general </w:t>
            </w:r>
            <w:r w:rsidR="00716636" w:rsidRPr="00482070">
              <w:rPr>
                <w:rFonts w:ascii="Times New Roman" w:eastAsia="Times New Roman" w:hAnsi="Times New Roman" w:cs="Times New Roman"/>
                <w:color w:val="000000"/>
                <w:szCs w:val="22"/>
                <w:lang w:eastAsia="en-GB"/>
              </w:rPr>
              <w:t>description of those assumptions, including the rationale for those differences (</w:t>
            </w:r>
            <w:proofErr w:type="gramStart"/>
            <w:r w:rsidR="00716636" w:rsidRPr="00482070">
              <w:rPr>
                <w:rFonts w:ascii="Times New Roman" w:eastAsia="Times New Roman" w:hAnsi="Times New Roman" w:cs="Times New Roman"/>
                <w:color w:val="000000"/>
                <w:szCs w:val="22"/>
                <w:lang w:eastAsia="en-GB"/>
              </w:rPr>
              <w:t>e.g.</w:t>
            </w:r>
            <w:proofErr w:type="gramEnd"/>
            <w:r w:rsidR="00716636" w:rsidRPr="00482070">
              <w:rPr>
                <w:rFonts w:ascii="Times New Roman" w:eastAsia="Times New Roman" w:hAnsi="Times New Roman" w:cs="Times New Roman"/>
                <w:color w:val="000000"/>
                <w:szCs w:val="22"/>
                <w:lang w:eastAsia="en-GB"/>
              </w:rPr>
              <w:t xml:space="preserve"> historical data, published research, management judgement and analysis)</w:t>
            </w:r>
            <w:r w:rsidRPr="00482070">
              <w:rPr>
                <w:rFonts w:ascii="Times New Roman" w:eastAsia="Times New Roman" w:hAnsi="Times New Roman" w:cs="Times New Roman"/>
                <w:color w:val="000000"/>
                <w:szCs w:val="22"/>
                <w:lang w:eastAsia="en-GB"/>
              </w:rPr>
              <w:t>.</w:t>
            </w:r>
          </w:p>
          <w:p w14:paraId="3FF39A57" w14:textId="22B58BED" w:rsidR="003B1160" w:rsidRPr="00482070" w:rsidRDefault="003B1160" w:rsidP="0094340A">
            <w:pPr>
              <w:spacing w:before="120" w:after="120"/>
              <w:jc w:val="both"/>
              <w:rPr>
                <w:rFonts w:ascii="Times New Roman" w:eastAsia="Times New Roman" w:hAnsi="Times New Roman" w:cs="Times New Roman"/>
                <w:b/>
                <w:color w:val="000000"/>
                <w:sz w:val="24"/>
                <w:szCs w:val="22"/>
                <w:lang w:eastAsia="en-GB"/>
              </w:rPr>
            </w:pPr>
            <w:r w:rsidRPr="00482070">
              <w:rPr>
                <w:rFonts w:ascii="Times New Roman" w:eastAsia="Times New Roman" w:hAnsi="Times New Roman" w:cs="Times New Roman"/>
                <w:b/>
                <w:color w:val="000000"/>
                <w:sz w:val="24"/>
                <w:szCs w:val="22"/>
                <w:lang w:eastAsia="en-GB"/>
              </w:rPr>
              <w:t xml:space="preserve"> </w:t>
            </w:r>
            <w:r w:rsidR="0013410F" w:rsidRPr="00482070">
              <w:rPr>
                <w:rFonts w:ascii="Times New Roman" w:eastAsia="Times New Roman" w:hAnsi="Times New Roman" w:cs="Times New Roman"/>
                <w:color w:val="000000"/>
                <w:szCs w:val="22"/>
                <w:lang w:eastAsia="en-GB"/>
              </w:rPr>
              <w:t>In accordance with Article 448(2) CRR, these disclosure requirements shall not apply to institutions that use the standardised methodology or the simplified standardised methodology referred to in Article 84(1) CRD.</w:t>
            </w:r>
          </w:p>
        </w:tc>
      </w:tr>
      <w:tr w:rsidR="0094340A" w:rsidRPr="00482070" w14:paraId="766E1A7E" w14:textId="77777777" w:rsidTr="00005B93">
        <w:trPr>
          <w:trHeight w:val="230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39BE99" w14:textId="6073D3B2" w:rsidR="0094340A" w:rsidRPr="00482070" w:rsidRDefault="0094340A" w:rsidP="00F930E4">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(f)</w:t>
            </w:r>
          </w:p>
        </w:tc>
        <w:tc>
          <w:tcPr>
            <w:tcW w:w="7371" w:type="dxa"/>
            <w:tcBorders>
              <w:top w:val="single" w:sz="4" w:space="0" w:color="auto"/>
              <w:left w:val="nil"/>
              <w:bottom w:val="single" w:sz="4" w:space="0" w:color="auto"/>
              <w:right w:val="single" w:sz="4" w:space="0" w:color="auto"/>
            </w:tcBorders>
            <w:shd w:val="clear" w:color="auto" w:fill="auto"/>
            <w:vAlign w:val="center"/>
          </w:tcPr>
          <w:p w14:paraId="0384639B" w14:textId="05CA8B66" w:rsidR="0094340A" w:rsidRPr="00482070" w:rsidRDefault="001A6E70" w:rsidP="00B650A9">
            <w:pPr>
              <w:spacing w:after="120"/>
              <w:jc w:val="both"/>
              <w:rPr>
                <w:rFonts w:ascii="Times New Roman" w:eastAsia="Times New Roman" w:hAnsi="Times New Roman" w:cs="Times New Roman"/>
                <w:b/>
                <w:color w:val="000000"/>
                <w:szCs w:val="22"/>
                <w:lang w:eastAsia="en-GB"/>
              </w:rPr>
            </w:pPr>
            <w:r w:rsidRPr="00482070">
              <w:rPr>
                <w:rFonts w:ascii="Times New Roman" w:eastAsia="Times New Roman" w:hAnsi="Times New Roman" w:cs="Times New Roman"/>
                <w:b/>
                <w:color w:val="000000"/>
                <w:szCs w:val="22"/>
                <w:lang w:eastAsia="en-GB"/>
              </w:rPr>
              <w:t xml:space="preserve">A </w:t>
            </w:r>
            <w:r w:rsidR="0094340A" w:rsidRPr="00482070">
              <w:rPr>
                <w:rFonts w:ascii="Times New Roman" w:eastAsia="Times New Roman" w:hAnsi="Times New Roman" w:cs="Times New Roman"/>
                <w:b/>
                <w:color w:val="000000"/>
                <w:szCs w:val="22"/>
                <w:lang w:eastAsia="en-GB"/>
              </w:rPr>
              <w:t>high-level description of how the institution hedges its IRRBB, as well as the associated accounting treatment</w:t>
            </w:r>
            <w:r w:rsidR="0013410F" w:rsidRPr="00482070">
              <w:rPr>
                <w:rFonts w:ascii="Times New Roman" w:eastAsia="Times New Roman" w:hAnsi="Times New Roman" w:cs="Times New Roman"/>
                <w:b/>
                <w:color w:val="000000"/>
                <w:szCs w:val="22"/>
                <w:lang w:eastAsia="en-GB"/>
              </w:rPr>
              <w:t xml:space="preserve"> (if applicable)</w:t>
            </w:r>
          </w:p>
          <w:p w14:paraId="70B99ACF" w14:textId="5A2F8A00" w:rsidR="0094340A" w:rsidRPr="00482070" w:rsidRDefault="001A6E70" w:rsidP="00B650A9">
            <w:pPr>
              <w:spacing w:after="120"/>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Specifically, in accordance with Article 448 (1)</w:t>
            </w:r>
            <w:r w:rsidR="00A77093">
              <w:rPr>
                <w:rFonts w:ascii="Times New Roman" w:eastAsia="Times New Roman" w:hAnsi="Times New Roman" w:cs="Times New Roman"/>
                <w:color w:val="000000"/>
                <w:szCs w:val="22"/>
                <w:lang w:eastAsia="en-GB"/>
              </w:rPr>
              <w:t>,</w:t>
            </w:r>
            <w:r w:rsidR="00A8375D" w:rsidRPr="00482070">
              <w:rPr>
                <w:rFonts w:ascii="Times New Roman" w:eastAsia="Times New Roman" w:hAnsi="Times New Roman" w:cs="Times New Roman"/>
                <w:color w:val="000000"/>
                <w:szCs w:val="22"/>
                <w:lang w:eastAsia="en-GB"/>
              </w:rPr>
              <w:t xml:space="preserve"> </w:t>
            </w:r>
            <w:r w:rsidR="00A77093" w:rsidRPr="00482070">
              <w:rPr>
                <w:rFonts w:ascii="Times New Roman" w:eastAsia="Times New Roman" w:hAnsi="Times New Roman" w:cs="Times New Roman"/>
                <w:color w:val="000000"/>
                <w:szCs w:val="22"/>
                <w:lang w:eastAsia="en-GB"/>
              </w:rPr>
              <w:t xml:space="preserve">point (e)(iv) </w:t>
            </w:r>
            <w:r w:rsidR="00A8375D" w:rsidRPr="00482070">
              <w:rPr>
                <w:rFonts w:ascii="Times New Roman" w:eastAsia="Times New Roman" w:hAnsi="Times New Roman" w:cs="Times New Roman"/>
                <w:color w:val="000000"/>
                <w:szCs w:val="22"/>
                <w:lang w:eastAsia="en-GB"/>
              </w:rPr>
              <w:t>CRR</w:t>
            </w:r>
            <w:r w:rsidRPr="00482070">
              <w:rPr>
                <w:rFonts w:ascii="Times New Roman" w:eastAsia="Times New Roman" w:hAnsi="Times New Roman" w:cs="Times New Roman"/>
                <w:color w:val="000000"/>
                <w:szCs w:val="22"/>
                <w:lang w:eastAsia="en-GB"/>
              </w:rPr>
              <w:t xml:space="preserve">, institutions shall </w:t>
            </w:r>
            <w:r w:rsidR="0094340A" w:rsidRPr="00482070">
              <w:rPr>
                <w:rFonts w:ascii="Times New Roman" w:eastAsia="Times New Roman" w:hAnsi="Times New Roman" w:cs="Times New Roman"/>
                <w:color w:val="000000"/>
                <w:szCs w:val="22"/>
                <w:lang w:eastAsia="en-GB"/>
              </w:rPr>
              <w:t>identify the effect of hedges against their interest rate risks, including internal hedges that meet the requirements laid down in Article 106(3)</w:t>
            </w:r>
            <w:r w:rsidR="00005B93" w:rsidRPr="00482070">
              <w:rPr>
                <w:rFonts w:ascii="Times New Roman" w:eastAsia="Times New Roman" w:hAnsi="Times New Roman" w:cs="Times New Roman"/>
                <w:color w:val="000000"/>
                <w:szCs w:val="22"/>
                <w:lang w:eastAsia="en-GB"/>
              </w:rPr>
              <w:t xml:space="preserve"> CRR</w:t>
            </w:r>
            <w:r w:rsidR="0094340A" w:rsidRPr="00482070">
              <w:rPr>
                <w:rFonts w:ascii="Times New Roman" w:eastAsia="Times New Roman" w:hAnsi="Times New Roman" w:cs="Times New Roman"/>
                <w:color w:val="000000"/>
                <w:szCs w:val="22"/>
                <w:lang w:eastAsia="en-GB"/>
              </w:rPr>
              <w:t>.</w:t>
            </w:r>
          </w:p>
          <w:p w14:paraId="4C51BA8A" w14:textId="1B74F89A" w:rsidR="0013410F" w:rsidRPr="00482070" w:rsidRDefault="0013410F" w:rsidP="00B650A9">
            <w:pPr>
              <w:spacing w:after="120"/>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In accordance with Article 448(2) CRR, these disclosure requirements shall not apply to institutions that use the standardised methodology or the simplified standardised methodology referred to in Article 84(1) CRD.</w:t>
            </w:r>
          </w:p>
        </w:tc>
      </w:tr>
      <w:tr w:rsidR="00CD3692" w:rsidRPr="00482070" w14:paraId="6344348E" w14:textId="77777777" w:rsidTr="0064412E">
        <w:trPr>
          <w:trHeight w:val="140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2B4B5" w14:textId="349E9B67" w:rsidR="00CD3692" w:rsidRPr="00482070" w:rsidRDefault="00CF6849" w:rsidP="00F930E4">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(g</w:t>
            </w:r>
            <w:r w:rsidR="00CD3692" w:rsidRPr="00482070">
              <w:rPr>
                <w:rFonts w:ascii="Times New Roman" w:eastAsia="Times New Roman" w:hAnsi="Times New Roman" w:cs="Times New Roman"/>
                <w:color w:val="000000"/>
                <w:szCs w:val="22"/>
                <w:lang w:eastAsia="en-GB"/>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01DB3390" w14:textId="6E2E0F9E" w:rsidR="00CD3692" w:rsidRPr="00482070" w:rsidRDefault="00EA1CF8" w:rsidP="00B650A9">
            <w:pPr>
              <w:spacing w:before="120" w:after="120"/>
              <w:jc w:val="both"/>
              <w:rPr>
                <w:rFonts w:ascii="Times New Roman" w:eastAsia="Times New Roman" w:hAnsi="Times New Roman" w:cs="Times New Roman"/>
                <w:color w:val="000000"/>
                <w:sz w:val="24"/>
                <w:szCs w:val="22"/>
                <w:lang w:eastAsia="en-GB"/>
              </w:rPr>
            </w:pPr>
            <w:r w:rsidRPr="00482070">
              <w:rPr>
                <w:rFonts w:ascii="Times New Roman" w:eastAsia="Times New Roman" w:hAnsi="Times New Roman" w:cs="Times New Roman"/>
                <w:b/>
                <w:color w:val="000000"/>
                <w:sz w:val="24"/>
                <w:szCs w:val="22"/>
                <w:lang w:eastAsia="en-GB"/>
              </w:rPr>
              <w:t>A d</w:t>
            </w:r>
            <w:r w:rsidR="00013240" w:rsidRPr="00482070">
              <w:rPr>
                <w:rFonts w:ascii="Times New Roman" w:eastAsia="Times New Roman" w:hAnsi="Times New Roman" w:cs="Times New Roman"/>
                <w:b/>
                <w:color w:val="000000"/>
                <w:sz w:val="24"/>
                <w:szCs w:val="22"/>
                <w:lang w:eastAsia="en-GB"/>
              </w:rPr>
              <w:t>escription of key modelling and parametric assumptions</w:t>
            </w:r>
            <w:r w:rsidR="002711B6" w:rsidRPr="00482070">
              <w:rPr>
                <w:rFonts w:ascii="Times New Roman" w:eastAsia="Times New Roman" w:hAnsi="Times New Roman" w:cs="Times New Roman"/>
                <w:b/>
                <w:color w:val="000000"/>
                <w:sz w:val="24"/>
                <w:szCs w:val="22"/>
                <w:lang w:eastAsia="en-GB"/>
              </w:rPr>
              <w:t xml:space="preserve"> used for the IRRBB</w:t>
            </w:r>
            <w:r w:rsidR="007A4AA0" w:rsidRPr="00482070">
              <w:rPr>
                <w:rFonts w:ascii="Times New Roman" w:eastAsia="Times New Roman" w:hAnsi="Times New Roman" w:cs="Times New Roman"/>
                <w:b/>
                <w:color w:val="000000"/>
                <w:sz w:val="24"/>
                <w:szCs w:val="22"/>
                <w:lang w:eastAsia="en-GB"/>
              </w:rPr>
              <w:t xml:space="preserve"> </w:t>
            </w:r>
            <w:r w:rsidR="002711B6" w:rsidRPr="00482070">
              <w:rPr>
                <w:rFonts w:ascii="Times New Roman" w:eastAsia="Times New Roman" w:hAnsi="Times New Roman" w:cs="Times New Roman"/>
                <w:b/>
                <w:color w:val="000000"/>
                <w:sz w:val="24"/>
                <w:szCs w:val="22"/>
                <w:lang w:eastAsia="en-GB"/>
              </w:rPr>
              <w:t>measures</w:t>
            </w:r>
            <w:r w:rsidR="00775FD9" w:rsidRPr="00482070">
              <w:rPr>
                <w:rFonts w:ascii="Times New Roman" w:eastAsia="Times New Roman" w:hAnsi="Times New Roman" w:cs="Times New Roman"/>
                <w:b/>
                <w:color w:val="000000"/>
                <w:sz w:val="24"/>
                <w:szCs w:val="22"/>
                <w:lang w:eastAsia="en-GB"/>
              </w:rPr>
              <w:t xml:space="preserve"> in template </w:t>
            </w:r>
            <w:r w:rsidR="00146DB4" w:rsidRPr="00482070">
              <w:rPr>
                <w:rFonts w:ascii="Times New Roman" w:eastAsia="Times New Roman" w:hAnsi="Times New Roman" w:cs="Times New Roman"/>
                <w:b/>
                <w:color w:val="000000"/>
                <w:sz w:val="24"/>
                <w:szCs w:val="22"/>
                <w:lang w:eastAsia="en-GB"/>
              </w:rPr>
              <w:t xml:space="preserve">EU </w:t>
            </w:r>
            <w:r w:rsidR="00775FD9" w:rsidRPr="00482070">
              <w:rPr>
                <w:rFonts w:ascii="Times New Roman" w:eastAsia="Times New Roman" w:hAnsi="Times New Roman" w:cs="Times New Roman"/>
                <w:b/>
                <w:color w:val="000000"/>
                <w:sz w:val="24"/>
                <w:szCs w:val="22"/>
                <w:lang w:eastAsia="en-GB"/>
              </w:rPr>
              <w:t>IRRBB1</w:t>
            </w:r>
            <w:r w:rsidR="00013240" w:rsidRPr="00482070">
              <w:rPr>
                <w:rFonts w:ascii="Times New Roman" w:eastAsia="Times New Roman" w:hAnsi="Times New Roman" w:cs="Times New Roman"/>
                <w:b/>
                <w:color w:val="000000"/>
                <w:sz w:val="24"/>
                <w:szCs w:val="22"/>
                <w:lang w:eastAsia="en-GB"/>
              </w:rPr>
              <w:t xml:space="preserve"> </w:t>
            </w:r>
            <w:r w:rsidR="005E2B3A" w:rsidRPr="00482070">
              <w:rPr>
                <w:rFonts w:ascii="Times New Roman" w:eastAsia="Times New Roman" w:hAnsi="Times New Roman" w:cs="Times New Roman"/>
                <w:b/>
                <w:color w:val="000000"/>
                <w:sz w:val="24"/>
                <w:szCs w:val="22"/>
                <w:lang w:eastAsia="en-GB"/>
              </w:rPr>
              <w:t>(if applicable)</w:t>
            </w:r>
          </w:p>
          <w:p w14:paraId="083A4172" w14:textId="179167AB" w:rsidR="00CD3692" w:rsidRPr="00482070" w:rsidRDefault="00133E44" w:rsidP="00B650A9">
            <w:pPr>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 xml:space="preserve">In accordance with </w:t>
            </w:r>
            <w:r w:rsidR="00013240" w:rsidRPr="00482070">
              <w:rPr>
                <w:rFonts w:ascii="Times New Roman" w:eastAsia="Times New Roman" w:hAnsi="Times New Roman" w:cs="Times New Roman"/>
                <w:color w:val="000000"/>
                <w:szCs w:val="22"/>
                <w:lang w:eastAsia="en-GB"/>
              </w:rPr>
              <w:t>Article 448</w:t>
            </w:r>
            <w:r w:rsidR="00CD3692" w:rsidRPr="00482070">
              <w:rPr>
                <w:rFonts w:ascii="Times New Roman" w:eastAsia="Times New Roman" w:hAnsi="Times New Roman" w:cs="Times New Roman"/>
                <w:color w:val="000000"/>
                <w:szCs w:val="22"/>
                <w:lang w:eastAsia="en-GB"/>
              </w:rPr>
              <w:t>(1)</w:t>
            </w:r>
            <w:r w:rsidR="00A77093">
              <w:rPr>
                <w:rFonts w:ascii="Times New Roman" w:eastAsia="Times New Roman" w:hAnsi="Times New Roman" w:cs="Times New Roman"/>
                <w:color w:val="000000"/>
                <w:szCs w:val="22"/>
                <w:lang w:eastAsia="en-GB"/>
              </w:rPr>
              <w:t>,</w:t>
            </w:r>
            <w:r w:rsidR="00CD3692" w:rsidRPr="00482070">
              <w:rPr>
                <w:rFonts w:ascii="Times New Roman" w:eastAsia="Times New Roman" w:hAnsi="Times New Roman" w:cs="Times New Roman"/>
                <w:color w:val="000000"/>
                <w:szCs w:val="22"/>
                <w:lang w:eastAsia="en-GB"/>
              </w:rPr>
              <w:t xml:space="preserve"> </w:t>
            </w:r>
            <w:r w:rsidR="00A77093" w:rsidRPr="00482070">
              <w:rPr>
                <w:rFonts w:ascii="Times New Roman" w:eastAsia="Times New Roman" w:hAnsi="Times New Roman" w:cs="Times New Roman"/>
                <w:color w:val="000000"/>
                <w:szCs w:val="22"/>
                <w:lang w:eastAsia="en-GB"/>
              </w:rPr>
              <w:t xml:space="preserve">point (c) </w:t>
            </w:r>
            <w:r w:rsidR="00CD3692" w:rsidRPr="00482070">
              <w:rPr>
                <w:rFonts w:ascii="Times New Roman" w:eastAsia="Times New Roman" w:hAnsi="Times New Roman" w:cs="Times New Roman"/>
                <w:color w:val="000000"/>
                <w:szCs w:val="22"/>
                <w:lang w:eastAsia="en-GB"/>
              </w:rPr>
              <w:t xml:space="preserve">CRR, institutions shall </w:t>
            </w:r>
            <w:r w:rsidR="00C41D59" w:rsidRPr="00482070">
              <w:rPr>
                <w:rFonts w:ascii="Times New Roman" w:eastAsia="Times New Roman" w:hAnsi="Times New Roman" w:cs="Times New Roman"/>
                <w:color w:val="000000"/>
                <w:szCs w:val="22"/>
                <w:lang w:eastAsia="en-GB"/>
              </w:rPr>
              <w:t xml:space="preserve">provide a </w:t>
            </w:r>
            <w:r w:rsidR="00B54332" w:rsidRPr="00482070">
              <w:rPr>
                <w:rFonts w:ascii="Times New Roman" w:eastAsia="Times New Roman" w:hAnsi="Times New Roman" w:cs="Times New Roman"/>
                <w:color w:val="000000"/>
                <w:szCs w:val="22"/>
                <w:lang w:eastAsia="en-GB"/>
              </w:rPr>
              <w:t>general</w:t>
            </w:r>
            <w:r w:rsidR="00C41D59" w:rsidRPr="00482070">
              <w:rPr>
                <w:rFonts w:ascii="Times New Roman" w:eastAsia="Times New Roman" w:hAnsi="Times New Roman" w:cs="Times New Roman"/>
                <w:color w:val="000000"/>
                <w:szCs w:val="22"/>
                <w:lang w:eastAsia="en-GB"/>
              </w:rPr>
              <w:t xml:space="preserve"> </w:t>
            </w:r>
            <w:r w:rsidR="00AE69B7" w:rsidRPr="00482070">
              <w:rPr>
                <w:rFonts w:ascii="Times New Roman" w:eastAsia="Times New Roman" w:hAnsi="Times New Roman" w:cs="Times New Roman"/>
                <w:color w:val="000000"/>
                <w:szCs w:val="22"/>
                <w:lang w:eastAsia="en-GB"/>
              </w:rPr>
              <w:t>descri</w:t>
            </w:r>
            <w:r w:rsidR="00C41D59" w:rsidRPr="00482070">
              <w:rPr>
                <w:rFonts w:ascii="Times New Roman" w:eastAsia="Times New Roman" w:hAnsi="Times New Roman" w:cs="Times New Roman"/>
                <w:color w:val="000000"/>
                <w:szCs w:val="22"/>
                <w:lang w:eastAsia="en-GB"/>
              </w:rPr>
              <w:t>ption of</w:t>
            </w:r>
            <w:r w:rsidR="00AE69B7" w:rsidRPr="00482070">
              <w:rPr>
                <w:rFonts w:ascii="Times New Roman" w:eastAsia="Times New Roman" w:hAnsi="Times New Roman" w:cs="Times New Roman"/>
                <w:color w:val="000000"/>
                <w:szCs w:val="22"/>
                <w:lang w:eastAsia="en-GB"/>
              </w:rPr>
              <w:t xml:space="preserve"> the key modelling and parametric assumptions, other than those referred to in Article 98(5a)</w:t>
            </w:r>
            <w:r w:rsidR="00A77093">
              <w:rPr>
                <w:rFonts w:ascii="Times New Roman" w:eastAsia="Times New Roman" w:hAnsi="Times New Roman" w:cs="Times New Roman"/>
                <w:color w:val="000000"/>
                <w:szCs w:val="22"/>
                <w:lang w:eastAsia="en-GB"/>
              </w:rPr>
              <w:t>,</w:t>
            </w:r>
            <w:r w:rsidR="00AE69B7" w:rsidRPr="00482070">
              <w:rPr>
                <w:rFonts w:ascii="Times New Roman" w:eastAsia="Times New Roman" w:hAnsi="Times New Roman" w:cs="Times New Roman"/>
                <w:color w:val="000000"/>
                <w:szCs w:val="22"/>
                <w:lang w:eastAsia="en-GB"/>
              </w:rPr>
              <w:t xml:space="preserve"> </w:t>
            </w:r>
            <w:r w:rsidR="00A77093" w:rsidRPr="00482070">
              <w:rPr>
                <w:rFonts w:ascii="Times New Roman" w:eastAsia="Times New Roman" w:hAnsi="Times New Roman" w:cs="Times New Roman"/>
                <w:color w:val="000000"/>
                <w:szCs w:val="22"/>
                <w:lang w:eastAsia="en-GB"/>
              </w:rPr>
              <w:t xml:space="preserve">points (b) and (c) </w:t>
            </w:r>
            <w:r w:rsidR="00AE69B7" w:rsidRPr="00482070">
              <w:rPr>
                <w:rFonts w:ascii="Times New Roman" w:eastAsia="Times New Roman" w:hAnsi="Times New Roman" w:cs="Times New Roman"/>
                <w:color w:val="000000"/>
                <w:szCs w:val="22"/>
                <w:lang w:eastAsia="en-GB"/>
              </w:rPr>
              <w:t xml:space="preserve">of Directive 2013/36/EU </w:t>
            </w:r>
            <w:r w:rsidR="00EC3E7F" w:rsidRPr="00482070">
              <w:rPr>
                <w:rFonts w:ascii="Times New Roman" w:eastAsia="Times New Roman" w:hAnsi="Times New Roman" w:cs="Times New Roman"/>
                <w:color w:val="000000"/>
                <w:szCs w:val="22"/>
                <w:lang w:eastAsia="en-GB"/>
              </w:rPr>
              <w:t xml:space="preserve">used for the purpose of calculating changes to the economic value of equity and to the net interest income </w:t>
            </w:r>
            <w:r w:rsidR="003C310D" w:rsidRPr="00482070">
              <w:rPr>
                <w:rFonts w:ascii="Times New Roman" w:eastAsia="Times New Roman" w:hAnsi="Times New Roman" w:cs="Times New Roman"/>
                <w:color w:val="000000"/>
                <w:szCs w:val="22"/>
                <w:lang w:eastAsia="en-GB"/>
              </w:rPr>
              <w:t>in template EU IRRBB1</w:t>
            </w:r>
            <w:r w:rsidR="00AE69B7" w:rsidRPr="00482070">
              <w:rPr>
                <w:rFonts w:ascii="Times New Roman" w:eastAsia="Times New Roman" w:hAnsi="Times New Roman" w:cs="Times New Roman"/>
                <w:color w:val="000000"/>
                <w:szCs w:val="22"/>
                <w:lang w:eastAsia="en-GB"/>
              </w:rPr>
              <w:t>.</w:t>
            </w:r>
            <w:r w:rsidR="0016128F" w:rsidRPr="00482070">
              <w:rPr>
                <w:rFonts w:ascii="Times New Roman" w:eastAsia="Times New Roman" w:hAnsi="Times New Roman" w:cs="Times New Roman"/>
                <w:color w:val="000000"/>
                <w:szCs w:val="22"/>
                <w:lang w:eastAsia="en-GB"/>
              </w:rPr>
              <w:t xml:space="preserve"> The </w:t>
            </w:r>
            <w:r w:rsidR="00C41D59" w:rsidRPr="00482070">
              <w:rPr>
                <w:rFonts w:ascii="Times New Roman" w:eastAsia="Times New Roman" w:hAnsi="Times New Roman" w:cs="Times New Roman"/>
                <w:color w:val="000000"/>
                <w:szCs w:val="22"/>
                <w:lang w:eastAsia="en-GB"/>
              </w:rPr>
              <w:t xml:space="preserve">high-level </w:t>
            </w:r>
            <w:r w:rsidR="0016128F" w:rsidRPr="00482070">
              <w:rPr>
                <w:rFonts w:ascii="Times New Roman" w:eastAsia="Times New Roman" w:hAnsi="Times New Roman" w:cs="Times New Roman"/>
                <w:color w:val="000000"/>
                <w:szCs w:val="22"/>
                <w:lang w:eastAsia="en-GB"/>
              </w:rPr>
              <w:t>description includes</w:t>
            </w:r>
            <w:r w:rsidR="00775FD9" w:rsidRPr="00482070">
              <w:rPr>
                <w:rFonts w:ascii="Times New Roman" w:eastAsia="Times New Roman" w:hAnsi="Times New Roman" w:cs="Times New Roman"/>
                <w:color w:val="000000"/>
                <w:szCs w:val="22"/>
                <w:lang w:eastAsia="en-GB"/>
              </w:rPr>
              <w:t xml:space="preserve"> at least</w:t>
            </w:r>
            <w:r w:rsidR="0016128F" w:rsidRPr="00482070">
              <w:rPr>
                <w:rFonts w:ascii="Times New Roman" w:eastAsia="Times New Roman" w:hAnsi="Times New Roman" w:cs="Times New Roman"/>
                <w:color w:val="000000"/>
                <w:szCs w:val="22"/>
                <w:lang w:eastAsia="en-GB"/>
              </w:rPr>
              <w:t>:</w:t>
            </w:r>
          </w:p>
          <w:p w14:paraId="26388E97" w14:textId="675F2030" w:rsidR="00843F8C" w:rsidRPr="00482070" w:rsidRDefault="0016128F" w:rsidP="00B650A9">
            <w:pPr>
              <w:pStyle w:val="ListParagraph"/>
              <w:numPr>
                <w:ilvl w:val="0"/>
                <w:numId w:val="8"/>
              </w:numPr>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 xml:space="preserve">how the average </w:t>
            </w:r>
            <w:r w:rsidR="00843F8C" w:rsidRPr="00482070">
              <w:rPr>
                <w:rFonts w:ascii="Times New Roman" w:eastAsia="Times New Roman" w:hAnsi="Times New Roman" w:cs="Times New Roman"/>
                <w:color w:val="000000"/>
                <w:szCs w:val="22"/>
                <w:lang w:eastAsia="en-GB"/>
              </w:rPr>
              <w:t>repricing maturity of non-maturity deposits has been determined (including any unique product features that affect the assumed behavioural repricing date</w:t>
            </w:r>
            <w:proofErr w:type="gramStart"/>
            <w:r w:rsidR="00843F8C" w:rsidRPr="00482070">
              <w:rPr>
                <w:rFonts w:ascii="Times New Roman" w:eastAsia="Times New Roman" w:hAnsi="Times New Roman" w:cs="Times New Roman"/>
                <w:color w:val="000000"/>
                <w:szCs w:val="22"/>
                <w:lang w:eastAsia="en-GB"/>
              </w:rPr>
              <w:t>);</w:t>
            </w:r>
            <w:proofErr w:type="gramEnd"/>
          </w:p>
          <w:p w14:paraId="01CB0AA3" w14:textId="2D904141" w:rsidR="00843F8C" w:rsidRPr="00482070" w:rsidRDefault="00843F8C" w:rsidP="00B650A9">
            <w:pPr>
              <w:pStyle w:val="ListParagraph"/>
              <w:numPr>
                <w:ilvl w:val="0"/>
                <w:numId w:val="8"/>
              </w:numPr>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the methodology used to estimate the loan prepayment rates, and/or the early withdrawal rates for fixed</w:t>
            </w:r>
            <w:r w:rsidR="00482070">
              <w:rPr>
                <w:rFonts w:ascii="Times New Roman" w:eastAsia="Times New Roman" w:hAnsi="Times New Roman" w:cs="Times New Roman"/>
                <w:color w:val="000000"/>
                <w:szCs w:val="22"/>
                <w:lang w:eastAsia="en-GB"/>
              </w:rPr>
              <w:t>-</w:t>
            </w:r>
            <w:r w:rsidRPr="00482070">
              <w:rPr>
                <w:rFonts w:ascii="Times New Roman" w:eastAsia="Times New Roman" w:hAnsi="Times New Roman" w:cs="Times New Roman"/>
                <w:color w:val="000000"/>
                <w:szCs w:val="22"/>
                <w:lang w:eastAsia="en-GB"/>
              </w:rPr>
              <w:t xml:space="preserve">term deposits, and other significant </w:t>
            </w:r>
            <w:proofErr w:type="gramStart"/>
            <w:r w:rsidRPr="00482070">
              <w:rPr>
                <w:rFonts w:ascii="Times New Roman" w:eastAsia="Times New Roman" w:hAnsi="Times New Roman" w:cs="Times New Roman"/>
                <w:color w:val="000000"/>
                <w:szCs w:val="22"/>
                <w:lang w:eastAsia="en-GB"/>
              </w:rPr>
              <w:t>assumptions;</w:t>
            </w:r>
            <w:proofErr w:type="gramEnd"/>
          </w:p>
          <w:p w14:paraId="1BD4D78B" w14:textId="1092E81C" w:rsidR="00AE69B7" w:rsidRPr="00482070" w:rsidRDefault="00745B25" w:rsidP="00B650A9">
            <w:pPr>
              <w:pStyle w:val="ListParagraph"/>
              <w:numPr>
                <w:ilvl w:val="0"/>
                <w:numId w:val="8"/>
              </w:numPr>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lastRenderedPageBreak/>
              <w:t>a</w:t>
            </w:r>
            <w:r w:rsidR="00843F8C" w:rsidRPr="00482070">
              <w:rPr>
                <w:rFonts w:ascii="Times New Roman" w:eastAsia="Times New Roman" w:hAnsi="Times New Roman" w:cs="Times New Roman"/>
                <w:color w:val="000000"/>
                <w:szCs w:val="22"/>
                <w:lang w:eastAsia="en-GB"/>
              </w:rPr>
              <w:t xml:space="preserve">ny other assumptions (including for instruments with behavioural </w:t>
            </w:r>
            <w:proofErr w:type="spellStart"/>
            <w:r w:rsidR="00843F8C" w:rsidRPr="00482070">
              <w:rPr>
                <w:rFonts w:ascii="Times New Roman" w:eastAsia="Times New Roman" w:hAnsi="Times New Roman" w:cs="Times New Roman"/>
                <w:color w:val="000000"/>
                <w:szCs w:val="22"/>
                <w:lang w:eastAsia="en-GB"/>
              </w:rPr>
              <w:t>optionalities</w:t>
            </w:r>
            <w:proofErr w:type="spellEnd"/>
            <w:r w:rsidR="00843F8C" w:rsidRPr="00482070">
              <w:rPr>
                <w:rFonts w:ascii="Times New Roman" w:eastAsia="Times New Roman" w:hAnsi="Times New Roman" w:cs="Times New Roman"/>
                <w:color w:val="000000"/>
                <w:szCs w:val="22"/>
                <w:lang w:eastAsia="en-GB"/>
              </w:rPr>
              <w:t xml:space="preserve">) that have a material impact on the </w:t>
            </w:r>
            <w:r w:rsidR="00512477" w:rsidRPr="00482070">
              <w:rPr>
                <w:rFonts w:ascii="Times New Roman" w:eastAsia="Times New Roman" w:hAnsi="Times New Roman" w:cs="Times New Roman"/>
                <w:color w:val="000000"/>
                <w:szCs w:val="22"/>
                <w:lang w:eastAsia="en-GB"/>
              </w:rPr>
              <w:t>IRRBB measures disclosed</w:t>
            </w:r>
            <w:r w:rsidR="00843F8C" w:rsidRPr="00482070">
              <w:rPr>
                <w:rFonts w:ascii="Times New Roman" w:eastAsia="Times New Roman" w:hAnsi="Times New Roman" w:cs="Times New Roman"/>
                <w:color w:val="000000"/>
                <w:szCs w:val="22"/>
                <w:lang w:eastAsia="en-GB"/>
              </w:rPr>
              <w:t xml:space="preserve"> in</w:t>
            </w:r>
            <w:r w:rsidR="00512477" w:rsidRPr="00482070">
              <w:rPr>
                <w:rFonts w:ascii="Times New Roman" w:eastAsia="Times New Roman" w:hAnsi="Times New Roman" w:cs="Times New Roman"/>
                <w:color w:val="000000"/>
                <w:szCs w:val="22"/>
                <w:lang w:eastAsia="en-GB"/>
              </w:rPr>
              <w:t xml:space="preserve"> </w:t>
            </w:r>
            <w:r w:rsidR="00482070">
              <w:rPr>
                <w:rFonts w:ascii="Times New Roman" w:eastAsia="Times New Roman" w:hAnsi="Times New Roman" w:cs="Times New Roman"/>
                <w:color w:val="000000"/>
                <w:szCs w:val="22"/>
                <w:lang w:eastAsia="en-GB"/>
              </w:rPr>
              <w:t>t</w:t>
            </w:r>
            <w:r w:rsidR="00843F8C" w:rsidRPr="00482070">
              <w:rPr>
                <w:rFonts w:ascii="Times New Roman" w:eastAsia="Times New Roman" w:hAnsi="Times New Roman" w:cs="Times New Roman"/>
                <w:color w:val="000000"/>
                <w:szCs w:val="22"/>
                <w:lang w:eastAsia="en-GB"/>
              </w:rPr>
              <w:t>emp</w:t>
            </w:r>
            <w:r w:rsidR="008A5827">
              <w:rPr>
                <w:rFonts w:ascii="Times New Roman" w:eastAsia="Times New Roman" w:hAnsi="Times New Roman" w:cs="Times New Roman"/>
                <w:color w:val="000000"/>
                <w:szCs w:val="22"/>
                <w:lang w:eastAsia="en-GB"/>
              </w:rPr>
              <w:t>late EU IRR</w:t>
            </w:r>
            <w:r w:rsidR="00843F8C" w:rsidRPr="00482070">
              <w:rPr>
                <w:rFonts w:ascii="Times New Roman" w:eastAsia="Times New Roman" w:hAnsi="Times New Roman" w:cs="Times New Roman"/>
                <w:color w:val="000000"/>
                <w:szCs w:val="22"/>
                <w:lang w:eastAsia="en-GB"/>
              </w:rPr>
              <w:t>BB1, including an explanation of why these are material.</w:t>
            </w:r>
          </w:p>
          <w:p w14:paraId="2195D942" w14:textId="77777777" w:rsidR="005E2B3A" w:rsidRPr="00482070" w:rsidRDefault="005E2B3A" w:rsidP="00B650A9">
            <w:pPr>
              <w:jc w:val="both"/>
              <w:rPr>
                <w:rFonts w:ascii="Times New Roman" w:eastAsia="Times New Roman" w:hAnsi="Times New Roman" w:cs="Times New Roman"/>
                <w:color w:val="000000"/>
                <w:szCs w:val="22"/>
                <w:lang w:eastAsia="en-GB"/>
              </w:rPr>
            </w:pPr>
          </w:p>
          <w:p w14:paraId="5155CA71" w14:textId="476FFF33" w:rsidR="005E2B3A" w:rsidRPr="00482070" w:rsidRDefault="005E2B3A" w:rsidP="00B650A9">
            <w:pPr>
              <w:jc w:val="both"/>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In accordance with Article 448(2) CRR, these disclosure requirements shall not apply to institutions that use the standardised methodology or the simplified standardised methodology referred to in Article 84(1) CRD.</w:t>
            </w:r>
          </w:p>
        </w:tc>
      </w:tr>
      <w:tr w:rsidR="00CD3692" w:rsidRPr="00482070" w14:paraId="124DC3B1" w14:textId="77777777" w:rsidTr="00F930E4">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AA124D2" w14:textId="3A2AB43A" w:rsidR="00CD3692" w:rsidRPr="00482070" w:rsidRDefault="00C143B2" w:rsidP="00F930E4">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lastRenderedPageBreak/>
              <w:t>(h</w:t>
            </w:r>
            <w:r w:rsidR="00CD3692" w:rsidRPr="00482070">
              <w:rPr>
                <w:rFonts w:ascii="Times New Roman" w:eastAsia="Times New Roman" w:hAnsi="Times New Roman" w:cs="Times New Roman"/>
                <w:color w:val="000000"/>
                <w:szCs w:val="22"/>
                <w:lang w:eastAsia="en-GB"/>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7794F6D" w14:textId="6C923999" w:rsidR="003C310D" w:rsidRPr="00482070" w:rsidRDefault="003C310D" w:rsidP="00B650A9">
            <w:pPr>
              <w:spacing w:after="120"/>
              <w:jc w:val="both"/>
              <w:rPr>
                <w:rFonts w:ascii="Times New Roman" w:eastAsia="Times New Roman" w:hAnsi="Times New Roman" w:cs="Times New Roman"/>
                <w:b/>
                <w:color w:val="000000"/>
                <w:sz w:val="24"/>
                <w:szCs w:val="22"/>
                <w:lang w:eastAsia="en-GB"/>
              </w:rPr>
            </w:pPr>
            <w:r w:rsidRPr="00482070">
              <w:rPr>
                <w:rFonts w:ascii="Times New Roman" w:eastAsia="Times New Roman" w:hAnsi="Times New Roman" w:cs="Times New Roman"/>
                <w:b/>
                <w:color w:val="000000"/>
                <w:sz w:val="24"/>
                <w:szCs w:val="22"/>
                <w:lang w:eastAsia="en-GB"/>
              </w:rPr>
              <w:t xml:space="preserve">Explanation of the significance of the </w:t>
            </w:r>
            <w:r w:rsidR="002711B6" w:rsidRPr="00482070">
              <w:rPr>
                <w:rFonts w:ascii="Times New Roman" w:eastAsia="Times New Roman" w:hAnsi="Times New Roman" w:cs="Times New Roman"/>
                <w:b/>
                <w:color w:val="000000"/>
                <w:sz w:val="24"/>
                <w:szCs w:val="22"/>
                <w:lang w:eastAsia="en-GB"/>
              </w:rPr>
              <w:t>IRRBB</w:t>
            </w:r>
            <w:r w:rsidRPr="00482070">
              <w:rPr>
                <w:rFonts w:ascii="Times New Roman" w:eastAsia="Times New Roman" w:hAnsi="Times New Roman" w:cs="Times New Roman"/>
                <w:b/>
                <w:color w:val="000000"/>
                <w:sz w:val="24"/>
                <w:szCs w:val="22"/>
                <w:lang w:eastAsia="en-GB"/>
              </w:rPr>
              <w:t xml:space="preserve"> measures and of their significan</w:t>
            </w:r>
            <w:r w:rsidR="00B4159D" w:rsidRPr="00482070">
              <w:rPr>
                <w:rFonts w:ascii="Times New Roman" w:eastAsia="Times New Roman" w:hAnsi="Times New Roman" w:cs="Times New Roman"/>
                <w:b/>
                <w:color w:val="000000"/>
                <w:sz w:val="24"/>
                <w:szCs w:val="22"/>
                <w:lang w:eastAsia="en-GB"/>
              </w:rPr>
              <w:t>t variations since previous disclosures</w:t>
            </w:r>
          </w:p>
          <w:p w14:paraId="79D598A4" w14:textId="2255A6CF" w:rsidR="00CD3692" w:rsidRPr="00482070" w:rsidRDefault="00133E44" w:rsidP="00B650A9">
            <w:pPr>
              <w:spacing w:after="120"/>
              <w:jc w:val="both"/>
              <w:rPr>
                <w:rFonts w:ascii="Times New Roman" w:eastAsia="Times New Roman" w:hAnsi="Times New Roman" w:cs="Times New Roman"/>
                <w:color w:val="000000"/>
                <w:szCs w:val="22"/>
                <w:lang w:eastAsia="en-GB"/>
              </w:rPr>
            </w:pPr>
            <w:r w:rsidRPr="00F10FFC">
              <w:rPr>
                <w:rFonts w:ascii="Times New Roman" w:eastAsia="Times New Roman" w:hAnsi="Times New Roman" w:cs="Times New Roman"/>
                <w:color w:val="000000"/>
                <w:szCs w:val="22"/>
                <w:lang w:eastAsia="en-GB"/>
              </w:rPr>
              <w:t xml:space="preserve">In accordance with </w:t>
            </w:r>
            <w:r w:rsidR="003C310D" w:rsidRPr="00A77093">
              <w:rPr>
                <w:rFonts w:ascii="Times New Roman" w:eastAsia="Times New Roman" w:hAnsi="Times New Roman" w:cs="Times New Roman"/>
                <w:color w:val="000000"/>
                <w:szCs w:val="22"/>
                <w:lang w:eastAsia="en-GB"/>
              </w:rPr>
              <w:t>Article 448(1)</w:t>
            </w:r>
            <w:r w:rsidR="00A77093" w:rsidRPr="00A77093">
              <w:rPr>
                <w:rFonts w:ascii="Times New Roman" w:eastAsia="Times New Roman" w:hAnsi="Times New Roman" w:cs="Times New Roman"/>
                <w:color w:val="000000"/>
                <w:szCs w:val="22"/>
                <w:lang w:eastAsia="en-GB"/>
              </w:rPr>
              <w:t>,</w:t>
            </w:r>
            <w:r w:rsidR="00A8375D" w:rsidRPr="00A77093">
              <w:rPr>
                <w:rFonts w:ascii="Times New Roman" w:eastAsia="Times New Roman" w:hAnsi="Times New Roman" w:cs="Times New Roman"/>
                <w:color w:val="000000"/>
                <w:szCs w:val="22"/>
                <w:lang w:eastAsia="en-GB"/>
              </w:rPr>
              <w:t xml:space="preserve"> </w:t>
            </w:r>
            <w:r w:rsidR="00A77093" w:rsidRPr="00F10FFC">
              <w:rPr>
                <w:rFonts w:ascii="Times New Roman" w:eastAsia="Times New Roman" w:hAnsi="Times New Roman" w:cs="Times New Roman"/>
                <w:color w:val="000000"/>
                <w:szCs w:val="22"/>
                <w:lang w:eastAsia="en-GB"/>
              </w:rPr>
              <w:t xml:space="preserve">point </w:t>
            </w:r>
            <w:r w:rsidR="00A77093" w:rsidRPr="00A77093">
              <w:rPr>
                <w:rFonts w:ascii="Times New Roman" w:eastAsia="Times New Roman" w:hAnsi="Times New Roman" w:cs="Times New Roman"/>
                <w:color w:val="000000"/>
                <w:szCs w:val="22"/>
                <w:lang w:eastAsia="en-GB"/>
              </w:rPr>
              <w:t xml:space="preserve">(d) </w:t>
            </w:r>
            <w:r w:rsidR="00A8375D" w:rsidRPr="00A77093">
              <w:rPr>
                <w:rFonts w:ascii="Times New Roman" w:eastAsia="Times New Roman" w:hAnsi="Times New Roman" w:cs="Times New Roman"/>
                <w:color w:val="000000"/>
                <w:szCs w:val="22"/>
                <w:lang w:eastAsia="en-GB"/>
              </w:rPr>
              <w:t>CRR</w:t>
            </w:r>
            <w:r w:rsidR="003C310D" w:rsidRPr="00A77093">
              <w:rPr>
                <w:rFonts w:ascii="Times New Roman" w:eastAsia="Times New Roman" w:hAnsi="Times New Roman" w:cs="Times New Roman"/>
                <w:color w:val="000000"/>
                <w:szCs w:val="22"/>
                <w:lang w:eastAsia="en-GB"/>
              </w:rPr>
              <w:t xml:space="preserve">, institutions shall </w:t>
            </w:r>
            <w:r w:rsidR="0045248D" w:rsidRPr="00A77093">
              <w:rPr>
                <w:rFonts w:ascii="Times New Roman" w:eastAsia="Times New Roman" w:hAnsi="Times New Roman" w:cs="Times New Roman"/>
                <w:color w:val="000000"/>
                <w:szCs w:val="22"/>
                <w:lang w:eastAsia="en-GB"/>
              </w:rPr>
              <w:t xml:space="preserve">provide a general </w:t>
            </w:r>
            <w:r w:rsidR="003C310D" w:rsidRPr="00A77093">
              <w:rPr>
                <w:rFonts w:ascii="Times New Roman" w:eastAsia="Times New Roman" w:hAnsi="Times New Roman" w:cs="Times New Roman"/>
                <w:color w:val="000000"/>
                <w:szCs w:val="22"/>
                <w:lang w:eastAsia="en-GB"/>
              </w:rPr>
              <w:t>expla</w:t>
            </w:r>
            <w:r w:rsidR="0045248D" w:rsidRPr="00A77093">
              <w:rPr>
                <w:rFonts w:ascii="Times New Roman" w:eastAsia="Times New Roman" w:hAnsi="Times New Roman" w:cs="Times New Roman"/>
                <w:color w:val="000000"/>
                <w:szCs w:val="22"/>
                <w:lang w:eastAsia="en-GB"/>
              </w:rPr>
              <w:t>nation of</w:t>
            </w:r>
            <w:r w:rsidR="00C07A00" w:rsidRPr="00A77093">
              <w:rPr>
                <w:rFonts w:ascii="Times New Roman" w:eastAsia="Times New Roman" w:hAnsi="Times New Roman" w:cs="Times New Roman"/>
                <w:color w:val="000000"/>
                <w:szCs w:val="22"/>
                <w:lang w:eastAsia="en-GB"/>
              </w:rPr>
              <w:t xml:space="preserve"> the significance of the IRRBB </w:t>
            </w:r>
            <w:r w:rsidR="00A56B74" w:rsidRPr="00A77093">
              <w:rPr>
                <w:rFonts w:ascii="Times New Roman" w:eastAsia="Times New Roman" w:hAnsi="Times New Roman" w:cs="Times New Roman"/>
                <w:color w:val="000000"/>
                <w:szCs w:val="22"/>
                <w:lang w:eastAsia="en-GB"/>
              </w:rPr>
              <w:t xml:space="preserve">measures disclosed </w:t>
            </w:r>
            <w:r w:rsidR="00065C44" w:rsidRPr="00A77093">
              <w:rPr>
                <w:rFonts w:ascii="Times New Roman" w:eastAsia="Times New Roman" w:hAnsi="Times New Roman" w:cs="Times New Roman"/>
                <w:color w:val="000000"/>
                <w:szCs w:val="22"/>
                <w:lang w:eastAsia="en-GB"/>
              </w:rPr>
              <w:t>in</w:t>
            </w:r>
            <w:r w:rsidR="003C310D" w:rsidRPr="00A77093">
              <w:rPr>
                <w:rFonts w:ascii="Times New Roman" w:eastAsia="Times New Roman" w:hAnsi="Times New Roman" w:cs="Times New Roman"/>
                <w:color w:val="000000"/>
                <w:szCs w:val="22"/>
                <w:lang w:eastAsia="en-GB"/>
              </w:rPr>
              <w:t xml:space="preserve"> template EU IRRBB1</w:t>
            </w:r>
            <w:r w:rsidR="00A56B74" w:rsidRPr="00482070">
              <w:rPr>
                <w:rFonts w:ascii="Times New Roman" w:eastAsia="Times New Roman" w:hAnsi="Times New Roman" w:cs="Times New Roman"/>
                <w:color w:val="000000"/>
                <w:szCs w:val="22"/>
                <w:lang w:eastAsia="en-GB"/>
              </w:rPr>
              <w:t xml:space="preserve"> and of any significant variations of those </w:t>
            </w:r>
            <w:r w:rsidR="00C07A00" w:rsidRPr="00482070">
              <w:rPr>
                <w:rFonts w:ascii="Times New Roman" w:eastAsia="Times New Roman" w:hAnsi="Times New Roman" w:cs="Times New Roman"/>
                <w:color w:val="000000"/>
                <w:szCs w:val="22"/>
                <w:lang w:eastAsia="en-GB"/>
              </w:rPr>
              <w:t>IRRBB</w:t>
            </w:r>
            <w:r w:rsidR="00A56B74" w:rsidRPr="00482070">
              <w:rPr>
                <w:rFonts w:ascii="Times New Roman" w:eastAsia="Times New Roman" w:hAnsi="Times New Roman" w:cs="Times New Roman"/>
                <w:color w:val="000000"/>
                <w:szCs w:val="22"/>
                <w:lang w:eastAsia="en-GB"/>
              </w:rPr>
              <w:t xml:space="preserve"> measures since the previous disclosure reference date</w:t>
            </w:r>
            <w:r w:rsidR="003C310D" w:rsidRPr="00482070">
              <w:rPr>
                <w:rFonts w:ascii="Times New Roman" w:eastAsia="Times New Roman" w:hAnsi="Times New Roman" w:cs="Times New Roman"/>
                <w:color w:val="000000"/>
                <w:szCs w:val="22"/>
                <w:lang w:eastAsia="en-GB"/>
              </w:rPr>
              <w:t>.</w:t>
            </w:r>
          </w:p>
        </w:tc>
      </w:tr>
      <w:tr w:rsidR="007573CB" w:rsidRPr="00482070" w14:paraId="7AE95BD0" w14:textId="77777777" w:rsidTr="004F5466">
        <w:trPr>
          <w:trHeight w:val="15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CEE7D5" w14:textId="3CB7C340" w:rsidR="007573CB" w:rsidRPr="00482070" w:rsidRDefault="00912FEC" w:rsidP="00F930E4">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w:t>
            </w:r>
            <w:proofErr w:type="spellStart"/>
            <w:r w:rsidRPr="00482070">
              <w:rPr>
                <w:rFonts w:ascii="Times New Roman" w:eastAsia="Times New Roman" w:hAnsi="Times New Roman" w:cs="Times New Roman"/>
                <w:color w:val="000000"/>
                <w:szCs w:val="22"/>
                <w:lang w:eastAsia="en-GB"/>
              </w:rPr>
              <w:t>i</w:t>
            </w:r>
            <w:proofErr w:type="spellEnd"/>
            <w:r w:rsidRPr="00482070">
              <w:rPr>
                <w:rFonts w:ascii="Times New Roman" w:eastAsia="Times New Roman" w:hAnsi="Times New Roman" w:cs="Times New Roman"/>
                <w:color w:val="000000"/>
                <w:szCs w:val="22"/>
                <w:lang w:eastAsia="en-GB"/>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45D4BD64" w14:textId="782047AF" w:rsidR="007573CB" w:rsidRPr="00482070" w:rsidRDefault="007573CB" w:rsidP="00B650A9">
            <w:pPr>
              <w:spacing w:after="120"/>
              <w:jc w:val="both"/>
              <w:rPr>
                <w:rFonts w:ascii="Times New Roman" w:eastAsia="Times New Roman" w:hAnsi="Times New Roman" w:cs="Times New Roman"/>
                <w:b/>
                <w:color w:val="000000"/>
                <w:sz w:val="24"/>
                <w:szCs w:val="22"/>
                <w:lang w:eastAsia="en-GB"/>
              </w:rPr>
            </w:pPr>
            <w:r w:rsidRPr="00482070">
              <w:rPr>
                <w:rFonts w:ascii="Times New Roman" w:eastAsia="Times New Roman" w:hAnsi="Times New Roman" w:cs="Times New Roman"/>
                <w:b/>
                <w:color w:val="000000"/>
                <w:sz w:val="24"/>
                <w:szCs w:val="22"/>
                <w:lang w:eastAsia="en-GB"/>
              </w:rPr>
              <w:t>Any other relevant information regarding the IRRBB measures disclosed in template EU IRRBB1</w:t>
            </w:r>
            <w:r w:rsidR="0095708D" w:rsidRPr="00482070">
              <w:rPr>
                <w:rFonts w:ascii="Times New Roman" w:eastAsia="Times New Roman" w:hAnsi="Times New Roman" w:cs="Times New Roman"/>
                <w:b/>
                <w:color w:val="000000"/>
                <w:sz w:val="24"/>
                <w:szCs w:val="22"/>
                <w:lang w:eastAsia="en-GB"/>
              </w:rPr>
              <w:t xml:space="preserve"> (optional)</w:t>
            </w:r>
          </w:p>
          <w:p w14:paraId="4A261DD1" w14:textId="6EDF41BA" w:rsidR="007F15BF" w:rsidRPr="00A77093" w:rsidRDefault="007573CB" w:rsidP="00B650A9">
            <w:pPr>
              <w:spacing w:after="120"/>
              <w:jc w:val="both"/>
              <w:rPr>
                <w:rFonts w:ascii="Times New Roman" w:eastAsia="Times New Roman" w:hAnsi="Times New Roman" w:cs="Times New Roman"/>
                <w:color w:val="000000"/>
                <w:szCs w:val="22"/>
                <w:lang w:eastAsia="en-GB"/>
              </w:rPr>
            </w:pPr>
            <w:r w:rsidRPr="00F10FFC">
              <w:rPr>
                <w:rFonts w:ascii="Times New Roman" w:eastAsia="Times New Roman" w:hAnsi="Times New Roman" w:cs="Times New Roman"/>
                <w:color w:val="000000"/>
                <w:szCs w:val="22"/>
                <w:lang w:eastAsia="en-GB"/>
              </w:rPr>
              <w:t xml:space="preserve">Any other relevant information which institutions wish to disclose regarding the IRRBB measures included in </w:t>
            </w:r>
            <w:r w:rsidRPr="00A77093">
              <w:rPr>
                <w:rFonts w:ascii="Times New Roman" w:eastAsia="Times New Roman" w:hAnsi="Times New Roman" w:cs="Times New Roman"/>
                <w:color w:val="000000"/>
                <w:szCs w:val="22"/>
                <w:lang w:eastAsia="en-GB"/>
              </w:rPr>
              <w:t xml:space="preserve">template EU IRRBB1. </w:t>
            </w:r>
          </w:p>
          <w:p w14:paraId="10A0910D" w14:textId="37EE85ED" w:rsidR="007573CB" w:rsidRPr="00482070" w:rsidRDefault="000469EE" w:rsidP="00B650A9">
            <w:pPr>
              <w:spacing w:after="120"/>
              <w:jc w:val="both"/>
              <w:rPr>
                <w:rFonts w:ascii="Times New Roman" w:eastAsia="Times New Roman" w:hAnsi="Times New Roman" w:cs="Times New Roman"/>
                <w:color w:val="000000"/>
                <w:szCs w:val="22"/>
                <w:lang w:eastAsia="en-GB"/>
              </w:rPr>
            </w:pPr>
            <w:r w:rsidRPr="00F10FFC">
              <w:rPr>
                <w:rFonts w:ascii="Times New Roman" w:eastAsia="Times New Roman" w:hAnsi="Times New Roman" w:cs="Times New Roman"/>
                <w:color w:val="000000"/>
                <w:szCs w:val="22"/>
                <w:lang w:eastAsia="en-GB"/>
              </w:rPr>
              <w:t>U</w:t>
            </w:r>
            <w:r w:rsidR="007F15BF" w:rsidRPr="00F10FFC">
              <w:rPr>
                <w:rFonts w:ascii="Times New Roman" w:eastAsia="Times New Roman" w:hAnsi="Times New Roman" w:cs="Times New Roman"/>
                <w:color w:val="000000"/>
                <w:szCs w:val="22"/>
                <w:lang w:eastAsia="en-GB"/>
              </w:rPr>
              <w:t xml:space="preserve">ntil the </w:t>
            </w:r>
            <w:r w:rsidR="00482070" w:rsidRPr="00F10FFC">
              <w:rPr>
                <w:rFonts w:ascii="Times New Roman" w:eastAsia="Times New Roman" w:hAnsi="Times New Roman" w:cs="Times New Roman"/>
                <w:color w:val="000000"/>
                <w:szCs w:val="22"/>
                <w:lang w:eastAsia="en-GB"/>
              </w:rPr>
              <w:t>r</w:t>
            </w:r>
            <w:r w:rsidR="007F15BF" w:rsidRPr="00F10FFC">
              <w:rPr>
                <w:rFonts w:ascii="Times New Roman" w:eastAsia="Times New Roman" w:hAnsi="Times New Roman" w:cs="Times New Roman"/>
                <w:color w:val="000000"/>
                <w:szCs w:val="22"/>
                <w:lang w:eastAsia="en-GB"/>
              </w:rPr>
              <w:t xml:space="preserve">egulatory technical standards </w:t>
            </w:r>
            <w:r w:rsidR="00C4502B" w:rsidRPr="00F10FFC">
              <w:rPr>
                <w:rFonts w:ascii="Times New Roman" w:eastAsia="Times New Roman" w:hAnsi="Times New Roman" w:cs="Times New Roman"/>
                <w:color w:val="000000"/>
                <w:szCs w:val="22"/>
                <w:lang w:eastAsia="en-GB"/>
              </w:rPr>
              <w:t>under</w:t>
            </w:r>
            <w:r w:rsidR="007F15BF" w:rsidRPr="00F10FFC">
              <w:rPr>
                <w:rFonts w:ascii="Times New Roman" w:eastAsia="Times New Roman" w:hAnsi="Times New Roman" w:cs="Times New Roman"/>
                <w:color w:val="000000"/>
                <w:szCs w:val="22"/>
                <w:lang w:eastAsia="en-GB"/>
              </w:rPr>
              <w:t xml:space="preserve"> Article</w:t>
            </w:r>
            <w:r w:rsidRPr="00F10FFC">
              <w:rPr>
                <w:rFonts w:ascii="Times New Roman" w:eastAsia="Times New Roman" w:hAnsi="Times New Roman" w:cs="Times New Roman"/>
                <w:color w:val="000000"/>
                <w:szCs w:val="22"/>
                <w:lang w:eastAsia="en-GB"/>
              </w:rPr>
              <w:t>s</w:t>
            </w:r>
            <w:r w:rsidR="007F15BF" w:rsidRPr="00F10FFC">
              <w:rPr>
                <w:rFonts w:ascii="Times New Roman" w:eastAsia="Times New Roman" w:hAnsi="Times New Roman" w:cs="Times New Roman"/>
                <w:color w:val="000000"/>
                <w:szCs w:val="22"/>
                <w:lang w:eastAsia="en-GB"/>
              </w:rPr>
              <w:t xml:space="preserve"> 84 and 98(5a) CRD </w:t>
            </w:r>
            <w:r w:rsidR="0019262D" w:rsidRPr="00F10FFC">
              <w:rPr>
                <w:rFonts w:ascii="Times New Roman" w:eastAsia="Times New Roman" w:hAnsi="Times New Roman" w:cs="Times New Roman"/>
                <w:color w:val="000000"/>
                <w:szCs w:val="22"/>
                <w:lang w:eastAsia="en-GB"/>
              </w:rPr>
              <w:t>start to apply</w:t>
            </w:r>
            <w:r w:rsidR="007F15BF" w:rsidRPr="00F10FFC">
              <w:rPr>
                <w:rFonts w:ascii="Times New Roman" w:eastAsia="Times New Roman" w:hAnsi="Times New Roman" w:cs="Times New Roman"/>
                <w:color w:val="000000"/>
                <w:szCs w:val="22"/>
                <w:lang w:eastAsia="en-GB"/>
              </w:rPr>
              <w:t>, institutions shall disclose the parameters used for the supervisory shock scenarios</w:t>
            </w:r>
            <w:r w:rsidR="00697A36" w:rsidRPr="00F10FFC">
              <w:rPr>
                <w:rFonts w:ascii="Times New Roman" w:eastAsia="Times New Roman" w:hAnsi="Times New Roman" w:cs="Times New Roman"/>
                <w:color w:val="000000"/>
                <w:szCs w:val="22"/>
                <w:lang w:eastAsia="en-GB"/>
              </w:rPr>
              <w:t>,</w:t>
            </w:r>
            <w:r w:rsidR="00FD20DB" w:rsidRPr="00F10FFC">
              <w:rPr>
                <w:rFonts w:ascii="Times New Roman" w:eastAsia="Times New Roman" w:hAnsi="Times New Roman" w:cs="Times New Roman"/>
                <w:color w:val="000000"/>
                <w:szCs w:val="22"/>
                <w:lang w:eastAsia="en-GB"/>
              </w:rPr>
              <w:t xml:space="preserve"> </w:t>
            </w:r>
            <w:r w:rsidRPr="00F10FFC">
              <w:rPr>
                <w:rFonts w:ascii="Times New Roman" w:eastAsia="Times New Roman" w:hAnsi="Times New Roman" w:cs="Times New Roman"/>
                <w:color w:val="000000"/>
                <w:szCs w:val="22"/>
                <w:lang w:eastAsia="en-GB"/>
              </w:rPr>
              <w:t xml:space="preserve">the </w:t>
            </w:r>
            <w:r w:rsidR="00FF0448" w:rsidRPr="00F10FFC">
              <w:rPr>
                <w:rFonts w:ascii="Times New Roman" w:eastAsia="Times New Roman" w:hAnsi="Times New Roman" w:cs="Times New Roman"/>
                <w:color w:val="000000"/>
                <w:szCs w:val="22"/>
                <w:lang w:eastAsia="en-GB"/>
              </w:rPr>
              <w:t>definition of net interest income</w:t>
            </w:r>
            <w:r w:rsidR="008E005A" w:rsidRPr="00F10FFC">
              <w:rPr>
                <w:rFonts w:ascii="Times New Roman" w:eastAsia="Times New Roman" w:hAnsi="Times New Roman" w:cs="Times New Roman"/>
                <w:color w:val="000000"/>
                <w:szCs w:val="22"/>
                <w:lang w:eastAsia="en-GB"/>
              </w:rPr>
              <w:t xml:space="preserve"> they are using</w:t>
            </w:r>
            <w:r w:rsidRPr="00F10FFC">
              <w:rPr>
                <w:rFonts w:ascii="Times New Roman" w:eastAsia="Times New Roman" w:hAnsi="Times New Roman" w:cs="Times New Roman"/>
                <w:color w:val="000000"/>
                <w:szCs w:val="22"/>
                <w:lang w:eastAsia="en-GB"/>
              </w:rPr>
              <w:t xml:space="preserve"> and </w:t>
            </w:r>
            <w:r w:rsidR="00FD20DB" w:rsidRPr="00F10FFC">
              <w:rPr>
                <w:rFonts w:ascii="Times New Roman" w:eastAsia="Times New Roman" w:hAnsi="Times New Roman" w:cs="Times New Roman"/>
                <w:color w:val="000000"/>
                <w:szCs w:val="22"/>
                <w:lang w:eastAsia="en-GB"/>
              </w:rPr>
              <w:t xml:space="preserve">any other relevant information </w:t>
            </w:r>
            <w:r w:rsidR="00697A36" w:rsidRPr="00F10FFC">
              <w:rPr>
                <w:rFonts w:ascii="Times New Roman" w:eastAsia="Times New Roman" w:hAnsi="Times New Roman" w:cs="Times New Roman"/>
                <w:color w:val="000000"/>
                <w:szCs w:val="22"/>
                <w:lang w:eastAsia="en-GB"/>
              </w:rPr>
              <w:t>for</w:t>
            </w:r>
            <w:r w:rsidR="00DF58CB" w:rsidRPr="00F10FFC">
              <w:rPr>
                <w:rFonts w:ascii="Times New Roman" w:eastAsia="Times New Roman" w:hAnsi="Times New Roman" w:cs="Times New Roman"/>
                <w:color w:val="000000"/>
                <w:szCs w:val="22"/>
                <w:lang w:eastAsia="en-GB"/>
              </w:rPr>
              <w:t xml:space="preserve"> </w:t>
            </w:r>
            <w:r w:rsidR="00FD20DB" w:rsidRPr="00F10FFC">
              <w:rPr>
                <w:rFonts w:ascii="Times New Roman" w:eastAsia="Times New Roman" w:hAnsi="Times New Roman" w:cs="Times New Roman"/>
                <w:color w:val="000000"/>
                <w:szCs w:val="22"/>
                <w:lang w:eastAsia="en-GB"/>
              </w:rPr>
              <w:t>understand</w:t>
            </w:r>
            <w:r w:rsidR="00697A36" w:rsidRPr="00F10FFC">
              <w:rPr>
                <w:rFonts w:ascii="Times New Roman" w:eastAsia="Times New Roman" w:hAnsi="Times New Roman" w:cs="Times New Roman"/>
                <w:color w:val="000000"/>
                <w:szCs w:val="22"/>
                <w:lang w:eastAsia="en-GB"/>
              </w:rPr>
              <w:t>ing</w:t>
            </w:r>
            <w:r w:rsidR="00FD20DB" w:rsidRPr="00F10FFC">
              <w:rPr>
                <w:rFonts w:ascii="Times New Roman" w:eastAsia="Times New Roman" w:hAnsi="Times New Roman" w:cs="Times New Roman"/>
                <w:color w:val="000000"/>
                <w:szCs w:val="22"/>
                <w:lang w:eastAsia="en-GB"/>
              </w:rPr>
              <w:t xml:space="preserve"> how</w:t>
            </w:r>
            <w:r w:rsidR="00DF58CB" w:rsidRPr="00F10FFC">
              <w:rPr>
                <w:rFonts w:ascii="Times New Roman" w:eastAsia="Times New Roman" w:hAnsi="Times New Roman" w:cs="Times New Roman"/>
                <w:color w:val="000000"/>
                <w:szCs w:val="22"/>
                <w:lang w:eastAsia="en-GB"/>
              </w:rPr>
              <w:t xml:space="preserve"> the changes of net interest income</w:t>
            </w:r>
            <w:r w:rsidR="00FD20DB" w:rsidRPr="00F10FFC">
              <w:rPr>
                <w:rFonts w:ascii="Times New Roman" w:eastAsia="Times New Roman" w:hAnsi="Times New Roman" w:cs="Times New Roman"/>
                <w:color w:val="000000"/>
                <w:szCs w:val="22"/>
                <w:lang w:eastAsia="en-GB"/>
              </w:rPr>
              <w:t xml:space="preserve"> have been computed</w:t>
            </w:r>
            <w:r w:rsidR="00DF58CB" w:rsidRPr="00F10FFC">
              <w:rPr>
                <w:rFonts w:ascii="Times New Roman" w:eastAsia="Times New Roman" w:hAnsi="Times New Roman" w:cs="Times New Roman"/>
                <w:color w:val="000000"/>
                <w:szCs w:val="22"/>
                <w:lang w:eastAsia="en-GB"/>
              </w:rPr>
              <w:t xml:space="preserve"> in template EU IRRBB1.</w:t>
            </w:r>
            <w:r w:rsidR="00DF58CB" w:rsidRPr="00482070">
              <w:rPr>
                <w:rFonts w:ascii="Times New Roman" w:eastAsia="Times New Roman" w:hAnsi="Times New Roman" w:cs="Times New Roman"/>
                <w:color w:val="000000"/>
                <w:szCs w:val="22"/>
                <w:lang w:eastAsia="en-GB"/>
              </w:rPr>
              <w:t xml:space="preserve"> </w:t>
            </w:r>
          </w:p>
        </w:tc>
      </w:tr>
      <w:tr w:rsidR="004F5466" w:rsidRPr="00482070" w14:paraId="3C02208B" w14:textId="77777777" w:rsidTr="004F5466">
        <w:trPr>
          <w:trHeight w:val="15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AC3EA22" w14:textId="416D163F" w:rsidR="004F5466" w:rsidRPr="00482070" w:rsidRDefault="00EA1CF8" w:rsidP="00F930E4">
            <w:pPr>
              <w:jc w:val="center"/>
              <w:rPr>
                <w:rFonts w:ascii="Times New Roman" w:eastAsia="Times New Roman" w:hAnsi="Times New Roman" w:cs="Times New Roman"/>
                <w:color w:val="000000"/>
                <w:szCs w:val="22"/>
                <w:lang w:eastAsia="en-GB"/>
              </w:rPr>
            </w:pPr>
            <w:r w:rsidRPr="00482070">
              <w:rPr>
                <w:rFonts w:ascii="Times New Roman" w:eastAsia="Times New Roman" w:hAnsi="Times New Roman" w:cs="Times New Roman"/>
                <w:color w:val="000000"/>
                <w:szCs w:val="22"/>
                <w:lang w:eastAsia="en-GB"/>
              </w:rPr>
              <w:t>(1), (</w:t>
            </w:r>
            <w:r w:rsidR="0064412E" w:rsidRPr="00482070">
              <w:rPr>
                <w:rFonts w:ascii="Times New Roman" w:eastAsia="Times New Roman" w:hAnsi="Times New Roman" w:cs="Times New Roman"/>
                <w:color w:val="000000"/>
                <w:szCs w:val="22"/>
                <w:lang w:eastAsia="en-GB"/>
              </w:rPr>
              <w:t>2</w:t>
            </w:r>
            <w:r w:rsidR="004F5466" w:rsidRPr="00482070">
              <w:rPr>
                <w:rFonts w:ascii="Times New Roman" w:eastAsia="Times New Roman" w:hAnsi="Times New Roman" w:cs="Times New Roman"/>
                <w:color w:val="000000"/>
                <w:szCs w:val="22"/>
                <w:lang w:eastAsia="en-GB"/>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25E7AF10" w14:textId="2D31C73F" w:rsidR="00065C44" w:rsidRPr="00482070" w:rsidRDefault="00EA1CF8" w:rsidP="00B650A9">
            <w:pPr>
              <w:spacing w:after="120"/>
              <w:jc w:val="both"/>
              <w:rPr>
                <w:rFonts w:ascii="Times New Roman" w:eastAsia="Times New Roman" w:hAnsi="Times New Roman" w:cs="Times New Roman"/>
                <w:b/>
                <w:color w:val="000000"/>
                <w:sz w:val="24"/>
                <w:szCs w:val="22"/>
                <w:lang w:eastAsia="en-GB"/>
              </w:rPr>
            </w:pPr>
            <w:r w:rsidRPr="00482070">
              <w:rPr>
                <w:rFonts w:ascii="Times New Roman" w:eastAsia="Times New Roman" w:hAnsi="Times New Roman" w:cs="Times New Roman"/>
                <w:b/>
                <w:color w:val="000000"/>
                <w:sz w:val="24"/>
                <w:szCs w:val="22"/>
                <w:lang w:eastAsia="en-GB"/>
              </w:rPr>
              <w:t>Disclosure of</w:t>
            </w:r>
            <w:r w:rsidR="00065C44" w:rsidRPr="00482070">
              <w:rPr>
                <w:rFonts w:ascii="Times New Roman" w:eastAsia="Times New Roman" w:hAnsi="Times New Roman" w:cs="Times New Roman"/>
                <w:b/>
                <w:color w:val="000000"/>
                <w:sz w:val="24"/>
                <w:szCs w:val="22"/>
                <w:lang w:eastAsia="en-GB"/>
              </w:rPr>
              <w:t xml:space="preserve"> the average and longest repricing maturity assigned to non-maturity deposits</w:t>
            </w:r>
          </w:p>
          <w:p w14:paraId="48FA0E44" w14:textId="027668E7" w:rsidR="004F5466" w:rsidRPr="00482070" w:rsidRDefault="00065C44" w:rsidP="00B650A9">
            <w:pPr>
              <w:spacing w:after="120"/>
              <w:jc w:val="both"/>
              <w:rPr>
                <w:rFonts w:ascii="Times New Roman" w:eastAsia="Times New Roman" w:hAnsi="Times New Roman" w:cs="Times New Roman"/>
                <w:b/>
                <w:color w:val="000000"/>
                <w:sz w:val="24"/>
                <w:szCs w:val="22"/>
                <w:lang w:eastAsia="en-GB"/>
              </w:rPr>
            </w:pPr>
            <w:r w:rsidRPr="00F10FFC">
              <w:rPr>
                <w:rFonts w:ascii="Times New Roman" w:eastAsiaTheme="minorHAnsi" w:hAnsi="Times New Roman" w:cs="Times New Roman"/>
                <w:color w:val="000000"/>
                <w:szCs w:val="22"/>
              </w:rPr>
              <w:t>In accordance with</w:t>
            </w:r>
            <w:r w:rsidR="00133E44" w:rsidRPr="00F10FFC">
              <w:rPr>
                <w:rFonts w:ascii="Times New Roman" w:eastAsiaTheme="minorHAnsi" w:hAnsi="Times New Roman" w:cs="Times New Roman"/>
                <w:color w:val="000000"/>
                <w:szCs w:val="22"/>
              </w:rPr>
              <w:t xml:space="preserve"> </w:t>
            </w:r>
            <w:r w:rsidRPr="00F10FFC">
              <w:rPr>
                <w:rFonts w:ascii="Times New Roman" w:eastAsiaTheme="minorHAnsi" w:hAnsi="Times New Roman" w:cs="Times New Roman"/>
                <w:color w:val="000000"/>
                <w:szCs w:val="22"/>
              </w:rPr>
              <w:t>Article 448(1)</w:t>
            </w:r>
            <w:r w:rsidR="00A77093">
              <w:rPr>
                <w:rFonts w:ascii="Times New Roman" w:eastAsiaTheme="minorHAnsi" w:hAnsi="Times New Roman" w:cs="Times New Roman"/>
                <w:color w:val="000000"/>
                <w:szCs w:val="22"/>
              </w:rPr>
              <w:t>,</w:t>
            </w:r>
            <w:r w:rsidR="00A8375D" w:rsidRPr="00F10FFC">
              <w:rPr>
                <w:rFonts w:ascii="Times New Roman" w:eastAsiaTheme="minorHAnsi" w:hAnsi="Times New Roman" w:cs="Times New Roman"/>
                <w:color w:val="000000"/>
                <w:szCs w:val="22"/>
              </w:rPr>
              <w:t xml:space="preserve"> </w:t>
            </w:r>
            <w:r w:rsidR="00A77093" w:rsidRPr="00377E1C">
              <w:rPr>
                <w:rFonts w:ascii="Times New Roman" w:eastAsiaTheme="minorHAnsi" w:hAnsi="Times New Roman" w:cs="Times New Roman"/>
                <w:color w:val="000000"/>
                <w:szCs w:val="22"/>
              </w:rPr>
              <w:t xml:space="preserve">point (g) </w:t>
            </w:r>
            <w:r w:rsidR="00A8375D" w:rsidRPr="00F10FFC">
              <w:rPr>
                <w:rFonts w:ascii="Times New Roman" w:eastAsiaTheme="minorHAnsi" w:hAnsi="Times New Roman" w:cs="Times New Roman"/>
                <w:color w:val="000000"/>
                <w:szCs w:val="22"/>
              </w:rPr>
              <w:t>CRR</w:t>
            </w:r>
            <w:r w:rsidRPr="00F10FFC">
              <w:rPr>
                <w:rFonts w:ascii="Times New Roman" w:eastAsiaTheme="minorHAnsi" w:hAnsi="Times New Roman" w:cs="Times New Roman"/>
                <w:color w:val="000000"/>
                <w:szCs w:val="22"/>
              </w:rPr>
              <w:t xml:space="preserve">, institutions shall disclose </w:t>
            </w:r>
            <w:r w:rsidR="00B44524" w:rsidRPr="00F10FFC">
              <w:rPr>
                <w:rFonts w:ascii="Times New Roman" w:eastAsiaTheme="minorHAnsi" w:hAnsi="Times New Roman" w:cs="Times New Roman"/>
                <w:color w:val="000000"/>
                <w:szCs w:val="22"/>
              </w:rPr>
              <w:t xml:space="preserve">the </w:t>
            </w:r>
            <w:r w:rsidRPr="00A77093">
              <w:rPr>
                <w:rFonts w:ascii="Times New Roman" w:eastAsia="Times New Roman" w:hAnsi="Times New Roman" w:cs="Times New Roman"/>
                <w:color w:val="000000"/>
                <w:szCs w:val="22"/>
                <w:lang w:eastAsia="en-GB"/>
              </w:rPr>
              <w:t>average and longest repricing maturity assigned to non-maturity deposits</w:t>
            </w:r>
            <w:r w:rsidR="00371886" w:rsidRPr="00A77093">
              <w:rPr>
                <w:rFonts w:ascii="Times New Roman" w:eastAsia="Times New Roman" w:hAnsi="Times New Roman" w:cs="Times New Roman"/>
                <w:color w:val="000000"/>
                <w:szCs w:val="22"/>
                <w:lang w:eastAsia="en-GB"/>
              </w:rPr>
              <w:t xml:space="preserve"> from </w:t>
            </w:r>
            <w:r w:rsidR="00146A3F" w:rsidRPr="00A77093">
              <w:rPr>
                <w:rFonts w:ascii="Times New Roman" w:eastAsia="Times New Roman" w:hAnsi="Times New Roman" w:cs="Times New Roman"/>
                <w:color w:val="000000"/>
                <w:szCs w:val="22"/>
                <w:lang w:eastAsia="en-GB"/>
              </w:rPr>
              <w:t>retail and</w:t>
            </w:r>
            <w:r w:rsidR="00D76DCA" w:rsidRPr="00A77093">
              <w:rPr>
                <w:rFonts w:ascii="Times New Roman" w:eastAsia="Times New Roman" w:hAnsi="Times New Roman" w:cs="Times New Roman"/>
                <w:color w:val="000000"/>
                <w:szCs w:val="22"/>
                <w:lang w:eastAsia="en-GB"/>
              </w:rPr>
              <w:t xml:space="preserve"> </w:t>
            </w:r>
            <w:r w:rsidR="00371886" w:rsidRPr="00A77093">
              <w:rPr>
                <w:rFonts w:ascii="Times New Roman" w:eastAsia="Times New Roman" w:hAnsi="Times New Roman" w:cs="Times New Roman"/>
                <w:color w:val="000000"/>
                <w:szCs w:val="22"/>
                <w:lang w:eastAsia="en-GB"/>
              </w:rPr>
              <w:t>non-financial</w:t>
            </w:r>
            <w:r w:rsidR="00146A3F" w:rsidRPr="00A77093">
              <w:rPr>
                <w:rFonts w:ascii="Times New Roman" w:eastAsia="Times New Roman" w:hAnsi="Times New Roman" w:cs="Times New Roman"/>
                <w:color w:val="000000"/>
                <w:szCs w:val="22"/>
                <w:lang w:eastAsia="en-GB"/>
              </w:rPr>
              <w:t xml:space="preserve"> </w:t>
            </w:r>
            <w:r w:rsidR="00E74FF6" w:rsidRPr="00A77093">
              <w:rPr>
                <w:rFonts w:ascii="Times New Roman" w:eastAsia="Times New Roman" w:hAnsi="Times New Roman" w:cs="Times New Roman"/>
                <w:color w:val="000000"/>
                <w:szCs w:val="22"/>
                <w:lang w:eastAsia="en-GB"/>
              </w:rPr>
              <w:t>wholesale</w:t>
            </w:r>
            <w:r w:rsidR="00453AC4" w:rsidRPr="00A77093">
              <w:rPr>
                <w:rFonts w:ascii="Times New Roman" w:eastAsia="Times New Roman" w:hAnsi="Times New Roman" w:cs="Times New Roman"/>
                <w:color w:val="000000"/>
                <w:szCs w:val="22"/>
                <w:lang w:eastAsia="en-GB"/>
              </w:rPr>
              <w:t xml:space="preserve"> </w:t>
            </w:r>
            <w:r w:rsidR="00146A3F" w:rsidRPr="00A77093">
              <w:rPr>
                <w:rFonts w:ascii="Times New Roman" w:eastAsia="Times New Roman" w:hAnsi="Times New Roman" w:cs="Times New Roman"/>
                <w:color w:val="000000"/>
                <w:szCs w:val="22"/>
                <w:lang w:eastAsia="en-GB"/>
              </w:rPr>
              <w:t>counterparties</w:t>
            </w:r>
            <w:r w:rsidRPr="00A77093">
              <w:rPr>
                <w:rFonts w:ascii="Times New Roman" w:eastAsia="Times New Roman" w:hAnsi="Times New Roman" w:cs="Times New Roman"/>
                <w:color w:val="000000"/>
                <w:szCs w:val="22"/>
                <w:lang w:eastAsia="en-GB"/>
              </w:rPr>
              <w:t>.</w:t>
            </w:r>
            <w:r w:rsidR="004858AF" w:rsidRPr="00A77093">
              <w:rPr>
                <w:rFonts w:ascii="Times New Roman" w:eastAsia="Times New Roman" w:hAnsi="Times New Roman" w:cs="Times New Roman"/>
                <w:color w:val="000000"/>
                <w:szCs w:val="22"/>
                <w:lang w:eastAsia="en-GB"/>
              </w:rPr>
              <w:t xml:space="preserve"> The disclosure </w:t>
            </w:r>
            <w:r w:rsidR="00371886" w:rsidRPr="00A77093">
              <w:rPr>
                <w:rFonts w:ascii="Times New Roman" w:eastAsia="Times New Roman" w:hAnsi="Times New Roman" w:cs="Times New Roman"/>
                <w:color w:val="000000"/>
                <w:szCs w:val="22"/>
                <w:lang w:eastAsia="en-GB"/>
              </w:rPr>
              <w:t>shall refer separately to</w:t>
            </w:r>
            <w:r w:rsidR="004858AF" w:rsidRPr="00482070">
              <w:rPr>
                <w:rFonts w:ascii="Times New Roman" w:eastAsia="Times New Roman" w:hAnsi="Times New Roman" w:cs="Times New Roman"/>
                <w:color w:val="000000"/>
                <w:szCs w:val="22"/>
                <w:lang w:eastAsia="en-GB"/>
              </w:rPr>
              <w:t xml:space="preserve"> both the core part and the full amount of non-maturity deposits</w:t>
            </w:r>
            <w:r w:rsidR="00371886" w:rsidRPr="00482070">
              <w:rPr>
                <w:rFonts w:ascii="Times New Roman" w:eastAsia="Times New Roman" w:hAnsi="Times New Roman" w:cs="Times New Roman"/>
                <w:color w:val="000000"/>
                <w:szCs w:val="22"/>
                <w:lang w:eastAsia="en-GB"/>
              </w:rPr>
              <w:t xml:space="preserve"> from</w:t>
            </w:r>
            <w:r w:rsidR="00453AC4">
              <w:rPr>
                <w:rFonts w:ascii="Times New Roman" w:eastAsia="Times New Roman" w:hAnsi="Times New Roman" w:cs="Times New Roman"/>
                <w:color w:val="000000"/>
                <w:szCs w:val="22"/>
                <w:lang w:eastAsia="en-GB"/>
              </w:rPr>
              <w:t xml:space="preserve"> </w:t>
            </w:r>
            <w:r w:rsidR="00E74FF6">
              <w:rPr>
                <w:rFonts w:ascii="Times New Roman" w:eastAsia="Times New Roman" w:hAnsi="Times New Roman" w:cs="Times New Roman"/>
                <w:color w:val="000000"/>
                <w:szCs w:val="22"/>
                <w:lang w:eastAsia="en-GB"/>
              </w:rPr>
              <w:t>retail and</w:t>
            </w:r>
            <w:r w:rsidR="00371886" w:rsidRPr="00482070">
              <w:rPr>
                <w:rFonts w:ascii="Times New Roman" w:eastAsia="Times New Roman" w:hAnsi="Times New Roman" w:cs="Times New Roman"/>
                <w:color w:val="000000"/>
                <w:szCs w:val="22"/>
                <w:lang w:eastAsia="en-GB"/>
              </w:rPr>
              <w:t xml:space="preserve"> non-financial</w:t>
            </w:r>
            <w:r w:rsidR="00D76DCA">
              <w:rPr>
                <w:rFonts w:ascii="Times New Roman" w:eastAsia="Times New Roman" w:hAnsi="Times New Roman" w:cs="Times New Roman"/>
                <w:color w:val="000000"/>
                <w:szCs w:val="22"/>
                <w:lang w:eastAsia="en-GB"/>
              </w:rPr>
              <w:t xml:space="preserve"> </w:t>
            </w:r>
            <w:r w:rsidR="00E74FF6">
              <w:rPr>
                <w:rFonts w:ascii="Times New Roman" w:eastAsia="Times New Roman" w:hAnsi="Times New Roman" w:cs="Times New Roman"/>
                <w:color w:val="000000"/>
                <w:szCs w:val="22"/>
                <w:lang w:eastAsia="en-GB"/>
              </w:rPr>
              <w:t>wholesale</w:t>
            </w:r>
            <w:r w:rsidR="00D76DCA">
              <w:rPr>
                <w:rFonts w:ascii="Times New Roman" w:eastAsia="Times New Roman" w:hAnsi="Times New Roman" w:cs="Times New Roman"/>
                <w:color w:val="000000"/>
                <w:szCs w:val="22"/>
                <w:lang w:eastAsia="en-GB"/>
              </w:rPr>
              <w:t xml:space="preserve"> counterparties</w:t>
            </w:r>
            <w:r w:rsidR="004858AF" w:rsidRPr="00482070">
              <w:rPr>
                <w:rFonts w:ascii="Times New Roman" w:eastAsia="Times New Roman" w:hAnsi="Times New Roman" w:cs="Times New Roman"/>
                <w:color w:val="000000"/>
                <w:szCs w:val="22"/>
                <w:lang w:eastAsia="en-GB"/>
              </w:rPr>
              <w:t>.</w:t>
            </w:r>
          </w:p>
        </w:tc>
      </w:tr>
    </w:tbl>
    <w:p w14:paraId="7CCC608C" w14:textId="665437C9" w:rsidR="00CD3692" w:rsidRPr="00482070" w:rsidRDefault="00CD3692" w:rsidP="0054744B">
      <w:pPr>
        <w:jc w:val="both"/>
        <w:rPr>
          <w:rFonts w:ascii="Times New Roman" w:hAnsi="Times New Roman"/>
          <w:b/>
          <w:bCs/>
          <w:sz w:val="24"/>
        </w:rPr>
      </w:pPr>
    </w:p>
    <w:p w14:paraId="47ECF7AE" w14:textId="68E6A9FF" w:rsidR="00CD3692" w:rsidRPr="00482070" w:rsidRDefault="00CD3692" w:rsidP="0054744B">
      <w:pPr>
        <w:jc w:val="both"/>
        <w:rPr>
          <w:rFonts w:ascii="Times New Roman" w:hAnsi="Times New Roman"/>
          <w:b/>
          <w:bCs/>
          <w:sz w:val="24"/>
        </w:rPr>
      </w:pPr>
    </w:p>
    <w:p w14:paraId="2CCE4A80" w14:textId="77777777" w:rsidR="00CD3692" w:rsidRPr="00482070" w:rsidRDefault="00CD3692" w:rsidP="0054744B">
      <w:pPr>
        <w:jc w:val="both"/>
        <w:rPr>
          <w:rFonts w:ascii="Times New Roman" w:hAnsi="Times New Roman"/>
          <w:b/>
          <w:bCs/>
          <w:sz w:val="24"/>
        </w:rPr>
      </w:pPr>
    </w:p>
    <w:p w14:paraId="287F28AF" w14:textId="20BC8E16" w:rsidR="0054744B" w:rsidRPr="00482070" w:rsidRDefault="0078309E" w:rsidP="0054744B">
      <w:pPr>
        <w:jc w:val="both"/>
        <w:rPr>
          <w:rFonts w:ascii="Times New Roman" w:hAnsi="Times New Roman"/>
          <w:bCs/>
          <w:sz w:val="24"/>
        </w:rPr>
      </w:pPr>
      <w:r w:rsidRPr="00482070">
        <w:rPr>
          <w:rFonts w:ascii="Times New Roman" w:hAnsi="Times New Roman"/>
          <w:b/>
          <w:bCs/>
          <w:sz w:val="24"/>
        </w:rPr>
        <w:t>Template EU IRRBB</w:t>
      </w:r>
      <w:r w:rsidR="00B923DC" w:rsidRPr="00482070">
        <w:rPr>
          <w:rFonts w:ascii="Times New Roman" w:hAnsi="Times New Roman"/>
          <w:b/>
          <w:bCs/>
          <w:sz w:val="24"/>
        </w:rPr>
        <w:t xml:space="preserve">1 </w:t>
      </w:r>
      <w:r w:rsidRPr="00482070">
        <w:rPr>
          <w:rFonts w:ascii="Times New Roman" w:hAnsi="Times New Roman"/>
          <w:b/>
          <w:bCs/>
          <w:sz w:val="24"/>
        </w:rPr>
        <w:t>–</w:t>
      </w:r>
      <w:r w:rsidR="00B923DC" w:rsidRPr="00482070">
        <w:rPr>
          <w:rFonts w:ascii="Times New Roman" w:hAnsi="Times New Roman"/>
          <w:b/>
          <w:bCs/>
          <w:sz w:val="24"/>
        </w:rPr>
        <w:t xml:space="preserve"> </w:t>
      </w:r>
      <w:r w:rsidRPr="00482070">
        <w:rPr>
          <w:rFonts w:ascii="Times New Roman" w:hAnsi="Times New Roman"/>
          <w:b/>
          <w:bCs/>
          <w:sz w:val="24"/>
        </w:rPr>
        <w:t>Intere</w:t>
      </w:r>
      <w:r w:rsidR="007D1AE4" w:rsidRPr="00482070">
        <w:rPr>
          <w:rFonts w:ascii="Times New Roman" w:hAnsi="Times New Roman"/>
          <w:b/>
          <w:bCs/>
          <w:sz w:val="24"/>
        </w:rPr>
        <w:t>st rate risk of</w:t>
      </w:r>
      <w:r w:rsidR="00A930B2" w:rsidRPr="00482070">
        <w:rPr>
          <w:rFonts w:ascii="Times New Roman" w:hAnsi="Times New Roman"/>
          <w:b/>
          <w:bCs/>
          <w:sz w:val="24"/>
        </w:rPr>
        <w:t xml:space="preserve"> non-trading book activ</w:t>
      </w:r>
      <w:r w:rsidR="00316B9A" w:rsidRPr="00482070">
        <w:rPr>
          <w:rFonts w:ascii="Times New Roman" w:hAnsi="Times New Roman"/>
          <w:b/>
          <w:bCs/>
          <w:sz w:val="24"/>
        </w:rPr>
        <w:t>i</w:t>
      </w:r>
      <w:r w:rsidR="00A930B2" w:rsidRPr="00482070">
        <w:rPr>
          <w:rFonts w:ascii="Times New Roman" w:hAnsi="Times New Roman"/>
          <w:b/>
          <w:bCs/>
          <w:sz w:val="24"/>
        </w:rPr>
        <w:t>ties</w:t>
      </w:r>
      <w:r w:rsidR="00B923DC" w:rsidRPr="00482070">
        <w:rPr>
          <w:rFonts w:ascii="Times New Roman" w:hAnsi="Times New Roman"/>
          <w:b/>
          <w:bCs/>
          <w:sz w:val="24"/>
        </w:rPr>
        <w:t xml:space="preserve">. </w:t>
      </w:r>
      <w:r w:rsidR="00B923DC" w:rsidRPr="00482070">
        <w:rPr>
          <w:rFonts w:ascii="Times New Roman" w:hAnsi="Times New Roman"/>
          <w:bCs/>
          <w:sz w:val="24"/>
        </w:rPr>
        <w:t>Fixed template</w:t>
      </w:r>
    </w:p>
    <w:p w14:paraId="31489412" w14:textId="77777777" w:rsidR="0054744B" w:rsidRPr="00482070" w:rsidRDefault="0054744B" w:rsidP="0054744B">
      <w:pPr>
        <w:ind w:left="360"/>
        <w:jc w:val="both"/>
        <w:rPr>
          <w:rFonts w:ascii="Times New Roman" w:hAnsi="Times New Roman"/>
          <w:bCs/>
          <w:sz w:val="24"/>
        </w:rPr>
      </w:pPr>
    </w:p>
    <w:p w14:paraId="48654FDA" w14:textId="3AEE3597" w:rsidR="00227FDC" w:rsidRPr="00482070" w:rsidRDefault="00FE2CB5" w:rsidP="008220B0">
      <w:pPr>
        <w:numPr>
          <w:ilvl w:val="0"/>
          <w:numId w:val="1"/>
        </w:numPr>
        <w:jc w:val="both"/>
        <w:rPr>
          <w:bCs/>
        </w:rPr>
      </w:pPr>
      <w:r w:rsidRPr="00482070">
        <w:rPr>
          <w:rFonts w:ascii="Times New Roman" w:hAnsi="Times New Roman"/>
          <w:bCs/>
          <w:sz w:val="24"/>
        </w:rPr>
        <w:t xml:space="preserve">Institutions shall disclose the information included in </w:t>
      </w:r>
      <w:r w:rsidR="00067516" w:rsidRPr="00482070">
        <w:rPr>
          <w:rFonts w:ascii="Times New Roman" w:hAnsi="Times New Roman"/>
          <w:bCs/>
          <w:sz w:val="24"/>
        </w:rPr>
        <w:t xml:space="preserve">template </w:t>
      </w:r>
      <w:r w:rsidR="00EE3ECC" w:rsidRPr="00482070">
        <w:rPr>
          <w:rFonts w:ascii="Times New Roman" w:hAnsi="Times New Roman"/>
          <w:bCs/>
          <w:sz w:val="24"/>
        </w:rPr>
        <w:t>EU IRRBB</w:t>
      </w:r>
      <w:r w:rsidR="001E68FA" w:rsidRPr="00482070">
        <w:rPr>
          <w:rFonts w:ascii="Times New Roman" w:hAnsi="Times New Roman"/>
          <w:bCs/>
          <w:sz w:val="24"/>
        </w:rPr>
        <w:t xml:space="preserve">1 </w:t>
      </w:r>
      <w:r w:rsidR="00EE3ECC" w:rsidRPr="00482070">
        <w:rPr>
          <w:rFonts w:ascii="Times New Roman" w:hAnsi="Times New Roman"/>
          <w:bCs/>
          <w:sz w:val="24"/>
        </w:rPr>
        <w:t>in application of Article 448</w:t>
      </w:r>
      <w:r w:rsidR="00067516" w:rsidRPr="00482070">
        <w:rPr>
          <w:rFonts w:ascii="Times New Roman" w:hAnsi="Times New Roman"/>
          <w:bCs/>
          <w:sz w:val="24"/>
        </w:rPr>
        <w:t xml:space="preserve"> </w:t>
      </w:r>
      <w:r w:rsidRPr="00482070">
        <w:rPr>
          <w:rFonts w:ascii="Times New Roman" w:hAnsi="Times New Roman"/>
          <w:bCs/>
          <w:sz w:val="24"/>
        </w:rPr>
        <w:t xml:space="preserve">CRR. </w:t>
      </w:r>
      <w:r w:rsidR="00227FDC" w:rsidRPr="00482070">
        <w:rPr>
          <w:rFonts w:ascii="Times New Roman" w:hAnsi="Times New Roman"/>
          <w:bCs/>
          <w:sz w:val="24"/>
        </w:rPr>
        <w:t>This template provides information on</w:t>
      </w:r>
      <w:r w:rsidR="008220B0" w:rsidRPr="00482070">
        <w:rPr>
          <w:rFonts w:ascii="Times New Roman" w:hAnsi="Times New Roman"/>
          <w:bCs/>
          <w:sz w:val="24"/>
        </w:rPr>
        <w:t xml:space="preserve"> the risks arising from potential changes in interest rates that affect both the economic value of equity and the net interest income of their non-trading book activities referred to in Article 84 and Article 98(5) </w:t>
      </w:r>
      <w:r w:rsidR="00580D58" w:rsidRPr="00482070">
        <w:rPr>
          <w:rFonts w:ascii="Times New Roman" w:hAnsi="Times New Roman"/>
          <w:bCs/>
          <w:sz w:val="24"/>
        </w:rPr>
        <w:t>CRD</w:t>
      </w:r>
      <w:r w:rsidR="00227FDC" w:rsidRPr="00482070">
        <w:rPr>
          <w:rFonts w:ascii="Times New Roman" w:hAnsi="Times New Roman"/>
          <w:bCs/>
          <w:sz w:val="24"/>
        </w:rPr>
        <w:t xml:space="preserve">. </w:t>
      </w:r>
    </w:p>
    <w:p w14:paraId="341C6BAB" w14:textId="77777777" w:rsidR="00580D58" w:rsidRPr="00482070" w:rsidRDefault="00580D58" w:rsidP="003A2001">
      <w:pPr>
        <w:ind w:left="360"/>
        <w:jc w:val="both"/>
        <w:rPr>
          <w:bCs/>
        </w:rPr>
      </w:pPr>
    </w:p>
    <w:p w14:paraId="18595772" w14:textId="5F8AB33A" w:rsidR="00580D58" w:rsidRPr="00482070" w:rsidRDefault="00580D58" w:rsidP="008220B0">
      <w:pPr>
        <w:numPr>
          <w:ilvl w:val="0"/>
          <w:numId w:val="1"/>
        </w:numPr>
        <w:jc w:val="both"/>
        <w:rPr>
          <w:rFonts w:ascii="Times New Roman" w:hAnsi="Times New Roman"/>
          <w:bCs/>
          <w:sz w:val="24"/>
        </w:rPr>
      </w:pPr>
      <w:r w:rsidRPr="00482070">
        <w:rPr>
          <w:bCs/>
        </w:rPr>
        <w:t xml:space="preserve"> </w:t>
      </w:r>
      <w:r w:rsidRPr="00482070">
        <w:rPr>
          <w:rFonts w:ascii="Times New Roman" w:hAnsi="Times New Roman"/>
          <w:bCs/>
          <w:sz w:val="24"/>
        </w:rPr>
        <w:t xml:space="preserve">Institutions shall assess the interest rate risk of non-trading book activities </w:t>
      </w:r>
      <w:proofErr w:type="gramStart"/>
      <w:r w:rsidRPr="00482070">
        <w:rPr>
          <w:rFonts w:ascii="Times New Roman" w:hAnsi="Times New Roman"/>
          <w:bCs/>
          <w:sz w:val="24"/>
        </w:rPr>
        <w:t>on the basis of</w:t>
      </w:r>
      <w:proofErr w:type="gramEnd"/>
      <w:r w:rsidRPr="00482070">
        <w:rPr>
          <w:rFonts w:ascii="Times New Roman" w:hAnsi="Times New Roman"/>
          <w:bCs/>
          <w:sz w:val="24"/>
        </w:rPr>
        <w:t xml:space="preserve"> their internal measurement system</w:t>
      </w:r>
      <w:r w:rsidR="004979A6" w:rsidRPr="00482070">
        <w:rPr>
          <w:rFonts w:ascii="Times New Roman" w:hAnsi="Times New Roman"/>
          <w:bCs/>
          <w:sz w:val="24"/>
        </w:rPr>
        <w:t xml:space="preserve"> (IMS)</w:t>
      </w:r>
      <w:r w:rsidRPr="00482070">
        <w:rPr>
          <w:rFonts w:ascii="Times New Roman" w:hAnsi="Times New Roman"/>
          <w:bCs/>
          <w:sz w:val="24"/>
        </w:rPr>
        <w:t xml:space="preserve"> methodology</w:t>
      </w:r>
      <w:r w:rsidR="004979A6" w:rsidRPr="00482070">
        <w:rPr>
          <w:rFonts w:ascii="Times New Roman" w:hAnsi="Times New Roman"/>
          <w:bCs/>
          <w:sz w:val="24"/>
        </w:rPr>
        <w:t xml:space="preserve">, </w:t>
      </w:r>
      <w:r w:rsidR="004979A6" w:rsidRPr="00952741">
        <w:rPr>
          <w:rFonts w:ascii="Times New Roman" w:eastAsia="Times New Roman" w:hAnsi="Times New Roman" w:cs="Times New Roman"/>
          <w:color w:val="000000"/>
          <w:sz w:val="24"/>
          <w:lang w:eastAsia="en-GB"/>
        </w:rPr>
        <w:t>standardised methodology or simplified standardised methodology</w:t>
      </w:r>
      <w:r w:rsidR="004979A6" w:rsidRPr="00482070">
        <w:rPr>
          <w:rFonts w:ascii="Times New Roman" w:eastAsia="Times New Roman" w:hAnsi="Times New Roman" w:cs="Times New Roman"/>
          <w:color w:val="000000"/>
          <w:szCs w:val="22"/>
          <w:lang w:eastAsia="en-GB"/>
        </w:rPr>
        <w:t xml:space="preserve">, </w:t>
      </w:r>
      <w:r w:rsidR="004979A6" w:rsidRPr="00952741">
        <w:rPr>
          <w:rFonts w:ascii="Times New Roman" w:eastAsia="Times New Roman" w:hAnsi="Times New Roman" w:cs="Times New Roman"/>
          <w:color w:val="000000"/>
          <w:sz w:val="24"/>
          <w:lang w:eastAsia="en-GB"/>
        </w:rPr>
        <w:t>when applicable</w:t>
      </w:r>
      <w:r w:rsidR="00053035" w:rsidRPr="00482070">
        <w:rPr>
          <w:rFonts w:ascii="Times New Roman" w:eastAsia="Times New Roman" w:hAnsi="Times New Roman" w:cs="Times New Roman"/>
          <w:color w:val="000000"/>
          <w:szCs w:val="22"/>
          <w:lang w:eastAsia="en-GB"/>
        </w:rPr>
        <w:t>,</w:t>
      </w:r>
      <w:r w:rsidRPr="00482070">
        <w:rPr>
          <w:rFonts w:ascii="Times New Roman" w:hAnsi="Times New Roman"/>
          <w:bCs/>
          <w:sz w:val="24"/>
        </w:rPr>
        <w:t xml:space="preserve"> as defined in accordance with Article 84 CRD, given the supervisory shock scenarios and the common modelling and parametric assumptions defined in </w:t>
      </w:r>
      <w:r w:rsidR="002F2E04" w:rsidRPr="00482070">
        <w:rPr>
          <w:rFonts w:ascii="Times New Roman" w:hAnsi="Times New Roman"/>
          <w:bCs/>
          <w:sz w:val="24"/>
        </w:rPr>
        <w:t>A</w:t>
      </w:r>
      <w:r w:rsidRPr="00482070">
        <w:rPr>
          <w:rFonts w:ascii="Times New Roman" w:hAnsi="Times New Roman"/>
          <w:bCs/>
          <w:sz w:val="24"/>
        </w:rPr>
        <w:t>rticle 98(5a) CRD.</w:t>
      </w:r>
    </w:p>
    <w:p w14:paraId="71B54BD0" w14:textId="77777777" w:rsidR="00227FDC" w:rsidRPr="00482070" w:rsidRDefault="00227FDC" w:rsidP="00A81E4E">
      <w:pPr>
        <w:jc w:val="both"/>
        <w:rPr>
          <w:rFonts w:ascii="Times New Roman" w:hAnsi="Times New Roman"/>
          <w:bCs/>
          <w:sz w:val="24"/>
          <w:highlight w:val="yellow"/>
        </w:rPr>
      </w:pPr>
    </w:p>
    <w:p w14:paraId="532A60CC" w14:textId="2D8C8F2A" w:rsidR="0054744B" w:rsidRPr="00482070" w:rsidRDefault="0054744B" w:rsidP="00C1556C">
      <w:pPr>
        <w:numPr>
          <w:ilvl w:val="0"/>
          <w:numId w:val="1"/>
        </w:numPr>
        <w:jc w:val="both"/>
        <w:rPr>
          <w:rFonts w:ascii="Times New Roman" w:hAnsi="Times New Roman"/>
          <w:bCs/>
          <w:sz w:val="24"/>
        </w:rPr>
      </w:pPr>
      <w:r w:rsidRPr="00482070">
        <w:rPr>
          <w:rFonts w:ascii="Times New Roman" w:hAnsi="Times New Roman"/>
          <w:bCs/>
          <w:sz w:val="24"/>
        </w:rPr>
        <w:t>Institutions shall apply the instructions provided</w:t>
      </w:r>
      <w:r w:rsidR="001E68FA" w:rsidRPr="00482070">
        <w:rPr>
          <w:rFonts w:ascii="Times New Roman" w:hAnsi="Times New Roman"/>
          <w:bCs/>
          <w:sz w:val="24"/>
        </w:rPr>
        <w:t xml:space="preserve"> below</w:t>
      </w:r>
      <w:r w:rsidRPr="00482070">
        <w:rPr>
          <w:rFonts w:ascii="Times New Roman" w:hAnsi="Times New Roman"/>
          <w:bCs/>
          <w:sz w:val="24"/>
        </w:rPr>
        <w:t xml:space="preserve"> in this Annex </w:t>
      </w:r>
      <w:proofErr w:type="gramStart"/>
      <w:r w:rsidRPr="00482070">
        <w:rPr>
          <w:rFonts w:ascii="Times New Roman" w:hAnsi="Times New Roman"/>
          <w:bCs/>
          <w:sz w:val="24"/>
        </w:rPr>
        <w:t xml:space="preserve">in order </w:t>
      </w:r>
      <w:r w:rsidR="00EE3ECC" w:rsidRPr="00482070">
        <w:rPr>
          <w:rFonts w:ascii="Times New Roman" w:hAnsi="Times New Roman"/>
          <w:bCs/>
          <w:sz w:val="24"/>
        </w:rPr>
        <w:t>to</w:t>
      </w:r>
      <w:proofErr w:type="gramEnd"/>
      <w:r w:rsidR="00EE3ECC" w:rsidRPr="00482070">
        <w:rPr>
          <w:rFonts w:ascii="Times New Roman" w:hAnsi="Times New Roman"/>
          <w:bCs/>
          <w:sz w:val="24"/>
        </w:rPr>
        <w:t xml:space="preserve"> complete the interest rate risks of the non-trading book </w:t>
      </w:r>
      <w:r w:rsidR="008220B0" w:rsidRPr="00482070">
        <w:rPr>
          <w:rFonts w:ascii="Times New Roman" w:hAnsi="Times New Roman"/>
          <w:bCs/>
          <w:sz w:val="24"/>
        </w:rPr>
        <w:t>activities</w:t>
      </w:r>
      <w:r w:rsidRPr="00482070">
        <w:rPr>
          <w:rFonts w:ascii="Times New Roman" w:hAnsi="Times New Roman"/>
          <w:bCs/>
          <w:sz w:val="24"/>
        </w:rPr>
        <w:t xml:space="preserve"> disclosure template</w:t>
      </w:r>
      <w:r w:rsidR="00EE3ECC" w:rsidRPr="00482070">
        <w:rPr>
          <w:rFonts w:ascii="Times New Roman" w:hAnsi="Times New Roman"/>
          <w:bCs/>
          <w:sz w:val="24"/>
        </w:rPr>
        <w:t xml:space="preserve"> EU IRRBB</w:t>
      </w:r>
      <w:r w:rsidR="001E68FA" w:rsidRPr="00482070">
        <w:rPr>
          <w:rFonts w:ascii="Times New Roman" w:hAnsi="Times New Roman"/>
          <w:bCs/>
          <w:sz w:val="24"/>
        </w:rPr>
        <w:t>1</w:t>
      </w:r>
      <w:r w:rsidRPr="00482070">
        <w:rPr>
          <w:rFonts w:ascii="Times New Roman" w:hAnsi="Times New Roman"/>
          <w:bCs/>
          <w:sz w:val="24"/>
        </w:rPr>
        <w:t xml:space="preserve"> as </w:t>
      </w:r>
      <w:r w:rsidRPr="00482070">
        <w:rPr>
          <w:rFonts w:ascii="Times New Roman" w:hAnsi="Times New Roman"/>
          <w:bCs/>
          <w:sz w:val="24"/>
        </w:rPr>
        <w:lastRenderedPageBreak/>
        <w:t xml:space="preserve">presented in Annex </w:t>
      </w:r>
      <w:r w:rsidR="00C1556C" w:rsidRPr="00482070">
        <w:rPr>
          <w:rFonts w:ascii="Times New Roman" w:hAnsi="Times New Roman"/>
          <w:bCs/>
          <w:sz w:val="24"/>
        </w:rPr>
        <w:t>XXXVII</w:t>
      </w:r>
      <w:r w:rsidRPr="00482070">
        <w:rPr>
          <w:rFonts w:ascii="Times New Roman" w:hAnsi="Times New Roman"/>
          <w:bCs/>
          <w:sz w:val="24"/>
        </w:rPr>
        <w:t>.</w:t>
      </w:r>
      <w:r w:rsidR="00C206DE" w:rsidRPr="00482070">
        <w:rPr>
          <w:rFonts w:ascii="Times New Roman" w:hAnsi="Times New Roman"/>
          <w:bCs/>
          <w:sz w:val="24"/>
        </w:rPr>
        <w:t xml:space="preserve"> </w:t>
      </w:r>
      <w:r w:rsidR="00C206DE" w:rsidRPr="00952741">
        <w:rPr>
          <w:rFonts w:ascii="Times New Roman" w:hAnsi="Times New Roman" w:cs="Times New Roman"/>
          <w:sz w:val="24"/>
        </w:rPr>
        <w:t>For the first</w:t>
      </w:r>
      <w:r w:rsidR="00697A36" w:rsidRPr="00952741">
        <w:rPr>
          <w:rFonts w:ascii="Times New Roman" w:hAnsi="Times New Roman" w:cs="Times New Roman"/>
          <w:sz w:val="24"/>
        </w:rPr>
        <w:t>-</w:t>
      </w:r>
      <w:r w:rsidR="00C206DE" w:rsidRPr="00952741">
        <w:rPr>
          <w:rFonts w:ascii="Times New Roman" w:hAnsi="Times New Roman" w:cs="Times New Roman"/>
          <w:sz w:val="24"/>
        </w:rPr>
        <w:t xml:space="preserve">time disclosure, the information </w:t>
      </w:r>
      <w:r w:rsidR="00697A36" w:rsidRPr="00952741">
        <w:rPr>
          <w:rFonts w:ascii="Times New Roman" w:hAnsi="Times New Roman" w:cs="Times New Roman"/>
          <w:sz w:val="24"/>
        </w:rPr>
        <w:t>for</w:t>
      </w:r>
      <w:r w:rsidR="00C206DE" w:rsidRPr="00952741">
        <w:rPr>
          <w:rFonts w:ascii="Times New Roman" w:hAnsi="Times New Roman" w:cs="Times New Roman"/>
          <w:sz w:val="24"/>
        </w:rPr>
        <w:t xml:space="preserve"> the previous period is not requ</w:t>
      </w:r>
      <w:r w:rsidR="00697A36" w:rsidRPr="00952741">
        <w:rPr>
          <w:rFonts w:ascii="Times New Roman" w:hAnsi="Times New Roman" w:cs="Times New Roman"/>
          <w:sz w:val="24"/>
        </w:rPr>
        <w:t>ired</w:t>
      </w:r>
      <w:r w:rsidR="00C206DE" w:rsidRPr="00952741">
        <w:rPr>
          <w:rFonts w:ascii="Times New Roman" w:hAnsi="Times New Roman" w:cs="Times New Roman"/>
          <w:sz w:val="24"/>
        </w:rPr>
        <w:t>.</w:t>
      </w:r>
    </w:p>
    <w:p w14:paraId="4329A1AB" w14:textId="77777777" w:rsidR="00CE0D17" w:rsidRPr="00482070" w:rsidRDefault="00CE0D17" w:rsidP="00CE0D17">
      <w:pPr>
        <w:pStyle w:val="ListParagraph"/>
        <w:rPr>
          <w:rFonts w:ascii="Times New Roman" w:hAnsi="Times New Roman"/>
          <w:bCs/>
          <w:sz w:val="24"/>
        </w:rPr>
      </w:pPr>
    </w:p>
    <w:p w14:paraId="6EDD9A3D" w14:textId="77777777" w:rsidR="0060489A" w:rsidRPr="00482070" w:rsidRDefault="0060489A"/>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54744B" w:rsidRPr="00482070" w14:paraId="4761A8A4" w14:textId="77777777" w:rsidTr="0095024C">
        <w:trPr>
          <w:trHeight w:val="377"/>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3110B" w14:textId="04B554CD" w:rsidR="0054744B" w:rsidRPr="00482070" w:rsidRDefault="0054744B" w:rsidP="0054744B">
            <w:pPr>
              <w:pStyle w:val="TableTitle"/>
              <w:jc w:val="left"/>
              <w:rPr>
                <w:rFonts w:ascii="Times New Roman" w:hAnsi="Times New Roman"/>
                <w:noProof w:val="0"/>
                <w:sz w:val="24"/>
              </w:rPr>
            </w:pPr>
            <w:r w:rsidRPr="00482070">
              <w:rPr>
                <w:rFonts w:ascii="Times New Roman" w:hAnsi="Times New Roman"/>
                <w:noProof w:val="0"/>
                <w:szCs w:val="22"/>
                <w:lang w:eastAsia="ja-JP"/>
              </w:rPr>
              <w:t>Instructions for completing the disclosure template</w:t>
            </w:r>
            <w:r w:rsidR="00E0485C" w:rsidRPr="00482070">
              <w:rPr>
                <w:rFonts w:ascii="Times New Roman" w:hAnsi="Times New Roman"/>
                <w:noProof w:val="0"/>
                <w:szCs w:val="22"/>
                <w:lang w:eastAsia="ja-JP"/>
              </w:rPr>
              <w:t xml:space="preserve"> EU</w:t>
            </w:r>
            <w:r w:rsidRPr="00482070">
              <w:rPr>
                <w:rFonts w:ascii="Times New Roman" w:hAnsi="Times New Roman"/>
                <w:noProof w:val="0"/>
                <w:szCs w:val="22"/>
                <w:lang w:eastAsia="ja-JP"/>
              </w:rPr>
              <w:t xml:space="preserve"> </w:t>
            </w:r>
            <w:r w:rsidR="0078309E" w:rsidRPr="00482070">
              <w:rPr>
                <w:rFonts w:ascii="Times New Roman" w:hAnsi="Times New Roman"/>
                <w:noProof w:val="0"/>
                <w:szCs w:val="22"/>
                <w:lang w:eastAsia="ja-JP"/>
              </w:rPr>
              <w:t>IRRBB1</w:t>
            </w:r>
          </w:p>
        </w:tc>
      </w:tr>
      <w:tr w:rsidR="0054744B" w:rsidRPr="00482070" w14:paraId="4DCD406D" w14:textId="77777777" w:rsidTr="007C351F">
        <w:trPr>
          <w:trHeight w:val="238"/>
        </w:trPr>
        <w:tc>
          <w:tcPr>
            <w:tcW w:w="1271" w:type="dxa"/>
            <w:tcBorders>
              <w:bottom w:val="nil"/>
            </w:tcBorders>
            <w:shd w:val="clear" w:color="auto" w:fill="D9D9D9" w:themeFill="background1" w:themeFillShade="D9"/>
          </w:tcPr>
          <w:p w14:paraId="088F66A9" w14:textId="77777777" w:rsidR="0054744B" w:rsidRPr="00482070" w:rsidRDefault="0054744B" w:rsidP="0060489A">
            <w:pPr>
              <w:autoSpaceDE w:val="0"/>
              <w:autoSpaceDN w:val="0"/>
              <w:adjustRightInd w:val="0"/>
              <w:rPr>
                <w:rFonts w:ascii="Times New Roman" w:hAnsi="Times New Roman" w:cs="Times New Roman"/>
                <w:b/>
                <w:szCs w:val="22"/>
              </w:rPr>
            </w:pPr>
            <w:r w:rsidRPr="00482070">
              <w:rPr>
                <w:rFonts w:ascii="Times New Roman" w:hAnsi="Times New Roman" w:cs="Times New Roman"/>
                <w:b/>
                <w:szCs w:val="22"/>
              </w:rPr>
              <w:t>Column</w:t>
            </w:r>
          </w:p>
        </w:tc>
        <w:tc>
          <w:tcPr>
            <w:tcW w:w="7768" w:type="dxa"/>
            <w:tcBorders>
              <w:bottom w:val="nil"/>
            </w:tcBorders>
            <w:shd w:val="clear" w:color="auto" w:fill="D9D9D9" w:themeFill="background1" w:themeFillShade="D9"/>
          </w:tcPr>
          <w:p w14:paraId="00621506" w14:textId="77777777" w:rsidR="0054744B" w:rsidRPr="00482070" w:rsidRDefault="0054744B" w:rsidP="0060489A">
            <w:pPr>
              <w:autoSpaceDE w:val="0"/>
              <w:autoSpaceDN w:val="0"/>
              <w:adjustRightInd w:val="0"/>
              <w:rPr>
                <w:rFonts w:ascii="Times New Roman" w:hAnsi="Times New Roman" w:cs="Times New Roman"/>
                <w:color w:val="000000"/>
                <w:szCs w:val="22"/>
              </w:rPr>
            </w:pPr>
            <w:r w:rsidRPr="00482070">
              <w:rPr>
                <w:rFonts w:ascii="Times New Roman" w:hAnsi="Times New Roman" w:cs="Times New Roman"/>
                <w:b/>
                <w:szCs w:val="22"/>
              </w:rPr>
              <w:t>Explanation</w:t>
            </w:r>
          </w:p>
        </w:tc>
      </w:tr>
      <w:tr w:rsidR="0054744B" w:rsidRPr="00482070" w14:paraId="53AAFC46" w14:textId="77777777" w:rsidTr="007C351F">
        <w:trPr>
          <w:trHeight w:val="238"/>
        </w:trPr>
        <w:tc>
          <w:tcPr>
            <w:tcW w:w="1271" w:type="dxa"/>
            <w:shd w:val="clear" w:color="auto" w:fill="FFFFFF" w:themeFill="background1"/>
          </w:tcPr>
          <w:p w14:paraId="562D66BF" w14:textId="1E0A8346" w:rsidR="0054744B" w:rsidRPr="00482070" w:rsidRDefault="00316B9A" w:rsidP="00F55DB0">
            <w:pPr>
              <w:autoSpaceDE w:val="0"/>
              <w:autoSpaceDN w:val="0"/>
              <w:adjustRightInd w:val="0"/>
              <w:spacing w:before="60"/>
              <w:jc w:val="center"/>
              <w:rPr>
                <w:rFonts w:ascii="Times New Roman" w:hAnsi="Times New Roman" w:cs="Times New Roman"/>
                <w:b/>
                <w:szCs w:val="22"/>
              </w:rPr>
            </w:pPr>
            <w:r w:rsidRPr="00482070">
              <w:rPr>
                <w:rFonts w:ascii="Times New Roman" w:hAnsi="Times New Roman" w:cs="Times New Roman"/>
                <w:b/>
                <w:szCs w:val="22"/>
              </w:rPr>
              <w:t>a, b</w:t>
            </w:r>
          </w:p>
        </w:tc>
        <w:tc>
          <w:tcPr>
            <w:tcW w:w="7768" w:type="dxa"/>
            <w:shd w:val="clear" w:color="auto" w:fill="FFFFFF" w:themeFill="background1"/>
          </w:tcPr>
          <w:p w14:paraId="26CB8AC0" w14:textId="3A3B49B8" w:rsidR="00793890" w:rsidRPr="00482070" w:rsidRDefault="004E6BD5" w:rsidP="0060489A">
            <w:pPr>
              <w:spacing w:before="60" w:after="120"/>
              <w:jc w:val="both"/>
              <w:rPr>
                <w:rFonts w:ascii="Times New Roman" w:eastAsia="Times New Roman" w:hAnsi="Times New Roman" w:cs="Times New Roman"/>
                <w:b/>
                <w:szCs w:val="22"/>
              </w:rPr>
            </w:pPr>
            <w:r w:rsidRPr="00482070">
              <w:rPr>
                <w:rFonts w:ascii="Times New Roman" w:eastAsia="Times New Roman" w:hAnsi="Times New Roman" w:cs="Times New Roman"/>
                <w:b/>
                <w:szCs w:val="22"/>
              </w:rPr>
              <w:t>Changes of the</w:t>
            </w:r>
            <w:r w:rsidR="007D1AE4" w:rsidRPr="00482070">
              <w:rPr>
                <w:rFonts w:ascii="Times New Roman" w:eastAsia="Times New Roman" w:hAnsi="Times New Roman" w:cs="Times New Roman"/>
                <w:b/>
                <w:szCs w:val="22"/>
              </w:rPr>
              <w:t xml:space="preserve"> economic value of equity</w:t>
            </w:r>
          </w:p>
          <w:p w14:paraId="7E84F9AE" w14:textId="13A318A6" w:rsidR="002F2E04" w:rsidRPr="00482070" w:rsidRDefault="009C3247" w:rsidP="009C3247">
            <w:pPr>
              <w:spacing w:before="60" w:after="120"/>
              <w:jc w:val="both"/>
              <w:rPr>
                <w:rFonts w:ascii="Times New Roman" w:hAnsi="Times New Roman" w:cs="Times New Roman"/>
                <w:szCs w:val="22"/>
              </w:rPr>
            </w:pPr>
            <w:r w:rsidRPr="00482070">
              <w:rPr>
                <w:rFonts w:ascii="Times New Roman" w:hAnsi="Times New Roman" w:cs="Times New Roman"/>
                <w:szCs w:val="22"/>
              </w:rPr>
              <w:t>Article 448</w:t>
            </w:r>
            <w:r w:rsidR="00133E44" w:rsidRPr="00482070">
              <w:rPr>
                <w:rFonts w:ascii="Times New Roman" w:hAnsi="Times New Roman" w:cs="Times New Roman"/>
                <w:szCs w:val="22"/>
              </w:rPr>
              <w:t>(1)</w:t>
            </w:r>
            <w:r w:rsidR="00A77093">
              <w:rPr>
                <w:rFonts w:ascii="Times New Roman" w:hAnsi="Times New Roman" w:cs="Times New Roman"/>
                <w:szCs w:val="22"/>
              </w:rPr>
              <w:t>,</w:t>
            </w:r>
            <w:r w:rsidR="00B650A9">
              <w:rPr>
                <w:rFonts w:ascii="Times New Roman" w:hAnsi="Times New Roman" w:cs="Times New Roman"/>
                <w:szCs w:val="22"/>
              </w:rPr>
              <w:t xml:space="preserve"> </w:t>
            </w:r>
            <w:r w:rsidR="00A77093">
              <w:rPr>
                <w:rFonts w:ascii="Times New Roman" w:hAnsi="Times New Roman" w:cs="Times New Roman"/>
                <w:szCs w:val="22"/>
              </w:rPr>
              <w:t>p</w:t>
            </w:r>
            <w:r w:rsidR="00A77093" w:rsidRPr="00482070">
              <w:rPr>
                <w:rFonts w:ascii="Times New Roman" w:hAnsi="Times New Roman" w:cs="Times New Roman"/>
                <w:szCs w:val="22"/>
              </w:rPr>
              <w:t xml:space="preserve">oint (a) </w:t>
            </w:r>
            <w:r w:rsidRPr="00482070">
              <w:rPr>
                <w:rFonts w:ascii="Times New Roman" w:hAnsi="Times New Roman" w:cs="Times New Roman"/>
                <w:szCs w:val="22"/>
              </w:rPr>
              <w:t xml:space="preserve">CRR. </w:t>
            </w:r>
          </w:p>
          <w:p w14:paraId="4C9FBFE2" w14:textId="045D1853" w:rsidR="009C2377" w:rsidRPr="00482070" w:rsidRDefault="009C3247" w:rsidP="009C3247">
            <w:pPr>
              <w:spacing w:before="60" w:after="120"/>
              <w:jc w:val="both"/>
              <w:rPr>
                <w:rFonts w:ascii="Times New Roman" w:hAnsi="Times New Roman"/>
                <w:bCs/>
                <w:sz w:val="24"/>
              </w:rPr>
            </w:pPr>
            <w:r w:rsidRPr="00482070">
              <w:rPr>
                <w:rFonts w:ascii="Times New Roman" w:hAnsi="Times New Roman" w:cs="Times New Roman"/>
                <w:szCs w:val="22"/>
              </w:rPr>
              <w:t xml:space="preserve">Institutions shall report the changes in the economic value of equity </w:t>
            </w:r>
            <w:r w:rsidR="008766A5" w:rsidRPr="00482070">
              <w:rPr>
                <w:rFonts w:ascii="Times New Roman" w:hAnsi="Times New Roman" w:cs="Times New Roman"/>
                <w:szCs w:val="22"/>
              </w:rPr>
              <w:t xml:space="preserve">under </w:t>
            </w:r>
            <w:r w:rsidRPr="00482070">
              <w:rPr>
                <w:rFonts w:ascii="Times New Roman" w:hAnsi="Times New Roman" w:cs="Times New Roman"/>
                <w:szCs w:val="22"/>
              </w:rPr>
              <w:t xml:space="preserve">each supervisory interest rate shock scenario, for the current and previous </w:t>
            </w:r>
            <w:r w:rsidR="00B44524" w:rsidRPr="00482070">
              <w:rPr>
                <w:rFonts w:ascii="Times New Roman" w:hAnsi="Times New Roman" w:cs="Times New Roman"/>
                <w:szCs w:val="22"/>
              </w:rPr>
              <w:t>period</w:t>
            </w:r>
            <w:r w:rsidR="004858AF" w:rsidRPr="00482070">
              <w:rPr>
                <w:rFonts w:ascii="Times New Roman" w:hAnsi="Times New Roman" w:cs="Times New Roman"/>
                <w:szCs w:val="22"/>
              </w:rPr>
              <w:t xml:space="preserve">, in accordance with the requirements under </w:t>
            </w:r>
            <w:r w:rsidR="00697A36">
              <w:rPr>
                <w:rFonts w:ascii="Times New Roman" w:hAnsi="Times New Roman"/>
                <w:bCs/>
                <w:sz w:val="24"/>
              </w:rPr>
              <w:t>A</w:t>
            </w:r>
            <w:r w:rsidR="004858AF" w:rsidRPr="00482070">
              <w:rPr>
                <w:rFonts w:ascii="Times New Roman" w:hAnsi="Times New Roman"/>
                <w:bCs/>
                <w:sz w:val="24"/>
              </w:rPr>
              <w:t>rticles 84 and 98(5) CRD.</w:t>
            </w:r>
          </w:p>
          <w:p w14:paraId="6996A7A9" w14:textId="72F54AA8" w:rsidR="009D7A7D" w:rsidRPr="00482070" w:rsidRDefault="009D7A7D" w:rsidP="009D7A7D">
            <w:pPr>
              <w:spacing w:before="60" w:after="120"/>
              <w:jc w:val="both"/>
              <w:rPr>
                <w:rFonts w:ascii="Times New Roman" w:hAnsi="Times New Roman" w:cs="Times New Roman"/>
                <w:szCs w:val="22"/>
              </w:rPr>
            </w:pPr>
          </w:p>
        </w:tc>
      </w:tr>
      <w:tr w:rsidR="0054744B" w:rsidRPr="00482070" w14:paraId="6583A42B" w14:textId="77777777" w:rsidTr="007C351F">
        <w:trPr>
          <w:trHeight w:val="238"/>
        </w:trPr>
        <w:tc>
          <w:tcPr>
            <w:tcW w:w="1271" w:type="dxa"/>
            <w:shd w:val="clear" w:color="auto" w:fill="FFFFFF" w:themeFill="background1"/>
          </w:tcPr>
          <w:p w14:paraId="619CE943" w14:textId="5F0011ED" w:rsidR="0054744B" w:rsidRPr="00482070" w:rsidRDefault="00316B9A" w:rsidP="0060489A">
            <w:pPr>
              <w:autoSpaceDE w:val="0"/>
              <w:autoSpaceDN w:val="0"/>
              <w:adjustRightInd w:val="0"/>
              <w:spacing w:before="60" w:after="120"/>
              <w:jc w:val="center"/>
              <w:rPr>
                <w:rFonts w:ascii="Times New Roman" w:hAnsi="Times New Roman" w:cs="Times New Roman"/>
                <w:b/>
                <w:szCs w:val="22"/>
                <w:highlight w:val="yellow"/>
              </w:rPr>
            </w:pPr>
            <w:r w:rsidRPr="00482070">
              <w:rPr>
                <w:rFonts w:ascii="Times New Roman" w:hAnsi="Times New Roman" w:cs="Times New Roman"/>
                <w:b/>
                <w:szCs w:val="22"/>
              </w:rPr>
              <w:t xml:space="preserve">c, </w:t>
            </w:r>
            <w:r w:rsidR="00F55DB0" w:rsidRPr="00482070">
              <w:rPr>
                <w:rFonts w:ascii="Times New Roman" w:hAnsi="Times New Roman" w:cs="Times New Roman"/>
                <w:b/>
                <w:szCs w:val="22"/>
              </w:rPr>
              <w:t>d</w:t>
            </w:r>
          </w:p>
        </w:tc>
        <w:tc>
          <w:tcPr>
            <w:tcW w:w="7768" w:type="dxa"/>
            <w:shd w:val="clear" w:color="auto" w:fill="FFFFFF" w:themeFill="background1"/>
          </w:tcPr>
          <w:p w14:paraId="5BAD9564" w14:textId="213A9B28" w:rsidR="00305C67" w:rsidRPr="00482070" w:rsidRDefault="00316B9A" w:rsidP="00305C67">
            <w:pPr>
              <w:spacing w:before="60" w:after="120"/>
              <w:jc w:val="both"/>
              <w:rPr>
                <w:rFonts w:ascii="Times New Roman" w:eastAsia="Times New Roman" w:hAnsi="Times New Roman" w:cs="Times New Roman"/>
                <w:b/>
                <w:szCs w:val="22"/>
                <w:highlight w:val="yellow"/>
              </w:rPr>
            </w:pPr>
            <w:r w:rsidRPr="00482070">
              <w:rPr>
                <w:rFonts w:ascii="Times New Roman" w:eastAsia="Times New Roman" w:hAnsi="Times New Roman" w:cs="Times New Roman"/>
                <w:b/>
                <w:szCs w:val="22"/>
              </w:rPr>
              <w:t>Cha</w:t>
            </w:r>
            <w:r w:rsidR="004E6BD5" w:rsidRPr="00482070">
              <w:rPr>
                <w:rFonts w:ascii="Times New Roman" w:eastAsia="Times New Roman" w:hAnsi="Times New Roman" w:cs="Times New Roman"/>
                <w:b/>
                <w:szCs w:val="22"/>
              </w:rPr>
              <w:t>nges of</w:t>
            </w:r>
            <w:r w:rsidRPr="00482070">
              <w:rPr>
                <w:rFonts w:ascii="Times New Roman" w:eastAsia="Times New Roman" w:hAnsi="Times New Roman" w:cs="Times New Roman"/>
                <w:b/>
                <w:szCs w:val="22"/>
              </w:rPr>
              <w:t xml:space="preserve"> </w:t>
            </w:r>
            <w:r w:rsidR="006D6C52" w:rsidRPr="00482070">
              <w:rPr>
                <w:rFonts w:ascii="Times New Roman" w:eastAsia="Times New Roman" w:hAnsi="Times New Roman" w:cs="Times New Roman"/>
                <w:b/>
                <w:szCs w:val="22"/>
              </w:rPr>
              <w:t xml:space="preserve">the </w:t>
            </w:r>
            <w:r w:rsidRPr="00482070">
              <w:rPr>
                <w:rFonts w:ascii="Times New Roman" w:eastAsia="Times New Roman" w:hAnsi="Times New Roman" w:cs="Times New Roman"/>
                <w:b/>
                <w:szCs w:val="22"/>
              </w:rPr>
              <w:t>net interest income</w:t>
            </w:r>
          </w:p>
          <w:p w14:paraId="0ED8B6C6" w14:textId="473E0245" w:rsidR="002F2E04" w:rsidRPr="00482070" w:rsidRDefault="00CE0D17" w:rsidP="00B81100">
            <w:pPr>
              <w:spacing w:before="60" w:after="120"/>
              <w:jc w:val="both"/>
              <w:rPr>
                <w:rFonts w:ascii="Times New Roman" w:hAnsi="Times New Roman" w:cs="Times New Roman"/>
                <w:szCs w:val="22"/>
              </w:rPr>
            </w:pPr>
            <w:r w:rsidRPr="00482070">
              <w:rPr>
                <w:rFonts w:ascii="Times New Roman" w:hAnsi="Times New Roman" w:cs="Times New Roman"/>
                <w:szCs w:val="22"/>
              </w:rPr>
              <w:t>Article 448(1)</w:t>
            </w:r>
            <w:r w:rsidR="00A77093">
              <w:rPr>
                <w:rFonts w:ascii="Times New Roman" w:hAnsi="Times New Roman" w:cs="Times New Roman"/>
                <w:szCs w:val="22"/>
              </w:rPr>
              <w:t>,</w:t>
            </w:r>
            <w:r w:rsidRPr="00482070">
              <w:rPr>
                <w:rFonts w:ascii="Times New Roman" w:hAnsi="Times New Roman" w:cs="Times New Roman"/>
                <w:szCs w:val="22"/>
              </w:rPr>
              <w:t xml:space="preserve"> </w:t>
            </w:r>
            <w:r w:rsidR="00A77093">
              <w:rPr>
                <w:rFonts w:ascii="Times New Roman" w:hAnsi="Times New Roman" w:cs="Times New Roman"/>
                <w:szCs w:val="22"/>
              </w:rPr>
              <w:t>p</w:t>
            </w:r>
            <w:r w:rsidR="00A77093" w:rsidRPr="00482070">
              <w:rPr>
                <w:rFonts w:ascii="Times New Roman" w:hAnsi="Times New Roman" w:cs="Times New Roman"/>
                <w:szCs w:val="22"/>
              </w:rPr>
              <w:t xml:space="preserve">oint (b) </w:t>
            </w:r>
            <w:r w:rsidRPr="00482070">
              <w:rPr>
                <w:rFonts w:ascii="Times New Roman" w:hAnsi="Times New Roman" w:cs="Times New Roman"/>
                <w:szCs w:val="22"/>
              </w:rPr>
              <w:t xml:space="preserve">CRR. </w:t>
            </w:r>
          </w:p>
          <w:p w14:paraId="629DC825" w14:textId="027AE85F" w:rsidR="008E005A" w:rsidRPr="00482070" w:rsidRDefault="00CE0D17" w:rsidP="00B81100">
            <w:pPr>
              <w:spacing w:before="60" w:after="120"/>
              <w:jc w:val="both"/>
              <w:rPr>
                <w:rFonts w:ascii="Times New Roman" w:hAnsi="Times New Roman" w:cs="Times New Roman"/>
                <w:szCs w:val="22"/>
              </w:rPr>
            </w:pPr>
            <w:r w:rsidRPr="00482070">
              <w:rPr>
                <w:rFonts w:ascii="Times New Roman" w:hAnsi="Times New Roman" w:cs="Times New Roman"/>
                <w:szCs w:val="22"/>
              </w:rPr>
              <w:t xml:space="preserve">Institutions shall report the changes in </w:t>
            </w:r>
            <w:r w:rsidR="006D6C52" w:rsidRPr="00482070">
              <w:rPr>
                <w:rFonts w:ascii="Times New Roman" w:hAnsi="Times New Roman" w:cs="Times New Roman"/>
                <w:szCs w:val="22"/>
              </w:rPr>
              <w:t xml:space="preserve">the </w:t>
            </w:r>
            <w:r w:rsidRPr="00482070">
              <w:rPr>
                <w:rFonts w:ascii="Times New Roman" w:hAnsi="Times New Roman" w:cs="Times New Roman"/>
                <w:szCs w:val="22"/>
              </w:rPr>
              <w:t>net interest income</w:t>
            </w:r>
            <w:r w:rsidR="008766A5" w:rsidRPr="00482070">
              <w:rPr>
                <w:rFonts w:ascii="Times New Roman" w:hAnsi="Times New Roman" w:cs="Times New Roman"/>
                <w:szCs w:val="22"/>
              </w:rPr>
              <w:t xml:space="preserve"> under</w:t>
            </w:r>
            <w:r w:rsidR="005A5573" w:rsidRPr="00482070">
              <w:rPr>
                <w:rFonts w:ascii="Times New Roman" w:hAnsi="Times New Roman" w:cs="Times New Roman"/>
                <w:szCs w:val="22"/>
              </w:rPr>
              <w:t xml:space="preserve"> the two supervisory interest rate shock scenarios envisaged in the template</w:t>
            </w:r>
            <w:r w:rsidRPr="00482070">
              <w:rPr>
                <w:rFonts w:ascii="Times New Roman" w:hAnsi="Times New Roman" w:cs="Times New Roman"/>
                <w:szCs w:val="22"/>
              </w:rPr>
              <w:t xml:space="preserve"> </w:t>
            </w:r>
            <w:r w:rsidR="006D6C52" w:rsidRPr="00482070">
              <w:rPr>
                <w:rFonts w:ascii="Times New Roman" w:hAnsi="Times New Roman" w:cs="Times New Roman"/>
                <w:szCs w:val="22"/>
              </w:rPr>
              <w:t xml:space="preserve">for the current and previous </w:t>
            </w:r>
            <w:r w:rsidR="00B44524" w:rsidRPr="00482070">
              <w:rPr>
                <w:rFonts w:ascii="Times New Roman" w:hAnsi="Times New Roman" w:cs="Times New Roman"/>
                <w:szCs w:val="22"/>
              </w:rPr>
              <w:t>period</w:t>
            </w:r>
            <w:r w:rsidR="004858AF" w:rsidRPr="00482070">
              <w:rPr>
                <w:rFonts w:ascii="Times New Roman" w:hAnsi="Times New Roman" w:cs="Times New Roman"/>
                <w:szCs w:val="22"/>
              </w:rPr>
              <w:t xml:space="preserve">, in accordance with the requirements under </w:t>
            </w:r>
            <w:r w:rsidR="00697A36">
              <w:rPr>
                <w:rFonts w:ascii="Times New Roman" w:hAnsi="Times New Roman"/>
                <w:bCs/>
                <w:sz w:val="24"/>
              </w:rPr>
              <w:t>A</w:t>
            </w:r>
            <w:r w:rsidR="004858AF" w:rsidRPr="00482070">
              <w:rPr>
                <w:rFonts w:ascii="Times New Roman" w:hAnsi="Times New Roman"/>
                <w:bCs/>
                <w:sz w:val="24"/>
              </w:rPr>
              <w:t>rticles 84 and 98(5) CRD</w:t>
            </w:r>
            <w:r w:rsidR="006D6C52" w:rsidRPr="00482070">
              <w:rPr>
                <w:rFonts w:ascii="Times New Roman" w:hAnsi="Times New Roman" w:cs="Times New Roman"/>
                <w:szCs w:val="22"/>
              </w:rPr>
              <w:t>.</w:t>
            </w:r>
            <w:r w:rsidR="000469EE" w:rsidRPr="00482070">
              <w:rPr>
                <w:rFonts w:ascii="Times New Roman" w:hAnsi="Times New Roman" w:cs="Times New Roman"/>
                <w:szCs w:val="22"/>
              </w:rPr>
              <w:t xml:space="preserve"> </w:t>
            </w:r>
          </w:p>
          <w:p w14:paraId="2D49064E" w14:textId="00EA9297" w:rsidR="00C41D59" w:rsidRPr="00482070" w:rsidRDefault="008E005A">
            <w:pPr>
              <w:spacing w:before="60" w:after="120"/>
              <w:jc w:val="both"/>
              <w:rPr>
                <w:rFonts w:ascii="Times New Roman" w:hAnsi="Times New Roman" w:cs="Times New Roman"/>
                <w:szCs w:val="22"/>
              </w:rPr>
            </w:pPr>
            <w:r w:rsidRPr="00482070">
              <w:rPr>
                <w:rFonts w:ascii="Times New Roman" w:hAnsi="Times New Roman" w:cs="Times New Roman"/>
                <w:szCs w:val="22"/>
              </w:rPr>
              <w:t xml:space="preserve">Until the </w:t>
            </w:r>
            <w:r w:rsidR="00697A36">
              <w:rPr>
                <w:rFonts w:ascii="Times New Roman" w:hAnsi="Times New Roman" w:cs="Times New Roman"/>
                <w:szCs w:val="22"/>
              </w:rPr>
              <w:t>r</w:t>
            </w:r>
            <w:r w:rsidRPr="00482070">
              <w:rPr>
                <w:rFonts w:ascii="Times New Roman" w:hAnsi="Times New Roman" w:cs="Times New Roman"/>
                <w:szCs w:val="22"/>
              </w:rPr>
              <w:t xml:space="preserve">egulatory technical standards </w:t>
            </w:r>
            <w:r w:rsidR="00C4502B" w:rsidRPr="00482070">
              <w:rPr>
                <w:rFonts w:ascii="Times New Roman" w:hAnsi="Times New Roman" w:cs="Times New Roman"/>
                <w:szCs w:val="22"/>
              </w:rPr>
              <w:t>under</w:t>
            </w:r>
            <w:r w:rsidRPr="00482070">
              <w:rPr>
                <w:rFonts w:ascii="Times New Roman" w:hAnsi="Times New Roman" w:cs="Times New Roman"/>
                <w:szCs w:val="22"/>
              </w:rPr>
              <w:t xml:space="preserve"> Articles 84 and 98(5a) CRD</w:t>
            </w:r>
            <w:r w:rsidR="00D267B0" w:rsidRPr="00482070">
              <w:rPr>
                <w:rFonts w:ascii="Times New Roman" w:hAnsi="Times New Roman" w:cs="Times New Roman"/>
                <w:szCs w:val="22"/>
              </w:rPr>
              <w:t xml:space="preserve"> start to apply</w:t>
            </w:r>
            <w:r w:rsidRPr="00482070">
              <w:rPr>
                <w:rFonts w:ascii="Times New Roman" w:hAnsi="Times New Roman" w:cs="Times New Roman"/>
                <w:szCs w:val="22"/>
              </w:rPr>
              <w:t xml:space="preserve">, institutions </w:t>
            </w:r>
            <w:r w:rsidR="00FF0448" w:rsidRPr="00482070">
              <w:rPr>
                <w:rFonts w:ascii="Times New Roman" w:hAnsi="Times New Roman" w:cs="Times New Roman"/>
                <w:szCs w:val="22"/>
              </w:rPr>
              <w:t xml:space="preserve">shall describe the definition </w:t>
            </w:r>
            <w:r w:rsidR="00D267B0" w:rsidRPr="00482070">
              <w:rPr>
                <w:rFonts w:ascii="Times New Roman" w:hAnsi="Times New Roman" w:cs="Times New Roman"/>
                <w:szCs w:val="22"/>
              </w:rPr>
              <w:t xml:space="preserve">and key characteristics (scenarios, assumptions and NII horizons) </w:t>
            </w:r>
            <w:r w:rsidR="00FF0448" w:rsidRPr="00482070">
              <w:rPr>
                <w:rFonts w:ascii="Times New Roman" w:hAnsi="Times New Roman" w:cs="Times New Roman"/>
                <w:szCs w:val="22"/>
              </w:rPr>
              <w:t>of net interest income they are using in point (</w:t>
            </w:r>
            <w:proofErr w:type="spellStart"/>
            <w:r w:rsidR="00FF0448" w:rsidRPr="00482070">
              <w:rPr>
                <w:rFonts w:ascii="Times New Roman" w:hAnsi="Times New Roman" w:cs="Times New Roman"/>
                <w:szCs w:val="22"/>
              </w:rPr>
              <w:t>i</w:t>
            </w:r>
            <w:proofErr w:type="spellEnd"/>
            <w:r w:rsidR="00FF0448" w:rsidRPr="00482070">
              <w:rPr>
                <w:rFonts w:ascii="Times New Roman" w:hAnsi="Times New Roman" w:cs="Times New Roman"/>
                <w:szCs w:val="22"/>
              </w:rPr>
              <w:t>) of ta</w:t>
            </w:r>
            <w:r w:rsidR="008A5827">
              <w:rPr>
                <w:rFonts w:ascii="Times New Roman" w:hAnsi="Times New Roman" w:cs="Times New Roman"/>
                <w:szCs w:val="22"/>
              </w:rPr>
              <w:t>ble EU IRR</w:t>
            </w:r>
            <w:r w:rsidR="00FF0448" w:rsidRPr="00482070">
              <w:rPr>
                <w:rFonts w:ascii="Times New Roman" w:hAnsi="Times New Roman" w:cs="Times New Roman"/>
                <w:szCs w:val="22"/>
              </w:rPr>
              <w:t xml:space="preserve">BBA or, </w:t>
            </w:r>
            <w:r w:rsidR="00697A36">
              <w:rPr>
                <w:rFonts w:ascii="Times New Roman" w:hAnsi="Times New Roman" w:cs="Times New Roman"/>
                <w:szCs w:val="22"/>
              </w:rPr>
              <w:t xml:space="preserve">if </w:t>
            </w:r>
            <w:r w:rsidR="00FF0448" w:rsidRPr="00482070">
              <w:rPr>
                <w:rFonts w:ascii="Times New Roman" w:hAnsi="Times New Roman" w:cs="Times New Roman"/>
                <w:szCs w:val="22"/>
              </w:rPr>
              <w:t>they leave these columns blank, they shall explain the reasons in point (</w:t>
            </w:r>
            <w:proofErr w:type="spellStart"/>
            <w:r w:rsidR="00FF0448" w:rsidRPr="00482070">
              <w:rPr>
                <w:rFonts w:ascii="Times New Roman" w:hAnsi="Times New Roman" w:cs="Times New Roman"/>
                <w:szCs w:val="22"/>
              </w:rPr>
              <w:t>i</w:t>
            </w:r>
            <w:proofErr w:type="spellEnd"/>
            <w:r w:rsidR="00FF0448" w:rsidRPr="00482070">
              <w:rPr>
                <w:rFonts w:ascii="Times New Roman" w:hAnsi="Times New Roman" w:cs="Times New Roman"/>
                <w:szCs w:val="22"/>
              </w:rPr>
              <w:t xml:space="preserve">) of </w:t>
            </w:r>
            <w:r w:rsidR="00697A36">
              <w:rPr>
                <w:rFonts w:ascii="Times New Roman" w:hAnsi="Times New Roman" w:cs="Times New Roman"/>
                <w:szCs w:val="22"/>
              </w:rPr>
              <w:t>t</w:t>
            </w:r>
            <w:r w:rsidR="00FF0448" w:rsidRPr="00482070">
              <w:rPr>
                <w:rFonts w:ascii="Times New Roman" w:hAnsi="Times New Roman" w:cs="Times New Roman"/>
                <w:szCs w:val="22"/>
              </w:rPr>
              <w:t>a</w:t>
            </w:r>
            <w:r w:rsidR="008A5827">
              <w:rPr>
                <w:rFonts w:ascii="Times New Roman" w:hAnsi="Times New Roman" w:cs="Times New Roman"/>
                <w:szCs w:val="22"/>
              </w:rPr>
              <w:t>ble EU IRR</w:t>
            </w:r>
            <w:r w:rsidR="00FF0448" w:rsidRPr="00482070">
              <w:rPr>
                <w:rFonts w:ascii="Times New Roman" w:hAnsi="Times New Roman" w:cs="Times New Roman"/>
                <w:szCs w:val="22"/>
              </w:rPr>
              <w:t>BBA.</w:t>
            </w:r>
          </w:p>
        </w:tc>
      </w:tr>
      <w:tr w:rsidR="00227FDC" w:rsidRPr="00482070" w14:paraId="55BAD1A1" w14:textId="77777777" w:rsidTr="00A81E4E">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CBAA6" w14:textId="77777777" w:rsidR="00227FDC" w:rsidRPr="00482070" w:rsidRDefault="00227FDC" w:rsidP="00A81E4E">
            <w:pPr>
              <w:autoSpaceDE w:val="0"/>
              <w:autoSpaceDN w:val="0"/>
              <w:adjustRightInd w:val="0"/>
              <w:rPr>
                <w:rFonts w:ascii="Times New Roman" w:hAnsi="Times New Roman" w:cs="Times New Roman"/>
                <w:b/>
                <w:szCs w:val="22"/>
              </w:rPr>
            </w:pPr>
            <w:r w:rsidRPr="00482070">
              <w:rPr>
                <w:rFonts w:ascii="Times New Roman" w:hAnsi="Times New Roman" w:cs="Times New Roman"/>
                <w:b/>
                <w:szCs w:val="22"/>
              </w:rPr>
              <w:t xml:space="preserve">Row </w:t>
            </w:r>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12B66" w14:textId="77777777" w:rsidR="00227FDC" w:rsidRPr="00482070" w:rsidRDefault="00227FDC" w:rsidP="00A81E4E">
            <w:pPr>
              <w:rPr>
                <w:rFonts w:ascii="Times New Roman" w:hAnsi="Times New Roman" w:cs="Times New Roman"/>
                <w:b/>
                <w:szCs w:val="22"/>
              </w:rPr>
            </w:pPr>
            <w:r w:rsidRPr="00482070">
              <w:rPr>
                <w:rFonts w:ascii="Times New Roman" w:hAnsi="Times New Roman" w:cs="Times New Roman"/>
                <w:b/>
                <w:szCs w:val="22"/>
              </w:rPr>
              <w:t>Explanation</w:t>
            </w:r>
          </w:p>
        </w:tc>
      </w:tr>
      <w:tr w:rsidR="00227FDC" w:rsidRPr="00482070" w14:paraId="58E34903"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B08E4B4" w14:textId="7F6176AD" w:rsidR="00227FDC" w:rsidRPr="00482070" w:rsidRDefault="00F55DB0" w:rsidP="00227FDC">
            <w:pPr>
              <w:autoSpaceDE w:val="0"/>
              <w:autoSpaceDN w:val="0"/>
              <w:adjustRightInd w:val="0"/>
              <w:spacing w:before="60" w:after="120"/>
              <w:jc w:val="center"/>
              <w:rPr>
                <w:rFonts w:ascii="Times New Roman" w:hAnsi="Times New Roman" w:cs="Times New Roman"/>
                <w:b/>
                <w:szCs w:val="22"/>
              </w:rPr>
            </w:pPr>
            <w:r w:rsidRPr="00482070">
              <w:rPr>
                <w:rFonts w:ascii="Times New Roman" w:hAnsi="Times New Roman" w:cs="Times New Roman"/>
                <w:b/>
                <w:szCs w:val="22"/>
              </w:rPr>
              <w:t>1</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3AB7B7" w14:textId="385B87B7" w:rsidR="00227FDC" w:rsidRPr="00482070" w:rsidRDefault="003E3A89" w:rsidP="0060489A">
            <w:pPr>
              <w:spacing w:before="60" w:after="120"/>
              <w:jc w:val="both"/>
              <w:rPr>
                <w:rFonts w:ascii="Times New Roman" w:eastAsia="Times New Roman" w:hAnsi="Times New Roman" w:cs="Times New Roman"/>
                <w:b/>
                <w:szCs w:val="22"/>
              </w:rPr>
            </w:pPr>
            <w:r w:rsidRPr="00482070">
              <w:rPr>
                <w:rFonts w:ascii="Times New Roman" w:eastAsia="Times New Roman" w:hAnsi="Times New Roman" w:cs="Times New Roman"/>
                <w:b/>
                <w:szCs w:val="22"/>
              </w:rPr>
              <w:t>Parallel up</w:t>
            </w:r>
          </w:p>
          <w:p w14:paraId="460792B5" w14:textId="42066287" w:rsidR="0080384B" w:rsidRPr="00482070" w:rsidRDefault="00615DB8" w:rsidP="00B9107D">
            <w:pPr>
              <w:spacing w:before="60" w:after="120"/>
              <w:jc w:val="both"/>
              <w:rPr>
                <w:rFonts w:ascii="Times New Roman" w:hAnsi="Times New Roman" w:cs="Times New Roman"/>
                <w:szCs w:val="22"/>
              </w:rPr>
            </w:pPr>
            <w:r w:rsidRPr="00482070">
              <w:rPr>
                <w:rFonts w:ascii="Times New Roman" w:hAnsi="Times New Roman" w:cs="Times New Roman"/>
                <w:szCs w:val="22"/>
              </w:rPr>
              <w:t xml:space="preserve">Institutions shall disclose the changes of the economic value of equity and the changes of the net interest income under a constant parallel </w:t>
            </w:r>
            <w:r w:rsidR="00697A36">
              <w:rPr>
                <w:rFonts w:ascii="Times New Roman" w:hAnsi="Times New Roman" w:cs="Times New Roman"/>
                <w:szCs w:val="22"/>
              </w:rPr>
              <w:t xml:space="preserve">upward </w:t>
            </w:r>
            <w:r w:rsidRPr="00482070">
              <w:rPr>
                <w:rFonts w:ascii="Times New Roman" w:hAnsi="Times New Roman" w:cs="Times New Roman"/>
                <w:szCs w:val="22"/>
              </w:rPr>
              <w:t xml:space="preserve">shock in the yield curve. </w:t>
            </w:r>
          </w:p>
          <w:p w14:paraId="2AA6B7BB" w14:textId="1077D2D5" w:rsidR="0084271D" w:rsidRPr="00482070" w:rsidRDefault="0080384B">
            <w:pPr>
              <w:spacing w:before="60" w:after="120"/>
              <w:jc w:val="both"/>
              <w:rPr>
                <w:rFonts w:ascii="Times New Roman" w:hAnsi="Times New Roman" w:cs="Times New Roman"/>
                <w:szCs w:val="22"/>
              </w:rPr>
            </w:pPr>
            <w:r w:rsidRPr="00482070">
              <w:rPr>
                <w:rFonts w:ascii="Times New Roman" w:hAnsi="Times New Roman" w:cs="Times New Roman"/>
                <w:szCs w:val="22"/>
              </w:rPr>
              <w:t xml:space="preserve">Until the </w:t>
            </w:r>
            <w:r w:rsidR="00697A36">
              <w:rPr>
                <w:rFonts w:ascii="Times New Roman" w:hAnsi="Times New Roman" w:cs="Times New Roman"/>
                <w:szCs w:val="22"/>
              </w:rPr>
              <w:t>r</w:t>
            </w:r>
            <w:r w:rsidRPr="00482070">
              <w:rPr>
                <w:rFonts w:ascii="Times New Roman" w:hAnsi="Times New Roman" w:cs="Times New Roman"/>
                <w:szCs w:val="22"/>
              </w:rPr>
              <w:t xml:space="preserve">egulatory technical standards </w:t>
            </w:r>
            <w:r w:rsidR="00C4502B" w:rsidRPr="00482070">
              <w:rPr>
                <w:rFonts w:ascii="Times New Roman" w:hAnsi="Times New Roman" w:cs="Times New Roman"/>
                <w:szCs w:val="22"/>
              </w:rPr>
              <w:t>under</w:t>
            </w:r>
            <w:r w:rsidRPr="00482070">
              <w:rPr>
                <w:rFonts w:ascii="Times New Roman" w:hAnsi="Times New Roman" w:cs="Times New Roman"/>
                <w:szCs w:val="22"/>
              </w:rPr>
              <w:t xml:space="preserve"> Articles 84 and 98(5a) CRD </w:t>
            </w:r>
            <w:r w:rsidR="0019262D" w:rsidRPr="00482070">
              <w:rPr>
                <w:rFonts w:ascii="Times New Roman" w:hAnsi="Times New Roman" w:cs="Times New Roman"/>
                <w:szCs w:val="22"/>
              </w:rPr>
              <w:t>start to apply</w:t>
            </w:r>
            <w:r w:rsidRPr="00482070">
              <w:rPr>
                <w:rFonts w:ascii="Times New Roman" w:hAnsi="Times New Roman" w:cs="Times New Roman"/>
                <w:szCs w:val="22"/>
              </w:rPr>
              <w:t>, t</w:t>
            </w:r>
            <w:r w:rsidR="00615DB8" w:rsidRPr="00482070">
              <w:rPr>
                <w:rFonts w:ascii="Times New Roman" w:hAnsi="Times New Roman" w:cs="Times New Roman"/>
                <w:szCs w:val="22"/>
              </w:rPr>
              <w:t>he parameters used for this scenario shall be described in</w:t>
            </w:r>
            <w:r w:rsidR="00834F07" w:rsidRPr="00482070">
              <w:rPr>
                <w:rFonts w:ascii="Times New Roman" w:hAnsi="Times New Roman" w:cs="Times New Roman"/>
                <w:szCs w:val="22"/>
              </w:rPr>
              <w:t xml:space="preserve"> point (</w:t>
            </w:r>
            <w:proofErr w:type="spellStart"/>
            <w:r w:rsidR="00834F07" w:rsidRPr="00482070">
              <w:rPr>
                <w:rFonts w:ascii="Times New Roman" w:hAnsi="Times New Roman" w:cs="Times New Roman"/>
                <w:szCs w:val="22"/>
              </w:rPr>
              <w:t>i</w:t>
            </w:r>
            <w:proofErr w:type="spellEnd"/>
            <w:r w:rsidR="00834F07" w:rsidRPr="00482070">
              <w:rPr>
                <w:rFonts w:ascii="Times New Roman" w:hAnsi="Times New Roman" w:cs="Times New Roman"/>
                <w:szCs w:val="22"/>
              </w:rPr>
              <w:t>) of</w:t>
            </w:r>
            <w:r w:rsidR="00615DB8" w:rsidRPr="00482070">
              <w:rPr>
                <w:rFonts w:ascii="Times New Roman" w:hAnsi="Times New Roman" w:cs="Times New Roman"/>
                <w:szCs w:val="22"/>
              </w:rPr>
              <w:t xml:space="preserve"> ta</w:t>
            </w:r>
            <w:r w:rsidR="008A5827">
              <w:rPr>
                <w:rFonts w:ascii="Times New Roman" w:hAnsi="Times New Roman" w:cs="Times New Roman"/>
                <w:szCs w:val="22"/>
              </w:rPr>
              <w:t>ble EU IRR</w:t>
            </w:r>
            <w:r w:rsidR="00615DB8" w:rsidRPr="00482070">
              <w:rPr>
                <w:rFonts w:ascii="Times New Roman" w:hAnsi="Times New Roman" w:cs="Times New Roman"/>
                <w:szCs w:val="22"/>
              </w:rPr>
              <w:t>BBA.</w:t>
            </w:r>
          </w:p>
        </w:tc>
      </w:tr>
      <w:tr w:rsidR="00227FDC" w:rsidRPr="00482070" w14:paraId="544FB1F8"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274EE41" w14:textId="424C34BA" w:rsidR="00227FDC" w:rsidRPr="00482070" w:rsidRDefault="00F55DB0" w:rsidP="00227FDC">
            <w:pPr>
              <w:autoSpaceDE w:val="0"/>
              <w:autoSpaceDN w:val="0"/>
              <w:adjustRightInd w:val="0"/>
              <w:spacing w:before="60" w:after="120"/>
              <w:jc w:val="center"/>
              <w:rPr>
                <w:rFonts w:ascii="Times New Roman" w:hAnsi="Times New Roman" w:cs="Times New Roman"/>
                <w:b/>
                <w:szCs w:val="22"/>
              </w:rPr>
            </w:pPr>
            <w:r w:rsidRPr="00482070">
              <w:rPr>
                <w:rFonts w:ascii="Times New Roman" w:hAnsi="Times New Roman" w:cs="Times New Roman"/>
                <w:b/>
                <w:szCs w:val="22"/>
              </w:rPr>
              <w:t>2</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AE4F83F" w14:textId="3625939B" w:rsidR="00227FDC" w:rsidRPr="00482070" w:rsidRDefault="003E3A89" w:rsidP="0060489A">
            <w:pPr>
              <w:spacing w:before="60" w:after="120"/>
              <w:jc w:val="both"/>
              <w:rPr>
                <w:rFonts w:ascii="Times New Roman" w:eastAsia="Times New Roman" w:hAnsi="Times New Roman" w:cs="Times New Roman"/>
                <w:b/>
                <w:szCs w:val="22"/>
              </w:rPr>
            </w:pPr>
            <w:r w:rsidRPr="00482070">
              <w:rPr>
                <w:rFonts w:ascii="Times New Roman" w:eastAsia="Times New Roman" w:hAnsi="Times New Roman" w:cs="Times New Roman"/>
                <w:b/>
                <w:szCs w:val="22"/>
              </w:rPr>
              <w:t>Parallel down</w:t>
            </w:r>
          </w:p>
          <w:p w14:paraId="1C16CAC1" w14:textId="5FDFEB07" w:rsidR="0080384B" w:rsidRPr="00482070" w:rsidRDefault="0084271D" w:rsidP="00B9107D">
            <w:pPr>
              <w:spacing w:before="60" w:after="120"/>
              <w:jc w:val="both"/>
              <w:rPr>
                <w:rFonts w:ascii="Times New Roman" w:hAnsi="Times New Roman" w:cs="Times New Roman"/>
                <w:szCs w:val="22"/>
              </w:rPr>
            </w:pPr>
            <w:r w:rsidRPr="00482070">
              <w:rPr>
                <w:rFonts w:ascii="Times New Roman" w:hAnsi="Times New Roman" w:cs="Times New Roman"/>
                <w:szCs w:val="22"/>
              </w:rPr>
              <w:t xml:space="preserve">Institutions shall disclose the changes of the economic value of equity and the changes of the net interest income under </w:t>
            </w:r>
            <w:r w:rsidR="00EF335F" w:rsidRPr="00482070">
              <w:rPr>
                <w:rFonts w:ascii="Times New Roman" w:hAnsi="Times New Roman" w:cs="Times New Roman"/>
                <w:szCs w:val="22"/>
              </w:rPr>
              <w:t>a constant parallel</w:t>
            </w:r>
            <w:r w:rsidR="00615DB8" w:rsidRPr="00482070">
              <w:rPr>
                <w:rFonts w:ascii="Times New Roman" w:hAnsi="Times New Roman" w:cs="Times New Roman"/>
                <w:szCs w:val="22"/>
              </w:rPr>
              <w:t xml:space="preserve"> </w:t>
            </w:r>
            <w:r w:rsidR="00697A36">
              <w:rPr>
                <w:rFonts w:ascii="Times New Roman" w:hAnsi="Times New Roman" w:cs="Times New Roman"/>
                <w:szCs w:val="22"/>
              </w:rPr>
              <w:t xml:space="preserve">downward </w:t>
            </w:r>
            <w:r w:rsidR="00615DB8" w:rsidRPr="00482070">
              <w:rPr>
                <w:rFonts w:ascii="Times New Roman" w:hAnsi="Times New Roman" w:cs="Times New Roman"/>
                <w:szCs w:val="22"/>
              </w:rPr>
              <w:t xml:space="preserve">shock in the yield curve. </w:t>
            </w:r>
          </w:p>
          <w:p w14:paraId="3D14716A" w14:textId="339DF5C2" w:rsidR="0084271D" w:rsidRPr="00482070" w:rsidRDefault="0080384B">
            <w:pPr>
              <w:spacing w:before="60" w:after="120"/>
              <w:jc w:val="both"/>
              <w:rPr>
                <w:rFonts w:ascii="Times New Roman" w:hAnsi="Times New Roman" w:cs="Times New Roman"/>
                <w:szCs w:val="22"/>
              </w:rPr>
            </w:pPr>
            <w:r w:rsidRPr="00482070">
              <w:rPr>
                <w:rFonts w:ascii="Times New Roman" w:hAnsi="Times New Roman" w:cs="Times New Roman"/>
                <w:szCs w:val="22"/>
              </w:rPr>
              <w:t xml:space="preserve">Until the </w:t>
            </w:r>
            <w:r w:rsidR="00697A36">
              <w:rPr>
                <w:rFonts w:ascii="Times New Roman" w:hAnsi="Times New Roman" w:cs="Times New Roman"/>
                <w:szCs w:val="22"/>
              </w:rPr>
              <w:t>r</w:t>
            </w:r>
            <w:r w:rsidRPr="00482070">
              <w:rPr>
                <w:rFonts w:ascii="Times New Roman" w:hAnsi="Times New Roman" w:cs="Times New Roman"/>
                <w:szCs w:val="22"/>
              </w:rPr>
              <w:t xml:space="preserve">egulatory technical standards </w:t>
            </w:r>
            <w:r w:rsidR="00C4502B" w:rsidRPr="00482070">
              <w:rPr>
                <w:rFonts w:ascii="Times New Roman" w:hAnsi="Times New Roman" w:cs="Times New Roman"/>
                <w:szCs w:val="22"/>
              </w:rPr>
              <w:t>under</w:t>
            </w:r>
            <w:r w:rsidRPr="00482070">
              <w:rPr>
                <w:rFonts w:ascii="Times New Roman" w:hAnsi="Times New Roman" w:cs="Times New Roman"/>
                <w:szCs w:val="22"/>
              </w:rPr>
              <w:t xml:space="preserve"> Articles 84 and 98(5a) CRD </w:t>
            </w:r>
            <w:r w:rsidR="00DB6997" w:rsidRPr="00482070">
              <w:rPr>
                <w:rFonts w:ascii="Times New Roman" w:hAnsi="Times New Roman" w:cs="Times New Roman"/>
                <w:szCs w:val="22"/>
              </w:rPr>
              <w:t>start to apply</w:t>
            </w:r>
            <w:r w:rsidRPr="00482070">
              <w:rPr>
                <w:rFonts w:ascii="Times New Roman" w:hAnsi="Times New Roman" w:cs="Times New Roman"/>
                <w:szCs w:val="22"/>
              </w:rPr>
              <w:t>, t</w:t>
            </w:r>
            <w:r w:rsidR="00615DB8" w:rsidRPr="00482070">
              <w:rPr>
                <w:rFonts w:ascii="Times New Roman" w:hAnsi="Times New Roman" w:cs="Times New Roman"/>
                <w:szCs w:val="22"/>
              </w:rPr>
              <w:t>he parameters used for this scenario shall be described in</w:t>
            </w:r>
            <w:r w:rsidR="00834F07" w:rsidRPr="00482070">
              <w:rPr>
                <w:rFonts w:ascii="Times New Roman" w:hAnsi="Times New Roman" w:cs="Times New Roman"/>
                <w:szCs w:val="22"/>
              </w:rPr>
              <w:t xml:space="preserve"> point (</w:t>
            </w:r>
            <w:proofErr w:type="spellStart"/>
            <w:r w:rsidR="00834F07" w:rsidRPr="00482070">
              <w:rPr>
                <w:rFonts w:ascii="Times New Roman" w:hAnsi="Times New Roman" w:cs="Times New Roman"/>
                <w:szCs w:val="22"/>
              </w:rPr>
              <w:t>i</w:t>
            </w:r>
            <w:proofErr w:type="spellEnd"/>
            <w:r w:rsidR="00834F07" w:rsidRPr="00482070">
              <w:rPr>
                <w:rFonts w:ascii="Times New Roman" w:hAnsi="Times New Roman" w:cs="Times New Roman"/>
                <w:szCs w:val="22"/>
              </w:rPr>
              <w:t>) of</w:t>
            </w:r>
            <w:r w:rsidR="00615DB8" w:rsidRPr="00482070">
              <w:rPr>
                <w:rFonts w:ascii="Times New Roman" w:hAnsi="Times New Roman" w:cs="Times New Roman"/>
                <w:szCs w:val="22"/>
              </w:rPr>
              <w:t xml:space="preserve"> ta</w:t>
            </w:r>
            <w:r w:rsidR="008A5827">
              <w:rPr>
                <w:rFonts w:ascii="Times New Roman" w:hAnsi="Times New Roman" w:cs="Times New Roman"/>
                <w:szCs w:val="22"/>
              </w:rPr>
              <w:t>ble EU IRR</w:t>
            </w:r>
            <w:r w:rsidR="00615DB8" w:rsidRPr="00482070">
              <w:rPr>
                <w:rFonts w:ascii="Times New Roman" w:hAnsi="Times New Roman" w:cs="Times New Roman"/>
                <w:szCs w:val="22"/>
              </w:rPr>
              <w:t>BBA.</w:t>
            </w:r>
          </w:p>
        </w:tc>
      </w:tr>
      <w:tr w:rsidR="00227FDC" w:rsidRPr="00482070" w14:paraId="39F33934"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06B555B" w14:textId="0BCBC177" w:rsidR="00227FDC" w:rsidRPr="00482070" w:rsidRDefault="00F55DB0" w:rsidP="00227FDC">
            <w:pPr>
              <w:autoSpaceDE w:val="0"/>
              <w:autoSpaceDN w:val="0"/>
              <w:adjustRightInd w:val="0"/>
              <w:spacing w:before="60" w:after="120"/>
              <w:jc w:val="center"/>
              <w:rPr>
                <w:rFonts w:ascii="Times New Roman" w:hAnsi="Times New Roman" w:cs="Times New Roman"/>
                <w:b/>
                <w:szCs w:val="22"/>
              </w:rPr>
            </w:pPr>
            <w:r w:rsidRPr="00482070">
              <w:rPr>
                <w:rFonts w:ascii="Times New Roman" w:hAnsi="Times New Roman" w:cs="Times New Roman"/>
                <w:b/>
                <w:szCs w:val="22"/>
              </w:rPr>
              <w:t>3</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0B64ADF" w14:textId="1E50F678" w:rsidR="00227FDC" w:rsidRPr="00482070" w:rsidRDefault="003E3A89" w:rsidP="00227FDC">
            <w:pPr>
              <w:spacing w:before="60" w:after="120"/>
              <w:jc w:val="both"/>
              <w:rPr>
                <w:rStyle w:val="InstructionsTabelleberschrift"/>
                <w:rFonts w:ascii="Times New Roman" w:eastAsia="Times New Roman" w:hAnsi="Times New Roman"/>
                <w:bCs w:val="0"/>
                <w:sz w:val="22"/>
                <w:szCs w:val="22"/>
                <w:u w:val="none"/>
              </w:rPr>
            </w:pPr>
            <w:r w:rsidRPr="00482070">
              <w:rPr>
                <w:rStyle w:val="InstructionsTabelleberschrift"/>
                <w:rFonts w:ascii="Times New Roman" w:eastAsia="Times New Roman" w:hAnsi="Times New Roman"/>
                <w:bCs w:val="0"/>
                <w:sz w:val="22"/>
                <w:szCs w:val="22"/>
                <w:u w:val="none"/>
              </w:rPr>
              <w:t>Steepener</w:t>
            </w:r>
          </w:p>
          <w:p w14:paraId="1FAE89D5" w14:textId="77777777" w:rsidR="0080384B" w:rsidRPr="00482070" w:rsidRDefault="003F5907" w:rsidP="00B9107D">
            <w:pPr>
              <w:spacing w:before="60" w:after="120"/>
              <w:jc w:val="both"/>
              <w:rPr>
                <w:rFonts w:ascii="Times New Roman" w:eastAsia="Times New Roman" w:hAnsi="Times New Roman" w:cs="Times New Roman"/>
                <w:szCs w:val="22"/>
              </w:rPr>
            </w:pPr>
            <w:r w:rsidRPr="00482070">
              <w:rPr>
                <w:rFonts w:ascii="Times New Roman" w:eastAsia="Times New Roman" w:hAnsi="Times New Roman" w:cs="Times New Roman"/>
                <w:szCs w:val="22"/>
              </w:rPr>
              <w:t xml:space="preserve">Institutions shall disclose the changes of the economic value of equity under a scenario of short rates down and long rates up of the yield curve. </w:t>
            </w:r>
          </w:p>
          <w:p w14:paraId="2B14043C" w14:textId="5349E400" w:rsidR="0084271D" w:rsidRPr="00482070" w:rsidRDefault="0080384B">
            <w:pPr>
              <w:spacing w:before="60" w:after="120"/>
              <w:jc w:val="both"/>
              <w:rPr>
                <w:rFonts w:ascii="Times New Roman" w:eastAsia="Times New Roman" w:hAnsi="Times New Roman" w:cs="Times New Roman"/>
                <w:szCs w:val="22"/>
              </w:rPr>
            </w:pPr>
            <w:r w:rsidRPr="00482070">
              <w:rPr>
                <w:rFonts w:ascii="Times New Roman" w:hAnsi="Times New Roman" w:cs="Times New Roman"/>
                <w:szCs w:val="22"/>
              </w:rPr>
              <w:t xml:space="preserve">Until the </w:t>
            </w:r>
            <w:r w:rsidR="00697A36">
              <w:rPr>
                <w:rFonts w:ascii="Times New Roman" w:hAnsi="Times New Roman" w:cs="Times New Roman"/>
                <w:szCs w:val="22"/>
              </w:rPr>
              <w:t>r</w:t>
            </w:r>
            <w:r w:rsidRPr="00482070">
              <w:rPr>
                <w:rFonts w:ascii="Times New Roman" w:hAnsi="Times New Roman" w:cs="Times New Roman"/>
                <w:szCs w:val="22"/>
              </w:rPr>
              <w:t xml:space="preserve">egulatory technical standards </w:t>
            </w:r>
            <w:r w:rsidR="00C4502B" w:rsidRPr="00482070">
              <w:rPr>
                <w:rFonts w:ascii="Times New Roman" w:hAnsi="Times New Roman" w:cs="Times New Roman"/>
                <w:szCs w:val="22"/>
              </w:rPr>
              <w:t>under</w:t>
            </w:r>
            <w:r w:rsidRPr="00482070">
              <w:rPr>
                <w:rFonts w:ascii="Times New Roman" w:hAnsi="Times New Roman" w:cs="Times New Roman"/>
                <w:szCs w:val="22"/>
              </w:rPr>
              <w:t xml:space="preserve"> Articles 84 and 98(5a) CRD </w:t>
            </w:r>
            <w:r w:rsidR="00DB6997" w:rsidRPr="00482070">
              <w:rPr>
                <w:rFonts w:ascii="Times New Roman" w:hAnsi="Times New Roman" w:cs="Times New Roman"/>
                <w:szCs w:val="22"/>
              </w:rPr>
              <w:t>start to apply</w:t>
            </w:r>
            <w:r w:rsidRPr="00482070">
              <w:rPr>
                <w:rFonts w:ascii="Times New Roman" w:hAnsi="Times New Roman" w:cs="Times New Roman"/>
                <w:szCs w:val="22"/>
              </w:rPr>
              <w:t xml:space="preserve">, </w:t>
            </w:r>
            <w:r w:rsidRPr="00482070">
              <w:rPr>
                <w:rFonts w:ascii="Times New Roman" w:eastAsia="Times New Roman" w:hAnsi="Times New Roman" w:cs="Times New Roman"/>
                <w:szCs w:val="22"/>
              </w:rPr>
              <w:t>t</w:t>
            </w:r>
            <w:r w:rsidR="003F5907" w:rsidRPr="00482070">
              <w:rPr>
                <w:rFonts w:ascii="Times New Roman" w:eastAsia="Times New Roman" w:hAnsi="Times New Roman" w:cs="Times New Roman"/>
                <w:szCs w:val="22"/>
              </w:rPr>
              <w:t>he parameters used for this scenario shall be described in</w:t>
            </w:r>
            <w:r w:rsidR="00834F07" w:rsidRPr="00482070">
              <w:rPr>
                <w:rFonts w:ascii="Times New Roman" w:eastAsia="Times New Roman" w:hAnsi="Times New Roman" w:cs="Times New Roman"/>
                <w:szCs w:val="22"/>
              </w:rPr>
              <w:t xml:space="preserve"> </w:t>
            </w:r>
            <w:r w:rsidR="00834F07" w:rsidRPr="00482070">
              <w:rPr>
                <w:rFonts w:ascii="Times New Roman" w:hAnsi="Times New Roman" w:cs="Times New Roman"/>
                <w:szCs w:val="22"/>
              </w:rPr>
              <w:t>point (</w:t>
            </w:r>
            <w:proofErr w:type="spellStart"/>
            <w:r w:rsidR="00834F07" w:rsidRPr="00482070">
              <w:rPr>
                <w:rFonts w:ascii="Times New Roman" w:hAnsi="Times New Roman" w:cs="Times New Roman"/>
                <w:szCs w:val="22"/>
              </w:rPr>
              <w:t>i</w:t>
            </w:r>
            <w:proofErr w:type="spellEnd"/>
            <w:r w:rsidR="00834F07" w:rsidRPr="00482070">
              <w:rPr>
                <w:rFonts w:ascii="Times New Roman" w:hAnsi="Times New Roman" w:cs="Times New Roman"/>
                <w:szCs w:val="22"/>
              </w:rPr>
              <w:t>) of</w:t>
            </w:r>
            <w:r w:rsidR="003F5907" w:rsidRPr="00482070">
              <w:rPr>
                <w:rFonts w:ascii="Times New Roman" w:eastAsia="Times New Roman" w:hAnsi="Times New Roman" w:cs="Times New Roman"/>
                <w:szCs w:val="22"/>
              </w:rPr>
              <w:t xml:space="preserve"> ta</w:t>
            </w:r>
            <w:r w:rsidR="008A5827">
              <w:rPr>
                <w:rFonts w:ascii="Times New Roman" w:eastAsia="Times New Roman" w:hAnsi="Times New Roman" w:cs="Times New Roman"/>
                <w:szCs w:val="22"/>
              </w:rPr>
              <w:t>ble EU IRR</w:t>
            </w:r>
            <w:r w:rsidR="003F5907" w:rsidRPr="00482070">
              <w:rPr>
                <w:rFonts w:ascii="Times New Roman" w:eastAsia="Times New Roman" w:hAnsi="Times New Roman" w:cs="Times New Roman"/>
                <w:szCs w:val="22"/>
              </w:rPr>
              <w:t>BBA.</w:t>
            </w:r>
          </w:p>
        </w:tc>
      </w:tr>
      <w:tr w:rsidR="00227FDC" w:rsidRPr="00482070" w14:paraId="6BC8352B"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2E65DB3" w14:textId="300BBE37" w:rsidR="00227FDC" w:rsidRPr="00482070" w:rsidRDefault="00F55DB0" w:rsidP="00227FDC">
            <w:pPr>
              <w:autoSpaceDE w:val="0"/>
              <w:autoSpaceDN w:val="0"/>
              <w:adjustRightInd w:val="0"/>
              <w:spacing w:before="60" w:after="120"/>
              <w:jc w:val="center"/>
              <w:rPr>
                <w:rFonts w:ascii="Times New Roman" w:hAnsi="Times New Roman" w:cs="Times New Roman"/>
                <w:b/>
                <w:szCs w:val="22"/>
              </w:rPr>
            </w:pPr>
            <w:r w:rsidRPr="00482070">
              <w:rPr>
                <w:rFonts w:ascii="Times New Roman" w:hAnsi="Times New Roman" w:cs="Times New Roman"/>
                <w:b/>
                <w:szCs w:val="22"/>
              </w:rPr>
              <w:lastRenderedPageBreak/>
              <w:t>4</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585C1" w14:textId="65969A28" w:rsidR="00227FDC" w:rsidRPr="00482070" w:rsidRDefault="003E3A89" w:rsidP="00227FDC">
            <w:pPr>
              <w:spacing w:before="60" w:after="120"/>
              <w:jc w:val="both"/>
              <w:rPr>
                <w:rStyle w:val="InstructionsTabelleberschrift"/>
                <w:rFonts w:ascii="Times New Roman" w:eastAsia="Times New Roman" w:hAnsi="Times New Roman"/>
                <w:bCs w:val="0"/>
                <w:sz w:val="22"/>
                <w:szCs w:val="22"/>
                <w:u w:val="none"/>
              </w:rPr>
            </w:pPr>
            <w:r w:rsidRPr="00482070">
              <w:rPr>
                <w:rStyle w:val="InstructionsTabelleberschrift"/>
                <w:rFonts w:ascii="Times New Roman" w:eastAsia="Times New Roman" w:hAnsi="Times New Roman"/>
                <w:bCs w:val="0"/>
                <w:sz w:val="22"/>
                <w:szCs w:val="22"/>
                <w:u w:val="none"/>
              </w:rPr>
              <w:t>Flattener</w:t>
            </w:r>
          </w:p>
          <w:p w14:paraId="3D4F63A7" w14:textId="77777777" w:rsidR="0080384B" w:rsidRPr="00482070" w:rsidRDefault="003F5907" w:rsidP="003F5907">
            <w:pPr>
              <w:spacing w:before="60" w:after="120"/>
              <w:jc w:val="both"/>
              <w:rPr>
                <w:rFonts w:ascii="Times New Roman" w:eastAsia="Times New Roman" w:hAnsi="Times New Roman" w:cs="Times New Roman"/>
                <w:szCs w:val="22"/>
              </w:rPr>
            </w:pPr>
            <w:r w:rsidRPr="00482070">
              <w:rPr>
                <w:rFonts w:ascii="Times New Roman" w:eastAsia="Times New Roman" w:hAnsi="Times New Roman" w:cs="Times New Roman"/>
                <w:szCs w:val="22"/>
              </w:rPr>
              <w:t xml:space="preserve">Institutions shall disclose the changes of the economic value of equity under a scenario of short rates up and long rates down of the yield curve. </w:t>
            </w:r>
          </w:p>
          <w:p w14:paraId="68AA63EC" w14:textId="31AA7C4E" w:rsidR="003C7BCD" w:rsidRPr="00482070" w:rsidRDefault="0080384B">
            <w:pPr>
              <w:spacing w:before="60" w:after="120"/>
              <w:jc w:val="both"/>
              <w:rPr>
                <w:rFonts w:ascii="Times New Roman" w:eastAsia="Times New Roman" w:hAnsi="Times New Roman" w:cs="Times New Roman"/>
                <w:szCs w:val="22"/>
              </w:rPr>
            </w:pPr>
            <w:r w:rsidRPr="00482070">
              <w:rPr>
                <w:rFonts w:ascii="Times New Roman" w:hAnsi="Times New Roman" w:cs="Times New Roman"/>
                <w:szCs w:val="22"/>
              </w:rPr>
              <w:t xml:space="preserve">Until the </w:t>
            </w:r>
            <w:r w:rsidR="00697A36">
              <w:rPr>
                <w:rFonts w:ascii="Times New Roman" w:hAnsi="Times New Roman" w:cs="Times New Roman"/>
                <w:szCs w:val="22"/>
              </w:rPr>
              <w:t>r</w:t>
            </w:r>
            <w:r w:rsidRPr="00482070">
              <w:rPr>
                <w:rFonts w:ascii="Times New Roman" w:hAnsi="Times New Roman" w:cs="Times New Roman"/>
                <w:szCs w:val="22"/>
              </w:rPr>
              <w:t xml:space="preserve">egulatory technical standards </w:t>
            </w:r>
            <w:r w:rsidR="00C4502B" w:rsidRPr="00482070">
              <w:rPr>
                <w:rFonts w:ascii="Times New Roman" w:hAnsi="Times New Roman" w:cs="Times New Roman"/>
                <w:szCs w:val="22"/>
              </w:rPr>
              <w:t xml:space="preserve">under </w:t>
            </w:r>
            <w:r w:rsidRPr="00482070">
              <w:rPr>
                <w:rFonts w:ascii="Times New Roman" w:hAnsi="Times New Roman" w:cs="Times New Roman"/>
                <w:szCs w:val="22"/>
              </w:rPr>
              <w:t xml:space="preserve">Articles 84 and 98(5a) CRD </w:t>
            </w:r>
            <w:r w:rsidR="00DB6997" w:rsidRPr="00482070">
              <w:rPr>
                <w:rFonts w:ascii="Times New Roman" w:hAnsi="Times New Roman" w:cs="Times New Roman"/>
                <w:szCs w:val="22"/>
              </w:rPr>
              <w:t>start to apply</w:t>
            </w:r>
            <w:r w:rsidRPr="00482070">
              <w:rPr>
                <w:rFonts w:ascii="Times New Roman" w:hAnsi="Times New Roman" w:cs="Times New Roman"/>
                <w:szCs w:val="22"/>
              </w:rPr>
              <w:t xml:space="preserve">, </w:t>
            </w:r>
            <w:r w:rsidRPr="00482070">
              <w:rPr>
                <w:rFonts w:ascii="Times New Roman" w:eastAsia="Times New Roman" w:hAnsi="Times New Roman" w:cs="Times New Roman"/>
                <w:szCs w:val="22"/>
              </w:rPr>
              <w:t>t</w:t>
            </w:r>
            <w:r w:rsidR="003F5907" w:rsidRPr="00482070">
              <w:rPr>
                <w:rFonts w:ascii="Times New Roman" w:eastAsia="Times New Roman" w:hAnsi="Times New Roman" w:cs="Times New Roman"/>
                <w:szCs w:val="22"/>
              </w:rPr>
              <w:t>he parameters used for this scenario shall be described in</w:t>
            </w:r>
            <w:r w:rsidR="00834F07" w:rsidRPr="00482070">
              <w:rPr>
                <w:rFonts w:ascii="Times New Roman" w:eastAsia="Times New Roman" w:hAnsi="Times New Roman" w:cs="Times New Roman"/>
                <w:szCs w:val="22"/>
              </w:rPr>
              <w:t xml:space="preserve"> </w:t>
            </w:r>
            <w:r w:rsidR="00834F07" w:rsidRPr="00482070">
              <w:rPr>
                <w:rFonts w:ascii="Times New Roman" w:hAnsi="Times New Roman" w:cs="Times New Roman"/>
                <w:szCs w:val="22"/>
              </w:rPr>
              <w:t>point (</w:t>
            </w:r>
            <w:proofErr w:type="spellStart"/>
            <w:r w:rsidR="00834F07" w:rsidRPr="00482070">
              <w:rPr>
                <w:rFonts w:ascii="Times New Roman" w:hAnsi="Times New Roman" w:cs="Times New Roman"/>
                <w:szCs w:val="22"/>
              </w:rPr>
              <w:t>i</w:t>
            </w:r>
            <w:proofErr w:type="spellEnd"/>
            <w:r w:rsidR="00834F07" w:rsidRPr="00482070">
              <w:rPr>
                <w:rFonts w:ascii="Times New Roman" w:hAnsi="Times New Roman" w:cs="Times New Roman"/>
                <w:szCs w:val="22"/>
              </w:rPr>
              <w:t>) of</w:t>
            </w:r>
            <w:r w:rsidR="003F5907" w:rsidRPr="00482070">
              <w:rPr>
                <w:rFonts w:ascii="Times New Roman" w:eastAsia="Times New Roman" w:hAnsi="Times New Roman" w:cs="Times New Roman"/>
                <w:szCs w:val="22"/>
              </w:rPr>
              <w:t xml:space="preserve"> ta</w:t>
            </w:r>
            <w:r w:rsidR="008A5827">
              <w:rPr>
                <w:rFonts w:ascii="Times New Roman" w:eastAsia="Times New Roman" w:hAnsi="Times New Roman" w:cs="Times New Roman"/>
                <w:szCs w:val="22"/>
              </w:rPr>
              <w:t>ble EU IRR</w:t>
            </w:r>
            <w:r w:rsidR="003F5907" w:rsidRPr="00482070">
              <w:rPr>
                <w:rFonts w:ascii="Times New Roman" w:eastAsia="Times New Roman" w:hAnsi="Times New Roman" w:cs="Times New Roman"/>
                <w:szCs w:val="22"/>
              </w:rPr>
              <w:t>BBA.</w:t>
            </w:r>
          </w:p>
        </w:tc>
      </w:tr>
      <w:tr w:rsidR="00227FDC" w:rsidRPr="00482070" w14:paraId="5A47760B"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AAC9AB1" w14:textId="59E27251" w:rsidR="00227FDC" w:rsidRPr="00482070" w:rsidRDefault="00F55DB0" w:rsidP="00227FDC">
            <w:pPr>
              <w:autoSpaceDE w:val="0"/>
              <w:autoSpaceDN w:val="0"/>
              <w:adjustRightInd w:val="0"/>
              <w:spacing w:before="60" w:after="120"/>
              <w:jc w:val="center"/>
              <w:rPr>
                <w:rFonts w:ascii="Times New Roman" w:hAnsi="Times New Roman" w:cs="Times New Roman"/>
                <w:b/>
                <w:szCs w:val="22"/>
              </w:rPr>
            </w:pPr>
            <w:r w:rsidRPr="00482070">
              <w:rPr>
                <w:rFonts w:ascii="Times New Roman" w:hAnsi="Times New Roman" w:cs="Times New Roman"/>
                <w:b/>
                <w:szCs w:val="22"/>
              </w:rPr>
              <w:t>5</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7840B" w14:textId="0C1AAD14" w:rsidR="00227FDC" w:rsidRPr="00482070" w:rsidRDefault="003E3A89" w:rsidP="0060489A">
            <w:pPr>
              <w:spacing w:before="60" w:after="120"/>
              <w:jc w:val="both"/>
              <w:rPr>
                <w:rFonts w:ascii="Times New Roman" w:eastAsia="Times New Roman" w:hAnsi="Times New Roman" w:cs="Times New Roman"/>
                <w:b/>
                <w:szCs w:val="22"/>
              </w:rPr>
            </w:pPr>
            <w:r w:rsidRPr="00482070">
              <w:rPr>
                <w:rFonts w:ascii="Times New Roman" w:eastAsia="Times New Roman" w:hAnsi="Times New Roman" w:cs="Times New Roman"/>
                <w:b/>
                <w:szCs w:val="22"/>
              </w:rPr>
              <w:t>Short rates up</w:t>
            </w:r>
          </w:p>
          <w:p w14:paraId="68A86533" w14:textId="77777777" w:rsidR="0080384B" w:rsidRPr="00482070" w:rsidRDefault="003F5907" w:rsidP="003F5907">
            <w:pPr>
              <w:spacing w:before="60" w:after="120"/>
              <w:jc w:val="both"/>
              <w:rPr>
                <w:rFonts w:ascii="Times New Roman" w:eastAsia="Times New Roman" w:hAnsi="Times New Roman" w:cs="Times New Roman"/>
                <w:szCs w:val="22"/>
              </w:rPr>
            </w:pPr>
            <w:r w:rsidRPr="00482070">
              <w:rPr>
                <w:rFonts w:ascii="Times New Roman" w:eastAsia="Times New Roman" w:hAnsi="Times New Roman" w:cs="Times New Roman"/>
                <w:szCs w:val="22"/>
              </w:rPr>
              <w:t xml:space="preserve">Institutions shall disclose the changes of the economic value of equity under a scenario of short rates up of the yield curve. </w:t>
            </w:r>
          </w:p>
          <w:p w14:paraId="6A69073C" w14:textId="4979CB59" w:rsidR="003C7BCD" w:rsidRPr="00482070" w:rsidRDefault="0080384B">
            <w:pPr>
              <w:spacing w:before="60" w:after="120"/>
              <w:jc w:val="both"/>
              <w:rPr>
                <w:rFonts w:ascii="Times New Roman" w:eastAsia="Times New Roman" w:hAnsi="Times New Roman" w:cs="Times New Roman"/>
                <w:b/>
                <w:szCs w:val="22"/>
              </w:rPr>
            </w:pPr>
            <w:r w:rsidRPr="00482070">
              <w:rPr>
                <w:rFonts w:ascii="Times New Roman" w:hAnsi="Times New Roman" w:cs="Times New Roman"/>
                <w:szCs w:val="22"/>
              </w:rPr>
              <w:t xml:space="preserve">Until the </w:t>
            </w:r>
            <w:r w:rsidR="001163B7">
              <w:rPr>
                <w:rFonts w:ascii="Times New Roman" w:hAnsi="Times New Roman" w:cs="Times New Roman"/>
                <w:szCs w:val="22"/>
              </w:rPr>
              <w:t>r</w:t>
            </w:r>
            <w:r w:rsidRPr="00482070">
              <w:rPr>
                <w:rFonts w:ascii="Times New Roman" w:hAnsi="Times New Roman" w:cs="Times New Roman"/>
                <w:szCs w:val="22"/>
              </w:rPr>
              <w:t xml:space="preserve">egulatory technical standards </w:t>
            </w:r>
            <w:r w:rsidR="00C4502B" w:rsidRPr="00482070">
              <w:rPr>
                <w:rFonts w:ascii="Times New Roman" w:hAnsi="Times New Roman" w:cs="Times New Roman"/>
                <w:szCs w:val="22"/>
              </w:rPr>
              <w:t>under</w:t>
            </w:r>
            <w:r w:rsidRPr="00482070">
              <w:rPr>
                <w:rFonts w:ascii="Times New Roman" w:hAnsi="Times New Roman" w:cs="Times New Roman"/>
                <w:szCs w:val="22"/>
              </w:rPr>
              <w:t xml:space="preserve"> Articles 84 and 98(5a) CRD </w:t>
            </w:r>
            <w:r w:rsidR="00DB6997" w:rsidRPr="00482070">
              <w:rPr>
                <w:rFonts w:ascii="Times New Roman" w:hAnsi="Times New Roman" w:cs="Times New Roman"/>
                <w:szCs w:val="22"/>
              </w:rPr>
              <w:t>start to apply</w:t>
            </w:r>
            <w:r w:rsidRPr="00482070">
              <w:rPr>
                <w:rFonts w:ascii="Times New Roman" w:hAnsi="Times New Roman" w:cs="Times New Roman"/>
                <w:szCs w:val="22"/>
              </w:rPr>
              <w:t xml:space="preserve">, </w:t>
            </w:r>
            <w:r w:rsidRPr="00482070">
              <w:rPr>
                <w:rFonts w:ascii="Times New Roman" w:eastAsia="Times New Roman" w:hAnsi="Times New Roman" w:cs="Times New Roman"/>
                <w:szCs w:val="22"/>
              </w:rPr>
              <w:t>t</w:t>
            </w:r>
            <w:r w:rsidR="003F5907" w:rsidRPr="00482070">
              <w:rPr>
                <w:rFonts w:ascii="Times New Roman" w:eastAsia="Times New Roman" w:hAnsi="Times New Roman" w:cs="Times New Roman"/>
                <w:szCs w:val="22"/>
              </w:rPr>
              <w:t>he parameters used for this scenario shall be described in</w:t>
            </w:r>
            <w:r w:rsidR="00834F07" w:rsidRPr="00482070">
              <w:rPr>
                <w:rFonts w:ascii="Times New Roman" w:eastAsia="Times New Roman" w:hAnsi="Times New Roman" w:cs="Times New Roman"/>
                <w:szCs w:val="22"/>
              </w:rPr>
              <w:t xml:space="preserve"> </w:t>
            </w:r>
            <w:r w:rsidR="00834F07" w:rsidRPr="00482070">
              <w:rPr>
                <w:rFonts w:ascii="Times New Roman" w:hAnsi="Times New Roman" w:cs="Times New Roman"/>
                <w:szCs w:val="22"/>
              </w:rPr>
              <w:t>point (</w:t>
            </w:r>
            <w:proofErr w:type="spellStart"/>
            <w:r w:rsidR="00834F07" w:rsidRPr="00482070">
              <w:rPr>
                <w:rFonts w:ascii="Times New Roman" w:hAnsi="Times New Roman" w:cs="Times New Roman"/>
                <w:szCs w:val="22"/>
              </w:rPr>
              <w:t>i</w:t>
            </w:r>
            <w:proofErr w:type="spellEnd"/>
            <w:r w:rsidR="00834F07" w:rsidRPr="00482070">
              <w:rPr>
                <w:rFonts w:ascii="Times New Roman" w:hAnsi="Times New Roman" w:cs="Times New Roman"/>
                <w:szCs w:val="22"/>
              </w:rPr>
              <w:t>) of</w:t>
            </w:r>
            <w:r w:rsidR="003F5907" w:rsidRPr="00482070">
              <w:rPr>
                <w:rFonts w:ascii="Times New Roman" w:eastAsia="Times New Roman" w:hAnsi="Times New Roman" w:cs="Times New Roman"/>
                <w:szCs w:val="22"/>
              </w:rPr>
              <w:t xml:space="preserve"> ta</w:t>
            </w:r>
            <w:r w:rsidR="008A5827">
              <w:rPr>
                <w:rFonts w:ascii="Times New Roman" w:eastAsia="Times New Roman" w:hAnsi="Times New Roman" w:cs="Times New Roman"/>
                <w:szCs w:val="22"/>
              </w:rPr>
              <w:t>ble EU IRR</w:t>
            </w:r>
            <w:r w:rsidR="003F5907" w:rsidRPr="00482070">
              <w:rPr>
                <w:rFonts w:ascii="Times New Roman" w:eastAsia="Times New Roman" w:hAnsi="Times New Roman" w:cs="Times New Roman"/>
                <w:szCs w:val="22"/>
              </w:rPr>
              <w:t>BBA.</w:t>
            </w:r>
          </w:p>
        </w:tc>
      </w:tr>
      <w:tr w:rsidR="00CE0D17" w:rsidRPr="00482070" w14:paraId="54BF60AA"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DCDA67F" w14:textId="4CEC3E89" w:rsidR="00CE0D17" w:rsidRPr="00482070" w:rsidRDefault="00CE0D17" w:rsidP="00227FDC">
            <w:pPr>
              <w:autoSpaceDE w:val="0"/>
              <w:autoSpaceDN w:val="0"/>
              <w:adjustRightInd w:val="0"/>
              <w:spacing w:before="60" w:after="120"/>
              <w:jc w:val="center"/>
              <w:rPr>
                <w:rFonts w:ascii="Times New Roman" w:hAnsi="Times New Roman" w:cs="Times New Roman"/>
                <w:b/>
                <w:szCs w:val="22"/>
              </w:rPr>
            </w:pPr>
            <w:r w:rsidRPr="00482070">
              <w:rPr>
                <w:rFonts w:ascii="Times New Roman" w:hAnsi="Times New Roman" w:cs="Times New Roman"/>
                <w:b/>
                <w:szCs w:val="22"/>
              </w:rPr>
              <w:t>6</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CC8A263" w14:textId="77777777" w:rsidR="00CE0D17" w:rsidRPr="00482070" w:rsidRDefault="003E3A89" w:rsidP="0060489A">
            <w:pPr>
              <w:spacing w:before="60" w:after="120"/>
              <w:jc w:val="both"/>
              <w:rPr>
                <w:rFonts w:ascii="Times New Roman" w:eastAsia="Times New Roman" w:hAnsi="Times New Roman" w:cs="Times New Roman"/>
                <w:b/>
                <w:szCs w:val="22"/>
              </w:rPr>
            </w:pPr>
            <w:r w:rsidRPr="00482070">
              <w:rPr>
                <w:rFonts w:ascii="Times New Roman" w:eastAsia="Times New Roman" w:hAnsi="Times New Roman" w:cs="Times New Roman"/>
                <w:b/>
                <w:szCs w:val="22"/>
              </w:rPr>
              <w:t>Sho</w:t>
            </w:r>
            <w:r w:rsidR="00595903" w:rsidRPr="00482070">
              <w:rPr>
                <w:rFonts w:ascii="Times New Roman" w:eastAsia="Times New Roman" w:hAnsi="Times New Roman" w:cs="Times New Roman"/>
                <w:b/>
                <w:szCs w:val="22"/>
              </w:rPr>
              <w:t>rt rates down</w:t>
            </w:r>
          </w:p>
          <w:p w14:paraId="52648BA1" w14:textId="77777777" w:rsidR="0080384B" w:rsidRPr="00482070" w:rsidRDefault="003F5907" w:rsidP="003F5907">
            <w:pPr>
              <w:spacing w:before="60" w:after="120"/>
              <w:jc w:val="both"/>
              <w:rPr>
                <w:rFonts w:ascii="Times New Roman" w:eastAsia="Times New Roman" w:hAnsi="Times New Roman" w:cs="Times New Roman"/>
                <w:szCs w:val="22"/>
              </w:rPr>
            </w:pPr>
            <w:r w:rsidRPr="00482070">
              <w:rPr>
                <w:rFonts w:ascii="Times New Roman" w:eastAsia="Times New Roman" w:hAnsi="Times New Roman" w:cs="Times New Roman"/>
                <w:szCs w:val="22"/>
              </w:rPr>
              <w:t xml:space="preserve">Institutions shall disclose the changes of the economic value of equity under a scenario of short rates down of the yield curve. </w:t>
            </w:r>
          </w:p>
          <w:p w14:paraId="45792CFB" w14:textId="29252AEA" w:rsidR="003C7BCD" w:rsidRPr="00482070" w:rsidRDefault="0080384B">
            <w:pPr>
              <w:spacing w:before="60" w:after="120"/>
              <w:jc w:val="both"/>
              <w:rPr>
                <w:rFonts w:ascii="Times New Roman" w:eastAsia="Times New Roman" w:hAnsi="Times New Roman" w:cs="Times New Roman"/>
                <w:b/>
                <w:szCs w:val="22"/>
              </w:rPr>
            </w:pPr>
            <w:r w:rsidRPr="00482070">
              <w:rPr>
                <w:rFonts w:ascii="Times New Roman" w:hAnsi="Times New Roman" w:cs="Times New Roman"/>
                <w:szCs w:val="22"/>
              </w:rPr>
              <w:t xml:space="preserve">Until the </w:t>
            </w:r>
            <w:r w:rsidR="001163B7">
              <w:rPr>
                <w:rFonts w:ascii="Times New Roman" w:hAnsi="Times New Roman" w:cs="Times New Roman"/>
                <w:szCs w:val="22"/>
              </w:rPr>
              <w:t>r</w:t>
            </w:r>
            <w:r w:rsidRPr="00482070">
              <w:rPr>
                <w:rFonts w:ascii="Times New Roman" w:hAnsi="Times New Roman" w:cs="Times New Roman"/>
                <w:szCs w:val="22"/>
              </w:rPr>
              <w:t xml:space="preserve">egulatory technical standards </w:t>
            </w:r>
            <w:r w:rsidR="00C4502B" w:rsidRPr="00482070">
              <w:rPr>
                <w:rFonts w:ascii="Times New Roman" w:hAnsi="Times New Roman" w:cs="Times New Roman"/>
                <w:szCs w:val="22"/>
              </w:rPr>
              <w:t>under</w:t>
            </w:r>
            <w:r w:rsidRPr="00482070">
              <w:rPr>
                <w:rFonts w:ascii="Times New Roman" w:hAnsi="Times New Roman" w:cs="Times New Roman"/>
                <w:szCs w:val="22"/>
              </w:rPr>
              <w:t xml:space="preserve"> Articles 84 and 98(5a) CRD </w:t>
            </w:r>
            <w:r w:rsidR="00DB6997" w:rsidRPr="00482070">
              <w:rPr>
                <w:rFonts w:ascii="Times New Roman" w:hAnsi="Times New Roman" w:cs="Times New Roman"/>
                <w:szCs w:val="22"/>
              </w:rPr>
              <w:t>start to apply</w:t>
            </w:r>
            <w:r w:rsidRPr="00482070">
              <w:rPr>
                <w:rFonts w:ascii="Times New Roman" w:hAnsi="Times New Roman" w:cs="Times New Roman"/>
                <w:szCs w:val="22"/>
              </w:rPr>
              <w:t xml:space="preserve">, </w:t>
            </w:r>
            <w:r w:rsidRPr="00482070">
              <w:rPr>
                <w:rFonts w:ascii="Times New Roman" w:eastAsia="Times New Roman" w:hAnsi="Times New Roman" w:cs="Times New Roman"/>
                <w:szCs w:val="22"/>
              </w:rPr>
              <w:t>t</w:t>
            </w:r>
            <w:r w:rsidR="003F5907" w:rsidRPr="00482070">
              <w:rPr>
                <w:rFonts w:ascii="Times New Roman" w:eastAsia="Times New Roman" w:hAnsi="Times New Roman" w:cs="Times New Roman"/>
                <w:szCs w:val="22"/>
              </w:rPr>
              <w:t>he parameters used for this scenario shall be described in</w:t>
            </w:r>
            <w:r w:rsidR="00834F07" w:rsidRPr="00482070">
              <w:rPr>
                <w:rFonts w:ascii="Times New Roman" w:eastAsia="Times New Roman" w:hAnsi="Times New Roman" w:cs="Times New Roman"/>
                <w:szCs w:val="22"/>
              </w:rPr>
              <w:t xml:space="preserve"> </w:t>
            </w:r>
            <w:r w:rsidR="00834F07" w:rsidRPr="00482070">
              <w:rPr>
                <w:rFonts w:ascii="Times New Roman" w:hAnsi="Times New Roman" w:cs="Times New Roman"/>
                <w:szCs w:val="22"/>
              </w:rPr>
              <w:t>point (</w:t>
            </w:r>
            <w:proofErr w:type="spellStart"/>
            <w:r w:rsidR="00834F07" w:rsidRPr="00482070">
              <w:rPr>
                <w:rFonts w:ascii="Times New Roman" w:hAnsi="Times New Roman" w:cs="Times New Roman"/>
                <w:szCs w:val="22"/>
              </w:rPr>
              <w:t>i</w:t>
            </w:r>
            <w:proofErr w:type="spellEnd"/>
            <w:r w:rsidR="00834F07" w:rsidRPr="00482070">
              <w:rPr>
                <w:rFonts w:ascii="Times New Roman" w:hAnsi="Times New Roman" w:cs="Times New Roman"/>
                <w:szCs w:val="22"/>
              </w:rPr>
              <w:t>) of</w:t>
            </w:r>
            <w:r w:rsidR="003F5907" w:rsidRPr="00482070">
              <w:rPr>
                <w:rFonts w:ascii="Times New Roman" w:eastAsia="Times New Roman" w:hAnsi="Times New Roman" w:cs="Times New Roman"/>
                <w:szCs w:val="22"/>
              </w:rPr>
              <w:t xml:space="preserve"> ta</w:t>
            </w:r>
            <w:r w:rsidR="008A5827">
              <w:rPr>
                <w:rFonts w:ascii="Times New Roman" w:eastAsia="Times New Roman" w:hAnsi="Times New Roman" w:cs="Times New Roman"/>
                <w:szCs w:val="22"/>
              </w:rPr>
              <w:t>ble EU IRR</w:t>
            </w:r>
            <w:r w:rsidR="003F5907" w:rsidRPr="00482070">
              <w:rPr>
                <w:rFonts w:ascii="Times New Roman" w:eastAsia="Times New Roman" w:hAnsi="Times New Roman" w:cs="Times New Roman"/>
                <w:szCs w:val="22"/>
              </w:rPr>
              <w:t>BBA.</w:t>
            </w:r>
          </w:p>
        </w:tc>
      </w:tr>
    </w:tbl>
    <w:p w14:paraId="3452EC82" w14:textId="7F3D1507" w:rsidR="00FE2CB5" w:rsidRPr="00482070" w:rsidRDefault="00FE2CB5" w:rsidP="00FE2CB5">
      <w:pPr>
        <w:jc w:val="both"/>
        <w:rPr>
          <w:rFonts w:ascii="Calibri" w:eastAsia="Times New Roman" w:hAnsi="Calibri" w:cs="Times New Roman"/>
          <w:color w:val="000000"/>
          <w:szCs w:val="22"/>
          <w:lang w:eastAsia="en-GB"/>
        </w:rPr>
      </w:pPr>
    </w:p>
    <w:p w14:paraId="7DD927F3" w14:textId="77777777" w:rsidR="00FE2CB5" w:rsidRPr="00482070" w:rsidRDefault="00FE2CB5" w:rsidP="00A81E4E"/>
    <w:sectPr w:rsidR="00FE2CB5" w:rsidRPr="00482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B82AC" w14:textId="77777777" w:rsidR="00B86ED4" w:rsidRDefault="00B86ED4" w:rsidP="003B5C57">
      <w:r>
        <w:separator/>
      </w:r>
    </w:p>
  </w:endnote>
  <w:endnote w:type="continuationSeparator" w:id="0">
    <w:p w14:paraId="76F692C0" w14:textId="77777777" w:rsidR="00B86ED4" w:rsidRDefault="00B86ED4" w:rsidP="003B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7AD1B" w14:textId="77777777" w:rsidR="00B86ED4" w:rsidRDefault="00B86ED4" w:rsidP="003B5C57">
      <w:r>
        <w:separator/>
      </w:r>
    </w:p>
  </w:footnote>
  <w:footnote w:type="continuationSeparator" w:id="0">
    <w:p w14:paraId="14714B02" w14:textId="77777777" w:rsidR="00B86ED4" w:rsidRDefault="00B86ED4" w:rsidP="003B5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820"/>
    <w:multiLevelType w:val="hybridMultilevel"/>
    <w:tmpl w:val="9008071A"/>
    <w:lvl w:ilvl="0" w:tplc="328800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667BC"/>
    <w:multiLevelType w:val="hybridMultilevel"/>
    <w:tmpl w:val="A320B384"/>
    <w:lvl w:ilvl="0" w:tplc="0809001B">
      <w:start w:val="1"/>
      <w:numFmt w:val="lowerRoman"/>
      <w:lvlText w:val="%1."/>
      <w:lvlJc w:val="righ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 w15:restartNumberingAfterBreak="0">
    <w:nsid w:val="2466072A"/>
    <w:multiLevelType w:val="multilevel"/>
    <w:tmpl w:val="3566011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4" w15:restartNumberingAfterBreak="0">
    <w:nsid w:val="507845AC"/>
    <w:multiLevelType w:val="hybridMultilevel"/>
    <w:tmpl w:val="5554F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C6196"/>
    <w:multiLevelType w:val="hybridMultilevel"/>
    <w:tmpl w:val="3566011E"/>
    <w:lvl w:ilvl="0" w:tplc="A9A82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D1428"/>
    <w:multiLevelType w:val="hybridMultilevel"/>
    <w:tmpl w:val="3566011E"/>
    <w:lvl w:ilvl="0" w:tplc="A9A82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767C0"/>
    <w:multiLevelType w:val="hybridMultilevel"/>
    <w:tmpl w:val="89E0F2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num w:numId="1">
    <w:abstractNumId w:val="7"/>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4744B"/>
    <w:rsid w:val="00005B93"/>
    <w:rsid w:val="00013240"/>
    <w:rsid w:val="000469EE"/>
    <w:rsid w:val="00053035"/>
    <w:rsid w:val="00060307"/>
    <w:rsid w:val="0006327F"/>
    <w:rsid w:val="00063CE6"/>
    <w:rsid w:val="00065C44"/>
    <w:rsid w:val="00067516"/>
    <w:rsid w:val="000A10FC"/>
    <w:rsid w:val="000A53EF"/>
    <w:rsid w:val="000B212C"/>
    <w:rsid w:val="000B28B3"/>
    <w:rsid w:val="000F6E3B"/>
    <w:rsid w:val="000F720A"/>
    <w:rsid w:val="00110370"/>
    <w:rsid w:val="00111970"/>
    <w:rsid w:val="001163B7"/>
    <w:rsid w:val="00125B00"/>
    <w:rsid w:val="00133E44"/>
    <w:rsid w:val="0013410F"/>
    <w:rsid w:val="00146A3F"/>
    <w:rsid w:val="00146DB4"/>
    <w:rsid w:val="0016128F"/>
    <w:rsid w:val="00166CAA"/>
    <w:rsid w:val="00167A62"/>
    <w:rsid w:val="00177088"/>
    <w:rsid w:val="001810BE"/>
    <w:rsid w:val="00186FD4"/>
    <w:rsid w:val="00187547"/>
    <w:rsid w:val="0019262D"/>
    <w:rsid w:val="001A538C"/>
    <w:rsid w:val="001A6E70"/>
    <w:rsid w:val="001A7DE4"/>
    <w:rsid w:val="001D0BA8"/>
    <w:rsid w:val="001D3283"/>
    <w:rsid w:val="001E68FA"/>
    <w:rsid w:val="001F11D4"/>
    <w:rsid w:val="00226654"/>
    <w:rsid w:val="00227A69"/>
    <w:rsid w:val="00227FDC"/>
    <w:rsid w:val="0024072B"/>
    <w:rsid w:val="002711B6"/>
    <w:rsid w:val="00271375"/>
    <w:rsid w:val="002B52BC"/>
    <w:rsid w:val="002B6C39"/>
    <w:rsid w:val="002D655D"/>
    <w:rsid w:val="002E597B"/>
    <w:rsid w:val="002F10D0"/>
    <w:rsid w:val="002F2E04"/>
    <w:rsid w:val="002F726C"/>
    <w:rsid w:val="00305C67"/>
    <w:rsid w:val="00316B9A"/>
    <w:rsid w:val="003364BD"/>
    <w:rsid w:val="00367A62"/>
    <w:rsid w:val="0037080E"/>
    <w:rsid w:val="00371201"/>
    <w:rsid w:val="00371886"/>
    <w:rsid w:val="0038371B"/>
    <w:rsid w:val="003942C9"/>
    <w:rsid w:val="003A2001"/>
    <w:rsid w:val="003B1160"/>
    <w:rsid w:val="003B4F8B"/>
    <w:rsid w:val="003B5C57"/>
    <w:rsid w:val="003C310D"/>
    <w:rsid w:val="003C7BCD"/>
    <w:rsid w:val="003D086C"/>
    <w:rsid w:val="003E3A89"/>
    <w:rsid w:val="003F5907"/>
    <w:rsid w:val="004018B3"/>
    <w:rsid w:val="00416C73"/>
    <w:rsid w:val="0042024E"/>
    <w:rsid w:val="00426CEC"/>
    <w:rsid w:val="0043059C"/>
    <w:rsid w:val="0045248D"/>
    <w:rsid w:val="00453AC4"/>
    <w:rsid w:val="00465DF4"/>
    <w:rsid w:val="00482070"/>
    <w:rsid w:val="004858AF"/>
    <w:rsid w:val="00487F1C"/>
    <w:rsid w:val="0049568B"/>
    <w:rsid w:val="004979A6"/>
    <w:rsid w:val="004B0B2A"/>
    <w:rsid w:val="004D27DD"/>
    <w:rsid w:val="004E2266"/>
    <w:rsid w:val="004E6BD5"/>
    <w:rsid w:val="004F5466"/>
    <w:rsid w:val="00503DC1"/>
    <w:rsid w:val="00512477"/>
    <w:rsid w:val="00523FE8"/>
    <w:rsid w:val="005470E3"/>
    <w:rsid w:val="0054744B"/>
    <w:rsid w:val="00550EA4"/>
    <w:rsid w:val="00565F5A"/>
    <w:rsid w:val="00573FD3"/>
    <w:rsid w:val="00580D58"/>
    <w:rsid w:val="00586B82"/>
    <w:rsid w:val="00593C4B"/>
    <w:rsid w:val="00595903"/>
    <w:rsid w:val="005A5573"/>
    <w:rsid w:val="005B367A"/>
    <w:rsid w:val="005D48C1"/>
    <w:rsid w:val="005E2B3A"/>
    <w:rsid w:val="005F4729"/>
    <w:rsid w:val="005F58E6"/>
    <w:rsid w:val="006001A4"/>
    <w:rsid w:val="00604339"/>
    <w:rsid w:val="0060489A"/>
    <w:rsid w:val="00607494"/>
    <w:rsid w:val="00615DB8"/>
    <w:rsid w:val="0064412E"/>
    <w:rsid w:val="006473E8"/>
    <w:rsid w:val="00653207"/>
    <w:rsid w:val="00681608"/>
    <w:rsid w:val="00697A36"/>
    <w:rsid w:val="006A78BA"/>
    <w:rsid w:val="006C2CA1"/>
    <w:rsid w:val="006D4BE6"/>
    <w:rsid w:val="006D6B49"/>
    <w:rsid w:val="006D6C52"/>
    <w:rsid w:val="006F69ED"/>
    <w:rsid w:val="00711138"/>
    <w:rsid w:val="00716636"/>
    <w:rsid w:val="007269B1"/>
    <w:rsid w:val="00745B25"/>
    <w:rsid w:val="007573CB"/>
    <w:rsid w:val="00763C4D"/>
    <w:rsid w:val="00775FD9"/>
    <w:rsid w:val="0078309E"/>
    <w:rsid w:val="00793890"/>
    <w:rsid w:val="007A1366"/>
    <w:rsid w:val="007A4AA0"/>
    <w:rsid w:val="007B3033"/>
    <w:rsid w:val="007C351F"/>
    <w:rsid w:val="007D1AE4"/>
    <w:rsid w:val="007F15BF"/>
    <w:rsid w:val="007F71C4"/>
    <w:rsid w:val="0080384B"/>
    <w:rsid w:val="008220B0"/>
    <w:rsid w:val="00834F07"/>
    <w:rsid w:val="00835D8A"/>
    <w:rsid w:val="0084271D"/>
    <w:rsid w:val="00842C3A"/>
    <w:rsid w:val="00843F8C"/>
    <w:rsid w:val="00862897"/>
    <w:rsid w:val="0087249C"/>
    <w:rsid w:val="008766A5"/>
    <w:rsid w:val="00885EBE"/>
    <w:rsid w:val="00886EB3"/>
    <w:rsid w:val="008A053C"/>
    <w:rsid w:val="008A5827"/>
    <w:rsid w:val="008B589A"/>
    <w:rsid w:val="008E005A"/>
    <w:rsid w:val="008F617B"/>
    <w:rsid w:val="00904C4D"/>
    <w:rsid w:val="00912FEC"/>
    <w:rsid w:val="009222ED"/>
    <w:rsid w:val="00925221"/>
    <w:rsid w:val="00926D41"/>
    <w:rsid w:val="0094340A"/>
    <w:rsid w:val="00947B6C"/>
    <w:rsid w:val="0095024C"/>
    <w:rsid w:val="00952741"/>
    <w:rsid w:val="009528FB"/>
    <w:rsid w:val="0095538A"/>
    <w:rsid w:val="0095708D"/>
    <w:rsid w:val="00976355"/>
    <w:rsid w:val="0098778C"/>
    <w:rsid w:val="009A42C9"/>
    <w:rsid w:val="009C2377"/>
    <w:rsid w:val="009C3247"/>
    <w:rsid w:val="009D1BA6"/>
    <w:rsid w:val="009D7A7D"/>
    <w:rsid w:val="00A05663"/>
    <w:rsid w:val="00A2202B"/>
    <w:rsid w:val="00A22F00"/>
    <w:rsid w:val="00A56B74"/>
    <w:rsid w:val="00A64295"/>
    <w:rsid w:val="00A67645"/>
    <w:rsid w:val="00A77093"/>
    <w:rsid w:val="00A81E4E"/>
    <w:rsid w:val="00A8375D"/>
    <w:rsid w:val="00A930B2"/>
    <w:rsid w:val="00AB382F"/>
    <w:rsid w:val="00AC7DCE"/>
    <w:rsid w:val="00AD6D9C"/>
    <w:rsid w:val="00AE69B7"/>
    <w:rsid w:val="00AF252C"/>
    <w:rsid w:val="00AF3439"/>
    <w:rsid w:val="00B4159D"/>
    <w:rsid w:val="00B44524"/>
    <w:rsid w:val="00B54332"/>
    <w:rsid w:val="00B56EBF"/>
    <w:rsid w:val="00B650A9"/>
    <w:rsid w:val="00B66A3D"/>
    <w:rsid w:val="00B81100"/>
    <w:rsid w:val="00B82005"/>
    <w:rsid w:val="00B8650B"/>
    <w:rsid w:val="00B86ED4"/>
    <w:rsid w:val="00B9107D"/>
    <w:rsid w:val="00B923DC"/>
    <w:rsid w:val="00B94237"/>
    <w:rsid w:val="00BB39FB"/>
    <w:rsid w:val="00BB574D"/>
    <w:rsid w:val="00BC025C"/>
    <w:rsid w:val="00BF2E73"/>
    <w:rsid w:val="00C006B4"/>
    <w:rsid w:val="00C07A00"/>
    <w:rsid w:val="00C143B2"/>
    <w:rsid w:val="00C1556C"/>
    <w:rsid w:val="00C206DE"/>
    <w:rsid w:val="00C307AB"/>
    <w:rsid w:val="00C41D59"/>
    <w:rsid w:val="00C4502B"/>
    <w:rsid w:val="00C4547F"/>
    <w:rsid w:val="00C71181"/>
    <w:rsid w:val="00C76C94"/>
    <w:rsid w:val="00C77A9E"/>
    <w:rsid w:val="00CA2AD5"/>
    <w:rsid w:val="00CD3692"/>
    <w:rsid w:val="00CE0D17"/>
    <w:rsid w:val="00CF6849"/>
    <w:rsid w:val="00D14F4A"/>
    <w:rsid w:val="00D267B0"/>
    <w:rsid w:val="00D31F66"/>
    <w:rsid w:val="00D6257E"/>
    <w:rsid w:val="00D6294D"/>
    <w:rsid w:val="00D727B4"/>
    <w:rsid w:val="00D76DCA"/>
    <w:rsid w:val="00D7725E"/>
    <w:rsid w:val="00D97456"/>
    <w:rsid w:val="00DB6997"/>
    <w:rsid w:val="00DD20B0"/>
    <w:rsid w:val="00DF18F3"/>
    <w:rsid w:val="00DF58CB"/>
    <w:rsid w:val="00E0485C"/>
    <w:rsid w:val="00E05823"/>
    <w:rsid w:val="00E22DED"/>
    <w:rsid w:val="00E4184D"/>
    <w:rsid w:val="00E47444"/>
    <w:rsid w:val="00E74FF6"/>
    <w:rsid w:val="00EA0ADF"/>
    <w:rsid w:val="00EA1CF8"/>
    <w:rsid w:val="00EA2452"/>
    <w:rsid w:val="00EC3E7F"/>
    <w:rsid w:val="00EE3ECC"/>
    <w:rsid w:val="00EF335F"/>
    <w:rsid w:val="00F01CEA"/>
    <w:rsid w:val="00F070E6"/>
    <w:rsid w:val="00F10FFC"/>
    <w:rsid w:val="00F24E72"/>
    <w:rsid w:val="00F470EA"/>
    <w:rsid w:val="00F55DB0"/>
    <w:rsid w:val="00F720A8"/>
    <w:rsid w:val="00F931AD"/>
    <w:rsid w:val="00FA7485"/>
    <w:rsid w:val="00FB03B8"/>
    <w:rsid w:val="00FB0584"/>
    <w:rsid w:val="00FC2089"/>
    <w:rsid w:val="00FC55A8"/>
    <w:rsid w:val="00FD20DB"/>
    <w:rsid w:val="00FD6A8F"/>
    <w:rsid w:val="00FE2CB5"/>
    <w:rsid w:val="00FF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743BFE"/>
  <w15:chartTrackingRefBased/>
  <w15:docId w15:val="{66B35555-33E6-445A-B659-8E188FD7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4B"/>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Title"/>
    <w:basedOn w:val="Normal"/>
    <w:next w:val="Normal"/>
    <w:link w:val="TableTitleChar"/>
    <w:rsid w:val="0054744B"/>
    <w:pPr>
      <w:keepNext/>
      <w:spacing w:before="120" w:after="240"/>
      <w:jc w:val="center"/>
    </w:pPr>
    <w:rPr>
      <w:rFonts w:ascii="Arial" w:eastAsia="MS Mincho" w:hAnsi="Arial" w:cs="Times New Roman"/>
      <w:b/>
      <w:noProof/>
      <w:szCs w:val="20"/>
    </w:rPr>
  </w:style>
  <w:style w:type="character" w:customStyle="1" w:styleId="TableTitleChar">
    <w:name w:val="TableTitle Char"/>
    <w:basedOn w:val="DefaultParagraphFont"/>
    <w:link w:val="TableTitle"/>
    <w:locked/>
    <w:rsid w:val="0054744B"/>
    <w:rPr>
      <w:rFonts w:ascii="Arial" w:eastAsia="MS Mincho" w:hAnsi="Arial" w:cs="Times New Roman"/>
      <w:b/>
      <w:noProof/>
      <w:szCs w:val="20"/>
    </w:rPr>
  </w:style>
  <w:style w:type="character" w:customStyle="1" w:styleId="InstructionsTabelleberschrift">
    <w:name w:val="Instructions Tabelle Überschrift"/>
    <w:qFormat/>
    <w:rsid w:val="00BB39FB"/>
    <w:rPr>
      <w:rFonts w:ascii="Verdana" w:hAnsi="Verdana" w:cs="Times New Roman"/>
      <w:b/>
      <w:bCs/>
      <w:sz w:val="20"/>
      <w:u w:val="single"/>
    </w:rPr>
  </w:style>
  <w:style w:type="character" w:customStyle="1" w:styleId="InstructionsTabelleText">
    <w:name w:val="Instructions Tabelle Text"/>
    <w:rsid w:val="00BB39FB"/>
    <w:rPr>
      <w:rFonts w:ascii="Verdana" w:hAnsi="Verdana" w:cs="Times New Roman"/>
      <w:sz w:val="20"/>
    </w:rPr>
  </w:style>
  <w:style w:type="paragraph" w:customStyle="1" w:styleId="InstructionsText2">
    <w:name w:val="Instructions Text 2"/>
    <w:basedOn w:val="Normal"/>
    <w:qFormat/>
    <w:rsid w:val="002B52BC"/>
    <w:pPr>
      <w:numPr>
        <w:numId w:val="2"/>
      </w:numPr>
      <w:spacing w:after="240"/>
      <w:jc w:val="both"/>
    </w:pPr>
    <w:rPr>
      <w:rFonts w:ascii="Times New Roman" w:eastAsia="Times New Roman" w:hAnsi="Times New Roman" w:cs="Times New Roman"/>
      <w:sz w:val="24"/>
      <w:lang w:eastAsia="de-DE"/>
    </w:rPr>
  </w:style>
  <w:style w:type="character" w:styleId="CommentReference">
    <w:name w:val="annotation reference"/>
    <w:basedOn w:val="DefaultParagraphFont"/>
    <w:uiPriority w:val="99"/>
    <w:semiHidden/>
    <w:unhideWhenUsed/>
    <w:rsid w:val="00E05823"/>
    <w:rPr>
      <w:sz w:val="16"/>
      <w:szCs w:val="16"/>
    </w:rPr>
  </w:style>
  <w:style w:type="paragraph" w:styleId="CommentText">
    <w:name w:val="annotation text"/>
    <w:basedOn w:val="Normal"/>
    <w:link w:val="CommentTextChar"/>
    <w:uiPriority w:val="99"/>
    <w:unhideWhenUsed/>
    <w:rsid w:val="00E05823"/>
    <w:rPr>
      <w:sz w:val="20"/>
      <w:szCs w:val="20"/>
    </w:rPr>
  </w:style>
  <w:style w:type="character" w:customStyle="1" w:styleId="CommentTextChar">
    <w:name w:val="Comment Text Char"/>
    <w:basedOn w:val="DefaultParagraphFont"/>
    <w:link w:val="CommentText"/>
    <w:uiPriority w:val="99"/>
    <w:rsid w:val="00E0582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05823"/>
    <w:rPr>
      <w:b/>
      <w:bCs/>
    </w:rPr>
  </w:style>
  <w:style w:type="character" w:customStyle="1" w:styleId="CommentSubjectChar">
    <w:name w:val="Comment Subject Char"/>
    <w:basedOn w:val="CommentTextChar"/>
    <w:link w:val="CommentSubject"/>
    <w:uiPriority w:val="99"/>
    <w:semiHidden/>
    <w:rsid w:val="00E05823"/>
    <w:rPr>
      <w:rFonts w:eastAsiaTheme="minorEastAsia"/>
      <w:b/>
      <w:bCs/>
      <w:sz w:val="20"/>
      <w:szCs w:val="20"/>
      <w:lang w:val="en-US"/>
    </w:rPr>
  </w:style>
  <w:style w:type="paragraph" w:styleId="BalloonText">
    <w:name w:val="Balloon Text"/>
    <w:basedOn w:val="Normal"/>
    <w:link w:val="BalloonTextChar"/>
    <w:uiPriority w:val="99"/>
    <w:semiHidden/>
    <w:unhideWhenUsed/>
    <w:rsid w:val="00E05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23"/>
    <w:rPr>
      <w:rFonts w:ascii="Segoe UI" w:eastAsiaTheme="minorEastAsia" w:hAnsi="Segoe UI" w:cs="Segoe UI"/>
      <w:sz w:val="18"/>
      <w:szCs w:val="18"/>
      <w:lang w:val="en-US"/>
    </w:rPr>
  </w:style>
  <w:style w:type="paragraph" w:styleId="ListParagraph">
    <w:name w:val="List Paragraph"/>
    <w:basedOn w:val="Normal"/>
    <w:uiPriority w:val="34"/>
    <w:qFormat/>
    <w:rsid w:val="00A81E4E"/>
    <w:pPr>
      <w:ind w:left="720"/>
      <w:contextualSpacing/>
    </w:pPr>
  </w:style>
  <w:style w:type="paragraph" w:customStyle="1" w:styleId="Annexetitre">
    <w:name w:val="Annexe titre"/>
    <w:basedOn w:val="Normal"/>
    <w:next w:val="Normal"/>
    <w:rsid w:val="006A78BA"/>
    <w:pPr>
      <w:spacing w:before="120" w:after="120"/>
      <w:jc w:val="center"/>
    </w:pPr>
    <w:rPr>
      <w:rFonts w:ascii="Times New Roman" w:eastAsia="Times New Roman" w:hAnsi="Times New Roman" w:cs="Times New Roman"/>
      <w:b/>
      <w:sz w:val="24"/>
      <w:u w:val="single"/>
    </w:rPr>
  </w:style>
  <w:style w:type="paragraph" w:customStyle="1" w:styleId="CM1">
    <w:name w:val="CM1"/>
    <w:basedOn w:val="Normal"/>
    <w:next w:val="Normal"/>
    <w:uiPriority w:val="99"/>
    <w:rsid w:val="00065C44"/>
    <w:pPr>
      <w:autoSpaceDE w:val="0"/>
      <w:autoSpaceDN w:val="0"/>
      <w:adjustRightInd w:val="0"/>
    </w:pPr>
    <w:rPr>
      <w:rFonts w:ascii="Times New Roman" w:eastAsiaTheme="minorHAnsi" w:hAnsi="Times New Roman" w:cs="Times New Roman"/>
      <w:sz w:val="24"/>
    </w:rPr>
  </w:style>
  <w:style w:type="paragraph" w:customStyle="1" w:styleId="CM3">
    <w:name w:val="CM3"/>
    <w:basedOn w:val="Normal"/>
    <w:next w:val="Normal"/>
    <w:uiPriority w:val="99"/>
    <w:rsid w:val="00065C44"/>
    <w:pPr>
      <w:autoSpaceDE w:val="0"/>
      <w:autoSpaceDN w:val="0"/>
      <w:adjustRightInd w:val="0"/>
    </w:pPr>
    <w:rPr>
      <w:rFonts w:ascii="Times New Roman" w:eastAsiaTheme="minorHAns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94359">
      <w:bodyDiv w:val="1"/>
      <w:marLeft w:val="0"/>
      <w:marRight w:val="0"/>
      <w:marTop w:val="0"/>
      <w:marBottom w:val="0"/>
      <w:divBdr>
        <w:top w:val="none" w:sz="0" w:space="0" w:color="auto"/>
        <w:left w:val="none" w:sz="0" w:space="0" w:color="auto"/>
        <w:bottom w:val="none" w:sz="0" w:space="0" w:color="auto"/>
        <w:right w:val="none" w:sz="0" w:space="0" w:color="auto"/>
      </w:divBdr>
    </w:div>
    <w:div w:id="18804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FA2A-C3A5-4657-9DAA-6EE12B0B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1779</Words>
  <Characters>10143</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Banking Authority</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 staff</dc:creator>
  <cp:keywords/>
  <dc:description/>
  <cp:lastModifiedBy>Lidja Schiavo</cp:lastModifiedBy>
  <cp:revision>19</cp:revision>
  <dcterms:created xsi:type="dcterms:W3CDTF">2021-09-29T11:21:00Z</dcterms:created>
  <dcterms:modified xsi:type="dcterms:W3CDTF">2021-10-19T12:57:00Z</dcterms:modified>
</cp:coreProperties>
</file>