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ADD9" w14:textId="77777777" w:rsidR="004D4419" w:rsidRPr="00EA201D" w:rsidRDefault="004D4419" w:rsidP="00A33695">
      <w:pPr>
        <w:jc w:val="center"/>
        <w:rPr>
          <w:rFonts w:ascii="Times New Roman" w:hAnsi="Times New Roman"/>
          <w:b/>
          <w:sz w:val="28"/>
          <w:szCs w:val="28"/>
        </w:rPr>
      </w:pPr>
      <w:bookmarkStart w:id="0" w:name="_Toc262568021"/>
      <w:bookmarkStart w:id="1" w:name="_Toc295829847"/>
      <w:r w:rsidRPr="00EA201D">
        <w:rPr>
          <w:rFonts w:ascii="Times New Roman" w:hAnsi="Times New Roman"/>
          <w:b/>
          <w:sz w:val="28"/>
          <w:szCs w:val="28"/>
        </w:rPr>
        <w:t>EN</w:t>
      </w:r>
    </w:p>
    <w:p w14:paraId="60FC14D4" w14:textId="77777777" w:rsidR="002648B0" w:rsidRPr="00EA201D" w:rsidRDefault="002648B0" w:rsidP="00A33695">
      <w:pPr>
        <w:jc w:val="center"/>
        <w:rPr>
          <w:rFonts w:ascii="Times New Roman" w:hAnsi="Times New Roman"/>
          <w:b/>
          <w:sz w:val="28"/>
          <w:szCs w:val="28"/>
        </w:rPr>
      </w:pPr>
      <w:r w:rsidRPr="00EA201D">
        <w:rPr>
          <w:rFonts w:ascii="Times New Roman" w:hAnsi="Times New Roman"/>
          <w:b/>
          <w:sz w:val="28"/>
          <w:szCs w:val="28"/>
        </w:rPr>
        <w:t xml:space="preserve">ANNEX </w:t>
      </w:r>
      <w:r w:rsidR="00A92DDE" w:rsidRPr="00EA201D">
        <w:rPr>
          <w:rFonts w:ascii="Times New Roman" w:hAnsi="Times New Roman"/>
          <w:b/>
          <w:sz w:val="28"/>
          <w:szCs w:val="28"/>
        </w:rPr>
        <w:t>IV</w:t>
      </w:r>
    </w:p>
    <w:p w14:paraId="41B7EF4B" w14:textId="7C44E72C" w:rsidR="00646CC9" w:rsidRPr="00EA201D" w:rsidRDefault="00242338" w:rsidP="00C87CEE">
      <w:pPr>
        <w:jc w:val="center"/>
        <w:rPr>
          <w:rFonts w:ascii="Times New Roman" w:hAnsi="Times New Roman"/>
          <w:b/>
          <w:sz w:val="24"/>
          <w:lang w:eastAsia="de-DE"/>
        </w:rPr>
      </w:pPr>
      <w:r w:rsidRPr="00EA201D">
        <w:rPr>
          <w:rFonts w:ascii="Times New Roman" w:hAnsi="Times New Roman"/>
          <w:b/>
          <w:sz w:val="24"/>
          <w:lang w:eastAsia="de-DE"/>
        </w:rPr>
        <w:t>RESULTS SUPERVISORY BENCHMARK PORTFOLIOS</w:t>
      </w:r>
    </w:p>
    <w:p w14:paraId="4863E7C3" w14:textId="77777777" w:rsidR="00BF7AB9" w:rsidRPr="00EA201D" w:rsidRDefault="00BF7AB9" w:rsidP="00C87CEE">
      <w:pPr>
        <w:jc w:val="center"/>
        <w:rPr>
          <w:rFonts w:ascii="Times New Roman" w:hAnsi="Times New Roman"/>
          <w:b/>
          <w:sz w:val="24"/>
          <w:lang w:eastAsia="de-DE"/>
        </w:rPr>
      </w:pPr>
    </w:p>
    <w:p w14:paraId="43085678" w14:textId="05A52762" w:rsidR="00E03A99" w:rsidRDefault="00745369">
      <w:pPr>
        <w:pStyle w:val="TOC2"/>
        <w:rPr>
          <w:rFonts w:asciiTheme="minorHAnsi" w:eastAsiaTheme="minorEastAsia" w:hAnsiTheme="minorHAnsi" w:cstheme="minorBidi"/>
          <w:b w:val="0"/>
          <w:smallCaps w:val="0"/>
          <w:sz w:val="22"/>
          <w:lang w:eastAsia="en-GB"/>
        </w:rPr>
      </w:pPr>
      <w:r w:rsidRPr="00EA201D">
        <w:rPr>
          <w:rFonts w:ascii="Times New Roman" w:hAnsi="Times New Roman"/>
          <w:noProof w:val="0"/>
        </w:rPr>
        <w:fldChar w:fldCharType="begin"/>
      </w:r>
      <w:r w:rsidR="002648B0" w:rsidRPr="00EA201D">
        <w:rPr>
          <w:rFonts w:ascii="Times New Roman" w:hAnsi="Times New Roman"/>
          <w:noProof w:val="0"/>
        </w:rPr>
        <w:instrText xml:space="preserve"> TOC \o "1-3" \h \z \u </w:instrText>
      </w:r>
      <w:r w:rsidRPr="00EA201D">
        <w:rPr>
          <w:rFonts w:ascii="Times New Roman" w:hAnsi="Times New Roman"/>
          <w:noProof w:val="0"/>
        </w:rPr>
        <w:fldChar w:fldCharType="separate"/>
      </w:r>
      <w:hyperlink w:anchor="_Toc5720716" w:history="1">
        <w:r w:rsidR="00E03A99" w:rsidRPr="00EE3F47">
          <w:rPr>
            <w:rStyle w:val="Hyperlink"/>
            <w:rFonts w:ascii="Times New Roman" w:hAnsi="Times New Roman"/>
          </w:rPr>
          <w:t>PART I: GENERAL INSTRUCTIONS</w:t>
        </w:r>
        <w:r w:rsidR="00E03A99">
          <w:rPr>
            <w:webHidden/>
          </w:rPr>
          <w:tab/>
        </w:r>
        <w:r w:rsidR="00E03A99">
          <w:rPr>
            <w:webHidden/>
          </w:rPr>
          <w:fldChar w:fldCharType="begin"/>
        </w:r>
        <w:r w:rsidR="00E03A99">
          <w:rPr>
            <w:webHidden/>
          </w:rPr>
          <w:instrText xml:space="preserve"> PAGEREF _Toc5720716 \h </w:instrText>
        </w:r>
        <w:r w:rsidR="00E03A99">
          <w:rPr>
            <w:webHidden/>
          </w:rPr>
        </w:r>
        <w:r w:rsidR="00E03A99">
          <w:rPr>
            <w:webHidden/>
          </w:rPr>
          <w:fldChar w:fldCharType="separate"/>
        </w:r>
        <w:r w:rsidR="00E03A99">
          <w:rPr>
            <w:webHidden/>
          </w:rPr>
          <w:t>2</w:t>
        </w:r>
        <w:r w:rsidR="00E03A99">
          <w:rPr>
            <w:webHidden/>
          </w:rPr>
          <w:fldChar w:fldCharType="end"/>
        </w:r>
      </w:hyperlink>
    </w:p>
    <w:p w14:paraId="31EA166E" w14:textId="02177A35" w:rsidR="00E03A99" w:rsidRDefault="008979F8">
      <w:pPr>
        <w:pStyle w:val="TOC2"/>
        <w:rPr>
          <w:rFonts w:asciiTheme="minorHAnsi" w:eastAsiaTheme="minorEastAsia" w:hAnsiTheme="minorHAnsi" w:cstheme="minorBidi"/>
          <w:b w:val="0"/>
          <w:smallCaps w:val="0"/>
          <w:sz w:val="22"/>
          <w:lang w:eastAsia="en-GB"/>
        </w:rPr>
      </w:pPr>
      <w:hyperlink w:anchor="_Toc5720717" w:history="1">
        <w:r w:rsidR="00E03A99" w:rsidRPr="00EE3F47">
          <w:rPr>
            <w:rStyle w:val="Hyperlink"/>
            <w:rFonts w:ascii="Times New Roman" w:hAnsi="Times New Roman"/>
          </w:rPr>
          <w:t>PART II: TEMPLATE RELATED INSTRUCTIONS</w:t>
        </w:r>
        <w:r w:rsidR="00E03A99">
          <w:rPr>
            <w:webHidden/>
          </w:rPr>
          <w:tab/>
        </w:r>
        <w:r w:rsidR="00E03A99">
          <w:rPr>
            <w:webHidden/>
          </w:rPr>
          <w:fldChar w:fldCharType="begin"/>
        </w:r>
        <w:r w:rsidR="00E03A99">
          <w:rPr>
            <w:webHidden/>
          </w:rPr>
          <w:instrText xml:space="preserve"> PAGEREF _Toc5720717 \h </w:instrText>
        </w:r>
        <w:r w:rsidR="00E03A99">
          <w:rPr>
            <w:webHidden/>
          </w:rPr>
        </w:r>
        <w:r w:rsidR="00E03A99">
          <w:rPr>
            <w:webHidden/>
          </w:rPr>
          <w:fldChar w:fldCharType="separate"/>
        </w:r>
        <w:r w:rsidR="00E03A99">
          <w:rPr>
            <w:webHidden/>
          </w:rPr>
          <w:t>3</w:t>
        </w:r>
        <w:r w:rsidR="00E03A99">
          <w:rPr>
            <w:webHidden/>
          </w:rPr>
          <w:fldChar w:fldCharType="end"/>
        </w:r>
      </w:hyperlink>
    </w:p>
    <w:p w14:paraId="7C6B55D2" w14:textId="05FE7AAD" w:rsidR="00E03A99" w:rsidRDefault="008979F8">
      <w:pPr>
        <w:pStyle w:val="TOC3"/>
        <w:rPr>
          <w:rFonts w:asciiTheme="minorHAnsi" w:eastAsiaTheme="minorEastAsia" w:hAnsiTheme="minorHAnsi" w:cstheme="minorBidi"/>
          <w:smallCaps w:val="0"/>
          <w:sz w:val="22"/>
          <w:szCs w:val="22"/>
          <w:lang w:eastAsia="en-GB"/>
        </w:rPr>
      </w:pPr>
      <w:hyperlink w:anchor="_Toc5720718" w:history="1">
        <w:r w:rsidR="00E03A99" w:rsidRPr="00EE3F47">
          <w:rPr>
            <w:rStyle w:val="Hyperlink"/>
          </w:rPr>
          <w:t>C 101 – Details on exposures in Low Default Portfolios by counterparty</w:t>
        </w:r>
        <w:r w:rsidR="00E03A99">
          <w:rPr>
            <w:webHidden/>
          </w:rPr>
          <w:tab/>
        </w:r>
        <w:r w:rsidR="00E03A99">
          <w:rPr>
            <w:webHidden/>
          </w:rPr>
          <w:fldChar w:fldCharType="begin"/>
        </w:r>
        <w:r w:rsidR="00E03A99">
          <w:rPr>
            <w:webHidden/>
          </w:rPr>
          <w:instrText xml:space="preserve"> PAGEREF _Toc5720718 \h </w:instrText>
        </w:r>
        <w:r w:rsidR="00E03A99">
          <w:rPr>
            <w:webHidden/>
          </w:rPr>
        </w:r>
        <w:r w:rsidR="00E03A99">
          <w:rPr>
            <w:webHidden/>
          </w:rPr>
          <w:fldChar w:fldCharType="separate"/>
        </w:r>
        <w:r w:rsidR="00E03A99">
          <w:rPr>
            <w:webHidden/>
          </w:rPr>
          <w:t>3</w:t>
        </w:r>
        <w:r w:rsidR="00E03A99">
          <w:rPr>
            <w:webHidden/>
          </w:rPr>
          <w:fldChar w:fldCharType="end"/>
        </w:r>
      </w:hyperlink>
    </w:p>
    <w:p w14:paraId="3CC84DA7" w14:textId="312CCA07" w:rsidR="00E03A99" w:rsidRDefault="008979F8">
      <w:pPr>
        <w:pStyle w:val="TOC3"/>
        <w:rPr>
          <w:rFonts w:asciiTheme="minorHAnsi" w:eastAsiaTheme="minorEastAsia" w:hAnsiTheme="minorHAnsi" w:cstheme="minorBidi"/>
          <w:smallCaps w:val="0"/>
          <w:sz w:val="22"/>
          <w:szCs w:val="22"/>
          <w:lang w:eastAsia="en-GB"/>
        </w:rPr>
      </w:pPr>
      <w:hyperlink w:anchor="_Toc5720719" w:history="1">
        <w:r w:rsidR="00E03A99" w:rsidRPr="00EE3F47">
          <w:rPr>
            <w:rStyle w:val="Hyperlink"/>
          </w:rPr>
          <w:t>C 102 – Details on exposures in Low Default Portfolios</w:t>
        </w:r>
        <w:r w:rsidR="00E03A99">
          <w:rPr>
            <w:webHidden/>
          </w:rPr>
          <w:tab/>
        </w:r>
        <w:r w:rsidR="00E03A99">
          <w:rPr>
            <w:webHidden/>
          </w:rPr>
          <w:fldChar w:fldCharType="begin"/>
        </w:r>
        <w:r w:rsidR="00E03A99">
          <w:rPr>
            <w:webHidden/>
          </w:rPr>
          <w:instrText xml:space="preserve"> PAGEREF _Toc5720719 \h </w:instrText>
        </w:r>
        <w:r w:rsidR="00E03A99">
          <w:rPr>
            <w:webHidden/>
          </w:rPr>
        </w:r>
        <w:r w:rsidR="00E03A99">
          <w:rPr>
            <w:webHidden/>
          </w:rPr>
          <w:fldChar w:fldCharType="separate"/>
        </w:r>
        <w:r w:rsidR="00E03A99">
          <w:rPr>
            <w:webHidden/>
          </w:rPr>
          <w:t>7</w:t>
        </w:r>
        <w:r w:rsidR="00E03A99">
          <w:rPr>
            <w:webHidden/>
          </w:rPr>
          <w:fldChar w:fldCharType="end"/>
        </w:r>
      </w:hyperlink>
    </w:p>
    <w:p w14:paraId="6B57DCF4" w14:textId="536E1488" w:rsidR="00E03A99" w:rsidRDefault="008979F8">
      <w:pPr>
        <w:pStyle w:val="TOC3"/>
        <w:rPr>
          <w:rFonts w:asciiTheme="minorHAnsi" w:eastAsiaTheme="minorEastAsia" w:hAnsiTheme="minorHAnsi" w:cstheme="minorBidi"/>
          <w:smallCaps w:val="0"/>
          <w:sz w:val="22"/>
          <w:szCs w:val="22"/>
          <w:lang w:eastAsia="en-GB"/>
        </w:rPr>
      </w:pPr>
      <w:hyperlink w:anchor="_Toc5720720" w:history="1">
        <w:r w:rsidR="00E03A99" w:rsidRPr="00EE3F47">
          <w:rPr>
            <w:rStyle w:val="Hyperlink"/>
          </w:rPr>
          <w:t>C 103 – Details on exposures in High Default Portfolio</w:t>
        </w:r>
        <w:r w:rsidR="00E03A99">
          <w:rPr>
            <w:webHidden/>
          </w:rPr>
          <w:tab/>
        </w:r>
        <w:r w:rsidR="00E03A99">
          <w:rPr>
            <w:webHidden/>
          </w:rPr>
          <w:fldChar w:fldCharType="begin"/>
        </w:r>
        <w:r w:rsidR="00E03A99">
          <w:rPr>
            <w:webHidden/>
          </w:rPr>
          <w:instrText xml:space="preserve"> PAGEREF _Toc5720720 \h </w:instrText>
        </w:r>
        <w:r w:rsidR="00E03A99">
          <w:rPr>
            <w:webHidden/>
          </w:rPr>
        </w:r>
        <w:r w:rsidR="00E03A99">
          <w:rPr>
            <w:webHidden/>
          </w:rPr>
          <w:fldChar w:fldCharType="separate"/>
        </w:r>
        <w:r w:rsidR="00E03A99">
          <w:rPr>
            <w:webHidden/>
          </w:rPr>
          <w:t>10</w:t>
        </w:r>
        <w:r w:rsidR="00E03A99">
          <w:rPr>
            <w:webHidden/>
          </w:rPr>
          <w:fldChar w:fldCharType="end"/>
        </w:r>
      </w:hyperlink>
    </w:p>
    <w:p w14:paraId="24C45BF4" w14:textId="30820C01" w:rsidR="00E03A99" w:rsidRDefault="008979F8">
      <w:pPr>
        <w:pStyle w:val="TOC3"/>
        <w:rPr>
          <w:rFonts w:asciiTheme="minorHAnsi" w:eastAsiaTheme="minorEastAsia" w:hAnsiTheme="minorHAnsi" w:cstheme="minorBidi"/>
          <w:smallCaps w:val="0"/>
          <w:sz w:val="22"/>
          <w:szCs w:val="22"/>
          <w:lang w:eastAsia="en-GB"/>
        </w:rPr>
      </w:pPr>
      <w:hyperlink w:anchor="_Toc5720721" w:history="1">
        <w:r w:rsidR="00E03A99" w:rsidRPr="00EE3F47">
          <w:rPr>
            <w:rStyle w:val="Hyperlink"/>
          </w:rPr>
          <w:t>C 105.01 – Definition of internal models</w:t>
        </w:r>
        <w:r w:rsidR="00E03A99">
          <w:rPr>
            <w:webHidden/>
          </w:rPr>
          <w:tab/>
        </w:r>
        <w:r w:rsidR="00E03A99">
          <w:rPr>
            <w:webHidden/>
          </w:rPr>
          <w:fldChar w:fldCharType="begin"/>
        </w:r>
        <w:r w:rsidR="00E03A99">
          <w:rPr>
            <w:webHidden/>
          </w:rPr>
          <w:instrText xml:space="preserve"> PAGEREF _Toc5720721 \h </w:instrText>
        </w:r>
        <w:r w:rsidR="00E03A99">
          <w:rPr>
            <w:webHidden/>
          </w:rPr>
        </w:r>
        <w:r w:rsidR="00E03A99">
          <w:rPr>
            <w:webHidden/>
          </w:rPr>
          <w:fldChar w:fldCharType="separate"/>
        </w:r>
        <w:r w:rsidR="00E03A99">
          <w:rPr>
            <w:webHidden/>
          </w:rPr>
          <w:t>17</w:t>
        </w:r>
        <w:r w:rsidR="00E03A99">
          <w:rPr>
            <w:webHidden/>
          </w:rPr>
          <w:fldChar w:fldCharType="end"/>
        </w:r>
      </w:hyperlink>
    </w:p>
    <w:p w14:paraId="1C0854EB" w14:textId="0EAACDB0" w:rsidR="00E03A99" w:rsidRDefault="008979F8">
      <w:pPr>
        <w:pStyle w:val="TOC3"/>
        <w:rPr>
          <w:rFonts w:asciiTheme="minorHAnsi" w:eastAsiaTheme="minorEastAsia" w:hAnsiTheme="minorHAnsi" w:cstheme="minorBidi"/>
          <w:smallCaps w:val="0"/>
          <w:sz w:val="22"/>
          <w:szCs w:val="22"/>
          <w:lang w:eastAsia="en-GB"/>
        </w:rPr>
      </w:pPr>
      <w:hyperlink w:anchor="_Toc5720722" w:history="1">
        <w:r w:rsidR="00E03A99" w:rsidRPr="00EE3F47">
          <w:rPr>
            <w:rStyle w:val="Hyperlink"/>
          </w:rPr>
          <w:t>C 105.02 – Mapping of internal models to portfolios</w:t>
        </w:r>
        <w:r w:rsidR="00E03A99">
          <w:rPr>
            <w:webHidden/>
          </w:rPr>
          <w:tab/>
        </w:r>
        <w:r w:rsidR="00E03A99">
          <w:rPr>
            <w:webHidden/>
          </w:rPr>
          <w:fldChar w:fldCharType="begin"/>
        </w:r>
        <w:r w:rsidR="00E03A99">
          <w:rPr>
            <w:webHidden/>
          </w:rPr>
          <w:instrText xml:space="preserve"> PAGEREF _Toc5720722 \h </w:instrText>
        </w:r>
        <w:r w:rsidR="00E03A99">
          <w:rPr>
            <w:webHidden/>
          </w:rPr>
        </w:r>
        <w:r w:rsidR="00E03A99">
          <w:rPr>
            <w:webHidden/>
          </w:rPr>
          <w:fldChar w:fldCharType="separate"/>
        </w:r>
        <w:r w:rsidR="00E03A99">
          <w:rPr>
            <w:webHidden/>
          </w:rPr>
          <w:t>19</w:t>
        </w:r>
        <w:r w:rsidR="00E03A99">
          <w:rPr>
            <w:webHidden/>
          </w:rPr>
          <w:fldChar w:fldCharType="end"/>
        </w:r>
      </w:hyperlink>
    </w:p>
    <w:p w14:paraId="06AE7478" w14:textId="37DFD85F" w:rsidR="00E03A99" w:rsidRDefault="008979F8">
      <w:pPr>
        <w:pStyle w:val="TOC3"/>
        <w:rPr>
          <w:rFonts w:asciiTheme="minorHAnsi" w:eastAsiaTheme="minorEastAsia" w:hAnsiTheme="minorHAnsi" w:cstheme="minorBidi"/>
          <w:smallCaps w:val="0"/>
          <w:sz w:val="22"/>
          <w:szCs w:val="22"/>
          <w:lang w:eastAsia="en-GB"/>
        </w:rPr>
      </w:pPr>
      <w:hyperlink w:anchor="_Toc5720723" w:history="1">
        <w:r w:rsidR="00E03A99" w:rsidRPr="00EE3F47">
          <w:rPr>
            <w:rStyle w:val="Hyperlink"/>
          </w:rPr>
          <w:t>C 105.03 – Mapping of internal models to countries</w:t>
        </w:r>
        <w:r w:rsidR="00E03A99">
          <w:rPr>
            <w:webHidden/>
          </w:rPr>
          <w:tab/>
        </w:r>
        <w:r w:rsidR="00E03A99">
          <w:rPr>
            <w:webHidden/>
          </w:rPr>
          <w:fldChar w:fldCharType="begin"/>
        </w:r>
        <w:r w:rsidR="00E03A99">
          <w:rPr>
            <w:webHidden/>
          </w:rPr>
          <w:instrText xml:space="preserve"> PAGEREF _Toc5720723 \h </w:instrText>
        </w:r>
        <w:r w:rsidR="00E03A99">
          <w:rPr>
            <w:webHidden/>
          </w:rPr>
        </w:r>
        <w:r w:rsidR="00E03A99">
          <w:rPr>
            <w:webHidden/>
          </w:rPr>
          <w:fldChar w:fldCharType="separate"/>
        </w:r>
        <w:r w:rsidR="00E03A99">
          <w:rPr>
            <w:webHidden/>
          </w:rPr>
          <w:t>19</w:t>
        </w:r>
        <w:r w:rsidR="00E03A99">
          <w:rPr>
            <w:webHidden/>
          </w:rPr>
          <w:fldChar w:fldCharType="end"/>
        </w:r>
      </w:hyperlink>
    </w:p>
    <w:p w14:paraId="634A4009" w14:textId="122F7E2E" w:rsidR="002648B0" w:rsidRPr="00EA201D" w:rsidRDefault="00745369" w:rsidP="00005FFC">
      <w:pPr>
        <w:rPr>
          <w:rFonts w:ascii="Times New Roman" w:hAnsi="Times New Roman"/>
        </w:rPr>
        <w:sectPr w:rsidR="002648B0" w:rsidRPr="00EA201D" w:rsidSect="004D441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7" w:right="1417" w:bottom="1134" w:left="1417" w:header="708" w:footer="708" w:gutter="0"/>
          <w:cols w:space="708"/>
          <w:titlePg/>
          <w:docGrid w:linePitch="360"/>
        </w:sectPr>
      </w:pPr>
      <w:r w:rsidRPr="00EA201D">
        <w:rPr>
          <w:rFonts w:ascii="Times New Roman" w:hAnsi="Times New Roman"/>
        </w:rPr>
        <w:fldChar w:fldCharType="end"/>
      </w:r>
    </w:p>
    <w:p w14:paraId="3287949A" w14:textId="77777777" w:rsidR="002648B0" w:rsidRPr="00EA201D" w:rsidRDefault="002648B0" w:rsidP="00EC5046">
      <w:pPr>
        <w:rPr>
          <w:rFonts w:ascii="Times New Roman" w:hAnsi="Times New Roman"/>
        </w:rPr>
      </w:pPr>
    </w:p>
    <w:p w14:paraId="165CB10A" w14:textId="77777777" w:rsidR="002648B0" w:rsidRPr="00EA201D" w:rsidRDefault="002648B0" w:rsidP="00D64B66">
      <w:pPr>
        <w:pStyle w:val="Heading2"/>
        <w:rPr>
          <w:rFonts w:ascii="Times New Roman" w:hAnsi="Times New Roman"/>
          <w:lang w:val="en-GB"/>
        </w:rPr>
      </w:pPr>
      <w:bookmarkStart w:id="2" w:name="_Toc264038394"/>
      <w:bookmarkStart w:id="3" w:name="_Toc360188317"/>
      <w:bookmarkStart w:id="4" w:name="_Toc5720716"/>
      <w:r w:rsidRPr="00EA201D">
        <w:rPr>
          <w:rFonts w:ascii="Times New Roman" w:hAnsi="Times New Roman"/>
          <w:lang w:val="en-GB"/>
        </w:rPr>
        <w:t>PART I:</w:t>
      </w:r>
      <w:bookmarkEnd w:id="2"/>
      <w:r w:rsidRPr="00EA201D">
        <w:rPr>
          <w:rFonts w:ascii="Times New Roman" w:hAnsi="Times New Roman"/>
          <w:lang w:val="en-GB"/>
        </w:rPr>
        <w:t xml:space="preserve"> GENERAL INSTRUCTIONS</w:t>
      </w:r>
      <w:bookmarkEnd w:id="3"/>
      <w:bookmarkEnd w:id="4"/>
    </w:p>
    <w:p w14:paraId="7D007EFB" w14:textId="77777777" w:rsidR="002648B0" w:rsidRPr="00EA201D" w:rsidRDefault="002648B0" w:rsidP="00EC5046">
      <w:pPr>
        <w:rPr>
          <w:rFonts w:ascii="Times New Roman" w:hAnsi="Times New Roman"/>
        </w:rPr>
      </w:pPr>
    </w:p>
    <w:p w14:paraId="171465C9" w14:textId="12C0BDCD" w:rsidR="006E1897" w:rsidRPr="00EA201D" w:rsidRDefault="00FE14E7" w:rsidP="00E847ED">
      <w:pPr>
        <w:pStyle w:val="InstructionsText2"/>
        <w:numPr>
          <w:ilvl w:val="0"/>
          <w:numId w:val="21"/>
        </w:numPr>
      </w:pPr>
      <w:bookmarkStart w:id="5" w:name="_Toc264038399"/>
      <w:bookmarkStart w:id="6" w:name="_Toc294018834"/>
      <w:bookmarkStart w:id="7" w:name="_Toc360188321"/>
      <w:r>
        <w:t>Information</w:t>
      </w:r>
      <w:r w:rsidRPr="00EA201D">
        <w:t xml:space="preserve"> </w:t>
      </w:r>
      <w:r w:rsidR="00BA4656" w:rsidRPr="00EA201D">
        <w:t xml:space="preserve">shall </w:t>
      </w:r>
      <w:r w:rsidR="009420AD">
        <w:t xml:space="preserve">be </w:t>
      </w:r>
      <w:r w:rsidR="00BA4656" w:rsidRPr="00EA201D">
        <w:t>submit</w:t>
      </w:r>
      <w:r w:rsidR="009420AD">
        <w:t>ted</w:t>
      </w:r>
      <w:r w:rsidR="006E1897" w:rsidRPr="00EA201D">
        <w:t xml:space="preserve"> </w:t>
      </w:r>
      <w:r w:rsidR="00BA4656" w:rsidRPr="00EA201D">
        <w:t xml:space="preserve">only for those counterparties </w:t>
      </w:r>
      <w:r w:rsidR="001E428D">
        <w:t xml:space="preserve">and portfolios </w:t>
      </w:r>
      <w:r w:rsidR="00BA4656" w:rsidRPr="00EA201D">
        <w:t>where an actual exposure</w:t>
      </w:r>
      <w:r w:rsidR="008A03C8">
        <w:t xml:space="preserve"> </w:t>
      </w:r>
      <w:r w:rsidR="00C247CD">
        <w:t>exists</w:t>
      </w:r>
      <w:r w:rsidR="001435CD">
        <w:t xml:space="preserve"> at the reference date</w:t>
      </w:r>
      <w:r w:rsidR="00E270E5">
        <w:t xml:space="preserve"> in the form of either an Original Exposure or an Exposure after CRM</w:t>
      </w:r>
      <w:r w:rsidR="001E428D">
        <w:t>.</w:t>
      </w:r>
      <w:r w:rsidR="001435CD">
        <w:t xml:space="preserve"> Counterparties and portfolios for which no exposure exists at the reference date shall not be submitted.</w:t>
      </w:r>
    </w:p>
    <w:p w14:paraId="04919A94" w14:textId="5BAF2599" w:rsidR="008A03C8" w:rsidRDefault="00FE14E7" w:rsidP="00E847ED">
      <w:pPr>
        <w:pStyle w:val="InstructionsText2"/>
        <w:numPr>
          <w:ilvl w:val="0"/>
          <w:numId w:val="21"/>
        </w:numPr>
      </w:pPr>
      <w:r>
        <w:t>Information</w:t>
      </w:r>
      <w:r w:rsidRPr="00EA201D">
        <w:t xml:space="preserve"> </w:t>
      </w:r>
      <w:r w:rsidR="00BA4656" w:rsidRPr="00EA201D">
        <w:t xml:space="preserve">shall </w:t>
      </w:r>
      <w:r w:rsidR="009420AD">
        <w:t xml:space="preserve">be </w:t>
      </w:r>
      <w:r w:rsidR="00BA4656" w:rsidRPr="00EA201D">
        <w:t>submit</w:t>
      </w:r>
      <w:r w:rsidR="009420AD">
        <w:t>ted</w:t>
      </w:r>
      <w:r w:rsidR="00BA4656" w:rsidRPr="00EA201D">
        <w:t xml:space="preserve"> only for those </w:t>
      </w:r>
      <w:r w:rsidR="00E15866" w:rsidRPr="00EA201D">
        <w:t xml:space="preserve">exposures </w:t>
      </w:r>
      <w:r w:rsidR="001D03C3">
        <w:t>for which</w:t>
      </w:r>
      <w:r w:rsidR="001D03C3" w:rsidRPr="00EA201D">
        <w:t xml:space="preserve"> </w:t>
      </w:r>
      <w:r w:rsidR="00BA4656" w:rsidRPr="00EA201D">
        <w:t>an internal model has been approved</w:t>
      </w:r>
      <w:r w:rsidR="00464170">
        <w:t xml:space="preserve"> </w:t>
      </w:r>
      <w:r w:rsidR="00111A56">
        <w:t xml:space="preserve">by </w:t>
      </w:r>
      <w:r w:rsidR="008C28EF">
        <w:t xml:space="preserve">the competent authority for </w:t>
      </w:r>
      <w:r w:rsidR="00464170" w:rsidRPr="00464170">
        <w:t>the calculation of</w:t>
      </w:r>
      <w:r w:rsidR="001E428D">
        <w:t xml:space="preserve"> risk weighted exposure amounts (RWA)</w:t>
      </w:r>
      <w:r w:rsidR="00BA4656" w:rsidRPr="00EA201D">
        <w:t>.</w:t>
      </w:r>
      <w:r w:rsidR="001D03C3" w:rsidRPr="001D03C3">
        <w:t xml:space="preserve"> </w:t>
      </w:r>
      <w:r w:rsidR="00B1419E">
        <w:t>E</w:t>
      </w:r>
      <w:r w:rsidR="001D03C3" w:rsidRPr="001D03C3">
        <w:t xml:space="preserve">xposures </w:t>
      </w:r>
      <w:r w:rsidR="005C19D1">
        <w:t xml:space="preserve">under the Standardised Approach and exposures </w:t>
      </w:r>
      <w:r w:rsidR="00B1419E">
        <w:t xml:space="preserve">for which the </w:t>
      </w:r>
      <w:r w:rsidR="001E428D">
        <w:t xml:space="preserve">temporary or </w:t>
      </w:r>
      <w:r w:rsidR="00B1419E">
        <w:t>permanent partial use of the Standardised Approach has been permitted by the respective competent authority, shall be excluded.</w:t>
      </w:r>
    </w:p>
    <w:p w14:paraId="4D96E864" w14:textId="15EFF8CE" w:rsidR="00421EAC" w:rsidRDefault="009A1A73">
      <w:pPr>
        <w:pStyle w:val="InstructionsText2"/>
        <w:numPr>
          <w:ilvl w:val="0"/>
          <w:numId w:val="21"/>
        </w:numPr>
      </w:pPr>
      <w:r>
        <w:t xml:space="preserve">Information not required or not applicable shall </w:t>
      </w:r>
      <w:r w:rsidR="00303816">
        <w:t>not be submitted</w:t>
      </w:r>
      <w:r w:rsidR="00E270E5">
        <w:t xml:space="preserve">; those shall either be </w:t>
      </w:r>
      <w:r w:rsidR="00BB0653">
        <w:t>left</w:t>
      </w:r>
      <w:r w:rsidR="00E270E5">
        <w:t xml:space="preserve"> </w:t>
      </w:r>
      <w:r w:rsidR="00BB0653">
        <w:t>blank</w:t>
      </w:r>
      <w:r w:rsidR="00E270E5">
        <w:t xml:space="preserve"> or the indication ‘</w:t>
      </w:r>
      <w:r w:rsidR="00BB0653">
        <w:t>NULL</w:t>
      </w:r>
      <w:r w:rsidR="00E270E5">
        <w:t>’ shall be inserted</w:t>
      </w:r>
      <w:r>
        <w:t xml:space="preserve">. </w:t>
      </w:r>
      <w:r w:rsidR="00CB7340">
        <w:t xml:space="preserve">This also applies to </w:t>
      </w:r>
      <w:r w:rsidR="00CB7340" w:rsidRPr="00C83000">
        <w:t>EAD-weighted quantities</w:t>
      </w:r>
      <w:r w:rsidR="00CB7340">
        <w:t xml:space="preserve"> that</w:t>
      </w:r>
      <w:r w:rsidR="00CB7340" w:rsidRPr="00C83000">
        <w:t xml:space="preserve"> cannot be calculated</w:t>
      </w:r>
      <w:r w:rsidR="00CB7340">
        <w:t xml:space="preserve">. </w:t>
      </w:r>
      <w:r>
        <w:t xml:space="preserve">Zero values shall be reported </w:t>
      </w:r>
      <w:r w:rsidR="00E270E5">
        <w:t xml:space="preserve">only </w:t>
      </w:r>
      <w:r>
        <w:t xml:space="preserve">where the </w:t>
      </w:r>
      <w:r w:rsidR="00E270E5">
        <w:t xml:space="preserve">intention is to report a </w:t>
      </w:r>
      <w:r>
        <w:t xml:space="preserve">quantity </w:t>
      </w:r>
      <w:r w:rsidR="00E270E5">
        <w:t xml:space="preserve">of </w:t>
      </w:r>
      <w:r>
        <w:t>zero.</w:t>
      </w:r>
      <w:r w:rsidR="00BB0653">
        <w:t xml:space="preserve"> </w:t>
      </w:r>
      <w:r w:rsidR="00E270E5">
        <w:t xml:space="preserve">Neither of the indications </w:t>
      </w:r>
      <w:r w:rsidR="00BB0653">
        <w:t>“</w:t>
      </w:r>
      <w:r w:rsidR="00E270E5">
        <w:t>b</w:t>
      </w:r>
      <w:r w:rsidR="00BB0653">
        <w:t>lank”</w:t>
      </w:r>
      <w:r w:rsidR="00E270E5">
        <w:t xml:space="preserve"> or ‘</w:t>
      </w:r>
      <w:r w:rsidR="00BB0653">
        <w:t>NULL</w:t>
      </w:r>
      <w:r w:rsidR="00E270E5">
        <w:t>’</w:t>
      </w:r>
      <w:r w:rsidR="00BB0653">
        <w:t xml:space="preserve"> </w:t>
      </w:r>
      <w:r w:rsidR="00E270E5">
        <w:t xml:space="preserve">shall </w:t>
      </w:r>
      <w:r w:rsidR="00BB0653">
        <w:t xml:space="preserve">be used </w:t>
      </w:r>
      <w:r w:rsidR="00E270E5">
        <w:t xml:space="preserve">to report </w:t>
      </w:r>
      <w:r w:rsidR="00855207">
        <w:t xml:space="preserve">quantities that are </w:t>
      </w:r>
      <w:r w:rsidR="00BB0653">
        <w:t>zero.</w:t>
      </w:r>
    </w:p>
    <w:p w14:paraId="77EBE007" w14:textId="2AB6AA1D" w:rsidR="00DC7453" w:rsidRDefault="00303816">
      <w:pPr>
        <w:pStyle w:val="InstructionsText2"/>
        <w:numPr>
          <w:ilvl w:val="0"/>
          <w:numId w:val="21"/>
        </w:numPr>
      </w:pPr>
      <w:r>
        <w:t>M</w:t>
      </w:r>
      <w:r w:rsidR="008714E3">
        <w:t>onetary amounts</w:t>
      </w:r>
      <w:r w:rsidR="00BD0482">
        <w:t xml:space="preserve"> shall be reported </w:t>
      </w:r>
      <w:r w:rsidR="00855207">
        <w:t xml:space="preserve">in the same way </w:t>
      </w:r>
      <w:r w:rsidR="00BD0482">
        <w:t xml:space="preserve">as </w:t>
      </w:r>
      <w:r w:rsidR="00855207">
        <w:t xml:space="preserve">they are reported </w:t>
      </w:r>
      <w:r w:rsidR="00BD0482">
        <w:t xml:space="preserve">for </w:t>
      </w:r>
      <w:r w:rsidR="00BD0482" w:rsidRPr="00E270E5">
        <w:rPr>
          <w:lang w:val="en-US"/>
        </w:rPr>
        <w:t>calculating own funds requirements a</w:t>
      </w:r>
      <w:r w:rsidR="00855207">
        <w:rPr>
          <w:lang w:val="en-US"/>
        </w:rPr>
        <w:t>t</w:t>
      </w:r>
      <w:r w:rsidR="00BD0482" w:rsidRPr="00E270E5">
        <w:rPr>
          <w:lang w:val="en-US"/>
        </w:rPr>
        <w:t xml:space="preserve"> a specific reference date</w:t>
      </w:r>
      <w:r w:rsidR="008714E3" w:rsidRPr="00855207">
        <w:rPr>
          <w:lang w:val="en-US"/>
        </w:rPr>
        <w:t xml:space="preserve"> </w:t>
      </w:r>
      <w:r w:rsidR="00001EA2" w:rsidRPr="00855207">
        <w:rPr>
          <w:lang w:val="en-US"/>
        </w:rPr>
        <w:t xml:space="preserve">in accordance with Implementing </w:t>
      </w:r>
      <w:r w:rsidR="008714E3" w:rsidRPr="00855207">
        <w:rPr>
          <w:lang w:val="en-US"/>
        </w:rPr>
        <w:t xml:space="preserve">Regulation </w:t>
      </w:r>
      <w:r w:rsidR="00001EA2" w:rsidRPr="00855207">
        <w:rPr>
          <w:lang w:val="en-US"/>
        </w:rPr>
        <w:t xml:space="preserve">(EU) No </w:t>
      </w:r>
      <w:r w:rsidR="008714E3" w:rsidRPr="00855207">
        <w:rPr>
          <w:lang w:val="en-US"/>
        </w:rPr>
        <w:t>680/2014</w:t>
      </w:r>
      <w:r w:rsidR="00BD0482" w:rsidRPr="00855207">
        <w:rPr>
          <w:lang w:val="en-US"/>
        </w:rPr>
        <w:t>.</w:t>
      </w:r>
    </w:p>
    <w:p w14:paraId="2EFE74C4" w14:textId="77777777" w:rsidR="00CD1DF3" w:rsidRPr="00EA201D" w:rsidRDefault="00CD1DF3">
      <w:pPr>
        <w:pStyle w:val="InstructionsText2"/>
        <w:sectPr w:rsidR="00CD1DF3" w:rsidRPr="00EA201D" w:rsidSect="00A801A9">
          <w:endnotePr>
            <w:numFmt w:val="decimal"/>
          </w:endnotePr>
          <w:pgSz w:w="11906" w:h="16838"/>
          <w:pgMar w:top="1417" w:right="1417" w:bottom="1134" w:left="1417" w:header="708" w:footer="708" w:gutter="0"/>
          <w:cols w:space="708"/>
          <w:rtlGutter/>
          <w:docGrid w:linePitch="360"/>
        </w:sectPr>
      </w:pPr>
      <w:bookmarkStart w:id="8" w:name="_Toc264033192"/>
      <w:bookmarkEnd w:id="5"/>
      <w:bookmarkEnd w:id="6"/>
      <w:bookmarkEnd w:id="7"/>
      <w:bookmarkEnd w:id="8"/>
    </w:p>
    <w:p w14:paraId="72D23F5E" w14:textId="77777777" w:rsidR="002648B0" w:rsidRPr="00EA201D" w:rsidRDefault="002648B0" w:rsidP="00005FFC">
      <w:pPr>
        <w:rPr>
          <w:rFonts w:ascii="Times New Roman" w:hAnsi="Times New Roman"/>
        </w:rPr>
      </w:pPr>
    </w:p>
    <w:p w14:paraId="06D5F3E3" w14:textId="77777777" w:rsidR="002648B0" w:rsidRPr="00EA201D" w:rsidRDefault="002648B0" w:rsidP="00D64B66">
      <w:pPr>
        <w:pStyle w:val="Heading2"/>
        <w:rPr>
          <w:rFonts w:ascii="Times New Roman" w:hAnsi="Times New Roman"/>
          <w:lang w:val="en-GB"/>
        </w:rPr>
      </w:pPr>
      <w:bookmarkStart w:id="9" w:name="_Toc360188322"/>
      <w:bookmarkStart w:id="10" w:name="_Toc5720717"/>
      <w:r w:rsidRPr="00EA201D">
        <w:rPr>
          <w:rFonts w:ascii="Times New Roman" w:hAnsi="Times New Roman"/>
          <w:lang w:val="en-GB"/>
        </w:rPr>
        <w:t>PART II: TEMPLATE RELATED INSTRUCTIONS</w:t>
      </w:r>
      <w:bookmarkEnd w:id="9"/>
      <w:bookmarkEnd w:id="10"/>
    </w:p>
    <w:p w14:paraId="58F9ECF5" w14:textId="77777777" w:rsidR="009B7565" w:rsidRPr="00EA201D" w:rsidRDefault="009B7565" w:rsidP="00EA201D">
      <w:pPr>
        <w:rPr>
          <w:i/>
        </w:rPr>
      </w:pPr>
    </w:p>
    <w:p w14:paraId="07045444" w14:textId="7AEC991C" w:rsidR="00084D20" w:rsidRDefault="00327E44" w:rsidP="005464C0">
      <w:pPr>
        <w:pStyle w:val="Heading3"/>
        <w:rPr>
          <w:lang w:val="en-GB"/>
        </w:rPr>
      </w:pPr>
      <w:bookmarkStart w:id="11" w:name="_Toc5720718"/>
      <w:r w:rsidRPr="00EA201D">
        <w:rPr>
          <w:lang w:val="en-GB"/>
        </w:rPr>
        <w:t xml:space="preserve">C 101 </w:t>
      </w:r>
      <w:r w:rsidR="00242338" w:rsidRPr="00EA201D">
        <w:rPr>
          <w:lang w:val="en-GB"/>
        </w:rPr>
        <w:t>–</w:t>
      </w:r>
      <w:r w:rsidRPr="00EA201D">
        <w:rPr>
          <w:lang w:val="en-GB"/>
        </w:rPr>
        <w:t xml:space="preserve"> </w:t>
      </w:r>
      <w:r w:rsidR="00503751" w:rsidRPr="00EA201D">
        <w:rPr>
          <w:lang w:val="en-GB"/>
        </w:rPr>
        <w:t>Details on exposures in Low Default Portfolios by counterparty</w:t>
      </w:r>
      <w:bookmarkEnd w:id="11"/>
    </w:p>
    <w:p w14:paraId="226999BD" w14:textId="593AF975" w:rsidR="00AD074F" w:rsidRDefault="00AD074F" w:rsidP="00AD074F">
      <w:pPr>
        <w:rPr>
          <w:rFonts w:ascii="Times New Roman" w:hAnsi="Times New Roman"/>
          <w:szCs w:val="20"/>
          <w:lang w:eastAsia="de-DE"/>
        </w:rPr>
      </w:pPr>
      <w:r>
        <w:rPr>
          <w:rFonts w:ascii="Times New Roman" w:hAnsi="Times New Roman"/>
          <w:szCs w:val="20"/>
          <w:lang w:eastAsia="de-DE"/>
        </w:rPr>
        <w:t>Specialised lending exposures shall be excluded.</w:t>
      </w:r>
    </w:p>
    <w:p w14:paraId="06A92EEF" w14:textId="77777777" w:rsidR="00AD074F" w:rsidRPr="00FF5CCA" w:rsidRDefault="00AD074F" w:rsidP="00FF5CCA"/>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842"/>
        <w:gridCol w:w="9781"/>
      </w:tblGrid>
      <w:tr w:rsidR="00A31834" w:rsidRPr="00EA201D" w14:paraId="172198B7" w14:textId="77777777" w:rsidTr="00EA201D">
        <w:tc>
          <w:tcPr>
            <w:tcW w:w="993" w:type="dxa"/>
            <w:shd w:val="clear" w:color="auto" w:fill="D9D9D9"/>
          </w:tcPr>
          <w:p w14:paraId="4C215F56" w14:textId="77777777" w:rsidR="00A31834" w:rsidRPr="00EA201D" w:rsidRDefault="00A31834" w:rsidP="00E847ED">
            <w:pPr>
              <w:pStyle w:val="InstructionsText"/>
              <w:rPr>
                <w:rStyle w:val="InstructionsTabelleText"/>
                <w:rFonts w:ascii="Times New Roman" w:hAnsi="Times New Roman"/>
                <w:bCs w:val="0"/>
                <w:szCs w:val="24"/>
                <w:lang w:eastAsia="en-US"/>
              </w:rPr>
            </w:pPr>
            <w:r w:rsidRPr="00EA201D">
              <w:rPr>
                <w:rStyle w:val="InstructionsTabelleText"/>
                <w:rFonts w:ascii="Times New Roman" w:hAnsi="Times New Roman"/>
              </w:rPr>
              <w:t>Column</w:t>
            </w:r>
          </w:p>
        </w:tc>
        <w:tc>
          <w:tcPr>
            <w:tcW w:w="1701" w:type="dxa"/>
            <w:shd w:val="clear" w:color="auto" w:fill="D9D9D9"/>
          </w:tcPr>
          <w:p w14:paraId="37534DA5"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Label</w:t>
            </w:r>
          </w:p>
        </w:tc>
        <w:tc>
          <w:tcPr>
            <w:tcW w:w="1842" w:type="dxa"/>
            <w:shd w:val="clear" w:color="auto" w:fill="D9D9D9"/>
          </w:tcPr>
          <w:p w14:paraId="11D67FE5" w14:textId="77777777" w:rsidR="00A31834" w:rsidRPr="00EA201D" w:rsidRDefault="00A31834">
            <w:pPr>
              <w:pStyle w:val="InstructionsText"/>
              <w:rPr>
                <w:rStyle w:val="InstructionsTabelleText"/>
                <w:rFonts w:ascii="Times New Roman" w:hAnsi="Times New Roman"/>
              </w:rPr>
            </w:pPr>
            <w:r w:rsidRPr="00EA201D">
              <w:rPr>
                <w:rStyle w:val="InstructionsTabelleText"/>
                <w:rFonts w:ascii="Times New Roman" w:hAnsi="Times New Roman"/>
              </w:rPr>
              <w:t>Legal reference</w:t>
            </w:r>
          </w:p>
        </w:tc>
        <w:tc>
          <w:tcPr>
            <w:tcW w:w="9781" w:type="dxa"/>
            <w:shd w:val="clear" w:color="auto" w:fill="D9D9D9"/>
          </w:tcPr>
          <w:p w14:paraId="6CF53C92" w14:textId="77777777" w:rsidR="00A31834" w:rsidRPr="00EA201D" w:rsidRDefault="00A31834">
            <w:pPr>
              <w:pStyle w:val="InstructionsText"/>
              <w:rPr>
                <w:rStyle w:val="InstructionsTabelleText"/>
                <w:rFonts w:ascii="Times New Roman" w:hAnsi="Times New Roman"/>
              </w:rPr>
            </w:pPr>
            <w:r w:rsidRPr="00EA201D">
              <w:rPr>
                <w:rStyle w:val="InstructionsTabelleText"/>
                <w:rFonts w:ascii="Times New Roman" w:hAnsi="Times New Roman"/>
              </w:rPr>
              <w:t>Instructions</w:t>
            </w:r>
          </w:p>
        </w:tc>
      </w:tr>
      <w:tr w:rsidR="00A31834" w:rsidRPr="00EA201D" w14:paraId="278A6763" w14:textId="77777777" w:rsidTr="00EA201D">
        <w:tc>
          <w:tcPr>
            <w:tcW w:w="993" w:type="dxa"/>
          </w:tcPr>
          <w:p w14:paraId="4045EBE3"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010</w:t>
            </w:r>
          </w:p>
        </w:tc>
        <w:tc>
          <w:tcPr>
            <w:tcW w:w="1701" w:type="dxa"/>
          </w:tcPr>
          <w:p w14:paraId="557730B7"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Counterparty Code</w:t>
            </w:r>
          </w:p>
        </w:tc>
        <w:tc>
          <w:tcPr>
            <w:tcW w:w="1842" w:type="dxa"/>
          </w:tcPr>
          <w:p w14:paraId="5894C0BC"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w:t>
            </w:r>
            <w:r w:rsidR="00B373EF" w:rsidRPr="00EA201D">
              <w:rPr>
                <w:rStyle w:val="InstructionsTabelleText"/>
                <w:rFonts w:ascii="Times New Roman" w:hAnsi="Times New Roman"/>
                <w:bCs w:val="0"/>
              </w:rPr>
              <w:t xml:space="preserve">olumn </w:t>
            </w:r>
            <w:r w:rsidRPr="00EA201D">
              <w:rPr>
                <w:rStyle w:val="InstructionsTabelleText"/>
                <w:rFonts w:ascii="Times New Roman" w:hAnsi="Times New Roman"/>
                <w:bCs w:val="0"/>
              </w:rPr>
              <w:t xml:space="preserve">010 of </w:t>
            </w:r>
            <w:r w:rsidR="00B373EF" w:rsidRPr="00EA201D">
              <w:rPr>
                <w:rStyle w:val="InstructionsTabelleText"/>
                <w:rFonts w:ascii="Times New Roman" w:hAnsi="Times New Roman"/>
                <w:bCs w:val="0"/>
              </w:rPr>
              <w:t xml:space="preserve">template </w:t>
            </w:r>
            <w:r w:rsidRPr="00EA201D">
              <w:rPr>
                <w:rStyle w:val="InstructionsTabelleText"/>
                <w:rFonts w:ascii="Times New Roman" w:hAnsi="Times New Roman"/>
                <w:bCs w:val="0"/>
              </w:rPr>
              <w:t>101 of Annex I</w:t>
            </w:r>
          </w:p>
        </w:tc>
        <w:tc>
          <w:tcPr>
            <w:tcW w:w="9781" w:type="dxa"/>
          </w:tcPr>
          <w:p w14:paraId="5DB2C77C" w14:textId="059FEDEF" w:rsidR="00A31834" w:rsidRPr="00EA201D" w:rsidRDefault="008A28BD">
            <w:pPr>
              <w:pStyle w:val="InstructionsText"/>
              <w:rPr>
                <w:rStyle w:val="InstructionsTabelleText"/>
                <w:rFonts w:ascii="Times New Roman" w:hAnsi="Times New Roman"/>
              </w:rPr>
            </w:pPr>
            <w:r w:rsidRPr="00EA201D">
              <w:rPr>
                <w:rStyle w:val="InstructionsTabelleText"/>
                <w:rFonts w:ascii="Times New Roman" w:hAnsi="Times New Roman"/>
                <w:bCs w:val="0"/>
              </w:rPr>
              <w:t>The counterparty code</w:t>
            </w:r>
            <w:r w:rsidR="00A31834" w:rsidRPr="00EA201D">
              <w:rPr>
                <w:rStyle w:val="InstructionsTabelleText"/>
                <w:rFonts w:ascii="Times New Roman" w:hAnsi="Times New Roman"/>
                <w:bCs w:val="0"/>
              </w:rPr>
              <w:t xml:space="preserve"> assigned by the </w:t>
            </w:r>
            <w:r w:rsidR="00AD074F">
              <w:rPr>
                <w:rStyle w:val="InstructionsTabelleText"/>
                <w:rFonts w:ascii="Times New Roman" w:hAnsi="Times New Roman"/>
                <w:bCs w:val="0"/>
              </w:rPr>
              <w:t>European Banking Authority (‘</w:t>
            </w:r>
            <w:r w:rsidR="00A31834" w:rsidRPr="00EA201D">
              <w:rPr>
                <w:rStyle w:val="InstructionsTabelleText"/>
                <w:rFonts w:ascii="Times New Roman" w:hAnsi="Times New Roman"/>
                <w:bCs w:val="0"/>
              </w:rPr>
              <w:t>EBA</w:t>
            </w:r>
            <w:r w:rsidR="00AD074F">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to the counterparty included in the</w:t>
            </w:r>
            <w:r w:rsidR="00AD074F">
              <w:rPr>
                <w:rStyle w:val="InstructionsTabelleText"/>
                <w:rFonts w:ascii="Times New Roman" w:hAnsi="Times New Roman"/>
                <w:bCs w:val="0"/>
              </w:rPr>
              <w:t xml:space="preserve"> low default portfolio (‘</w:t>
            </w:r>
            <w:r w:rsidR="00A31834" w:rsidRPr="00EA201D">
              <w:rPr>
                <w:rStyle w:val="InstructionsTabelleText"/>
                <w:rFonts w:ascii="Times New Roman" w:hAnsi="Times New Roman"/>
                <w:bCs w:val="0"/>
              </w:rPr>
              <w:t>LDP</w:t>
            </w:r>
            <w:r w:rsidR="00AD074F">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samples portfolios</w:t>
            </w:r>
            <w:r w:rsidR="003E4D9B" w:rsidRPr="00EA201D">
              <w:rPr>
                <w:rStyle w:val="InstructionsTabelleText"/>
                <w:rFonts w:ascii="Times New Roman" w:hAnsi="Times New Roman"/>
                <w:bCs w:val="0"/>
              </w:rPr>
              <w:t xml:space="preserve"> shall be reported</w:t>
            </w:r>
            <w:r w:rsidR="00A31834" w:rsidRPr="00EA201D">
              <w:rPr>
                <w:rStyle w:val="InstructionsTabelleText"/>
                <w:rFonts w:ascii="Times New Roman" w:hAnsi="Times New Roman"/>
                <w:bCs w:val="0"/>
              </w:rPr>
              <w:t xml:space="preserve">. This code </w:t>
            </w:r>
            <w:r w:rsidR="00A31834" w:rsidRPr="00EA201D">
              <w:t>is a row identifier and shall be unique for each row in the table.</w:t>
            </w:r>
          </w:p>
          <w:p w14:paraId="2E9BBC0F" w14:textId="77777777" w:rsidR="00A31834" w:rsidRPr="00EA201D" w:rsidRDefault="00A31834">
            <w:pPr>
              <w:pStyle w:val="InstructionsText"/>
              <w:rPr>
                <w:rStyle w:val="InstructionsTabelleText"/>
                <w:rFonts w:ascii="Times New Roman" w:hAnsi="Times New Roman"/>
                <w:b/>
                <w:bCs w:val="0"/>
              </w:rPr>
            </w:pPr>
          </w:p>
        </w:tc>
      </w:tr>
      <w:tr w:rsidR="00A31834" w:rsidRPr="00EA201D" w14:paraId="41C1A5DF" w14:textId="77777777" w:rsidTr="00EA201D">
        <w:tc>
          <w:tcPr>
            <w:tcW w:w="993" w:type="dxa"/>
          </w:tcPr>
          <w:p w14:paraId="03AD15F0" w14:textId="77777777" w:rsidR="00A31834" w:rsidRPr="00EA201D" w:rsidRDefault="00A31834" w:rsidP="00E847ED">
            <w:pPr>
              <w:pStyle w:val="InstructionsText"/>
              <w:rPr>
                <w:rStyle w:val="InstructionsTabelleText"/>
                <w:rFonts w:ascii="Times New Roman" w:hAnsi="Times New Roman"/>
                <w:bCs w:val="0"/>
                <w:lang w:eastAsia="en-US"/>
              </w:rPr>
            </w:pPr>
            <w:r w:rsidRPr="00EA201D">
              <w:rPr>
                <w:rStyle w:val="InstructionsTabelleText"/>
                <w:rFonts w:ascii="Times New Roman" w:hAnsi="Times New Roman"/>
                <w:bCs w:val="0"/>
              </w:rPr>
              <w:t>020</w:t>
            </w:r>
          </w:p>
        </w:tc>
        <w:tc>
          <w:tcPr>
            <w:tcW w:w="1701" w:type="dxa"/>
          </w:tcPr>
          <w:p w14:paraId="222F4AEB"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Exposure class</w:t>
            </w:r>
          </w:p>
        </w:tc>
        <w:tc>
          <w:tcPr>
            <w:tcW w:w="1842" w:type="dxa"/>
          </w:tcPr>
          <w:p w14:paraId="0B59CBBA" w14:textId="73967E8E"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Paragraph 78 of Annex </w:t>
            </w:r>
            <w:r w:rsidR="00AD074F">
              <w:rPr>
                <w:rStyle w:val="InstructionsTabelleText"/>
                <w:rFonts w:ascii="Times New Roman" w:hAnsi="Times New Roman"/>
                <w:bCs w:val="0"/>
              </w:rPr>
              <w:t>II</w:t>
            </w:r>
            <w:r w:rsidRPr="00EA201D">
              <w:rPr>
                <w:rStyle w:val="InstructionsTabelleText"/>
                <w:rFonts w:ascii="Times New Roman" w:hAnsi="Times New Roman"/>
                <w:bCs w:val="0"/>
              </w:rPr>
              <w:t xml:space="preserve"> </w:t>
            </w:r>
            <w:r w:rsidR="00AD074F">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Implementing Regulation (EU) No 680/2014</w:t>
            </w:r>
          </w:p>
        </w:tc>
        <w:tc>
          <w:tcPr>
            <w:tcW w:w="9781" w:type="dxa"/>
          </w:tcPr>
          <w:p w14:paraId="0EE95472" w14:textId="77777777" w:rsidR="00A31834" w:rsidRPr="00EA201D" w:rsidRDefault="003E4D9B">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Each portfolio shall be assigned to o</w:t>
            </w:r>
            <w:r w:rsidR="00A31834" w:rsidRPr="00EA201D">
              <w:rPr>
                <w:rStyle w:val="InstructionsTabelleText"/>
                <w:rFonts w:ascii="Times New Roman" w:hAnsi="Times New Roman"/>
                <w:bCs w:val="0"/>
              </w:rPr>
              <w:t xml:space="preserve">ne of the following </w:t>
            </w:r>
            <w:r w:rsidR="00426AF6" w:rsidRPr="00EA201D">
              <w:rPr>
                <w:rStyle w:val="InstructionsTabelleText"/>
                <w:rFonts w:ascii="Times New Roman" w:hAnsi="Times New Roman"/>
                <w:bCs w:val="0"/>
              </w:rPr>
              <w:t>exposure classes</w:t>
            </w:r>
            <w:r w:rsidR="00A31834" w:rsidRPr="00EA201D">
              <w:rPr>
                <w:rStyle w:val="InstructionsTabelleText"/>
                <w:rFonts w:ascii="Times New Roman" w:hAnsi="Times New Roman"/>
                <w:bCs w:val="0"/>
              </w:rPr>
              <w:t>:</w:t>
            </w:r>
          </w:p>
          <w:p w14:paraId="285963E5"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 Central banks and central governments</w:t>
            </w:r>
            <w:r w:rsidR="00426AF6" w:rsidRPr="00EA201D">
              <w:rPr>
                <w:rStyle w:val="InstructionsTabelleText"/>
                <w:rFonts w:ascii="Times New Roman" w:hAnsi="Times New Roman"/>
                <w:bCs w:val="0"/>
              </w:rPr>
              <w:t>;</w:t>
            </w:r>
          </w:p>
          <w:p w14:paraId="085A10CD"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(b) Institutions</w:t>
            </w:r>
            <w:r w:rsidR="00426AF6" w:rsidRPr="00EA201D">
              <w:rPr>
                <w:rStyle w:val="InstructionsTabelleText"/>
                <w:rFonts w:ascii="Times New Roman" w:hAnsi="Times New Roman"/>
                <w:bCs w:val="0"/>
              </w:rPr>
              <w:t>;</w:t>
            </w:r>
          </w:p>
          <w:p w14:paraId="02433C54"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 Corporate – SME</w:t>
            </w:r>
            <w:r w:rsidR="00426AF6" w:rsidRPr="00EA201D">
              <w:rPr>
                <w:rStyle w:val="InstructionsTabelleText"/>
                <w:rFonts w:ascii="Times New Roman" w:hAnsi="Times New Roman"/>
                <w:bCs w:val="0"/>
              </w:rPr>
              <w:t>;</w:t>
            </w:r>
          </w:p>
          <w:p w14:paraId="686E0A4D"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(d) Corporate – Specialised lending</w:t>
            </w:r>
            <w:r w:rsidR="00426AF6" w:rsidRPr="00EA201D">
              <w:rPr>
                <w:rStyle w:val="InstructionsTabelleText"/>
                <w:rFonts w:ascii="Times New Roman" w:hAnsi="Times New Roman"/>
                <w:bCs w:val="0"/>
              </w:rPr>
              <w:t>;</w:t>
            </w:r>
          </w:p>
          <w:p w14:paraId="608E171F"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 Corporate – Other</w:t>
            </w:r>
            <w:r w:rsidR="00426AF6" w:rsidRPr="00EA201D">
              <w:rPr>
                <w:rStyle w:val="InstructionsTabelleText"/>
                <w:rFonts w:ascii="Times New Roman" w:hAnsi="Times New Roman"/>
                <w:bCs w:val="0"/>
              </w:rPr>
              <w:t>;</w:t>
            </w:r>
          </w:p>
          <w:p w14:paraId="4619E75D"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(f) Retail – Secured by real estate SME</w:t>
            </w:r>
            <w:r w:rsidR="00426AF6" w:rsidRPr="00EA201D">
              <w:rPr>
                <w:rStyle w:val="InstructionsTabelleText"/>
                <w:rFonts w:ascii="Times New Roman" w:hAnsi="Times New Roman"/>
                <w:bCs w:val="0"/>
              </w:rPr>
              <w:t>;</w:t>
            </w:r>
          </w:p>
          <w:p w14:paraId="6ACDB239"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(g) Retail – Secured by real estate non-SME</w:t>
            </w:r>
            <w:r w:rsidR="00426AF6" w:rsidRPr="00EA201D">
              <w:rPr>
                <w:rStyle w:val="InstructionsTabelleText"/>
                <w:rFonts w:ascii="Times New Roman" w:hAnsi="Times New Roman"/>
                <w:bCs w:val="0"/>
              </w:rPr>
              <w:t>;</w:t>
            </w:r>
          </w:p>
          <w:p w14:paraId="703B33EF"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(h) Retail – Qualifying revolving</w:t>
            </w:r>
            <w:r w:rsidR="00426AF6" w:rsidRPr="00EA201D">
              <w:rPr>
                <w:rStyle w:val="InstructionsTabelleText"/>
                <w:rFonts w:ascii="Times New Roman" w:hAnsi="Times New Roman"/>
                <w:bCs w:val="0"/>
              </w:rPr>
              <w:t>;</w:t>
            </w:r>
          </w:p>
          <w:p w14:paraId="2A444226"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w:t>
            </w:r>
            <w:proofErr w:type="spellStart"/>
            <w:r w:rsidRPr="00EA201D">
              <w:rPr>
                <w:rStyle w:val="InstructionsTabelleText"/>
                <w:rFonts w:ascii="Times New Roman" w:hAnsi="Times New Roman"/>
                <w:bCs w:val="0"/>
              </w:rPr>
              <w:t>i</w:t>
            </w:r>
            <w:proofErr w:type="spellEnd"/>
            <w:r w:rsidRPr="00EA201D">
              <w:rPr>
                <w:rStyle w:val="InstructionsTabelleText"/>
                <w:rFonts w:ascii="Times New Roman" w:hAnsi="Times New Roman"/>
                <w:bCs w:val="0"/>
              </w:rPr>
              <w:t>) Retail – Other SME</w:t>
            </w:r>
            <w:r w:rsidR="00426AF6" w:rsidRPr="00EA201D">
              <w:rPr>
                <w:rStyle w:val="InstructionsTabelleText"/>
                <w:rFonts w:ascii="Times New Roman" w:hAnsi="Times New Roman"/>
                <w:bCs w:val="0"/>
              </w:rPr>
              <w:t>;</w:t>
            </w:r>
          </w:p>
          <w:p w14:paraId="17AA7C0E"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(j) Retail – Other non – SME</w:t>
            </w:r>
            <w:r w:rsidR="00426AF6" w:rsidRPr="00EA201D">
              <w:rPr>
                <w:rStyle w:val="InstructionsTabelleText"/>
                <w:rFonts w:ascii="Times New Roman" w:hAnsi="Times New Roman"/>
                <w:bCs w:val="0"/>
              </w:rPr>
              <w:t>;</w:t>
            </w:r>
          </w:p>
          <w:p w14:paraId="0265ED2C" w14:textId="77777777" w:rsidR="00D33EDF"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(k) Not applicable</w:t>
            </w:r>
          </w:p>
          <w:p w14:paraId="1B485A6C" w14:textId="14C3EB4E" w:rsidR="00A31834" w:rsidRPr="00EA201D" w:rsidRDefault="00D33EDF">
            <w:pPr>
              <w:pStyle w:val="InstructionsText"/>
              <w:rPr>
                <w:rStyle w:val="InstructionsTabelleText"/>
                <w:rFonts w:ascii="Times New Roman" w:hAnsi="Times New Roman"/>
                <w:bCs w:val="0"/>
              </w:rPr>
            </w:pPr>
            <w:r w:rsidRPr="004C6975">
              <w:t xml:space="preserve">‘Not applicable’ shall be used </w:t>
            </w:r>
            <w:r>
              <w:t>where</w:t>
            </w:r>
            <w:r w:rsidRPr="004C6975">
              <w:t xml:space="preserve"> none of the answers in the list is correct</w:t>
            </w:r>
            <w:r>
              <w:t xml:space="preserve"> which is the case</w:t>
            </w:r>
            <w:r w:rsidRPr="004C6975">
              <w:t xml:space="preserve"> </w:t>
            </w:r>
            <w:r>
              <w:t xml:space="preserve">when a </w:t>
            </w:r>
            <w:r w:rsidRPr="004C6975">
              <w:t>counterparty is classified in multiple asset classes, without one being clearly predominant</w:t>
            </w:r>
            <w:r w:rsidR="00790066">
              <w:t>.</w:t>
            </w:r>
          </w:p>
        </w:tc>
      </w:tr>
      <w:tr w:rsidR="00A31834" w:rsidRPr="00EA201D" w14:paraId="66D8695A" w14:textId="77777777" w:rsidTr="00EA201D">
        <w:tc>
          <w:tcPr>
            <w:tcW w:w="993" w:type="dxa"/>
          </w:tcPr>
          <w:p w14:paraId="3D05352D"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040</w:t>
            </w:r>
          </w:p>
        </w:tc>
        <w:tc>
          <w:tcPr>
            <w:tcW w:w="1701" w:type="dxa"/>
          </w:tcPr>
          <w:p w14:paraId="0BD5DF09"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Rating</w:t>
            </w:r>
          </w:p>
        </w:tc>
        <w:tc>
          <w:tcPr>
            <w:tcW w:w="1842" w:type="dxa"/>
          </w:tcPr>
          <w:p w14:paraId="26DA0E06" w14:textId="77777777" w:rsidR="00A31834" w:rsidRPr="00EA201D" w:rsidRDefault="00A31834">
            <w:pPr>
              <w:pStyle w:val="InstructionsText"/>
              <w:rPr>
                <w:rStyle w:val="InstructionsTabelleText"/>
                <w:rFonts w:ascii="Times New Roman" w:hAnsi="Times New Roman"/>
                <w:bCs w:val="0"/>
              </w:rPr>
            </w:pPr>
          </w:p>
        </w:tc>
        <w:tc>
          <w:tcPr>
            <w:tcW w:w="9781" w:type="dxa"/>
          </w:tcPr>
          <w:p w14:paraId="6A84BCB7" w14:textId="77777777" w:rsidR="00A31834" w:rsidRPr="002161A4" w:rsidRDefault="002B6FE3">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 xml:space="preserve">he rank of the internal rating grade </w:t>
            </w:r>
            <w:r w:rsidR="00DA2441" w:rsidRPr="00EA201D">
              <w:rPr>
                <w:rStyle w:val="InstructionsTabelleText"/>
                <w:rFonts w:ascii="Times New Roman" w:hAnsi="Times New Roman"/>
                <w:bCs w:val="0"/>
              </w:rPr>
              <w:t>applied by the</w:t>
            </w:r>
            <w:r w:rsidR="00A31834" w:rsidRPr="00EA201D">
              <w:rPr>
                <w:rStyle w:val="InstructionsTabelleText"/>
                <w:rFonts w:ascii="Times New Roman" w:hAnsi="Times New Roman"/>
                <w:bCs w:val="0"/>
              </w:rPr>
              <w:t xml:space="preserve"> institution (from lowest risk to highest risk excluding defaults with PD corresponding to 100%</w:t>
            </w:r>
            <w:r w:rsidR="00B958B2" w:rsidRPr="00EA201D">
              <w:rPr>
                <w:rStyle w:val="InstructionsTabelleText"/>
                <w:rFonts w:ascii="Times New Roman" w:hAnsi="Times New Roman"/>
                <w:bCs w:val="0"/>
              </w:rPr>
              <w:t>)</w:t>
            </w:r>
            <w:r w:rsidRPr="00EA201D">
              <w:rPr>
                <w:rStyle w:val="InstructionsTabelleText"/>
                <w:rFonts w:ascii="Times New Roman" w:hAnsi="Times New Roman"/>
                <w:bCs w:val="0"/>
              </w:rPr>
              <w:t xml:space="preserve"> shall be reported</w:t>
            </w:r>
            <w:r w:rsidR="00A31834" w:rsidRPr="00EA201D">
              <w:rPr>
                <w:rStyle w:val="InstructionsTabelleText"/>
                <w:rFonts w:ascii="Times New Roman" w:hAnsi="Times New Roman"/>
                <w:bCs w:val="0"/>
              </w:rPr>
              <w:t xml:space="preserve">. </w:t>
            </w:r>
            <w:r w:rsidR="00A31834" w:rsidRPr="002161A4">
              <w:rPr>
                <w:rStyle w:val="InstructionsTabelleText"/>
                <w:rFonts w:ascii="Times New Roman" w:hAnsi="Times New Roman"/>
                <w:bCs w:val="0"/>
              </w:rPr>
              <w:t>It shall follow the numerical order 1, 2, 3 etc.</w:t>
            </w:r>
            <w:r w:rsidR="00D84BB7" w:rsidRPr="002161A4">
              <w:rPr>
                <w:rStyle w:val="InstructionsTabelleText"/>
                <w:rFonts w:ascii="Times New Roman" w:hAnsi="Times New Roman"/>
                <w:bCs w:val="0"/>
              </w:rPr>
              <w:t xml:space="preserve"> </w:t>
            </w:r>
          </w:p>
          <w:p w14:paraId="6071713B" w14:textId="77777777" w:rsidR="002161A4" w:rsidRPr="002161A4" w:rsidRDefault="002161A4">
            <w:pPr>
              <w:pStyle w:val="InstructionsText"/>
              <w:rPr>
                <w:rStyle w:val="InstructionsTabelleText"/>
                <w:rFonts w:ascii="Times New Roman" w:hAnsi="Times New Roman"/>
                <w:bCs w:val="0"/>
              </w:rPr>
            </w:pPr>
          </w:p>
          <w:p w14:paraId="1658C709" w14:textId="746EBC5B" w:rsidR="002161A4" w:rsidRPr="00EA201D" w:rsidRDefault="00855207">
            <w:pPr>
              <w:pStyle w:val="InstructionsText"/>
              <w:rPr>
                <w:rStyle w:val="InstructionsTabelleText"/>
                <w:rFonts w:ascii="Times New Roman" w:hAnsi="Times New Roman"/>
                <w:bCs w:val="0"/>
              </w:rPr>
            </w:pPr>
            <w:r>
              <w:rPr>
                <w:rStyle w:val="InstructionsTabelleText"/>
                <w:rFonts w:ascii="Times New Roman" w:hAnsi="Times New Roman"/>
                <w:bCs w:val="0"/>
              </w:rPr>
              <w:t>Where</w:t>
            </w:r>
            <w:r w:rsidR="002161A4" w:rsidRPr="002161A4">
              <w:rPr>
                <w:rStyle w:val="InstructionsTabelleText"/>
                <w:rFonts w:ascii="Times New Roman" w:hAnsi="Times New Roman"/>
                <w:bCs w:val="0"/>
              </w:rPr>
              <w:t xml:space="preserve"> a counterparty has been assigned multiple rating grades in accordance with Article 172 (1) (e) of Regulation (EU) No 575/2013</w:t>
            </w:r>
            <w:r>
              <w:rPr>
                <w:rStyle w:val="FootnoteReference"/>
                <w:bCs w:val="0"/>
              </w:rPr>
              <w:footnoteReference w:id="1"/>
            </w:r>
            <w:r w:rsidR="002161A4" w:rsidRPr="002161A4">
              <w:rPr>
                <w:rStyle w:val="InstructionsTabelleText"/>
                <w:rFonts w:ascii="Times New Roman" w:hAnsi="Times New Roman"/>
                <w:bCs w:val="0"/>
              </w:rPr>
              <w:t xml:space="preserve"> (CRR), column 040 of template C101.00 of Annex III  shall be filled with the rating grade zero</w:t>
            </w:r>
            <w:r>
              <w:rPr>
                <w:rStyle w:val="InstructionsTabelleText"/>
                <w:rFonts w:ascii="Times New Roman" w:hAnsi="Times New Roman"/>
                <w:bCs w:val="0"/>
              </w:rPr>
              <w:t xml:space="preserve"> </w:t>
            </w:r>
            <w:r w:rsidR="002161A4" w:rsidRPr="002161A4">
              <w:rPr>
                <w:rStyle w:val="InstructionsTabelleText"/>
                <w:rFonts w:ascii="Times New Roman" w:hAnsi="Times New Roman"/>
                <w:bCs w:val="0"/>
              </w:rPr>
              <w:t>(0)</w:t>
            </w:r>
            <w:r>
              <w:rPr>
                <w:rStyle w:val="InstructionsTabelleText"/>
                <w:rFonts w:ascii="Times New Roman" w:hAnsi="Times New Roman"/>
                <w:bCs w:val="0"/>
              </w:rPr>
              <w:t>.</w:t>
            </w:r>
          </w:p>
        </w:tc>
      </w:tr>
      <w:tr w:rsidR="00A31834" w:rsidRPr="00EA201D" w14:paraId="0CC6DFD9" w14:textId="77777777" w:rsidTr="00EA201D">
        <w:tc>
          <w:tcPr>
            <w:tcW w:w="993" w:type="dxa"/>
          </w:tcPr>
          <w:p w14:paraId="174E8DAB"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lastRenderedPageBreak/>
              <w:t>050</w:t>
            </w:r>
          </w:p>
        </w:tc>
        <w:tc>
          <w:tcPr>
            <w:tcW w:w="1701" w:type="dxa"/>
          </w:tcPr>
          <w:p w14:paraId="3B9DA925"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Date of most recent rating of counterparty</w:t>
            </w:r>
          </w:p>
        </w:tc>
        <w:tc>
          <w:tcPr>
            <w:tcW w:w="1842" w:type="dxa"/>
          </w:tcPr>
          <w:p w14:paraId="2A6EC9FB" w14:textId="77777777" w:rsidR="00A31834" w:rsidRPr="00EA201D" w:rsidRDefault="00A31834">
            <w:pPr>
              <w:pStyle w:val="InstructionsText"/>
              <w:rPr>
                <w:rStyle w:val="InstructionsTabelleText"/>
                <w:rFonts w:ascii="Times New Roman" w:hAnsi="Times New Roman"/>
                <w:bCs w:val="0"/>
              </w:rPr>
            </w:pPr>
          </w:p>
        </w:tc>
        <w:tc>
          <w:tcPr>
            <w:tcW w:w="9781" w:type="dxa"/>
          </w:tcPr>
          <w:p w14:paraId="77477E58" w14:textId="77777777" w:rsidR="00A31834" w:rsidRPr="00EA201D" w:rsidRDefault="002B6FE3">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The d</w:t>
            </w:r>
            <w:r w:rsidR="00A31834" w:rsidRPr="00EA201D">
              <w:rPr>
                <w:rStyle w:val="InstructionsTabelleText"/>
                <w:rFonts w:ascii="Times New Roman" w:hAnsi="Times New Roman"/>
                <w:bCs w:val="0"/>
              </w:rPr>
              <w:t xml:space="preserve">ate of </w:t>
            </w:r>
            <w:r w:rsidR="00B958B2" w:rsidRPr="00EA201D">
              <w:rPr>
                <w:rStyle w:val="InstructionsTabelleText"/>
                <w:rFonts w:ascii="Times New Roman" w:hAnsi="Times New Roman"/>
                <w:bCs w:val="0"/>
              </w:rPr>
              <w:t xml:space="preserve">the </w:t>
            </w:r>
            <w:r w:rsidR="00A31834" w:rsidRPr="00EA201D">
              <w:rPr>
                <w:rStyle w:val="InstructionsTabelleText"/>
                <w:rFonts w:ascii="Times New Roman" w:hAnsi="Times New Roman"/>
                <w:bCs w:val="0"/>
              </w:rPr>
              <w:t xml:space="preserve">most recent rating of </w:t>
            </w:r>
            <w:r w:rsidR="00B958B2" w:rsidRPr="00EA201D">
              <w:rPr>
                <w:rStyle w:val="InstructionsTabelleText"/>
                <w:rFonts w:ascii="Times New Roman" w:hAnsi="Times New Roman"/>
                <w:bCs w:val="0"/>
              </w:rPr>
              <w:t xml:space="preserve">the </w:t>
            </w:r>
            <w:r w:rsidR="00A31834" w:rsidRPr="00EA201D">
              <w:rPr>
                <w:rStyle w:val="InstructionsTabelleText"/>
                <w:rFonts w:ascii="Times New Roman" w:hAnsi="Times New Roman"/>
                <w:bCs w:val="0"/>
              </w:rPr>
              <w:t>counterparty</w:t>
            </w:r>
            <w:r w:rsidRPr="00EA201D">
              <w:rPr>
                <w:rStyle w:val="InstructionsTabelleText"/>
                <w:rFonts w:ascii="Times New Roman" w:hAnsi="Times New Roman"/>
                <w:bCs w:val="0"/>
              </w:rPr>
              <w:t xml:space="preserve"> shall be reported.</w:t>
            </w:r>
          </w:p>
        </w:tc>
      </w:tr>
      <w:tr w:rsidR="00A31834" w:rsidRPr="00EA201D" w14:paraId="68D38849" w14:textId="77777777" w:rsidTr="00EA201D">
        <w:tc>
          <w:tcPr>
            <w:tcW w:w="993" w:type="dxa"/>
          </w:tcPr>
          <w:p w14:paraId="44862E45"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060</w:t>
            </w:r>
          </w:p>
        </w:tc>
        <w:tc>
          <w:tcPr>
            <w:tcW w:w="1701" w:type="dxa"/>
          </w:tcPr>
          <w:p w14:paraId="6AA9EDDF"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PD</w:t>
            </w:r>
          </w:p>
        </w:tc>
        <w:tc>
          <w:tcPr>
            <w:tcW w:w="1842" w:type="dxa"/>
          </w:tcPr>
          <w:p w14:paraId="141777EE" w14:textId="7F9375AB"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w:t>
            </w:r>
            <w:r w:rsidR="00B373EF" w:rsidRPr="00EA201D">
              <w:rPr>
                <w:rStyle w:val="InstructionsTabelleText"/>
                <w:rFonts w:ascii="Times New Roman" w:hAnsi="Times New Roman"/>
                <w:bCs w:val="0"/>
              </w:rPr>
              <w:t xml:space="preserve">olumn </w:t>
            </w:r>
            <w:r w:rsidRPr="00EA201D">
              <w:rPr>
                <w:rStyle w:val="InstructionsTabelleText"/>
                <w:rFonts w:ascii="Times New Roman" w:hAnsi="Times New Roman"/>
                <w:bCs w:val="0"/>
              </w:rPr>
              <w:t xml:space="preserve">010 of </w:t>
            </w:r>
            <w:r w:rsidR="00BB3210" w:rsidRPr="00EA201D">
              <w:rPr>
                <w:rStyle w:val="InstructionsTabelleText"/>
                <w:rFonts w:ascii="Times New Roman" w:hAnsi="Times New Roman"/>
                <w:bCs w:val="0"/>
              </w:rPr>
              <w:t>template</w:t>
            </w:r>
            <w:r w:rsidR="00BE483E">
              <w:rPr>
                <w:rStyle w:val="InstructionsTabelleText"/>
                <w:rFonts w:ascii="Times New Roman" w:hAnsi="Times New Roman"/>
                <w:bCs w:val="0"/>
              </w:rPr>
              <w:t xml:space="preserve"> </w:t>
            </w:r>
            <w:r w:rsidRPr="00EA201D">
              <w:rPr>
                <w:rStyle w:val="InstructionsTabelleText"/>
                <w:rFonts w:ascii="Times New Roman" w:hAnsi="Times New Roman"/>
                <w:bCs w:val="0"/>
              </w:rPr>
              <w:t xml:space="preserve">8.1 </w:t>
            </w:r>
            <w:r w:rsidR="00B373EF"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 xml:space="preserve">Annex </w:t>
            </w:r>
            <w:r w:rsidR="00AD074F">
              <w:rPr>
                <w:rStyle w:val="InstructionsTabelleText"/>
                <w:rFonts w:ascii="Times New Roman" w:hAnsi="Times New Roman"/>
                <w:bCs w:val="0"/>
              </w:rPr>
              <w:t>I</w:t>
            </w:r>
            <w:r w:rsidRPr="00EA201D">
              <w:rPr>
                <w:rStyle w:val="InstructionsTabelleText"/>
                <w:rFonts w:ascii="Times New Roman" w:hAnsi="Times New Roman"/>
                <w:bCs w:val="0"/>
              </w:rPr>
              <w:t xml:space="preserve"> </w:t>
            </w:r>
            <w:r w:rsidR="00AD074F">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00AD074F" w:rsidRPr="00EA201D">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Implementing Regulation (EU) No 680/2014</w:t>
            </w:r>
          </w:p>
        </w:tc>
        <w:tc>
          <w:tcPr>
            <w:tcW w:w="9781" w:type="dxa"/>
          </w:tcPr>
          <w:p w14:paraId="636098DC" w14:textId="215F361B" w:rsidR="00A31834" w:rsidRPr="00EA201D" w:rsidRDefault="00A31834">
            <w:pPr>
              <w:pStyle w:val="InstructionsText"/>
            </w:pPr>
            <w:r w:rsidRPr="00EA201D">
              <w:rPr>
                <w:rStyle w:val="InstructionsTabelleText"/>
                <w:rFonts w:ascii="Times New Roman" w:hAnsi="Times New Roman"/>
                <w:bCs w:val="0"/>
              </w:rPr>
              <w:t xml:space="preserve">The PD assigned to the obligor grade or pool </w:t>
            </w:r>
            <w:r w:rsidR="00B5621B" w:rsidRPr="00EA201D">
              <w:rPr>
                <w:rStyle w:val="InstructionsTabelleText"/>
                <w:rFonts w:ascii="Times New Roman" w:hAnsi="Times New Roman"/>
                <w:bCs w:val="0"/>
              </w:rPr>
              <w:t xml:space="preserve">that shall </w:t>
            </w:r>
            <w:r w:rsidRPr="00EA201D">
              <w:rPr>
                <w:rStyle w:val="InstructionsTabelleText"/>
                <w:rFonts w:ascii="Times New Roman" w:hAnsi="Times New Roman"/>
                <w:bCs w:val="0"/>
              </w:rPr>
              <w:t>be reported shall be based on the provisions laid down in Article</w:t>
            </w:r>
            <w:r w:rsidR="00EA201D" w:rsidRPr="00EA201D">
              <w:rPr>
                <w:rStyle w:val="InstructionsTabelleText"/>
                <w:rFonts w:ascii="Times New Roman" w:hAnsi="Times New Roman"/>
                <w:bCs w:val="0"/>
              </w:rPr>
              <w:t xml:space="preserve"> </w:t>
            </w:r>
            <w:r w:rsidRPr="00EA201D">
              <w:rPr>
                <w:rStyle w:val="InstructionsTabelleText"/>
                <w:rFonts w:ascii="Times New Roman" w:hAnsi="Times New Roman"/>
                <w:bCs w:val="0"/>
              </w:rPr>
              <w:t xml:space="preserve">180 of </w:t>
            </w:r>
            <w:r w:rsidR="00B958B2" w:rsidRPr="00EA201D">
              <w:rPr>
                <w:rStyle w:val="InstructionsTabelleText"/>
                <w:rFonts w:ascii="Times New Roman" w:hAnsi="Times New Roman"/>
                <w:bCs w:val="0"/>
              </w:rPr>
              <w:t>Regulation (EU) No</w:t>
            </w:r>
            <w:r w:rsidR="00B373EF" w:rsidRPr="00EA201D">
              <w:rPr>
                <w:rStyle w:val="InstructionsTabelleText"/>
                <w:rFonts w:ascii="Times New Roman" w:hAnsi="Times New Roman"/>
                <w:bCs w:val="0"/>
              </w:rPr>
              <w:t xml:space="preserve"> </w:t>
            </w:r>
            <w:r w:rsidR="00B958B2" w:rsidRPr="00EA201D">
              <w:rPr>
                <w:rStyle w:val="InstructionsTabelleText"/>
                <w:rFonts w:ascii="Times New Roman" w:hAnsi="Times New Roman"/>
                <w:bCs w:val="0"/>
              </w:rPr>
              <w:t>575/2013</w:t>
            </w:r>
            <w:r w:rsidRPr="00EA201D">
              <w:rPr>
                <w:rStyle w:val="InstructionsTabelleText"/>
                <w:rFonts w:ascii="Times New Roman" w:hAnsi="Times New Roman"/>
                <w:bCs w:val="0"/>
              </w:rPr>
              <w:t>.</w:t>
            </w:r>
            <w:r w:rsidR="00146200">
              <w:rPr>
                <w:rStyle w:val="InstructionsTabelleText"/>
                <w:rFonts w:ascii="Times New Roman" w:hAnsi="Times New Roman"/>
                <w:bCs w:val="0"/>
              </w:rPr>
              <w:t xml:space="preserve"> </w:t>
            </w:r>
            <w:r w:rsidR="00146200" w:rsidRPr="00146200">
              <w:rPr>
                <w:rStyle w:val="InstructionsTabelleText"/>
                <w:rFonts w:ascii="Times New Roman" w:hAnsi="Times New Roman"/>
                <w:bCs w:val="0"/>
              </w:rPr>
              <w:t xml:space="preserve">The PD shall be the PD used in the calculation of the </w:t>
            </w:r>
            <w:r w:rsidR="00AD074F" w:rsidRPr="00146200">
              <w:rPr>
                <w:rStyle w:val="InstructionsTabelleText"/>
                <w:rFonts w:ascii="Times New Roman" w:hAnsi="Times New Roman"/>
                <w:bCs w:val="0"/>
              </w:rPr>
              <w:t>RWA</w:t>
            </w:r>
            <w:r w:rsidR="004665B5">
              <w:rPr>
                <w:rStyle w:val="InstructionsTabelleText"/>
                <w:rFonts w:ascii="Times New Roman" w:hAnsi="Times New Roman"/>
                <w:bCs w:val="0"/>
              </w:rPr>
              <w:t xml:space="preserve">, excluding the effect of potential measures introduced in accordance with Article 458 of </w:t>
            </w:r>
            <w:r w:rsidR="004665B5" w:rsidRPr="004665B5">
              <w:rPr>
                <w:rStyle w:val="InstructionsTabelleText"/>
                <w:rFonts w:ascii="Times New Roman" w:hAnsi="Times New Roman"/>
                <w:bCs w:val="0"/>
              </w:rPr>
              <w:t>Regulation (EU) No 575/2013</w:t>
            </w:r>
            <w:r w:rsidR="004665B5">
              <w:rPr>
                <w:rStyle w:val="InstructionsTabelleText"/>
                <w:rFonts w:ascii="Times New Roman" w:hAnsi="Times New Roman"/>
                <w:bCs w:val="0"/>
              </w:rPr>
              <w:t xml:space="preserve"> (‘CRR’)</w:t>
            </w:r>
            <w:r w:rsidR="00146200" w:rsidRPr="00146200">
              <w:rPr>
                <w:rStyle w:val="InstructionsTabelleText"/>
                <w:rFonts w:ascii="Times New Roman" w:hAnsi="Times New Roman"/>
                <w:bCs w:val="0"/>
              </w:rPr>
              <w:t xml:space="preserve">. </w:t>
            </w:r>
            <w:r w:rsidRPr="00EA201D">
              <w:rPr>
                <w:rStyle w:val="InstructionsTabelleText"/>
                <w:rFonts w:ascii="Times New Roman" w:hAnsi="Times New Roman"/>
                <w:bCs w:val="0"/>
              </w:rPr>
              <w:t xml:space="preserve"> </w:t>
            </w:r>
            <w:r w:rsidR="000D4F8F" w:rsidRPr="00EA201D">
              <w:t>The PD shall be expressed as a value between 0 and 1.</w:t>
            </w:r>
          </w:p>
          <w:p w14:paraId="0BD520FE" w14:textId="77777777" w:rsidR="002B6FE3" w:rsidRPr="00EA201D" w:rsidRDefault="002B6FE3">
            <w:pPr>
              <w:pStyle w:val="InstructionsText"/>
              <w:rPr>
                <w:rStyle w:val="InstructionsTabelleText"/>
                <w:rFonts w:ascii="Times New Roman" w:hAnsi="Times New Roman"/>
                <w:bCs w:val="0"/>
              </w:rPr>
            </w:pPr>
          </w:p>
          <w:p w14:paraId="0A5F676D" w14:textId="0B4A4D73"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All reported risk parameters shall be derived from the risk parameters used in the internal rating system approved by the respective competent authority.</w:t>
            </w:r>
          </w:p>
          <w:p w14:paraId="2F18E345" w14:textId="77777777" w:rsidR="00A31834" w:rsidRPr="00EA201D" w:rsidRDefault="00A31834">
            <w:pPr>
              <w:pStyle w:val="InstructionsText"/>
              <w:rPr>
                <w:rStyle w:val="InstructionsTabelleText"/>
                <w:rFonts w:ascii="Times New Roman" w:hAnsi="Times New Roman"/>
                <w:bCs w:val="0"/>
              </w:rPr>
            </w:pPr>
          </w:p>
        </w:tc>
      </w:tr>
      <w:tr w:rsidR="00A31834" w:rsidRPr="00EA201D" w14:paraId="2ADF1E4B" w14:textId="77777777" w:rsidTr="00EA201D">
        <w:tc>
          <w:tcPr>
            <w:tcW w:w="993" w:type="dxa"/>
          </w:tcPr>
          <w:p w14:paraId="16203788"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070</w:t>
            </w:r>
          </w:p>
        </w:tc>
        <w:tc>
          <w:tcPr>
            <w:tcW w:w="1701" w:type="dxa"/>
          </w:tcPr>
          <w:p w14:paraId="6CFF1C2B"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Default status</w:t>
            </w:r>
          </w:p>
        </w:tc>
        <w:tc>
          <w:tcPr>
            <w:tcW w:w="1842" w:type="dxa"/>
          </w:tcPr>
          <w:p w14:paraId="11E88D91" w14:textId="77777777" w:rsidR="00A31834" w:rsidRPr="00EA201D" w:rsidRDefault="00A31834">
            <w:pPr>
              <w:pStyle w:val="InstructionsText"/>
              <w:rPr>
                <w:rStyle w:val="InstructionsTabelleText"/>
                <w:rFonts w:ascii="Times New Roman" w:hAnsi="Times New Roman"/>
                <w:bCs w:val="0"/>
              </w:rPr>
            </w:pPr>
          </w:p>
        </w:tc>
        <w:tc>
          <w:tcPr>
            <w:tcW w:w="9781" w:type="dxa"/>
          </w:tcPr>
          <w:p w14:paraId="218BB58A"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default status </w:t>
            </w:r>
            <w:r w:rsidR="001E4B84" w:rsidRPr="00EA201D">
              <w:rPr>
                <w:rStyle w:val="InstructionsTabelleText"/>
                <w:rFonts w:ascii="Times New Roman" w:hAnsi="Times New Roman"/>
                <w:bCs w:val="0"/>
              </w:rPr>
              <w:t xml:space="preserve">to be reported shall be </w:t>
            </w:r>
            <w:r w:rsidRPr="00EA201D">
              <w:rPr>
                <w:rStyle w:val="InstructionsTabelleText"/>
                <w:rFonts w:ascii="Times New Roman" w:hAnsi="Times New Roman"/>
                <w:bCs w:val="0"/>
              </w:rPr>
              <w:t>one of the following:</w:t>
            </w:r>
          </w:p>
          <w:p w14:paraId="07C03C03"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 Defaulted</w:t>
            </w:r>
            <w:r w:rsidR="00B958B2" w:rsidRPr="00EA201D">
              <w:rPr>
                <w:rStyle w:val="InstructionsTabelleText"/>
                <w:rFonts w:ascii="Times New Roman" w:hAnsi="Times New Roman"/>
                <w:bCs w:val="0"/>
              </w:rPr>
              <w:t>:</w:t>
            </w:r>
            <w:r w:rsidRPr="00EA201D">
              <w:rPr>
                <w:rStyle w:val="InstructionsTabelleText"/>
                <w:rFonts w:ascii="Times New Roman" w:hAnsi="Times New Roman"/>
                <w:bCs w:val="0"/>
              </w:rPr>
              <w:t xml:space="preserve"> exposures assigned to the rating grade</w:t>
            </w:r>
            <w:r w:rsidR="00381DF5" w:rsidRPr="00EA201D">
              <w:rPr>
                <w:rStyle w:val="InstructionsTabelleText"/>
                <w:rFonts w:ascii="Times New Roman" w:hAnsi="Times New Roman"/>
                <w:bCs w:val="0"/>
              </w:rPr>
              <w:t>(</w:t>
            </w:r>
            <w:r w:rsidRPr="00EA201D">
              <w:rPr>
                <w:rStyle w:val="InstructionsTabelleText"/>
                <w:rFonts w:ascii="Times New Roman" w:hAnsi="Times New Roman"/>
                <w:bCs w:val="0"/>
              </w:rPr>
              <w:t>s</w:t>
            </w:r>
            <w:r w:rsidR="00381DF5" w:rsidRPr="00EA201D">
              <w:rPr>
                <w:rStyle w:val="InstructionsTabelleText"/>
                <w:rFonts w:ascii="Times New Roman" w:hAnsi="Times New Roman"/>
                <w:bCs w:val="0"/>
              </w:rPr>
              <w:t>)</w:t>
            </w:r>
            <w:r w:rsidRPr="00EA201D">
              <w:rPr>
                <w:rStyle w:val="InstructionsTabelleText"/>
                <w:rFonts w:ascii="Times New Roman" w:hAnsi="Times New Roman"/>
                <w:bCs w:val="0"/>
              </w:rPr>
              <w:t xml:space="preserve"> with a PD of 100 %</w:t>
            </w:r>
            <w:r w:rsidR="00B958B2" w:rsidRPr="00EA201D">
              <w:rPr>
                <w:rStyle w:val="InstructionsTabelleText"/>
                <w:rFonts w:ascii="Times New Roman" w:hAnsi="Times New Roman"/>
                <w:bCs w:val="0"/>
              </w:rPr>
              <w:t>;</w:t>
            </w:r>
          </w:p>
          <w:p w14:paraId="74CB0080"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(b) Non-defaulted</w:t>
            </w:r>
            <w:r w:rsidR="00B958B2" w:rsidRPr="00EA201D">
              <w:rPr>
                <w:rStyle w:val="InstructionsTabelleText"/>
                <w:rFonts w:ascii="Times New Roman" w:hAnsi="Times New Roman"/>
                <w:bCs w:val="0"/>
              </w:rPr>
              <w:t>:</w:t>
            </w:r>
            <w:r w:rsidRPr="00EA201D">
              <w:rPr>
                <w:rStyle w:val="InstructionsTabelleText"/>
                <w:rFonts w:ascii="Times New Roman" w:hAnsi="Times New Roman"/>
                <w:bCs w:val="0"/>
              </w:rPr>
              <w:t xml:space="preserve"> exposures assigned to rating grades with a PD lower than 100%</w:t>
            </w:r>
            <w:r w:rsidR="00B958B2" w:rsidRPr="00EA201D">
              <w:rPr>
                <w:rStyle w:val="InstructionsTabelleText"/>
                <w:rFonts w:ascii="Times New Roman" w:hAnsi="Times New Roman"/>
                <w:bCs w:val="0"/>
              </w:rPr>
              <w:t>.</w:t>
            </w:r>
          </w:p>
        </w:tc>
      </w:tr>
      <w:tr w:rsidR="00A31834" w:rsidRPr="00EA201D" w14:paraId="77232522" w14:textId="77777777" w:rsidTr="00EA201D">
        <w:tc>
          <w:tcPr>
            <w:tcW w:w="993" w:type="dxa"/>
          </w:tcPr>
          <w:p w14:paraId="4C99FD62"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080</w:t>
            </w:r>
          </w:p>
        </w:tc>
        <w:tc>
          <w:tcPr>
            <w:tcW w:w="1701" w:type="dxa"/>
          </w:tcPr>
          <w:p w14:paraId="4A9A8625" w14:textId="77777777" w:rsidR="00A31834" w:rsidRPr="003F573B" w:rsidRDefault="00A31834" w:rsidP="00E847ED">
            <w:pPr>
              <w:pStyle w:val="InstructionsText"/>
              <w:rPr>
                <w:rStyle w:val="InstructionsTabelleText"/>
                <w:rFonts w:ascii="Times New Roman" w:hAnsi="Times New Roman"/>
                <w:bCs w:val="0"/>
                <w:lang w:val="fr-BE"/>
              </w:rPr>
            </w:pPr>
            <w:r w:rsidRPr="003F573B">
              <w:rPr>
                <w:rStyle w:val="InstructionsTabelleText"/>
                <w:rFonts w:ascii="Times New Roman" w:hAnsi="Times New Roman"/>
                <w:bCs w:val="0"/>
                <w:lang w:val="fr-BE"/>
              </w:rPr>
              <w:t xml:space="preserve">Original </w:t>
            </w:r>
            <w:proofErr w:type="spellStart"/>
            <w:r w:rsidRPr="003F573B">
              <w:rPr>
                <w:rStyle w:val="InstructionsTabelleText"/>
                <w:rFonts w:ascii="Times New Roman" w:hAnsi="Times New Roman"/>
                <w:bCs w:val="0"/>
                <w:lang w:val="fr-BE"/>
              </w:rPr>
              <w:t>exposure</w:t>
            </w:r>
            <w:proofErr w:type="spellEnd"/>
            <w:r w:rsidRPr="003F573B">
              <w:rPr>
                <w:rStyle w:val="InstructionsTabelleText"/>
                <w:rFonts w:ascii="Times New Roman" w:hAnsi="Times New Roman"/>
                <w:bCs w:val="0"/>
                <w:lang w:val="fr-BE"/>
              </w:rPr>
              <w:t xml:space="preserve"> </w:t>
            </w:r>
            <w:proofErr w:type="spellStart"/>
            <w:r w:rsidRPr="003F573B">
              <w:rPr>
                <w:rStyle w:val="InstructionsTabelleText"/>
                <w:rFonts w:ascii="Times New Roman" w:hAnsi="Times New Roman"/>
                <w:bCs w:val="0"/>
                <w:lang w:val="fr-BE"/>
              </w:rPr>
              <w:t>pre</w:t>
            </w:r>
            <w:proofErr w:type="spellEnd"/>
            <w:r w:rsidR="00D92A98" w:rsidRPr="003F573B">
              <w:rPr>
                <w:rStyle w:val="InstructionsTabelleText"/>
                <w:rFonts w:ascii="Times New Roman" w:hAnsi="Times New Roman"/>
                <w:bCs w:val="0"/>
                <w:lang w:val="fr-BE"/>
              </w:rPr>
              <w:t>-</w:t>
            </w:r>
            <w:r w:rsidRPr="003F573B">
              <w:rPr>
                <w:rStyle w:val="InstructionsTabelleText"/>
                <w:rFonts w:ascii="Times New Roman" w:hAnsi="Times New Roman"/>
                <w:bCs w:val="0"/>
                <w:lang w:val="fr-BE"/>
              </w:rPr>
              <w:t xml:space="preserve">conversion </w:t>
            </w:r>
            <w:proofErr w:type="spellStart"/>
            <w:r w:rsidRPr="003F573B">
              <w:rPr>
                <w:rStyle w:val="InstructionsTabelleText"/>
                <w:rFonts w:ascii="Times New Roman" w:hAnsi="Times New Roman"/>
                <w:bCs w:val="0"/>
                <w:lang w:val="fr-BE"/>
              </w:rPr>
              <w:t>factors</w:t>
            </w:r>
            <w:proofErr w:type="spellEnd"/>
          </w:p>
        </w:tc>
        <w:tc>
          <w:tcPr>
            <w:tcW w:w="1842" w:type="dxa"/>
          </w:tcPr>
          <w:p w14:paraId="251928B6" w14:textId="33CE8858"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w:t>
            </w:r>
            <w:r w:rsidR="00B373EF" w:rsidRPr="00EA201D">
              <w:rPr>
                <w:rStyle w:val="InstructionsTabelleText"/>
                <w:rFonts w:ascii="Times New Roman" w:hAnsi="Times New Roman"/>
                <w:bCs w:val="0"/>
              </w:rPr>
              <w:t xml:space="preserve">olumn </w:t>
            </w:r>
            <w:r w:rsidRPr="00EA201D">
              <w:rPr>
                <w:rStyle w:val="InstructionsTabelleText"/>
                <w:rFonts w:ascii="Times New Roman" w:hAnsi="Times New Roman"/>
                <w:bCs w:val="0"/>
              </w:rPr>
              <w:t xml:space="preserve">020 of </w:t>
            </w:r>
            <w:r w:rsidR="00BB3210" w:rsidRPr="00EA201D">
              <w:rPr>
                <w:rStyle w:val="InstructionsTabelleText"/>
                <w:rFonts w:ascii="Times New Roman" w:hAnsi="Times New Roman"/>
                <w:bCs w:val="0"/>
              </w:rPr>
              <w:t>template</w:t>
            </w:r>
            <w:r w:rsidRPr="00EA201D">
              <w:rPr>
                <w:rStyle w:val="InstructionsTabelleText"/>
                <w:rFonts w:ascii="Times New Roman" w:hAnsi="Times New Roman"/>
                <w:bCs w:val="0"/>
              </w:rPr>
              <w:t xml:space="preserve"> 8.1 </w:t>
            </w:r>
            <w:r w:rsidR="00B373EF"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 xml:space="preserve">Annex </w:t>
            </w:r>
            <w:r w:rsidR="00AD074F">
              <w:rPr>
                <w:rStyle w:val="InstructionsTabelleText"/>
                <w:rFonts w:ascii="Times New Roman" w:hAnsi="Times New Roman"/>
                <w:bCs w:val="0"/>
              </w:rPr>
              <w:t>I</w:t>
            </w:r>
            <w:r w:rsidRPr="00EA201D">
              <w:rPr>
                <w:rStyle w:val="InstructionsTabelleText"/>
                <w:rFonts w:ascii="Times New Roman" w:hAnsi="Times New Roman"/>
                <w:bCs w:val="0"/>
              </w:rPr>
              <w:t xml:space="preserve"> </w:t>
            </w:r>
            <w:r w:rsidR="00AD074F">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 xml:space="preserve"> Implementing Regulation (EU) No 680/2014</w:t>
            </w:r>
          </w:p>
        </w:tc>
        <w:tc>
          <w:tcPr>
            <w:tcW w:w="9781" w:type="dxa"/>
          </w:tcPr>
          <w:p w14:paraId="513B9DD7" w14:textId="18997854" w:rsidR="00A31834" w:rsidRPr="00EA201D" w:rsidRDefault="00D72132">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The original exposure value before taking into account any value adjustments, provisions, effects due to credit risk mitigation techniques or conversion factors shall be reported.</w:t>
            </w:r>
          </w:p>
        </w:tc>
      </w:tr>
      <w:tr w:rsidR="00A31834" w:rsidRPr="00EA201D" w14:paraId="300DCABA" w14:textId="77777777" w:rsidTr="00EA201D">
        <w:tc>
          <w:tcPr>
            <w:tcW w:w="993" w:type="dxa"/>
          </w:tcPr>
          <w:p w14:paraId="1A547600"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090</w:t>
            </w:r>
          </w:p>
        </w:tc>
        <w:tc>
          <w:tcPr>
            <w:tcW w:w="1701" w:type="dxa"/>
          </w:tcPr>
          <w:p w14:paraId="353FA02A" w14:textId="6EC9CEB1"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Exposure after CRM substitution effects pre</w:t>
            </w:r>
            <w:r w:rsidR="00D92A98" w:rsidRPr="00EA201D">
              <w:rPr>
                <w:rStyle w:val="InstructionsTabelleText"/>
                <w:rFonts w:ascii="Times New Roman" w:hAnsi="Times New Roman"/>
                <w:bCs w:val="0"/>
              </w:rPr>
              <w:t>-</w:t>
            </w:r>
            <w:r w:rsidRPr="00EA201D">
              <w:rPr>
                <w:rStyle w:val="InstructionsTabelleText"/>
                <w:rFonts w:ascii="Times New Roman" w:hAnsi="Times New Roman"/>
                <w:bCs w:val="0"/>
              </w:rPr>
              <w:t>conversion factors</w:t>
            </w:r>
          </w:p>
        </w:tc>
        <w:tc>
          <w:tcPr>
            <w:tcW w:w="1842" w:type="dxa"/>
          </w:tcPr>
          <w:p w14:paraId="64F02DA4" w14:textId="33D6C331"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w:t>
            </w:r>
            <w:r w:rsidR="00B373EF" w:rsidRPr="00EA201D">
              <w:rPr>
                <w:rStyle w:val="InstructionsTabelleText"/>
                <w:rFonts w:ascii="Times New Roman" w:hAnsi="Times New Roman"/>
                <w:bCs w:val="0"/>
              </w:rPr>
              <w:t xml:space="preserve">olumn </w:t>
            </w:r>
            <w:r w:rsidRPr="00EA201D">
              <w:rPr>
                <w:rStyle w:val="InstructionsTabelleText"/>
                <w:rFonts w:ascii="Times New Roman" w:hAnsi="Times New Roman"/>
                <w:bCs w:val="0"/>
              </w:rPr>
              <w:t xml:space="preserve">090 of </w:t>
            </w:r>
            <w:r w:rsidR="00BB3210" w:rsidRPr="00EA201D">
              <w:rPr>
                <w:rStyle w:val="InstructionsTabelleText"/>
                <w:rFonts w:ascii="Times New Roman" w:hAnsi="Times New Roman"/>
                <w:bCs w:val="0"/>
              </w:rPr>
              <w:t>template</w:t>
            </w:r>
            <w:r w:rsidRPr="00EA201D">
              <w:rPr>
                <w:rStyle w:val="InstructionsTabelleText"/>
                <w:rFonts w:ascii="Times New Roman" w:hAnsi="Times New Roman"/>
                <w:bCs w:val="0"/>
              </w:rPr>
              <w:t xml:space="preserve"> 8.1 </w:t>
            </w:r>
            <w:r w:rsidR="00B373EF"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 xml:space="preserve">Annex </w:t>
            </w:r>
            <w:r w:rsidR="00D02647">
              <w:rPr>
                <w:rStyle w:val="InstructionsTabelleText"/>
                <w:rFonts w:ascii="Times New Roman" w:hAnsi="Times New Roman"/>
                <w:bCs w:val="0"/>
              </w:rPr>
              <w:t>I</w:t>
            </w:r>
            <w:r w:rsidRPr="00EA201D">
              <w:rPr>
                <w:rStyle w:val="InstructionsTabelleText"/>
                <w:rFonts w:ascii="Times New Roman" w:hAnsi="Times New Roman"/>
                <w:bCs w:val="0"/>
              </w:rPr>
              <w:t xml:space="preserve"> </w:t>
            </w:r>
            <w:r w:rsidR="00D02647">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 xml:space="preserve"> Implementing Regulation (EU) No 680/2014</w:t>
            </w:r>
          </w:p>
        </w:tc>
        <w:tc>
          <w:tcPr>
            <w:tcW w:w="9781" w:type="dxa"/>
          </w:tcPr>
          <w:p w14:paraId="6D13EA3B" w14:textId="58B5A437" w:rsidR="00A31834" w:rsidRPr="00EA201D" w:rsidRDefault="00D72132">
            <w:pPr>
              <w:pStyle w:val="InstructionsText"/>
              <w:rPr>
                <w:rStyle w:val="InstructionsTabelleText"/>
                <w:rFonts w:ascii="Times New Roman" w:hAnsi="Times New Roman"/>
                <w:bCs w:val="0"/>
              </w:rPr>
            </w:pPr>
            <w:r w:rsidRPr="00EA201D">
              <w:t xml:space="preserve">The amount to which a </w:t>
            </w:r>
            <w:r w:rsidR="00D02647">
              <w:t>conversion factor (‘</w:t>
            </w:r>
            <w:r w:rsidRPr="00EA201D">
              <w:t>CCF</w:t>
            </w:r>
            <w:r w:rsidR="00D02647">
              <w:t>’)</w:t>
            </w:r>
            <w:r w:rsidRPr="00EA201D">
              <w:t xml:space="preserve"> is applied in order to obtain the EAD shall be reported. This shall be done taking into account credit risk mitigation techniques with substitution effects on the exposure.</w:t>
            </w:r>
          </w:p>
        </w:tc>
      </w:tr>
      <w:tr w:rsidR="00A31834" w:rsidRPr="00EA201D" w14:paraId="0E4E2287" w14:textId="77777777" w:rsidTr="00EA201D">
        <w:tc>
          <w:tcPr>
            <w:tcW w:w="993" w:type="dxa"/>
          </w:tcPr>
          <w:p w14:paraId="1C270DA0"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100</w:t>
            </w:r>
          </w:p>
        </w:tc>
        <w:tc>
          <w:tcPr>
            <w:tcW w:w="1701" w:type="dxa"/>
          </w:tcPr>
          <w:p w14:paraId="2142749D"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CCF</w:t>
            </w:r>
          </w:p>
        </w:tc>
        <w:tc>
          <w:tcPr>
            <w:tcW w:w="1842" w:type="dxa"/>
          </w:tcPr>
          <w:p w14:paraId="0D807B70" w14:textId="77777777" w:rsidR="00A31834" w:rsidRPr="00EA201D" w:rsidRDefault="002A568B">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Second subparagraph of </w:t>
            </w:r>
            <w:r w:rsidR="00A31834" w:rsidRPr="00EA201D">
              <w:rPr>
                <w:rStyle w:val="InstructionsTabelleText"/>
                <w:rFonts w:ascii="Times New Roman" w:hAnsi="Times New Roman"/>
                <w:bCs w:val="0"/>
              </w:rPr>
              <w:t>Art</w:t>
            </w:r>
            <w:r w:rsidR="00B373EF" w:rsidRPr="00EA201D">
              <w:rPr>
                <w:rStyle w:val="InstructionsTabelleText"/>
                <w:rFonts w:ascii="Times New Roman" w:hAnsi="Times New Roman"/>
                <w:bCs w:val="0"/>
              </w:rPr>
              <w:t>icle</w:t>
            </w:r>
            <w:r w:rsidR="00A31834" w:rsidRPr="00EA201D">
              <w:rPr>
                <w:rStyle w:val="InstructionsTabelleText"/>
                <w:rFonts w:ascii="Times New Roman" w:hAnsi="Times New Roman"/>
                <w:bCs w:val="0"/>
              </w:rPr>
              <w:t xml:space="preserve"> 166</w:t>
            </w:r>
            <w:r w:rsidR="00B373EF" w:rsidRPr="00EA201D">
              <w:rPr>
                <w:rStyle w:val="InstructionsTabelleText"/>
                <w:rFonts w:ascii="Times New Roman" w:hAnsi="Times New Roman"/>
                <w:bCs w:val="0"/>
              </w:rPr>
              <w:t>(</w:t>
            </w:r>
            <w:r w:rsidR="00A31834" w:rsidRPr="00EA201D">
              <w:rPr>
                <w:rStyle w:val="InstructionsTabelleText"/>
                <w:rFonts w:ascii="Times New Roman" w:hAnsi="Times New Roman"/>
                <w:bCs w:val="0"/>
              </w:rPr>
              <w:t>8</w:t>
            </w:r>
            <w:r w:rsidR="00B373EF" w:rsidRPr="00EA201D">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 xml:space="preserve">of </w:t>
            </w:r>
            <w:r w:rsidR="005E0AAC" w:rsidRPr="00EA201D">
              <w:rPr>
                <w:rStyle w:val="InstructionsTabelleText"/>
                <w:rFonts w:ascii="Times New Roman" w:hAnsi="Times New Roman"/>
                <w:bCs w:val="0"/>
              </w:rPr>
              <w:t>Regulation (EU) No 575/2013</w:t>
            </w:r>
          </w:p>
        </w:tc>
        <w:tc>
          <w:tcPr>
            <w:tcW w:w="9781" w:type="dxa"/>
          </w:tcPr>
          <w:p w14:paraId="1B1E02C8" w14:textId="77777777" w:rsidR="00CB7340" w:rsidRDefault="00A117FD">
            <w:pPr>
              <w:pStyle w:val="InstructionsText"/>
            </w:pPr>
            <w:r>
              <w:t>T</w:t>
            </w:r>
            <w:r w:rsidRPr="00EA201D">
              <w:t xml:space="preserve">he weighted average </w:t>
            </w:r>
            <w:r>
              <w:t xml:space="preserve">of the </w:t>
            </w:r>
            <w:r w:rsidRPr="00EA201D">
              <w:t>CCFs shall be reported. The weights that shall be used shall be the amounts to which the CCFs are applied in order to obtain the EAD.</w:t>
            </w:r>
            <w:r>
              <w:t xml:space="preserve"> </w:t>
            </w:r>
          </w:p>
          <w:p w14:paraId="529B0C47" w14:textId="77777777" w:rsidR="00CB7340" w:rsidRDefault="00CB7340">
            <w:pPr>
              <w:pStyle w:val="InstructionsText"/>
            </w:pPr>
          </w:p>
          <w:p w14:paraId="677186F9" w14:textId="2F6DFE07" w:rsidR="004271D4" w:rsidRDefault="004271D4" w:rsidP="004271D4">
            <w:pPr>
              <w:pStyle w:val="InstructionsText"/>
            </w:pPr>
            <w:r w:rsidRPr="00341DD3">
              <w:t>For counterparties with only</w:t>
            </w:r>
            <w:r>
              <w:t xml:space="preserve"> facilities for </w:t>
            </w:r>
            <w:r w:rsidRPr="001527D7">
              <w:t>items mentioned in paragraph</w:t>
            </w:r>
            <w:r w:rsidR="00B72C74">
              <w:t xml:space="preserve"> </w:t>
            </w:r>
            <w:r w:rsidRPr="001527D7">
              <w:t>(8) of Article 166 of the CRR</w:t>
            </w:r>
            <w:r w:rsidRPr="00341DD3">
              <w:t xml:space="preserve">, the weighted </w:t>
            </w:r>
            <w:r>
              <w:t>average of the</w:t>
            </w:r>
            <w:r w:rsidRPr="00341DD3">
              <w:t xml:space="preserve"> CCF shall be based on all the facilities.</w:t>
            </w:r>
          </w:p>
          <w:p w14:paraId="0C4C5550" w14:textId="77777777" w:rsidR="004271D4" w:rsidRDefault="004271D4">
            <w:pPr>
              <w:pStyle w:val="InstructionsText"/>
            </w:pPr>
          </w:p>
          <w:p w14:paraId="2A9BF9C0" w14:textId="29B70C77" w:rsidR="004271D4" w:rsidRDefault="004271D4" w:rsidP="004271D4">
            <w:pPr>
              <w:pStyle w:val="InstructionsText"/>
            </w:pPr>
            <w:r w:rsidRPr="00341DD3">
              <w:t xml:space="preserve">For counterparties with only </w:t>
            </w:r>
            <w:r>
              <w:t>facilities which do not fall under the items</w:t>
            </w:r>
            <w:r w:rsidRPr="001527D7">
              <w:t xml:space="preserve"> mentioned in paragraph (8) of Article 166 of the CRR</w:t>
            </w:r>
            <w:r w:rsidRPr="00341DD3">
              <w:t xml:space="preserve">, the weighted </w:t>
            </w:r>
            <w:r>
              <w:t>average of the</w:t>
            </w:r>
            <w:r w:rsidRPr="00341DD3">
              <w:t xml:space="preserve"> CCF shall either be left blank or the indication ‘NULL’ shall be inserted.</w:t>
            </w:r>
          </w:p>
          <w:p w14:paraId="6072AE77" w14:textId="77777777" w:rsidR="004271D4" w:rsidRDefault="004271D4">
            <w:pPr>
              <w:pStyle w:val="InstructionsText"/>
            </w:pPr>
          </w:p>
          <w:p w14:paraId="3E93D41F" w14:textId="61A39665" w:rsidR="00341DD3" w:rsidRDefault="00341DD3" w:rsidP="00341DD3">
            <w:pPr>
              <w:pStyle w:val="InstructionsText"/>
            </w:pPr>
            <w:r w:rsidRPr="00341DD3">
              <w:t xml:space="preserve">For counterparties with </w:t>
            </w:r>
            <w:r w:rsidR="00111A56">
              <w:t xml:space="preserve">facilities </w:t>
            </w:r>
            <w:r w:rsidR="004271D4">
              <w:t xml:space="preserve">for </w:t>
            </w:r>
            <w:proofErr w:type="spellStart"/>
            <w:r w:rsidR="00713A05">
              <w:t>i</w:t>
            </w:r>
            <w:proofErr w:type="spellEnd"/>
            <w:r w:rsidR="00713A05">
              <w:t xml:space="preserve">) </w:t>
            </w:r>
            <w:r w:rsidR="004271D4">
              <w:t>items</w:t>
            </w:r>
            <w:r w:rsidR="004271D4" w:rsidRPr="001527D7">
              <w:t xml:space="preserve"> mentioned in paragraph (8) of Article 166 of the CRR</w:t>
            </w:r>
            <w:r w:rsidR="004271D4">
              <w:t xml:space="preserve"> </w:t>
            </w:r>
            <w:r w:rsidRPr="00341DD3">
              <w:t xml:space="preserve">and </w:t>
            </w:r>
            <w:r w:rsidR="004271D4">
              <w:t xml:space="preserve">ii) </w:t>
            </w:r>
            <w:r w:rsidR="00713A05">
              <w:t>items</w:t>
            </w:r>
            <w:r w:rsidR="00713A05" w:rsidRPr="001527D7">
              <w:t xml:space="preserve"> </w:t>
            </w:r>
            <w:r w:rsidR="004271D4">
              <w:t>which do not fall under the items</w:t>
            </w:r>
            <w:r w:rsidR="004271D4" w:rsidRPr="001527D7">
              <w:t xml:space="preserve"> mentioned in paragraph (8) of Article 166 of the C</w:t>
            </w:r>
            <w:r w:rsidR="004271D4">
              <w:t>R</w:t>
            </w:r>
            <w:r w:rsidR="004271D4" w:rsidRPr="001527D7">
              <w:t>R</w:t>
            </w:r>
            <w:r w:rsidRPr="00341DD3">
              <w:t xml:space="preserve">, the weighted </w:t>
            </w:r>
            <w:r w:rsidR="00111A56">
              <w:t xml:space="preserve">average of the </w:t>
            </w:r>
            <w:r w:rsidRPr="00341DD3">
              <w:t>CCF shall be based only on facilities</w:t>
            </w:r>
            <w:r w:rsidR="004271D4">
              <w:t xml:space="preserve"> which fall under </w:t>
            </w:r>
            <w:proofErr w:type="spellStart"/>
            <w:r w:rsidR="004271D4">
              <w:t>i</w:t>
            </w:r>
            <w:proofErr w:type="spellEnd"/>
            <w:r w:rsidR="004271D4">
              <w:t xml:space="preserve">) . </w:t>
            </w:r>
          </w:p>
          <w:p w14:paraId="7D44AC44" w14:textId="635B969A" w:rsidR="00485F28" w:rsidRPr="00341DD3" w:rsidRDefault="00485F28" w:rsidP="00341DD3">
            <w:pPr>
              <w:pStyle w:val="InstructionsText"/>
            </w:pPr>
            <w:bookmarkStart w:id="12" w:name="_GoBack"/>
            <w:bookmarkEnd w:id="12"/>
          </w:p>
          <w:p w14:paraId="44C6D9E3" w14:textId="60BE8201" w:rsidR="00341DD3" w:rsidRPr="00341DD3" w:rsidRDefault="00341DD3" w:rsidP="00341DD3">
            <w:pPr>
              <w:pStyle w:val="InstructionsText"/>
            </w:pPr>
            <w:r>
              <w:lastRenderedPageBreak/>
              <w:t>Where the institution applies own estimates of CCFs</w:t>
            </w:r>
            <w:r w:rsidR="001527D7">
              <w:t xml:space="preserve"> for th</w:t>
            </w:r>
            <w:r w:rsidR="004271D4">
              <w:t>e</w:t>
            </w:r>
            <w:r w:rsidR="001527D7">
              <w:t xml:space="preserve"> items mentioned </w:t>
            </w:r>
            <w:r w:rsidR="001527D7" w:rsidRPr="001527D7">
              <w:t>in paragraph (8) of Article 166</w:t>
            </w:r>
            <w:r>
              <w:t>, those CCFs shall be used to calculate the weighted average of the CCFs. Where</w:t>
            </w:r>
            <w:r w:rsidRPr="00341DD3">
              <w:t xml:space="preserve"> the </w:t>
            </w:r>
            <w:r>
              <w:t>institution do</w:t>
            </w:r>
            <w:r w:rsidRPr="00341DD3">
              <w:t>es</w:t>
            </w:r>
            <w:r>
              <w:t xml:space="preserve"> not apply own estimates of CCFs</w:t>
            </w:r>
            <w:r w:rsidR="001527D7">
              <w:t xml:space="preserve"> </w:t>
            </w:r>
            <w:r w:rsidR="004271D4">
              <w:t xml:space="preserve">for those items mentioned </w:t>
            </w:r>
            <w:r w:rsidR="001527D7" w:rsidRPr="001527D7">
              <w:t>in paragraph (8) of Article 166</w:t>
            </w:r>
            <w:r>
              <w:t xml:space="preserve">, </w:t>
            </w:r>
            <w:r w:rsidR="004271D4">
              <w:t xml:space="preserve">the </w:t>
            </w:r>
            <w:r>
              <w:t>regulatory CCFs shall be used.</w:t>
            </w:r>
          </w:p>
          <w:p w14:paraId="12F1F0CC" w14:textId="77777777" w:rsidR="00341DD3" w:rsidRDefault="00341DD3">
            <w:pPr>
              <w:pStyle w:val="InstructionsText"/>
            </w:pPr>
          </w:p>
          <w:p w14:paraId="150C2758" w14:textId="0B6C44F6" w:rsidR="009558DB" w:rsidRPr="00EA201D" w:rsidRDefault="009558DB" w:rsidP="00E847ED">
            <w:pPr>
              <w:pStyle w:val="InstructionsText"/>
              <w:rPr>
                <w:rStyle w:val="InstructionsTabelleText"/>
                <w:rFonts w:ascii="Times New Roman" w:hAnsi="Times New Roman"/>
                <w:bCs w:val="0"/>
              </w:rPr>
            </w:pPr>
            <w:r w:rsidRPr="00EA201D">
              <w:t xml:space="preserve">The </w:t>
            </w:r>
            <w:r>
              <w:t xml:space="preserve">CCF </w:t>
            </w:r>
            <w:r w:rsidRPr="00EA201D">
              <w:t>shall be expressed as a value between 0 and 1.</w:t>
            </w:r>
          </w:p>
        </w:tc>
      </w:tr>
      <w:tr w:rsidR="00A31834" w:rsidRPr="00EA201D" w14:paraId="30223AC6" w14:textId="77777777" w:rsidTr="00EA201D">
        <w:tc>
          <w:tcPr>
            <w:tcW w:w="993" w:type="dxa"/>
          </w:tcPr>
          <w:p w14:paraId="668F5A6D"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lastRenderedPageBreak/>
              <w:t>110</w:t>
            </w:r>
          </w:p>
        </w:tc>
        <w:tc>
          <w:tcPr>
            <w:tcW w:w="1701" w:type="dxa"/>
          </w:tcPr>
          <w:p w14:paraId="248CE915"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EAD</w:t>
            </w:r>
          </w:p>
        </w:tc>
        <w:tc>
          <w:tcPr>
            <w:tcW w:w="1842" w:type="dxa"/>
          </w:tcPr>
          <w:p w14:paraId="4CD68A2B" w14:textId="768A5961" w:rsidR="00A31834" w:rsidRPr="00EA201D" w:rsidRDefault="00B373EF">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A31834" w:rsidRPr="00EA201D">
              <w:rPr>
                <w:rStyle w:val="InstructionsTabelleText"/>
                <w:rFonts w:ascii="Times New Roman" w:hAnsi="Times New Roman"/>
                <w:bCs w:val="0"/>
              </w:rPr>
              <w:t xml:space="preserve">110 of </w:t>
            </w:r>
            <w:r w:rsidR="00BB3210" w:rsidRPr="00EA201D">
              <w:rPr>
                <w:rStyle w:val="InstructionsTabelleText"/>
                <w:rFonts w:ascii="Times New Roman" w:hAnsi="Times New Roman"/>
                <w:bCs w:val="0"/>
              </w:rPr>
              <w:t>template</w:t>
            </w:r>
            <w:r w:rsidR="00A31834" w:rsidRPr="00EA201D">
              <w:rPr>
                <w:rStyle w:val="InstructionsTabelleText"/>
                <w:rFonts w:ascii="Times New Roman" w:hAnsi="Times New Roman"/>
                <w:bCs w:val="0"/>
              </w:rPr>
              <w:t xml:space="preserve">8.1 </w:t>
            </w:r>
            <w:r w:rsidRPr="00EA201D">
              <w:rPr>
                <w:rStyle w:val="InstructionsTabelleText"/>
                <w:rFonts w:ascii="Times New Roman" w:hAnsi="Times New Roman"/>
                <w:bCs w:val="0"/>
              </w:rPr>
              <w:t xml:space="preserve">of </w:t>
            </w:r>
            <w:r w:rsidR="00A31834" w:rsidRPr="00EA201D">
              <w:rPr>
                <w:rStyle w:val="InstructionsTabelleText"/>
                <w:rFonts w:ascii="Times New Roman" w:hAnsi="Times New Roman"/>
                <w:bCs w:val="0"/>
              </w:rPr>
              <w:t xml:space="preserve">Annex </w:t>
            </w:r>
            <w:r w:rsidR="00D02647">
              <w:rPr>
                <w:rStyle w:val="InstructionsTabelleText"/>
                <w:rFonts w:ascii="Times New Roman" w:hAnsi="Times New Roman"/>
                <w:bCs w:val="0"/>
              </w:rPr>
              <w:t>I</w:t>
            </w:r>
            <w:r w:rsidR="00A31834" w:rsidRPr="00EA201D">
              <w:rPr>
                <w:rStyle w:val="InstructionsTabelleText"/>
                <w:rFonts w:ascii="Times New Roman" w:hAnsi="Times New Roman"/>
                <w:bCs w:val="0"/>
              </w:rPr>
              <w:t xml:space="preserve"> </w:t>
            </w:r>
            <w:r w:rsidR="00D02647">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Pr="00EA201D">
              <w:rPr>
                <w:rStyle w:val="InstructionsTabelleText"/>
                <w:rFonts w:ascii="Times New Roman" w:hAnsi="Times New Roman"/>
                <w:bCs w:val="0"/>
              </w:rPr>
              <w:t xml:space="preserve"> Implementing Regulation (EU) No 680/2014</w:t>
            </w:r>
          </w:p>
        </w:tc>
        <w:tc>
          <w:tcPr>
            <w:tcW w:w="9781" w:type="dxa"/>
          </w:tcPr>
          <w:p w14:paraId="5D7F6EA8" w14:textId="3493E5EF"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exposure value shall be </w:t>
            </w:r>
            <w:r w:rsidR="00255A42" w:rsidRPr="00EA201D">
              <w:rPr>
                <w:rStyle w:val="InstructionsTabelleText"/>
                <w:rFonts w:ascii="Times New Roman" w:hAnsi="Times New Roman"/>
                <w:bCs w:val="0"/>
              </w:rPr>
              <w:t xml:space="preserve">left </w:t>
            </w:r>
            <w:r w:rsidRPr="00EA201D">
              <w:rPr>
                <w:rStyle w:val="InstructionsTabelleText"/>
                <w:rFonts w:ascii="Times New Roman" w:hAnsi="Times New Roman"/>
                <w:bCs w:val="0"/>
              </w:rPr>
              <w:t xml:space="preserve">blank </w:t>
            </w:r>
            <w:r w:rsidR="00D02647">
              <w:rPr>
                <w:rStyle w:val="InstructionsTabelleText"/>
                <w:rFonts w:ascii="Times New Roman" w:hAnsi="Times New Roman"/>
                <w:bCs w:val="0"/>
              </w:rPr>
              <w:t>where</w:t>
            </w:r>
            <w:r w:rsidRPr="00EA201D">
              <w:rPr>
                <w:rStyle w:val="InstructionsTabelleText"/>
                <w:rFonts w:ascii="Times New Roman" w:hAnsi="Times New Roman"/>
                <w:bCs w:val="0"/>
              </w:rPr>
              <w:t xml:space="preserve"> the institution has no IRB exposure for a given counterparty. </w:t>
            </w:r>
          </w:p>
          <w:p w14:paraId="7CC51777" w14:textId="77777777" w:rsidR="00A31834" w:rsidRPr="00EA201D" w:rsidRDefault="00A31834">
            <w:pPr>
              <w:pStyle w:val="InstructionsText"/>
              <w:rPr>
                <w:rStyle w:val="InstructionsTabelleText"/>
                <w:rFonts w:ascii="Times New Roman" w:hAnsi="Times New Roman"/>
                <w:bCs w:val="0"/>
              </w:rPr>
            </w:pPr>
          </w:p>
        </w:tc>
      </w:tr>
      <w:tr w:rsidR="00A31834" w:rsidRPr="00EA201D" w14:paraId="30C7383A" w14:textId="77777777" w:rsidTr="00EA201D">
        <w:tc>
          <w:tcPr>
            <w:tcW w:w="993" w:type="dxa"/>
          </w:tcPr>
          <w:p w14:paraId="2C35923A"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120</w:t>
            </w:r>
          </w:p>
        </w:tc>
        <w:tc>
          <w:tcPr>
            <w:tcW w:w="1701" w:type="dxa"/>
          </w:tcPr>
          <w:p w14:paraId="1E377BD0"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Collateral value</w:t>
            </w:r>
          </w:p>
        </w:tc>
        <w:tc>
          <w:tcPr>
            <w:tcW w:w="1842" w:type="dxa"/>
          </w:tcPr>
          <w:p w14:paraId="51958BA4" w14:textId="3E1199FA" w:rsidR="00A31834" w:rsidRPr="00EA201D" w:rsidRDefault="00B373EF">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Columns </w:t>
            </w:r>
            <w:r w:rsidR="00A31834" w:rsidRPr="00EA201D">
              <w:rPr>
                <w:rStyle w:val="InstructionsTabelleText"/>
                <w:rFonts w:ascii="Times New Roman" w:hAnsi="Times New Roman"/>
                <w:bCs w:val="0"/>
              </w:rPr>
              <w:t xml:space="preserve">150 </w:t>
            </w:r>
            <w:r w:rsidRPr="00EA201D">
              <w:rPr>
                <w:rStyle w:val="InstructionsTabelleText"/>
                <w:rFonts w:ascii="Times New Roman" w:hAnsi="Times New Roman"/>
                <w:bCs w:val="0"/>
              </w:rPr>
              <w:t>to</w:t>
            </w:r>
            <w:r w:rsidR="00A31834" w:rsidRPr="00EA201D">
              <w:rPr>
                <w:rStyle w:val="InstructionsTabelleText"/>
                <w:rFonts w:ascii="Times New Roman" w:hAnsi="Times New Roman"/>
                <w:bCs w:val="0"/>
              </w:rPr>
              <w:t xml:space="preserve"> 210 of </w:t>
            </w:r>
            <w:r w:rsidR="00BB3210" w:rsidRPr="00EA201D">
              <w:rPr>
                <w:rStyle w:val="InstructionsTabelleText"/>
                <w:rFonts w:ascii="Times New Roman" w:hAnsi="Times New Roman"/>
                <w:bCs w:val="0"/>
              </w:rPr>
              <w:t>template</w:t>
            </w:r>
            <w:r w:rsidR="00A31834" w:rsidRPr="00EA201D">
              <w:rPr>
                <w:rStyle w:val="InstructionsTabelleText"/>
                <w:rFonts w:ascii="Times New Roman" w:hAnsi="Times New Roman"/>
                <w:bCs w:val="0"/>
              </w:rPr>
              <w:t xml:space="preserve"> 8.1 of Annex </w:t>
            </w:r>
            <w:r w:rsidR="00D02647">
              <w:rPr>
                <w:rStyle w:val="InstructionsTabelleText"/>
                <w:rFonts w:ascii="Times New Roman" w:hAnsi="Times New Roman"/>
                <w:bCs w:val="0"/>
              </w:rPr>
              <w:t>I</w:t>
            </w:r>
            <w:r w:rsidR="00A31834" w:rsidRPr="00EA201D">
              <w:rPr>
                <w:rStyle w:val="InstructionsTabelleText"/>
                <w:rFonts w:ascii="Times New Roman" w:hAnsi="Times New Roman"/>
                <w:bCs w:val="0"/>
              </w:rPr>
              <w:t xml:space="preserve"> </w:t>
            </w:r>
            <w:r w:rsidR="00D02647">
              <w:rPr>
                <w:rStyle w:val="InstructionsTabelleText"/>
                <w:rFonts w:ascii="Times New Roman" w:hAnsi="Times New Roman"/>
                <w:bCs w:val="0"/>
              </w:rPr>
              <w:t>to</w:t>
            </w:r>
            <w:r w:rsidR="00062A37">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 xml:space="preserve"> </w:t>
            </w:r>
            <w:r w:rsidRPr="00EA201D">
              <w:rPr>
                <w:rStyle w:val="InstructionsTabelleText"/>
                <w:rFonts w:ascii="Times New Roman" w:hAnsi="Times New Roman"/>
                <w:bCs w:val="0"/>
              </w:rPr>
              <w:t>Implementing Regulation (EU) No 680/2014</w:t>
            </w:r>
          </w:p>
        </w:tc>
        <w:tc>
          <w:tcPr>
            <w:tcW w:w="9781" w:type="dxa"/>
          </w:tcPr>
          <w:p w14:paraId="711AEB71" w14:textId="77777777" w:rsidR="00A31834" w:rsidRPr="00EA201D" w:rsidRDefault="00255A42">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he market value of the collateral</w:t>
            </w:r>
            <w:r w:rsidRPr="00EA201D">
              <w:rPr>
                <w:rStyle w:val="InstructionsTabelleText"/>
                <w:rFonts w:ascii="Times New Roman" w:hAnsi="Times New Roman"/>
                <w:bCs w:val="0"/>
              </w:rPr>
              <w:t xml:space="preserve"> shall be reported</w:t>
            </w:r>
            <w:r w:rsidR="00B958B2" w:rsidRPr="00EA201D">
              <w:rPr>
                <w:rStyle w:val="InstructionsTabelleText"/>
                <w:rFonts w:ascii="Times New Roman" w:hAnsi="Times New Roman"/>
                <w:bCs w:val="0"/>
              </w:rPr>
              <w:t>.</w:t>
            </w:r>
          </w:p>
        </w:tc>
      </w:tr>
      <w:tr w:rsidR="00A31834" w:rsidRPr="00EA201D" w14:paraId="1A25AB2B" w14:textId="77777777" w:rsidTr="00EA201D">
        <w:tc>
          <w:tcPr>
            <w:tcW w:w="993" w:type="dxa"/>
          </w:tcPr>
          <w:p w14:paraId="65C4CB61"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130</w:t>
            </w:r>
          </w:p>
        </w:tc>
        <w:tc>
          <w:tcPr>
            <w:tcW w:w="1701" w:type="dxa"/>
          </w:tcPr>
          <w:p w14:paraId="49BB3EED" w14:textId="77777777" w:rsidR="00A31834" w:rsidRPr="00EA201D" w:rsidRDefault="00A31834" w:rsidP="00E847ED">
            <w:pPr>
              <w:pStyle w:val="InstructionsText"/>
              <w:rPr>
                <w:rStyle w:val="InstructionsTabelleText"/>
                <w:rFonts w:ascii="Times New Roman" w:hAnsi="Times New Roman"/>
                <w:bCs w:val="0"/>
              </w:rPr>
            </w:pPr>
            <w:proofErr w:type="spellStart"/>
            <w:r w:rsidRPr="00EA201D">
              <w:rPr>
                <w:rStyle w:val="InstructionsTabelleText"/>
                <w:rFonts w:ascii="Times New Roman" w:hAnsi="Times New Roman"/>
                <w:bCs w:val="0"/>
              </w:rPr>
              <w:t>Hyp</w:t>
            </w:r>
            <w:proofErr w:type="spellEnd"/>
            <w:r w:rsidRPr="00EA201D">
              <w:rPr>
                <w:rStyle w:val="InstructionsTabelleText"/>
                <w:rFonts w:ascii="Times New Roman" w:hAnsi="Times New Roman"/>
                <w:bCs w:val="0"/>
              </w:rPr>
              <w:t xml:space="preserve"> LGD senior unsecured without negative pledge</w:t>
            </w:r>
          </w:p>
        </w:tc>
        <w:tc>
          <w:tcPr>
            <w:tcW w:w="1842" w:type="dxa"/>
          </w:tcPr>
          <w:p w14:paraId="2F69D926"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Art</w:t>
            </w:r>
            <w:r w:rsidR="00B373EF" w:rsidRPr="00EA201D">
              <w:rPr>
                <w:rStyle w:val="InstructionsTabelleText"/>
                <w:rFonts w:ascii="Times New Roman" w:hAnsi="Times New Roman"/>
                <w:bCs w:val="0"/>
              </w:rPr>
              <w:t>icle</w:t>
            </w:r>
            <w:r w:rsidRPr="00EA201D">
              <w:rPr>
                <w:rStyle w:val="InstructionsTabelleText"/>
                <w:rFonts w:ascii="Times New Roman" w:hAnsi="Times New Roman"/>
                <w:bCs w:val="0"/>
              </w:rPr>
              <w:t xml:space="preserve"> 161 </w:t>
            </w:r>
            <w:r w:rsidR="00B373EF" w:rsidRPr="00EA201D">
              <w:rPr>
                <w:rStyle w:val="InstructionsTabelleText"/>
                <w:rFonts w:ascii="Times New Roman" w:hAnsi="Times New Roman"/>
                <w:bCs w:val="0"/>
              </w:rPr>
              <w:t xml:space="preserve">of </w:t>
            </w:r>
            <w:r w:rsidR="005E0AAC" w:rsidRPr="00EA201D">
              <w:rPr>
                <w:rStyle w:val="InstructionsTabelleText"/>
                <w:rFonts w:ascii="Times New Roman" w:hAnsi="Times New Roman"/>
                <w:bCs w:val="0"/>
              </w:rPr>
              <w:t>Regulation (EU) No 575/2013</w:t>
            </w:r>
          </w:p>
        </w:tc>
        <w:tc>
          <w:tcPr>
            <w:tcW w:w="9781" w:type="dxa"/>
          </w:tcPr>
          <w:p w14:paraId="0ABC527C" w14:textId="001EE691" w:rsidR="00F61687" w:rsidRDefault="002307A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 xml:space="preserve">he hypothetical own estimates </w:t>
            </w:r>
            <w:r w:rsidRPr="00EA201D">
              <w:rPr>
                <w:rStyle w:val="InstructionsTabelleText"/>
                <w:rFonts w:ascii="Times New Roman" w:hAnsi="Times New Roman"/>
                <w:bCs w:val="0"/>
              </w:rPr>
              <w:t xml:space="preserve">of </w:t>
            </w:r>
            <w:r w:rsidR="00D02647">
              <w:rPr>
                <w:rStyle w:val="InstructionsTabelleText"/>
                <w:rFonts w:ascii="Times New Roman" w:hAnsi="Times New Roman"/>
                <w:bCs w:val="0"/>
              </w:rPr>
              <w:t>loss given default (‘</w:t>
            </w:r>
            <w:r w:rsidR="00A31834" w:rsidRPr="00EA201D">
              <w:rPr>
                <w:rStyle w:val="InstructionsTabelleText"/>
                <w:rFonts w:ascii="Times New Roman" w:hAnsi="Times New Roman"/>
                <w:bCs w:val="0"/>
              </w:rPr>
              <w:t>LGD</w:t>
            </w:r>
            <w:r w:rsidR="00D02647">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that would be applied by the institution to the </w:t>
            </w:r>
            <w:r w:rsidR="00771B5F" w:rsidRPr="00EA201D">
              <w:rPr>
                <w:rStyle w:val="InstructionsTabelleText"/>
                <w:rFonts w:ascii="Times New Roman" w:hAnsi="Times New Roman"/>
                <w:bCs w:val="0"/>
              </w:rPr>
              <w:t xml:space="preserve">counterparty </w:t>
            </w:r>
            <w:r w:rsidR="00001EA2">
              <w:rPr>
                <w:rStyle w:val="InstructionsTabelleText"/>
                <w:rFonts w:ascii="Times New Roman" w:hAnsi="Times New Roman"/>
                <w:bCs w:val="0"/>
              </w:rPr>
              <w:t>shall be reported in accordance with</w:t>
            </w:r>
            <w:r w:rsidR="00F61687">
              <w:rPr>
                <w:rStyle w:val="InstructionsTabelleText"/>
                <w:rFonts w:ascii="Times New Roman" w:hAnsi="Times New Roman"/>
                <w:bCs w:val="0"/>
              </w:rPr>
              <w:t xml:space="preserve"> the following:</w:t>
            </w:r>
          </w:p>
          <w:p w14:paraId="75B5240E" w14:textId="77777777" w:rsidR="00B032D5" w:rsidRPr="00EA201D" w:rsidRDefault="00B032D5">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The scope of exposures is the same as for the LGD value reported in column 150;</w:t>
            </w:r>
          </w:p>
          <w:p w14:paraId="41351217" w14:textId="77777777" w:rsidR="00AC6FED" w:rsidRDefault="00F61687">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 xml:space="preserve">The exposure is </w:t>
            </w:r>
            <w:r w:rsidR="00AC6FED">
              <w:rPr>
                <w:rStyle w:val="InstructionsTabelleText"/>
                <w:rFonts w:ascii="Times New Roman" w:hAnsi="Times New Roman"/>
                <w:bCs w:val="0"/>
              </w:rPr>
              <w:t xml:space="preserve">senior and </w:t>
            </w:r>
            <w:r>
              <w:rPr>
                <w:rStyle w:val="InstructionsTabelleText"/>
                <w:rFonts w:ascii="Times New Roman" w:hAnsi="Times New Roman"/>
                <w:bCs w:val="0"/>
              </w:rPr>
              <w:t>unsecured</w:t>
            </w:r>
            <w:r w:rsidR="00AC6FED">
              <w:rPr>
                <w:rStyle w:val="InstructionsTabelleText"/>
                <w:rFonts w:ascii="Times New Roman" w:hAnsi="Times New Roman"/>
                <w:bCs w:val="0"/>
              </w:rPr>
              <w:t>;</w:t>
            </w:r>
          </w:p>
          <w:p w14:paraId="2C03D080" w14:textId="2186FED9" w:rsidR="00AC6FED" w:rsidRDefault="00DC657B">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No</w:t>
            </w:r>
            <w:r w:rsidRPr="00EA201D">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negative pledge</w:t>
            </w:r>
            <w:r w:rsidR="007913A2" w:rsidRPr="00EA201D">
              <w:rPr>
                <w:rStyle w:val="InstructionsTabelleText"/>
                <w:rFonts w:ascii="Times New Roman" w:hAnsi="Times New Roman"/>
                <w:bCs w:val="0"/>
              </w:rPr>
              <w:t xml:space="preserve"> clause</w:t>
            </w:r>
            <w:r w:rsidR="00AC6FED">
              <w:rPr>
                <w:rStyle w:val="InstructionsTabelleText"/>
                <w:rFonts w:ascii="Times New Roman" w:hAnsi="Times New Roman"/>
                <w:bCs w:val="0"/>
              </w:rPr>
              <w:t xml:space="preserve"> is in place</w:t>
            </w:r>
            <w:r w:rsidR="00B032D5">
              <w:rPr>
                <w:rStyle w:val="InstructionsTabelleText"/>
                <w:rFonts w:ascii="Times New Roman" w:hAnsi="Times New Roman"/>
                <w:bCs w:val="0"/>
              </w:rPr>
              <w:t>.</w:t>
            </w:r>
          </w:p>
          <w:p w14:paraId="296297AB" w14:textId="77777777" w:rsidR="002A568B" w:rsidRPr="00EA201D" w:rsidRDefault="002A568B">
            <w:pPr>
              <w:pStyle w:val="InstructionsText"/>
              <w:rPr>
                <w:rStyle w:val="InstructionsTabelleText"/>
                <w:rFonts w:ascii="Times New Roman" w:hAnsi="Times New Roman"/>
                <w:bCs w:val="0"/>
              </w:rPr>
            </w:pPr>
          </w:p>
          <w:p w14:paraId="46613471" w14:textId="77777777" w:rsidR="00A31834" w:rsidRPr="00EA201D" w:rsidRDefault="007913A2">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w:t>
            </w:r>
            <w:r w:rsidR="00A31834" w:rsidRPr="00EA201D">
              <w:rPr>
                <w:rStyle w:val="InstructionsTabelleText"/>
                <w:rFonts w:ascii="Times New Roman" w:hAnsi="Times New Roman"/>
                <w:bCs w:val="0"/>
              </w:rPr>
              <w:t xml:space="preserve"> negative pledge clause </w:t>
            </w:r>
            <w:r w:rsidR="002307AD" w:rsidRPr="00EA201D">
              <w:rPr>
                <w:rStyle w:val="InstructionsTabelleText"/>
                <w:rFonts w:ascii="Times New Roman" w:hAnsi="Times New Roman"/>
                <w:bCs w:val="0"/>
              </w:rPr>
              <w:t xml:space="preserve">is a clause </w:t>
            </w:r>
            <w:r w:rsidR="00A31834" w:rsidRPr="00EA201D">
              <w:rPr>
                <w:rStyle w:val="InstructionsTabelleText"/>
                <w:rFonts w:ascii="Times New Roman" w:hAnsi="Times New Roman"/>
                <w:bCs w:val="0"/>
              </w:rPr>
              <w:t>stating that the borrower or debt issuer will not pledge any of its assets to another party</w:t>
            </w:r>
            <w:r w:rsidRPr="00EA201D">
              <w:rPr>
                <w:rStyle w:val="InstructionsTabelleText"/>
                <w:rFonts w:ascii="Times New Roman" w:hAnsi="Times New Roman"/>
                <w:bCs w:val="0"/>
              </w:rPr>
              <w:t>.</w:t>
            </w:r>
          </w:p>
        </w:tc>
      </w:tr>
      <w:tr w:rsidR="00A31834" w:rsidRPr="00EA201D" w14:paraId="36F9B0FD" w14:textId="77777777" w:rsidTr="00EA201D">
        <w:tc>
          <w:tcPr>
            <w:tcW w:w="993" w:type="dxa"/>
          </w:tcPr>
          <w:p w14:paraId="32245B7A"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140</w:t>
            </w:r>
          </w:p>
        </w:tc>
        <w:tc>
          <w:tcPr>
            <w:tcW w:w="1701" w:type="dxa"/>
          </w:tcPr>
          <w:p w14:paraId="37D61C68" w14:textId="77777777" w:rsidR="00A31834" w:rsidRPr="00EA201D" w:rsidRDefault="00A31834" w:rsidP="00E847ED">
            <w:pPr>
              <w:pStyle w:val="InstructionsText"/>
              <w:rPr>
                <w:rStyle w:val="InstructionsTabelleText"/>
                <w:rFonts w:ascii="Times New Roman" w:hAnsi="Times New Roman"/>
                <w:bCs w:val="0"/>
              </w:rPr>
            </w:pPr>
            <w:proofErr w:type="spellStart"/>
            <w:r w:rsidRPr="00EA201D">
              <w:rPr>
                <w:rStyle w:val="InstructionsTabelleText"/>
                <w:rFonts w:ascii="Times New Roman" w:hAnsi="Times New Roman"/>
                <w:bCs w:val="0"/>
              </w:rPr>
              <w:t>Hyp</w:t>
            </w:r>
            <w:proofErr w:type="spellEnd"/>
            <w:r w:rsidRPr="00EA201D">
              <w:rPr>
                <w:rStyle w:val="InstructionsTabelleText"/>
                <w:rFonts w:ascii="Times New Roman" w:hAnsi="Times New Roman"/>
                <w:bCs w:val="0"/>
              </w:rPr>
              <w:t xml:space="preserve"> LGD senior unsecured with negative pledge</w:t>
            </w:r>
          </w:p>
        </w:tc>
        <w:tc>
          <w:tcPr>
            <w:tcW w:w="1842" w:type="dxa"/>
          </w:tcPr>
          <w:p w14:paraId="2C0C8764" w14:textId="77777777" w:rsidR="00A31834" w:rsidRPr="00EA201D" w:rsidRDefault="00A3183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Art</w:t>
            </w:r>
            <w:r w:rsidR="00B373EF" w:rsidRPr="00EA201D">
              <w:rPr>
                <w:rStyle w:val="InstructionsTabelleText"/>
                <w:rFonts w:ascii="Times New Roman" w:hAnsi="Times New Roman"/>
                <w:bCs w:val="0"/>
              </w:rPr>
              <w:t>icle</w:t>
            </w:r>
            <w:r w:rsidRPr="00EA201D">
              <w:rPr>
                <w:rStyle w:val="InstructionsTabelleText"/>
                <w:rFonts w:ascii="Times New Roman" w:hAnsi="Times New Roman"/>
                <w:bCs w:val="0"/>
              </w:rPr>
              <w:t xml:space="preserve"> 161 </w:t>
            </w:r>
            <w:r w:rsidR="00B373EF" w:rsidRPr="00EA201D">
              <w:rPr>
                <w:rStyle w:val="InstructionsTabelleText"/>
                <w:rFonts w:ascii="Times New Roman" w:hAnsi="Times New Roman"/>
                <w:bCs w:val="0"/>
              </w:rPr>
              <w:t xml:space="preserve">of </w:t>
            </w:r>
            <w:r w:rsidR="005E0AAC" w:rsidRPr="00EA201D">
              <w:rPr>
                <w:rStyle w:val="InstructionsTabelleText"/>
                <w:rFonts w:ascii="Times New Roman" w:hAnsi="Times New Roman"/>
                <w:bCs w:val="0"/>
              </w:rPr>
              <w:t>Regulation (EU) No 575/2013</w:t>
            </w:r>
          </w:p>
        </w:tc>
        <w:tc>
          <w:tcPr>
            <w:tcW w:w="9781" w:type="dxa"/>
          </w:tcPr>
          <w:p w14:paraId="77B2D759" w14:textId="77777777" w:rsidR="00AC6FED" w:rsidRDefault="002A568B">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he hypothetical own estimate</w:t>
            </w:r>
            <w:r w:rsidR="00D33EDF">
              <w:rPr>
                <w:rStyle w:val="InstructionsTabelleText"/>
                <w:rFonts w:ascii="Times New Roman" w:hAnsi="Times New Roman"/>
                <w:bCs w:val="0"/>
              </w:rPr>
              <w:t>s of</w:t>
            </w:r>
            <w:r w:rsidR="00A31834" w:rsidRPr="00EA201D">
              <w:rPr>
                <w:rStyle w:val="InstructionsTabelleText"/>
                <w:rFonts w:ascii="Times New Roman" w:hAnsi="Times New Roman"/>
                <w:bCs w:val="0"/>
              </w:rPr>
              <w:t xml:space="preserve"> LGD that would be applied by the institution to the </w:t>
            </w:r>
            <w:r w:rsidR="00771B5F" w:rsidRPr="00EA201D">
              <w:rPr>
                <w:rStyle w:val="InstructionsTabelleText"/>
                <w:rFonts w:ascii="Times New Roman" w:hAnsi="Times New Roman"/>
                <w:bCs w:val="0"/>
              </w:rPr>
              <w:t>counterparty</w:t>
            </w:r>
            <w:r w:rsidR="00001EA2">
              <w:rPr>
                <w:rStyle w:val="InstructionsTabelleText"/>
                <w:rFonts w:ascii="Times New Roman" w:hAnsi="Times New Roman"/>
                <w:bCs w:val="0"/>
              </w:rPr>
              <w:t xml:space="preserve"> shall be reported</w:t>
            </w:r>
            <w:r w:rsidR="00771B5F" w:rsidRPr="00EA201D">
              <w:rPr>
                <w:rStyle w:val="InstructionsTabelleText"/>
                <w:rFonts w:ascii="Times New Roman" w:hAnsi="Times New Roman"/>
                <w:bCs w:val="0"/>
              </w:rPr>
              <w:t xml:space="preserve"> </w:t>
            </w:r>
            <w:r w:rsidR="00001EA2">
              <w:rPr>
                <w:rStyle w:val="InstructionsTabelleText"/>
                <w:rFonts w:ascii="Times New Roman" w:hAnsi="Times New Roman"/>
                <w:bCs w:val="0"/>
              </w:rPr>
              <w:t>in accordance with</w:t>
            </w:r>
            <w:r w:rsidR="00AC6FED">
              <w:rPr>
                <w:rStyle w:val="InstructionsTabelleText"/>
                <w:rFonts w:ascii="Times New Roman" w:hAnsi="Times New Roman"/>
                <w:bCs w:val="0"/>
              </w:rPr>
              <w:t xml:space="preserve"> the following:</w:t>
            </w:r>
          </w:p>
          <w:p w14:paraId="22FC713D" w14:textId="77777777" w:rsidR="00B032D5" w:rsidRDefault="00B032D5">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The scope of exposures is the same as for the LGD value reported in column 150;</w:t>
            </w:r>
          </w:p>
          <w:p w14:paraId="4990E709" w14:textId="77777777" w:rsidR="00AC6FED" w:rsidRDefault="00AC6FED">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The exposure is senior and unsecured;</w:t>
            </w:r>
          </w:p>
          <w:p w14:paraId="56FC0EBF" w14:textId="317E75AC" w:rsidR="00AC6FED" w:rsidRDefault="00DC657B">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A</w:t>
            </w:r>
            <w:r w:rsidRPr="00EA201D">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negative pledge clause</w:t>
            </w:r>
            <w:r w:rsidR="00B032D5">
              <w:rPr>
                <w:rStyle w:val="InstructionsTabelleText"/>
                <w:rFonts w:ascii="Times New Roman" w:hAnsi="Times New Roman"/>
                <w:bCs w:val="0"/>
              </w:rPr>
              <w:t xml:space="preserve"> is in place.</w:t>
            </w:r>
          </w:p>
          <w:p w14:paraId="78841145" w14:textId="77777777" w:rsidR="002A568B" w:rsidRPr="00EA201D" w:rsidRDefault="002A568B">
            <w:pPr>
              <w:pStyle w:val="InstructionsText"/>
              <w:rPr>
                <w:rStyle w:val="InstructionsTabelleText"/>
                <w:rFonts w:ascii="Times New Roman" w:hAnsi="Times New Roman"/>
                <w:bCs w:val="0"/>
              </w:rPr>
            </w:pPr>
          </w:p>
          <w:p w14:paraId="7D977894" w14:textId="77777777" w:rsidR="00A31834" w:rsidRPr="00EA201D" w:rsidRDefault="007913A2">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w:t>
            </w:r>
            <w:r w:rsidR="00A31834" w:rsidRPr="00EA201D">
              <w:rPr>
                <w:rStyle w:val="InstructionsTabelleText"/>
                <w:rFonts w:ascii="Times New Roman" w:hAnsi="Times New Roman"/>
                <w:bCs w:val="0"/>
              </w:rPr>
              <w:t xml:space="preserve"> negative pledge clause </w:t>
            </w:r>
            <w:r w:rsidR="002A568B" w:rsidRPr="00EA201D">
              <w:rPr>
                <w:rStyle w:val="InstructionsTabelleText"/>
                <w:rFonts w:ascii="Times New Roman" w:hAnsi="Times New Roman"/>
                <w:bCs w:val="0"/>
              </w:rPr>
              <w:t>is</w:t>
            </w:r>
            <w:r w:rsidRPr="00EA201D">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 xml:space="preserve">a </w:t>
            </w:r>
            <w:r w:rsidR="002A568B" w:rsidRPr="00EA201D">
              <w:rPr>
                <w:rStyle w:val="InstructionsTabelleText"/>
                <w:rFonts w:ascii="Times New Roman" w:hAnsi="Times New Roman"/>
                <w:bCs w:val="0"/>
              </w:rPr>
              <w:t xml:space="preserve">clause </w:t>
            </w:r>
            <w:r w:rsidR="00A31834" w:rsidRPr="00EA201D">
              <w:rPr>
                <w:rStyle w:val="InstructionsTabelleText"/>
                <w:rFonts w:ascii="Times New Roman" w:hAnsi="Times New Roman"/>
                <w:bCs w:val="0"/>
              </w:rPr>
              <w:t>stating that the borrower or debt issuer will not pledge any of its assets to another party</w:t>
            </w:r>
            <w:r w:rsidR="002A568B" w:rsidRPr="00EA201D">
              <w:rPr>
                <w:rStyle w:val="InstructionsTabelleText"/>
                <w:rFonts w:ascii="Times New Roman" w:hAnsi="Times New Roman"/>
                <w:bCs w:val="0"/>
              </w:rPr>
              <w:t>.</w:t>
            </w:r>
          </w:p>
        </w:tc>
      </w:tr>
      <w:tr w:rsidR="00A31834" w:rsidRPr="00EA201D" w14:paraId="0D52052B" w14:textId="77777777" w:rsidTr="00EA201D">
        <w:tc>
          <w:tcPr>
            <w:tcW w:w="993" w:type="dxa"/>
          </w:tcPr>
          <w:p w14:paraId="2407B10E"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150</w:t>
            </w:r>
          </w:p>
        </w:tc>
        <w:tc>
          <w:tcPr>
            <w:tcW w:w="1701" w:type="dxa"/>
          </w:tcPr>
          <w:p w14:paraId="56202314"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LGD</w:t>
            </w:r>
          </w:p>
        </w:tc>
        <w:tc>
          <w:tcPr>
            <w:tcW w:w="1842" w:type="dxa"/>
          </w:tcPr>
          <w:p w14:paraId="29EE8A90" w14:textId="6A6A9823" w:rsidR="00A31834" w:rsidRPr="00EA201D" w:rsidRDefault="00B373EF">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Column</w:t>
            </w:r>
            <w:r w:rsidR="00BF2945">
              <w:rPr>
                <w:rStyle w:val="InstructionsTabelleText"/>
                <w:rFonts w:ascii="Times New Roman" w:hAnsi="Times New Roman"/>
                <w:bCs w:val="0"/>
              </w:rPr>
              <w:t>s</w:t>
            </w:r>
            <w:r w:rsidRPr="00EA201D">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230</w:t>
            </w:r>
            <w:r w:rsidR="00BF2945">
              <w:rPr>
                <w:rStyle w:val="InstructionsTabelleText"/>
                <w:rFonts w:ascii="Times New Roman" w:hAnsi="Times New Roman"/>
                <w:bCs w:val="0"/>
              </w:rPr>
              <w:t xml:space="preserve"> and 240</w:t>
            </w:r>
            <w:r w:rsidR="00A31834" w:rsidRPr="00EA201D">
              <w:rPr>
                <w:rStyle w:val="InstructionsTabelleText"/>
                <w:rFonts w:ascii="Times New Roman" w:hAnsi="Times New Roman"/>
                <w:bCs w:val="0"/>
              </w:rPr>
              <w:t xml:space="preserve"> of </w:t>
            </w:r>
            <w:r w:rsidR="00BB3210" w:rsidRPr="00EA201D">
              <w:rPr>
                <w:rStyle w:val="InstructionsTabelleText"/>
                <w:rFonts w:ascii="Times New Roman" w:hAnsi="Times New Roman"/>
                <w:bCs w:val="0"/>
              </w:rPr>
              <w:t>template</w:t>
            </w:r>
            <w:r w:rsidR="00A31834" w:rsidRPr="00EA201D">
              <w:rPr>
                <w:rStyle w:val="InstructionsTabelleText"/>
                <w:rFonts w:ascii="Times New Roman" w:hAnsi="Times New Roman"/>
                <w:bCs w:val="0"/>
              </w:rPr>
              <w:t xml:space="preserve"> 8.1 </w:t>
            </w:r>
            <w:r w:rsidRPr="00EA201D">
              <w:rPr>
                <w:rStyle w:val="InstructionsTabelleText"/>
                <w:rFonts w:ascii="Times New Roman" w:hAnsi="Times New Roman"/>
                <w:bCs w:val="0"/>
              </w:rPr>
              <w:t xml:space="preserve">of </w:t>
            </w:r>
            <w:r w:rsidR="00A31834" w:rsidRPr="00EA201D">
              <w:rPr>
                <w:rStyle w:val="InstructionsTabelleText"/>
                <w:rFonts w:ascii="Times New Roman" w:hAnsi="Times New Roman"/>
                <w:bCs w:val="0"/>
              </w:rPr>
              <w:t xml:space="preserve">Annex </w:t>
            </w:r>
            <w:r w:rsidR="00062A37">
              <w:rPr>
                <w:rStyle w:val="InstructionsTabelleText"/>
                <w:rFonts w:ascii="Times New Roman" w:hAnsi="Times New Roman"/>
                <w:bCs w:val="0"/>
              </w:rPr>
              <w:t>I</w:t>
            </w:r>
            <w:r w:rsidR="00A31834" w:rsidRPr="00EA201D">
              <w:rPr>
                <w:rStyle w:val="InstructionsTabelleText"/>
                <w:rFonts w:ascii="Times New Roman" w:hAnsi="Times New Roman"/>
                <w:bCs w:val="0"/>
              </w:rPr>
              <w:t xml:space="preserve"> </w:t>
            </w:r>
            <w:r w:rsidR="00062A37">
              <w:rPr>
                <w:rStyle w:val="InstructionsTabelleText"/>
                <w:rFonts w:ascii="Times New Roman" w:hAnsi="Times New Roman"/>
                <w:bCs w:val="0"/>
              </w:rPr>
              <w:t xml:space="preserve">to </w:t>
            </w:r>
            <w:r w:rsidRPr="00EA201D">
              <w:rPr>
                <w:rStyle w:val="InstructionsTabelleText"/>
                <w:rFonts w:ascii="Times New Roman" w:hAnsi="Times New Roman"/>
                <w:bCs w:val="0"/>
              </w:rPr>
              <w:t xml:space="preserve"> Implementing </w:t>
            </w:r>
            <w:r w:rsidRPr="00EA201D">
              <w:rPr>
                <w:rStyle w:val="InstructionsTabelleText"/>
                <w:rFonts w:ascii="Times New Roman" w:hAnsi="Times New Roman"/>
                <w:bCs w:val="0"/>
              </w:rPr>
              <w:lastRenderedPageBreak/>
              <w:t>Regulation (EU) No 680/2014</w:t>
            </w:r>
          </w:p>
        </w:tc>
        <w:tc>
          <w:tcPr>
            <w:tcW w:w="9781" w:type="dxa"/>
          </w:tcPr>
          <w:p w14:paraId="3F46770D" w14:textId="77777777" w:rsidR="00A31834" w:rsidRPr="00EA201D" w:rsidRDefault="008468A4">
            <w:pPr>
              <w:pStyle w:val="InstructionsText"/>
              <w:rPr>
                <w:rStyle w:val="InstructionsTabelleText"/>
                <w:rFonts w:ascii="Times New Roman" w:hAnsi="Times New Roman"/>
                <w:bCs w:val="0"/>
              </w:rPr>
            </w:pPr>
            <w:r w:rsidRPr="00EA201D">
              <w:rPr>
                <w:rStyle w:val="InstructionsTabelleText"/>
                <w:rFonts w:ascii="Times New Roman" w:hAnsi="Times New Roman"/>
                <w:bCs w:val="0"/>
              </w:rPr>
              <w:lastRenderedPageBreak/>
              <w:t>T</w:t>
            </w:r>
            <w:r w:rsidR="00A31834" w:rsidRPr="00EA201D">
              <w:rPr>
                <w:rStyle w:val="InstructionsTabelleText"/>
                <w:rFonts w:ascii="Times New Roman" w:hAnsi="Times New Roman"/>
                <w:bCs w:val="0"/>
              </w:rPr>
              <w:t xml:space="preserve">he </w:t>
            </w:r>
            <w:r w:rsidR="00AE7BEE">
              <w:rPr>
                <w:rStyle w:val="InstructionsTabelleText"/>
                <w:rFonts w:ascii="Times New Roman" w:hAnsi="Times New Roman"/>
                <w:bCs w:val="0"/>
              </w:rPr>
              <w:t>EAD</w:t>
            </w:r>
            <w:r w:rsidRPr="00EA201D">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weighted own estimates </w:t>
            </w:r>
            <w:r w:rsidRPr="00EA201D">
              <w:rPr>
                <w:rStyle w:val="InstructionsTabelleText"/>
                <w:rFonts w:ascii="Times New Roman" w:hAnsi="Times New Roman"/>
                <w:bCs w:val="0"/>
              </w:rPr>
              <w:t xml:space="preserve">of LGD </w:t>
            </w:r>
            <w:r w:rsidR="00A31834" w:rsidRPr="00EA201D">
              <w:rPr>
                <w:rStyle w:val="InstructionsTabelleText"/>
                <w:rFonts w:ascii="Times New Roman" w:hAnsi="Times New Roman"/>
                <w:bCs w:val="0"/>
              </w:rPr>
              <w:t xml:space="preserve">or </w:t>
            </w:r>
            <w:r w:rsidRPr="00EA201D">
              <w:rPr>
                <w:rStyle w:val="InstructionsTabelleText"/>
                <w:rFonts w:ascii="Times New Roman" w:hAnsi="Times New Roman"/>
                <w:bCs w:val="0"/>
              </w:rPr>
              <w:t xml:space="preserve">the </w:t>
            </w:r>
            <w:r w:rsidR="0011434F">
              <w:rPr>
                <w:rStyle w:val="InstructionsTabelleText"/>
                <w:rFonts w:ascii="Times New Roman" w:hAnsi="Times New Roman"/>
                <w:bCs w:val="0"/>
              </w:rPr>
              <w:t>EAD-weighted</w:t>
            </w:r>
            <w:r w:rsidR="00860CCF" w:rsidRPr="00EA201D">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 xml:space="preserve">regulatory LGD applied by the institution to the exposures </w:t>
            </w:r>
            <w:r w:rsidRPr="00EA201D">
              <w:rPr>
                <w:rStyle w:val="InstructionsTabelleText"/>
                <w:rFonts w:ascii="Times New Roman" w:hAnsi="Times New Roman"/>
                <w:bCs w:val="0"/>
              </w:rPr>
              <w:t xml:space="preserve">to </w:t>
            </w:r>
            <w:r w:rsidR="00A31834" w:rsidRPr="00EA201D">
              <w:rPr>
                <w:rStyle w:val="InstructionsTabelleText"/>
                <w:rFonts w:ascii="Times New Roman" w:hAnsi="Times New Roman"/>
                <w:bCs w:val="0"/>
              </w:rPr>
              <w:t>each counterparty</w:t>
            </w:r>
            <w:r w:rsidRPr="00EA201D">
              <w:rPr>
                <w:rStyle w:val="InstructionsTabelleText"/>
                <w:rFonts w:ascii="Times New Roman" w:hAnsi="Times New Roman"/>
                <w:bCs w:val="0"/>
              </w:rPr>
              <w:t xml:space="preserve"> shall be reported</w:t>
            </w:r>
            <w:r w:rsidR="007913A2" w:rsidRPr="00EA201D">
              <w:rPr>
                <w:rStyle w:val="InstructionsTabelleText"/>
                <w:rFonts w:ascii="Times New Roman" w:hAnsi="Times New Roman"/>
                <w:bCs w:val="0"/>
              </w:rPr>
              <w:t>.</w:t>
            </w:r>
            <w:r w:rsidR="0011434F">
              <w:rPr>
                <w:rStyle w:val="InstructionsTabelleText"/>
                <w:rFonts w:ascii="Times New Roman" w:hAnsi="Times New Roman"/>
                <w:bCs w:val="0"/>
              </w:rPr>
              <w:t xml:space="preserve"> </w:t>
            </w:r>
          </w:p>
        </w:tc>
      </w:tr>
      <w:tr w:rsidR="00A31834" w:rsidRPr="00EA201D" w14:paraId="16F25850" w14:textId="77777777" w:rsidTr="00EA201D">
        <w:tc>
          <w:tcPr>
            <w:tcW w:w="993" w:type="dxa"/>
          </w:tcPr>
          <w:p w14:paraId="1E9CF520"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160</w:t>
            </w:r>
          </w:p>
        </w:tc>
        <w:tc>
          <w:tcPr>
            <w:tcW w:w="1701" w:type="dxa"/>
          </w:tcPr>
          <w:p w14:paraId="06749070"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Maturity</w:t>
            </w:r>
          </w:p>
        </w:tc>
        <w:tc>
          <w:tcPr>
            <w:tcW w:w="1842" w:type="dxa"/>
          </w:tcPr>
          <w:p w14:paraId="40D5DAED" w14:textId="05B7C52B" w:rsidR="00A31834" w:rsidRPr="00EA201D" w:rsidRDefault="00FC6D77">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A31834" w:rsidRPr="00EA201D">
              <w:rPr>
                <w:rStyle w:val="InstructionsTabelleText"/>
                <w:rFonts w:ascii="Times New Roman" w:hAnsi="Times New Roman"/>
                <w:bCs w:val="0"/>
              </w:rPr>
              <w:t xml:space="preserve">250 of </w:t>
            </w:r>
            <w:r w:rsidR="00BB3210" w:rsidRPr="00EA201D">
              <w:rPr>
                <w:rStyle w:val="InstructionsTabelleText"/>
                <w:rFonts w:ascii="Times New Roman" w:hAnsi="Times New Roman"/>
                <w:bCs w:val="0"/>
              </w:rPr>
              <w:t>template</w:t>
            </w:r>
            <w:r w:rsidR="00B776EE">
              <w:rPr>
                <w:rStyle w:val="InstructionsTabelleText"/>
                <w:rFonts w:ascii="Times New Roman" w:hAnsi="Times New Roman"/>
                <w:bCs w:val="0"/>
              </w:rPr>
              <w:t xml:space="preserve"> </w:t>
            </w:r>
            <w:r w:rsidR="00A31834" w:rsidRPr="00EA201D">
              <w:rPr>
                <w:rStyle w:val="InstructionsTabelleText"/>
                <w:rFonts w:ascii="Times New Roman" w:hAnsi="Times New Roman"/>
                <w:bCs w:val="0"/>
              </w:rPr>
              <w:t xml:space="preserve">8.1 of Annex </w:t>
            </w:r>
            <w:r w:rsidR="00062A37">
              <w:rPr>
                <w:rStyle w:val="InstructionsTabelleText"/>
                <w:rFonts w:ascii="Times New Roman" w:hAnsi="Times New Roman"/>
                <w:bCs w:val="0"/>
              </w:rPr>
              <w:t>I</w:t>
            </w:r>
            <w:r w:rsidR="00A31834" w:rsidRPr="00EA201D">
              <w:rPr>
                <w:rStyle w:val="InstructionsTabelleText"/>
                <w:rFonts w:ascii="Times New Roman" w:hAnsi="Times New Roman"/>
                <w:bCs w:val="0"/>
              </w:rPr>
              <w:t xml:space="preserve"> </w:t>
            </w:r>
            <w:r w:rsidR="00062A37">
              <w:rPr>
                <w:rStyle w:val="InstructionsTabelleText"/>
                <w:rFonts w:ascii="Times New Roman" w:hAnsi="Times New Roman"/>
                <w:bCs w:val="0"/>
              </w:rPr>
              <w:t xml:space="preserve">to </w:t>
            </w:r>
            <w:r w:rsidR="00A31834" w:rsidRPr="00EA201D">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Implementing Regulation (EU) No 680/2014</w:t>
            </w:r>
          </w:p>
        </w:tc>
        <w:tc>
          <w:tcPr>
            <w:tcW w:w="9781" w:type="dxa"/>
          </w:tcPr>
          <w:p w14:paraId="673C7F73" w14:textId="77777777" w:rsidR="00A31834" w:rsidRPr="00EA201D" w:rsidRDefault="00860CCF">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 xml:space="preserve">he </w:t>
            </w:r>
            <w:r w:rsidR="0011434F">
              <w:rPr>
                <w:rStyle w:val="InstructionsTabelleText"/>
                <w:rFonts w:ascii="Times New Roman" w:hAnsi="Times New Roman"/>
                <w:bCs w:val="0"/>
              </w:rPr>
              <w:t>EAD-weighted</w:t>
            </w:r>
            <w:r w:rsidR="00A31834" w:rsidRPr="00EA201D">
              <w:rPr>
                <w:rStyle w:val="InstructionsTabelleText"/>
                <w:rFonts w:ascii="Times New Roman" w:hAnsi="Times New Roman"/>
                <w:bCs w:val="0"/>
              </w:rPr>
              <w:t xml:space="preserve"> maturity for the exposures </w:t>
            </w:r>
            <w:r w:rsidRPr="00EA201D">
              <w:rPr>
                <w:rStyle w:val="InstructionsTabelleText"/>
                <w:rFonts w:ascii="Times New Roman" w:hAnsi="Times New Roman"/>
                <w:bCs w:val="0"/>
              </w:rPr>
              <w:t>to</w:t>
            </w:r>
            <w:r w:rsidR="00A31834" w:rsidRPr="00EA201D">
              <w:rPr>
                <w:rStyle w:val="InstructionsTabelleText"/>
                <w:rFonts w:ascii="Times New Roman" w:hAnsi="Times New Roman"/>
                <w:bCs w:val="0"/>
              </w:rPr>
              <w:t xml:space="preserve"> each counterparty</w:t>
            </w:r>
            <w:r w:rsidRPr="00EA201D">
              <w:rPr>
                <w:rStyle w:val="InstructionsTabelleText"/>
                <w:rFonts w:ascii="Times New Roman" w:hAnsi="Times New Roman"/>
                <w:bCs w:val="0"/>
              </w:rPr>
              <w:t xml:space="preserve"> shall be reported</w:t>
            </w:r>
            <w:r w:rsidR="007913A2" w:rsidRPr="00EA201D">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w:t>
            </w:r>
            <w:r w:rsidR="00935B3F" w:rsidRPr="00EA201D">
              <w:rPr>
                <w:rStyle w:val="InstructionsTabelleText"/>
                <w:rFonts w:ascii="Times New Roman" w:hAnsi="Times New Roman"/>
                <w:bCs w:val="0"/>
              </w:rPr>
              <w:t>It</w:t>
            </w:r>
            <w:r w:rsidRPr="00EA201D">
              <w:rPr>
                <w:rStyle w:val="InstructionsTabelleText"/>
                <w:rFonts w:ascii="Times New Roman" w:hAnsi="Times New Roman"/>
                <w:bCs w:val="0"/>
              </w:rPr>
              <w:t xml:space="preserve"> shall be expressed in number of days.</w:t>
            </w:r>
          </w:p>
        </w:tc>
      </w:tr>
      <w:tr w:rsidR="00A31834" w:rsidRPr="00EA201D" w14:paraId="378AF4B4" w14:textId="77777777" w:rsidTr="00EA201D">
        <w:tc>
          <w:tcPr>
            <w:tcW w:w="993" w:type="dxa"/>
          </w:tcPr>
          <w:p w14:paraId="6A32C05D"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170</w:t>
            </w:r>
          </w:p>
        </w:tc>
        <w:tc>
          <w:tcPr>
            <w:tcW w:w="1701" w:type="dxa"/>
          </w:tcPr>
          <w:p w14:paraId="380A9EAE" w14:textId="77777777" w:rsidR="00A31834" w:rsidRPr="00EA201D" w:rsidRDefault="00A31834"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RWA</w:t>
            </w:r>
          </w:p>
        </w:tc>
        <w:tc>
          <w:tcPr>
            <w:tcW w:w="1842" w:type="dxa"/>
          </w:tcPr>
          <w:p w14:paraId="0A764C76" w14:textId="31536C71" w:rsidR="00A31834" w:rsidRPr="00EA201D" w:rsidRDefault="00FC6D77">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A31834" w:rsidRPr="00EA201D">
              <w:rPr>
                <w:rStyle w:val="InstructionsTabelleText"/>
                <w:rFonts w:ascii="Times New Roman" w:hAnsi="Times New Roman"/>
                <w:bCs w:val="0"/>
              </w:rPr>
              <w:t xml:space="preserve">260 of </w:t>
            </w:r>
            <w:r w:rsidR="00381DF5" w:rsidRPr="00EA201D">
              <w:rPr>
                <w:rStyle w:val="InstructionsTabelleText"/>
                <w:rFonts w:ascii="Times New Roman" w:hAnsi="Times New Roman"/>
                <w:bCs w:val="0"/>
              </w:rPr>
              <w:t>template</w:t>
            </w:r>
            <w:r w:rsidR="00A31834" w:rsidRPr="00EA201D">
              <w:rPr>
                <w:rStyle w:val="InstructionsTabelleText"/>
                <w:rFonts w:ascii="Times New Roman" w:hAnsi="Times New Roman"/>
                <w:bCs w:val="0"/>
              </w:rPr>
              <w:t xml:space="preserve"> 8.1 of Annex </w:t>
            </w:r>
            <w:r w:rsidR="00062A37">
              <w:rPr>
                <w:rStyle w:val="InstructionsTabelleText"/>
                <w:rFonts w:ascii="Times New Roman" w:hAnsi="Times New Roman"/>
                <w:bCs w:val="0"/>
              </w:rPr>
              <w:t>I</w:t>
            </w:r>
            <w:r w:rsidR="00A31834" w:rsidRPr="00EA201D">
              <w:rPr>
                <w:rStyle w:val="InstructionsTabelleText"/>
                <w:rFonts w:ascii="Times New Roman" w:hAnsi="Times New Roman"/>
                <w:bCs w:val="0"/>
              </w:rPr>
              <w:t xml:space="preserve"> </w:t>
            </w:r>
            <w:r w:rsidR="00062A37">
              <w:rPr>
                <w:rStyle w:val="InstructionsTabelleText"/>
                <w:rFonts w:ascii="Times New Roman" w:hAnsi="Times New Roman"/>
                <w:bCs w:val="0"/>
              </w:rPr>
              <w:t xml:space="preserve">to </w:t>
            </w:r>
            <w:r w:rsidR="00062A37" w:rsidRPr="00EA201D">
              <w:rPr>
                <w:rStyle w:val="InstructionsTabelleText"/>
                <w:rFonts w:ascii="Times New Roman" w:hAnsi="Times New Roman"/>
                <w:bCs w:val="0"/>
              </w:rPr>
              <w:t xml:space="preserve"> </w:t>
            </w:r>
            <w:r w:rsidR="00B373EF" w:rsidRPr="00EA201D">
              <w:rPr>
                <w:rStyle w:val="InstructionsTabelleText"/>
                <w:rFonts w:ascii="Times New Roman" w:hAnsi="Times New Roman"/>
                <w:bCs w:val="0"/>
              </w:rPr>
              <w:t>Implementing Regulation (EU) No 680/2014</w:t>
            </w:r>
          </w:p>
        </w:tc>
        <w:tc>
          <w:tcPr>
            <w:tcW w:w="9781" w:type="dxa"/>
          </w:tcPr>
          <w:p w14:paraId="775FF6C6" w14:textId="370A1E24" w:rsidR="00A31834" w:rsidRPr="00EA201D" w:rsidRDefault="00860CCF">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A31834" w:rsidRPr="00EA201D">
              <w:rPr>
                <w:rStyle w:val="InstructionsTabelleText"/>
                <w:rFonts w:ascii="Times New Roman" w:hAnsi="Times New Roman"/>
                <w:bCs w:val="0"/>
              </w:rPr>
              <w:t xml:space="preserve">he </w:t>
            </w:r>
            <w:r w:rsidRPr="00EA201D">
              <w:rPr>
                <w:rStyle w:val="InstructionsTabelleText"/>
                <w:rFonts w:ascii="Times New Roman" w:hAnsi="Times New Roman"/>
                <w:bCs w:val="0"/>
              </w:rPr>
              <w:t>risk-</w:t>
            </w:r>
            <w:r w:rsidR="00A31834" w:rsidRPr="00EA201D">
              <w:rPr>
                <w:rStyle w:val="InstructionsTabelleText"/>
                <w:rFonts w:ascii="Times New Roman" w:hAnsi="Times New Roman"/>
                <w:bCs w:val="0"/>
              </w:rPr>
              <w:t xml:space="preserve">weighted exposure amount after </w:t>
            </w:r>
            <w:r w:rsidRPr="00EA201D">
              <w:rPr>
                <w:rStyle w:val="InstructionsTabelleText"/>
                <w:rFonts w:ascii="Times New Roman" w:hAnsi="Times New Roman"/>
                <w:bCs w:val="0"/>
              </w:rPr>
              <w:t xml:space="preserve">applying the </w:t>
            </w:r>
            <w:r w:rsidR="00D02647">
              <w:rPr>
                <w:rStyle w:val="InstructionsTabelleText"/>
                <w:rFonts w:ascii="Times New Roman" w:hAnsi="Times New Roman"/>
                <w:bCs w:val="0"/>
              </w:rPr>
              <w:t>small- and medium-sized enterprise (‘</w:t>
            </w:r>
            <w:r w:rsidR="00A31834" w:rsidRPr="00EA201D">
              <w:rPr>
                <w:rStyle w:val="InstructionsTabelleText"/>
                <w:rFonts w:ascii="Times New Roman" w:hAnsi="Times New Roman"/>
                <w:bCs w:val="0"/>
              </w:rPr>
              <w:t>SME</w:t>
            </w:r>
            <w:r w:rsidR="00D02647">
              <w:rPr>
                <w:rStyle w:val="InstructionsTabelleText"/>
                <w:rFonts w:ascii="Times New Roman" w:hAnsi="Times New Roman"/>
                <w:bCs w:val="0"/>
              </w:rPr>
              <w:t>’)</w:t>
            </w:r>
            <w:r w:rsidR="00A31834" w:rsidRPr="00EA201D">
              <w:rPr>
                <w:rStyle w:val="InstructionsTabelleText"/>
                <w:rFonts w:ascii="Times New Roman" w:hAnsi="Times New Roman"/>
                <w:bCs w:val="0"/>
              </w:rPr>
              <w:t xml:space="preserve"> supporting factor</w:t>
            </w:r>
            <w:r w:rsidRPr="00EA201D">
              <w:rPr>
                <w:rStyle w:val="InstructionsTabelleText"/>
                <w:rFonts w:ascii="Times New Roman" w:hAnsi="Times New Roman"/>
                <w:bCs w:val="0"/>
              </w:rPr>
              <w:t xml:space="preserve"> shall be reported</w:t>
            </w:r>
            <w:r w:rsidR="007913A2" w:rsidRPr="00EA201D">
              <w:rPr>
                <w:rStyle w:val="InstructionsTabelleText"/>
                <w:rFonts w:ascii="Times New Roman" w:hAnsi="Times New Roman"/>
                <w:bCs w:val="0"/>
              </w:rPr>
              <w:t>.</w:t>
            </w:r>
          </w:p>
        </w:tc>
      </w:tr>
      <w:bookmarkEnd w:id="0"/>
      <w:bookmarkEnd w:id="1"/>
    </w:tbl>
    <w:p w14:paraId="1F312EB6" w14:textId="77777777" w:rsidR="00633DEB" w:rsidRPr="00EA201D" w:rsidRDefault="00C43DCF" w:rsidP="00C61FF5">
      <w:pPr>
        <w:rPr>
          <w:rStyle w:val="InstructionsTabelleText"/>
          <w:rFonts w:ascii="Times New Roman" w:hAnsi="Times New Roman"/>
          <w:szCs w:val="20"/>
        </w:rPr>
      </w:pPr>
      <w:r w:rsidRPr="00EA201D">
        <w:rPr>
          <w:rStyle w:val="InstructionsTabelleText"/>
          <w:rFonts w:ascii="Times New Roman" w:hAnsi="Times New Roman"/>
          <w:szCs w:val="20"/>
        </w:rPr>
        <w:br w:type="page"/>
      </w:r>
    </w:p>
    <w:p w14:paraId="13C0D738" w14:textId="77777777" w:rsidR="00062A37" w:rsidRDefault="00242338" w:rsidP="005464C0">
      <w:pPr>
        <w:pStyle w:val="Heading3"/>
        <w:rPr>
          <w:lang w:val="en-GB"/>
        </w:rPr>
      </w:pPr>
      <w:bookmarkStart w:id="13" w:name="_Toc5720719"/>
      <w:r w:rsidRPr="00EA201D">
        <w:rPr>
          <w:lang w:val="en-GB"/>
        </w:rPr>
        <w:lastRenderedPageBreak/>
        <w:t>C 102 – Details on exposures in L</w:t>
      </w:r>
      <w:r w:rsidR="00126276" w:rsidRPr="00EA201D">
        <w:rPr>
          <w:lang w:val="en-GB"/>
        </w:rPr>
        <w:t xml:space="preserve">ow </w:t>
      </w:r>
      <w:r w:rsidRPr="00EA201D">
        <w:rPr>
          <w:lang w:val="en-GB"/>
        </w:rPr>
        <w:t>D</w:t>
      </w:r>
      <w:r w:rsidR="00126276" w:rsidRPr="00EA201D">
        <w:rPr>
          <w:lang w:val="en-GB"/>
        </w:rPr>
        <w:t xml:space="preserve">efault </w:t>
      </w:r>
      <w:r w:rsidRPr="00EA201D">
        <w:rPr>
          <w:lang w:val="en-GB"/>
        </w:rPr>
        <w:t>P</w:t>
      </w:r>
      <w:r w:rsidR="00126276" w:rsidRPr="00EA201D">
        <w:rPr>
          <w:lang w:val="en-GB"/>
        </w:rPr>
        <w:t>ortfolios</w:t>
      </w:r>
      <w:bookmarkEnd w:id="13"/>
    </w:p>
    <w:p w14:paraId="34AA1ECE" w14:textId="19D14952" w:rsidR="00062A37" w:rsidRDefault="00062A37" w:rsidP="00062A37">
      <w:pPr>
        <w:rPr>
          <w:rFonts w:ascii="Times New Roman" w:hAnsi="Times New Roman"/>
          <w:szCs w:val="20"/>
          <w:lang w:eastAsia="de-DE"/>
        </w:rPr>
      </w:pPr>
      <w:r w:rsidRPr="000A0AD0">
        <w:rPr>
          <w:rFonts w:ascii="Times New Roman" w:hAnsi="Times New Roman"/>
          <w:szCs w:val="20"/>
          <w:lang w:eastAsia="de-DE"/>
        </w:rPr>
        <w:t>For portfolios defined in Annex I</w:t>
      </w:r>
      <w:r>
        <w:rPr>
          <w:rFonts w:ascii="Times New Roman" w:hAnsi="Times New Roman"/>
          <w:szCs w:val="20"/>
          <w:lang w:eastAsia="de-DE"/>
        </w:rPr>
        <w:t xml:space="preserve"> </w:t>
      </w:r>
      <w:r w:rsidRPr="000A0AD0">
        <w:rPr>
          <w:rFonts w:ascii="Times New Roman" w:hAnsi="Times New Roman"/>
          <w:szCs w:val="20"/>
          <w:lang w:eastAsia="de-DE"/>
        </w:rPr>
        <w:t>with a collatera</w:t>
      </w:r>
      <w:r>
        <w:rPr>
          <w:rFonts w:ascii="Times New Roman" w:hAnsi="Times New Roman"/>
          <w:szCs w:val="20"/>
          <w:lang w:eastAsia="de-DE"/>
        </w:rPr>
        <w:t>lisation status other than '</w:t>
      </w:r>
      <w:r w:rsidRPr="000A0AD0">
        <w:rPr>
          <w:rFonts w:ascii="Times New Roman" w:hAnsi="Times New Roman"/>
          <w:szCs w:val="20"/>
          <w:lang w:eastAsia="de-DE"/>
        </w:rPr>
        <w:t>Not applicable</w:t>
      </w:r>
      <w:r>
        <w:rPr>
          <w:rFonts w:ascii="Times New Roman" w:hAnsi="Times New Roman"/>
          <w:szCs w:val="20"/>
          <w:lang w:eastAsia="de-DE"/>
        </w:rPr>
        <w:t>'</w:t>
      </w:r>
      <w:r w:rsidR="003530A7">
        <w:rPr>
          <w:rFonts w:ascii="Times New Roman" w:hAnsi="Times New Roman"/>
          <w:szCs w:val="20"/>
          <w:lang w:eastAsia="de-DE"/>
        </w:rPr>
        <w:t xml:space="preserve">, the following information may </w:t>
      </w:r>
      <w:r w:rsidRPr="000A0AD0">
        <w:rPr>
          <w:rFonts w:ascii="Times New Roman" w:hAnsi="Times New Roman"/>
          <w:szCs w:val="20"/>
          <w:lang w:eastAsia="de-DE"/>
        </w:rPr>
        <w:t xml:space="preserve">be omitted </w:t>
      </w:r>
      <w:r>
        <w:rPr>
          <w:rFonts w:ascii="Times New Roman" w:hAnsi="Times New Roman"/>
          <w:szCs w:val="20"/>
          <w:lang w:eastAsia="de-DE"/>
        </w:rPr>
        <w:t>where</w:t>
      </w:r>
      <w:r w:rsidRPr="000A0AD0">
        <w:rPr>
          <w:rFonts w:ascii="Times New Roman" w:hAnsi="Times New Roman"/>
          <w:szCs w:val="20"/>
          <w:lang w:eastAsia="de-DE"/>
        </w:rPr>
        <w:t xml:space="preserve"> the approved model does not accommodate distinct LGD calculations for the secured and unsecured parts of an exposure: LGD (c</w:t>
      </w:r>
      <w:r>
        <w:rPr>
          <w:rFonts w:ascii="Times New Roman" w:hAnsi="Times New Roman"/>
          <w:szCs w:val="20"/>
          <w:lang w:eastAsia="de-DE"/>
        </w:rPr>
        <w:t xml:space="preserve">olumn </w:t>
      </w:r>
      <w:r w:rsidRPr="000A0AD0">
        <w:rPr>
          <w:rFonts w:ascii="Times New Roman" w:hAnsi="Times New Roman"/>
          <w:szCs w:val="20"/>
          <w:lang w:eastAsia="de-DE"/>
        </w:rPr>
        <w:t>130), Expected Loss (c</w:t>
      </w:r>
      <w:r>
        <w:rPr>
          <w:rFonts w:ascii="Times New Roman" w:hAnsi="Times New Roman"/>
          <w:szCs w:val="20"/>
          <w:lang w:eastAsia="de-DE"/>
        </w:rPr>
        <w:t xml:space="preserve">olumn </w:t>
      </w:r>
      <w:r w:rsidRPr="000A0AD0">
        <w:rPr>
          <w:rFonts w:ascii="Times New Roman" w:hAnsi="Times New Roman"/>
          <w:szCs w:val="20"/>
          <w:lang w:eastAsia="de-DE"/>
        </w:rPr>
        <w:t>150) and RWA (c</w:t>
      </w:r>
      <w:r>
        <w:rPr>
          <w:rFonts w:ascii="Times New Roman" w:hAnsi="Times New Roman"/>
          <w:szCs w:val="20"/>
          <w:lang w:eastAsia="de-DE"/>
        </w:rPr>
        <w:t xml:space="preserve">olumn </w:t>
      </w:r>
      <w:r w:rsidRPr="000A0AD0">
        <w:rPr>
          <w:rFonts w:ascii="Times New Roman" w:hAnsi="Times New Roman"/>
          <w:szCs w:val="20"/>
          <w:lang w:eastAsia="de-DE"/>
        </w:rPr>
        <w:t>170).</w:t>
      </w:r>
    </w:p>
    <w:p w14:paraId="7D6CA231" w14:textId="1292AAE1" w:rsidR="00062A37" w:rsidRPr="00A65E84" w:rsidRDefault="00062A37" w:rsidP="00062A37">
      <w:r>
        <w:rPr>
          <w:rFonts w:ascii="Times New Roman" w:hAnsi="Times New Roman"/>
          <w:szCs w:val="20"/>
          <w:lang w:eastAsia="de-DE"/>
        </w:rPr>
        <w:t xml:space="preserve">For portfolios with the regulatory approach defined as “Specialised lending slotting criteria”, the following information </w:t>
      </w:r>
      <w:r w:rsidR="00653857">
        <w:rPr>
          <w:rFonts w:ascii="Times New Roman" w:hAnsi="Times New Roman"/>
          <w:szCs w:val="20"/>
          <w:lang w:eastAsia="de-DE"/>
        </w:rPr>
        <w:t>may</w:t>
      </w:r>
      <w:r w:rsidR="002373C9">
        <w:rPr>
          <w:rFonts w:ascii="Times New Roman" w:hAnsi="Times New Roman"/>
          <w:szCs w:val="20"/>
          <w:lang w:eastAsia="de-DE"/>
        </w:rPr>
        <w:t xml:space="preserve"> </w:t>
      </w:r>
      <w:r>
        <w:rPr>
          <w:rFonts w:ascii="Times New Roman" w:hAnsi="Times New Roman"/>
          <w:szCs w:val="20"/>
          <w:lang w:eastAsia="de-DE"/>
        </w:rPr>
        <w:t>be omitted: PD (c060), LGD (c130)</w:t>
      </w:r>
    </w:p>
    <w:p w14:paraId="049DCF72" w14:textId="50128F50" w:rsidR="00062A37" w:rsidRPr="006F68DA" w:rsidRDefault="00062A37" w:rsidP="0069463A">
      <w:pPr>
        <w:rPr>
          <w:rFonts w:ascii="Times New Roman" w:hAnsi="Times New Roman"/>
          <w:szCs w:val="20"/>
          <w:lang w:eastAsia="de-DE"/>
        </w:rPr>
      </w:pPr>
      <w:r w:rsidRPr="006F68DA">
        <w:rPr>
          <w:rFonts w:ascii="Times New Roman" w:hAnsi="Times New Roman"/>
          <w:szCs w:val="20"/>
          <w:lang w:eastAsia="de-DE"/>
        </w:rPr>
        <w:t xml:space="preserve">For </w:t>
      </w:r>
      <w:r w:rsidR="00472708">
        <w:rPr>
          <w:rFonts w:ascii="Times New Roman" w:hAnsi="Times New Roman"/>
          <w:szCs w:val="20"/>
          <w:lang w:eastAsia="de-DE"/>
        </w:rPr>
        <w:t xml:space="preserve">all </w:t>
      </w:r>
      <w:r w:rsidRPr="006F68DA">
        <w:rPr>
          <w:rFonts w:ascii="Times New Roman" w:hAnsi="Times New Roman"/>
          <w:szCs w:val="20"/>
          <w:lang w:eastAsia="de-DE"/>
        </w:rPr>
        <w:t>portfolios defined in Annex I template 102 the following information may b</w:t>
      </w:r>
      <w:r w:rsidR="009C3310" w:rsidRPr="006F68DA">
        <w:rPr>
          <w:rFonts w:ascii="Times New Roman" w:hAnsi="Times New Roman"/>
          <w:szCs w:val="20"/>
          <w:lang w:eastAsia="de-DE"/>
        </w:rPr>
        <w:t>e omitted: RWA Standardised (c180).</w:t>
      </w:r>
    </w:p>
    <w:p w14:paraId="3CD9CE2A" w14:textId="30F36606" w:rsidR="00507E20" w:rsidRPr="00EA201D" w:rsidRDefault="00126276" w:rsidP="005464C0">
      <w:pPr>
        <w:pStyle w:val="Heading3"/>
        <w:rPr>
          <w:lang w:val="en-GB"/>
        </w:rPr>
      </w:pPr>
      <w:r w:rsidRPr="00EA201D">
        <w:rPr>
          <w:lang w:val="en-GB"/>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842"/>
        <w:gridCol w:w="9781"/>
      </w:tblGrid>
      <w:tr w:rsidR="00807CFF" w:rsidRPr="00EA201D" w14:paraId="6421C68D" w14:textId="77777777" w:rsidTr="00585623">
        <w:tc>
          <w:tcPr>
            <w:tcW w:w="993" w:type="dxa"/>
            <w:shd w:val="clear" w:color="auto" w:fill="D9D9D9"/>
          </w:tcPr>
          <w:p w14:paraId="0AC6F721" w14:textId="77777777" w:rsidR="00807CFF" w:rsidRPr="00EA201D" w:rsidRDefault="00807CFF" w:rsidP="001F1AEB">
            <w:pPr>
              <w:spacing w:before="0" w:after="0"/>
              <w:ind w:left="33"/>
              <w:rPr>
                <w:rFonts w:ascii="Times New Roman" w:hAnsi="Times New Roman"/>
                <w:bCs/>
                <w:szCs w:val="20"/>
                <w:lang w:eastAsia="de-DE"/>
              </w:rPr>
            </w:pPr>
            <w:r w:rsidRPr="00EA201D">
              <w:rPr>
                <w:rFonts w:ascii="Times New Roman" w:hAnsi="Times New Roman"/>
                <w:bCs/>
                <w:szCs w:val="20"/>
                <w:lang w:eastAsia="de-DE"/>
              </w:rPr>
              <w:t>Column</w:t>
            </w:r>
          </w:p>
        </w:tc>
        <w:tc>
          <w:tcPr>
            <w:tcW w:w="1701" w:type="dxa"/>
            <w:shd w:val="clear" w:color="auto" w:fill="D9D9D9"/>
          </w:tcPr>
          <w:p w14:paraId="0E03669D" w14:textId="77777777" w:rsidR="00807CFF" w:rsidRPr="00EA201D" w:rsidRDefault="00807CFF" w:rsidP="00E847ED">
            <w:pPr>
              <w:pStyle w:val="InstructionsText"/>
              <w:rPr>
                <w:rStyle w:val="InstructionsTabelleText"/>
                <w:rFonts w:ascii="Times New Roman" w:hAnsi="Times New Roman"/>
              </w:rPr>
            </w:pPr>
            <w:r w:rsidRPr="00EA201D">
              <w:rPr>
                <w:rStyle w:val="InstructionsTabelleText"/>
                <w:rFonts w:ascii="Times New Roman" w:hAnsi="Times New Roman"/>
              </w:rPr>
              <w:t>Label</w:t>
            </w:r>
          </w:p>
        </w:tc>
        <w:tc>
          <w:tcPr>
            <w:tcW w:w="1842" w:type="dxa"/>
            <w:shd w:val="clear" w:color="auto" w:fill="D9D9D9"/>
          </w:tcPr>
          <w:p w14:paraId="33843C4C" w14:textId="77777777" w:rsidR="00807CFF" w:rsidRPr="00EA201D" w:rsidRDefault="00807CFF" w:rsidP="001F1AEB">
            <w:pPr>
              <w:spacing w:before="0" w:after="0"/>
              <w:ind w:left="33"/>
              <w:rPr>
                <w:rFonts w:ascii="Times New Roman" w:hAnsi="Times New Roman"/>
                <w:bCs/>
                <w:szCs w:val="20"/>
                <w:lang w:eastAsia="de-DE"/>
              </w:rPr>
            </w:pPr>
            <w:r w:rsidRPr="00EA201D">
              <w:rPr>
                <w:rFonts w:ascii="Times New Roman" w:hAnsi="Times New Roman"/>
                <w:bCs/>
                <w:szCs w:val="20"/>
                <w:lang w:eastAsia="de-DE"/>
              </w:rPr>
              <w:t>Legal reference</w:t>
            </w:r>
          </w:p>
        </w:tc>
        <w:tc>
          <w:tcPr>
            <w:tcW w:w="9781" w:type="dxa"/>
            <w:shd w:val="clear" w:color="auto" w:fill="D9D9D9"/>
          </w:tcPr>
          <w:p w14:paraId="730A1057" w14:textId="77777777" w:rsidR="00807CFF" w:rsidRPr="00EA201D" w:rsidRDefault="00807CFF" w:rsidP="001F1AEB">
            <w:pPr>
              <w:spacing w:before="0" w:after="0"/>
              <w:ind w:left="33"/>
              <w:rPr>
                <w:rFonts w:ascii="Times New Roman" w:hAnsi="Times New Roman"/>
                <w:bCs/>
                <w:szCs w:val="20"/>
                <w:lang w:eastAsia="de-DE"/>
              </w:rPr>
            </w:pPr>
            <w:r w:rsidRPr="00EA201D">
              <w:rPr>
                <w:rFonts w:ascii="Times New Roman" w:hAnsi="Times New Roman"/>
                <w:bCs/>
                <w:szCs w:val="20"/>
                <w:lang w:eastAsia="de-DE"/>
              </w:rPr>
              <w:t>Instructions</w:t>
            </w:r>
          </w:p>
        </w:tc>
      </w:tr>
      <w:tr w:rsidR="00807CFF" w:rsidRPr="00EA201D" w14:paraId="32E9C52A" w14:textId="77777777" w:rsidTr="00585623">
        <w:tc>
          <w:tcPr>
            <w:tcW w:w="993" w:type="dxa"/>
          </w:tcPr>
          <w:p w14:paraId="0E8F3636"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010</w:t>
            </w:r>
          </w:p>
        </w:tc>
        <w:tc>
          <w:tcPr>
            <w:tcW w:w="1701" w:type="dxa"/>
          </w:tcPr>
          <w:p w14:paraId="271F7F46"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Portfolio ID</w:t>
            </w:r>
          </w:p>
        </w:tc>
        <w:tc>
          <w:tcPr>
            <w:tcW w:w="1842" w:type="dxa"/>
          </w:tcPr>
          <w:p w14:paraId="7E62691B" w14:textId="77777777" w:rsidR="00807CFF" w:rsidRPr="00EA201D" w:rsidRDefault="00B373E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807CFF" w:rsidRPr="00EA201D">
              <w:rPr>
                <w:rStyle w:val="InstructionsTabelleText"/>
                <w:rFonts w:ascii="Times New Roman" w:hAnsi="Times New Roman"/>
                <w:bCs w:val="0"/>
              </w:rPr>
              <w:t xml:space="preserve">010 of </w:t>
            </w:r>
            <w:r w:rsidRPr="00EA201D">
              <w:rPr>
                <w:rStyle w:val="InstructionsTabelleText"/>
                <w:rFonts w:ascii="Times New Roman" w:hAnsi="Times New Roman"/>
                <w:bCs w:val="0"/>
              </w:rPr>
              <w:t xml:space="preserve">template </w:t>
            </w:r>
            <w:r w:rsidR="00807CFF" w:rsidRPr="00EA201D">
              <w:rPr>
                <w:rStyle w:val="InstructionsTabelleText"/>
                <w:rFonts w:ascii="Times New Roman" w:hAnsi="Times New Roman"/>
                <w:bCs w:val="0"/>
              </w:rPr>
              <w:t xml:space="preserve">102 of Annex I </w:t>
            </w:r>
          </w:p>
        </w:tc>
        <w:tc>
          <w:tcPr>
            <w:tcW w:w="9781" w:type="dxa"/>
          </w:tcPr>
          <w:p w14:paraId="7D0A92E7" w14:textId="1399AD2D" w:rsidR="00234ACE" w:rsidRDefault="00D92A98" w:rsidP="00234ACE">
            <w:pPr>
              <w:spacing w:before="0" w:after="0"/>
              <w:ind w:left="33"/>
              <w:rPr>
                <w:rFonts w:ascii="Times New Roman" w:hAnsi="Times New Roman"/>
                <w:szCs w:val="20"/>
                <w:lang w:eastAsia="de-DE"/>
              </w:rPr>
            </w:pPr>
            <w:r w:rsidRPr="00EA201D">
              <w:rPr>
                <w:rFonts w:ascii="Times New Roman" w:hAnsi="Times New Roman"/>
                <w:szCs w:val="20"/>
                <w:lang w:eastAsia="de-DE"/>
              </w:rPr>
              <w:t>T</w:t>
            </w:r>
            <w:r w:rsidR="00D91E06" w:rsidRPr="00EA201D">
              <w:rPr>
                <w:rFonts w:ascii="Times New Roman" w:hAnsi="Times New Roman"/>
                <w:szCs w:val="20"/>
                <w:lang w:eastAsia="de-DE"/>
              </w:rPr>
              <w:t>he code assigned by the EBA to each portfolio</w:t>
            </w:r>
            <w:r w:rsidR="003E4D9B" w:rsidRPr="00EA201D">
              <w:rPr>
                <w:rFonts w:ascii="Times New Roman" w:hAnsi="Times New Roman"/>
                <w:szCs w:val="20"/>
                <w:lang w:eastAsia="de-DE"/>
              </w:rPr>
              <w:t xml:space="preserve"> shall be reported</w:t>
            </w:r>
            <w:r w:rsidR="00D91E06" w:rsidRPr="00EA201D">
              <w:rPr>
                <w:rFonts w:ascii="Times New Roman" w:hAnsi="Times New Roman"/>
                <w:szCs w:val="20"/>
                <w:lang w:eastAsia="de-DE"/>
              </w:rPr>
              <w:t>. This code is a row identifier and shall be unique for each row in the table.</w:t>
            </w:r>
          </w:p>
          <w:p w14:paraId="538D9DB3" w14:textId="7FD4BBCE" w:rsidR="001535A4" w:rsidRDefault="0046507C" w:rsidP="001535A4">
            <w:pPr>
              <w:autoSpaceDE w:val="0"/>
              <w:autoSpaceDN w:val="0"/>
              <w:adjustRightInd w:val="0"/>
              <w:spacing w:after="0"/>
              <w:rPr>
                <w:rFonts w:ascii="Times New Roman" w:hAnsi="Times New Roman"/>
                <w:szCs w:val="20"/>
                <w:lang w:eastAsia="de-DE"/>
              </w:rPr>
            </w:pPr>
            <w:r>
              <w:rPr>
                <w:rFonts w:ascii="Times New Roman" w:hAnsi="Times New Roman"/>
                <w:szCs w:val="20"/>
                <w:lang w:eastAsia="de-DE"/>
              </w:rPr>
              <w:t xml:space="preserve">The assignment of exposures to portfolio IDs is not </w:t>
            </w:r>
            <w:r w:rsidR="00F05648">
              <w:rPr>
                <w:rFonts w:ascii="Times New Roman" w:hAnsi="Times New Roman"/>
                <w:szCs w:val="20"/>
                <w:lang w:eastAsia="de-DE"/>
              </w:rPr>
              <w:t xml:space="preserve">exclusive: </w:t>
            </w:r>
            <w:r w:rsidR="00234ACE">
              <w:rPr>
                <w:rFonts w:ascii="Times New Roman" w:hAnsi="Times New Roman"/>
                <w:szCs w:val="20"/>
                <w:lang w:eastAsia="de-DE"/>
              </w:rPr>
              <w:t>E</w:t>
            </w:r>
            <w:r w:rsidR="001535A4" w:rsidRPr="001535A4">
              <w:rPr>
                <w:rFonts w:ascii="Times New Roman" w:hAnsi="Times New Roman"/>
                <w:szCs w:val="20"/>
                <w:lang w:eastAsia="de-DE"/>
              </w:rPr>
              <w:t xml:space="preserve">xposures </w:t>
            </w:r>
            <w:r w:rsidR="00234ACE">
              <w:rPr>
                <w:rFonts w:ascii="Times New Roman" w:hAnsi="Times New Roman"/>
                <w:szCs w:val="20"/>
                <w:lang w:eastAsia="de-DE"/>
              </w:rPr>
              <w:t xml:space="preserve">or parts of exposures shall </w:t>
            </w:r>
            <w:r w:rsidR="001535A4" w:rsidRPr="001535A4">
              <w:rPr>
                <w:rFonts w:ascii="Times New Roman" w:hAnsi="Times New Roman"/>
                <w:szCs w:val="20"/>
                <w:lang w:eastAsia="de-DE"/>
              </w:rPr>
              <w:t xml:space="preserve">be reported </w:t>
            </w:r>
            <w:r w:rsidR="00234ACE">
              <w:rPr>
                <w:rFonts w:ascii="Times New Roman" w:hAnsi="Times New Roman"/>
                <w:szCs w:val="20"/>
                <w:lang w:eastAsia="de-DE"/>
              </w:rPr>
              <w:t xml:space="preserve">under each </w:t>
            </w:r>
            <w:r w:rsidR="001535A4" w:rsidRPr="001535A4">
              <w:rPr>
                <w:rFonts w:ascii="Times New Roman" w:hAnsi="Times New Roman"/>
                <w:szCs w:val="20"/>
                <w:lang w:eastAsia="de-DE"/>
              </w:rPr>
              <w:t>portfolio ID</w:t>
            </w:r>
            <w:r w:rsidR="00234ACE">
              <w:rPr>
                <w:rFonts w:ascii="Times New Roman" w:hAnsi="Times New Roman"/>
                <w:szCs w:val="20"/>
                <w:lang w:eastAsia="de-DE"/>
              </w:rPr>
              <w:t>s that is applicable.</w:t>
            </w:r>
          </w:p>
          <w:p w14:paraId="2067385B" w14:textId="7BBAB8A7" w:rsidR="001535A4" w:rsidRPr="00EA201D" w:rsidRDefault="001535A4" w:rsidP="009558DB">
            <w:pPr>
              <w:autoSpaceDE w:val="0"/>
              <w:autoSpaceDN w:val="0"/>
              <w:adjustRightInd w:val="0"/>
              <w:spacing w:after="0"/>
              <w:rPr>
                <w:rFonts w:ascii="Times New Roman" w:hAnsi="Times New Roman"/>
                <w:szCs w:val="20"/>
                <w:lang w:eastAsia="de-DE"/>
              </w:rPr>
            </w:pPr>
          </w:p>
        </w:tc>
      </w:tr>
      <w:tr w:rsidR="00807CFF" w:rsidRPr="00EA201D" w14:paraId="6EA01394" w14:textId="77777777" w:rsidTr="00585623">
        <w:tc>
          <w:tcPr>
            <w:tcW w:w="993" w:type="dxa"/>
          </w:tcPr>
          <w:p w14:paraId="4D3DA862"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bCs/>
              </w:rPr>
              <w:t>040</w:t>
            </w:r>
          </w:p>
        </w:tc>
        <w:tc>
          <w:tcPr>
            <w:tcW w:w="1701" w:type="dxa"/>
          </w:tcPr>
          <w:p w14:paraId="5171A66B"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Number of obligors</w:t>
            </w:r>
          </w:p>
        </w:tc>
        <w:tc>
          <w:tcPr>
            <w:tcW w:w="1842" w:type="dxa"/>
          </w:tcPr>
          <w:p w14:paraId="100A4984" w14:textId="4D27A8B3" w:rsidR="00807CFF" w:rsidRPr="00EA201D" w:rsidRDefault="00807CFF" w:rsidP="00E847ED">
            <w:pPr>
              <w:pStyle w:val="InstructionsText"/>
              <w:rPr>
                <w:rStyle w:val="InstructionsTabelleText"/>
                <w:rFonts w:ascii="Times New Roman" w:hAnsi="Times New Roman"/>
                <w:bCs w:val="0"/>
              </w:rPr>
            </w:pPr>
          </w:p>
        </w:tc>
        <w:tc>
          <w:tcPr>
            <w:tcW w:w="9781" w:type="dxa"/>
          </w:tcPr>
          <w:p w14:paraId="46BD5B50" w14:textId="77777777" w:rsidR="00807CFF" w:rsidRDefault="00D72132" w:rsidP="001F1AEB">
            <w:pPr>
              <w:spacing w:before="0" w:after="0"/>
              <w:ind w:left="33"/>
              <w:rPr>
                <w:rFonts w:ascii="Times New Roman" w:hAnsi="Times New Roman"/>
                <w:szCs w:val="20"/>
                <w:lang w:eastAsia="de-DE"/>
              </w:rPr>
            </w:pPr>
            <w:r w:rsidRPr="00EA201D">
              <w:rPr>
                <w:rFonts w:ascii="Times New Roman" w:hAnsi="Times New Roman"/>
                <w:szCs w:val="20"/>
                <w:lang w:eastAsia="de-DE"/>
              </w:rPr>
              <w:t>The number of obligors shall be reported.</w:t>
            </w:r>
          </w:p>
          <w:p w14:paraId="75B2FCFB" w14:textId="52DE8399" w:rsidR="00E06841" w:rsidRPr="00EA201D" w:rsidRDefault="00855207" w:rsidP="00B818F8">
            <w:pPr>
              <w:spacing w:before="0" w:after="0"/>
              <w:ind w:left="33"/>
              <w:rPr>
                <w:rFonts w:ascii="Times New Roman" w:hAnsi="Times New Roman"/>
                <w:szCs w:val="20"/>
                <w:lang w:eastAsia="de-DE"/>
              </w:rPr>
            </w:pPr>
            <w:r>
              <w:rPr>
                <w:rFonts w:ascii="Times New Roman" w:hAnsi="Times New Roman"/>
                <w:szCs w:val="20"/>
                <w:lang w:eastAsia="de-DE"/>
              </w:rPr>
              <w:t xml:space="preserve">It shall </w:t>
            </w:r>
            <w:r w:rsidR="00E06841" w:rsidRPr="00E06841">
              <w:rPr>
                <w:rFonts w:ascii="Times New Roman" w:hAnsi="Times New Roman"/>
                <w:szCs w:val="20"/>
                <w:lang w:eastAsia="de-DE"/>
              </w:rPr>
              <w:t xml:space="preserve">be based on obligors that have a strictly positive exposure value reported either in column 80 or in column 90. </w:t>
            </w:r>
            <w:r w:rsidR="00B818F8">
              <w:rPr>
                <w:rFonts w:ascii="Times New Roman" w:hAnsi="Times New Roman"/>
                <w:szCs w:val="20"/>
                <w:lang w:eastAsia="de-DE"/>
              </w:rPr>
              <w:t>Where</w:t>
            </w:r>
            <w:r w:rsidR="00E06841" w:rsidRPr="00E06841">
              <w:rPr>
                <w:rFonts w:ascii="Times New Roman" w:hAnsi="Times New Roman"/>
                <w:szCs w:val="20"/>
                <w:lang w:eastAsia="de-DE"/>
              </w:rPr>
              <w:t xml:space="preserve"> a full substitution </w:t>
            </w:r>
            <w:r w:rsidR="00B818F8">
              <w:rPr>
                <w:rFonts w:ascii="Times New Roman" w:hAnsi="Times New Roman"/>
                <w:szCs w:val="20"/>
                <w:lang w:eastAsia="de-DE"/>
              </w:rPr>
              <w:t xml:space="preserve">is applied </w:t>
            </w:r>
            <w:r w:rsidR="00E06841" w:rsidRPr="00E06841">
              <w:rPr>
                <w:rFonts w:ascii="Times New Roman" w:hAnsi="Times New Roman"/>
                <w:szCs w:val="20"/>
                <w:lang w:eastAsia="de-DE"/>
              </w:rPr>
              <w:t>due to a CRM techni</w:t>
            </w:r>
            <w:r w:rsidR="00B818F8">
              <w:rPr>
                <w:rFonts w:ascii="Times New Roman" w:hAnsi="Times New Roman"/>
                <w:szCs w:val="20"/>
                <w:lang w:eastAsia="de-DE"/>
              </w:rPr>
              <w:t>que</w:t>
            </w:r>
            <w:r w:rsidR="00E06841" w:rsidRPr="00E06841">
              <w:rPr>
                <w:rFonts w:ascii="Times New Roman" w:hAnsi="Times New Roman"/>
                <w:szCs w:val="20"/>
                <w:lang w:eastAsia="de-DE"/>
              </w:rPr>
              <w:t xml:space="preserve">, the original obligor </w:t>
            </w:r>
            <w:r w:rsidR="00B818F8">
              <w:rPr>
                <w:rFonts w:ascii="Times New Roman" w:hAnsi="Times New Roman"/>
                <w:szCs w:val="20"/>
                <w:lang w:eastAsia="de-DE"/>
              </w:rPr>
              <w:t xml:space="preserve">shall </w:t>
            </w:r>
            <w:r w:rsidR="00E06841" w:rsidRPr="00E06841">
              <w:rPr>
                <w:rFonts w:ascii="Times New Roman" w:hAnsi="Times New Roman"/>
                <w:szCs w:val="20"/>
                <w:lang w:eastAsia="de-DE"/>
              </w:rPr>
              <w:t xml:space="preserve">be added to the </w:t>
            </w:r>
            <w:r w:rsidR="00B818F8">
              <w:rPr>
                <w:rFonts w:ascii="Times New Roman" w:hAnsi="Times New Roman"/>
                <w:szCs w:val="20"/>
                <w:lang w:eastAsia="de-DE"/>
              </w:rPr>
              <w:t>‘</w:t>
            </w:r>
            <w:r w:rsidR="00E06841" w:rsidRPr="00E06841">
              <w:rPr>
                <w:rFonts w:ascii="Times New Roman" w:hAnsi="Times New Roman"/>
                <w:szCs w:val="20"/>
                <w:lang w:eastAsia="de-DE"/>
              </w:rPr>
              <w:t>Number of obligors</w:t>
            </w:r>
            <w:r w:rsidR="00B818F8">
              <w:rPr>
                <w:rFonts w:ascii="Times New Roman" w:hAnsi="Times New Roman"/>
                <w:szCs w:val="20"/>
                <w:lang w:eastAsia="de-DE"/>
              </w:rPr>
              <w:t>’</w:t>
            </w:r>
            <w:r w:rsidR="00E06841" w:rsidRPr="00E06841">
              <w:rPr>
                <w:rFonts w:ascii="Times New Roman" w:hAnsi="Times New Roman"/>
                <w:szCs w:val="20"/>
                <w:lang w:eastAsia="de-DE"/>
              </w:rPr>
              <w:t xml:space="preserve"> of its original portfolio, and the guarantor </w:t>
            </w:r>
            <w:r w:rsidR="00B818F8">
              <w:rPr>
                <w:rFonts w:ascii="Times New Roman" w:hAnsi="Times New Roman"/>
                <w:szCs w:val="20"/>
                <w:lang w:eastAsia="de-DE"/>
              </w:rPr>
              <w:t xml:space="preserve">shall </w:t>
            </w:r>
            <w:r w:rsidR="00E06841" w:rsidRPr="00E06841">
              <w:rPr>
                <w:rFonts w:ascii="Times New Roman" w:hAnsi="Times New Roman"/>
                <w:szCs w:val="20"/>
                <w:lang w:eastAsia="de-DE"/>
              </w:rPr>
              <w:t xml:space="preserve">be added to the </w:t>
            </w:r>
            <w:r w:rsidR="00B818F8">
              <w:rPr>
                <w:rFonts w:ascii="Times New Roman" w:hAnsi="Times New Roman"/>
                <w:szCs w:val="20"/>
                <w:lang w:eastAsia="de-DE"/>
              </w:rPr>
              <w:t>‘</w:t>
            </w:r>
            <w:r w:rsidR="00E06841" w:rsidRPr="00E06841">
              <w:rPr>
                <w:rFonts w:ascii="Times New Roman" w:hAnsi="Times New Roman"/>
                <w:szCs w:val="20"/>
                <w:lang w:eastAsia="de-DE"/>
              </w:rPr>
              <w:t>Number of obligors</w:t>
            </w:r>
            <w:r w:rsidR="00B818F8">
              <w:rPr>
                <w:rFonts w:ascii="Times New Roman" w:hAnsi="Times New Roman"/>
                <w:szCs w:val="20"/>
                <w:lang w:eastAsia="de-DE"/>
              </w:rPr>
              <w:t>’</w:t>
            </w:r>
            <w:r w:rsidR="00E06841" w:rsidRPr="00E06841">
              <w:rPr>
                <w:rFonts w:ascii="Times New Roman" w:hAnsi="Times New Roman"/>
                <w:szCs w:val="20"/>
                <w:lang w:eastAsia="de-DE"/>
              </w:rPr>
              <w:t xml:space="preserve"> of the guarantor portfolio.</w:t>
            </w:r>
          </w:p>
        </w:tc>
      </w:tr>
      <w:tr w:rsidR="00807CFF" w:rsidRPr="00EA201D" w14:paraId="2F9C9098" w14:textId="77777777" w:rsidTr="00585623">
        <w:tc>
          <w:tcPr>
            <w:tcW w:w="993" w:type="dxa"/>
          </w:tcPr>
          <w:p w14:paraId="0E1C1246"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060</w:t>
            </w:r>
          </w:p>
        </w:tc>
        <w:tc>
          <w:tcPr>
            <w:tcW w:w="1701" w:type="dxa"/>
          </w:tcPr>
          <w:p w14:paraId="65F5C47F"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PD</w:t>
            </w:r>
          </w:p>
        </w:tc>
        <w:tc>
          <w:tcPr>
            <w:tcW w:w="1842" w:type="dxa"/>
          </w:tcPr>
          <w:p w14:paraId="20801767" w14:textId="1C42FE67" w:rsidR="00807CFF" w:rsidRPr="00EA201D" w:rsidRDefault="00B373E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807CFF" w:rsidRPr="00EA201D">
              <w:rPr>
                <w:rStyle w:val="InstructionsTabelleText"/>
                <w:rFonts w:ascii="Times New Roman" w:hAnsi="Times New Roman"/>
                <w:bCs w:val="0"/>
              </w:rPr>
              <w:t xml:space="preserve">010 of table 8.1 </w:t>
            </w:r>
            <w:r w:rsidRPr="00EA201D">
              <w:rPr>
                <w:rStyle w:val="InstructionsTabelleText"/>
                <w:rFonts w:ascii="Times New Roman" w:hAnsi="Times New Roman"/>
                <w:bCs w:val="0"/>
              </w:rPr>
              <w:t xml:space="preserve">of </w:t>
            </w:r>
            <w:r w:rsidR="00807CFF" w:rsidRPr="00EA201D">
              <w:rPr>
                <w:rStyle w:val="InstructionsTabelleText"/>
                <w:rFonts w:ascii="Times New Roman" w:hAnsi="Times New Roman"/>
                <w:bCs w:val="0"/>
              </w:rPr>
              <w:t xml:space="preserve">Annex </w:t>
            </w:r>
            <w:r w:rsidR="009C3310">
              <w:rPr>
                <w:rStyle w:val="InstructionsTabelleText"/>
                <w:rFonts w:ascii="Times New Roman" w:hAnsi="Times New Roman"/>
                <w:bCs w:val="0"/>
              </w:rPr>
              <w:t>I</w:t>
            </w:r>
            <w:r w:rsidR="00807CFF" w:rsidRPr="00EA201D">
              <w:rPr>
                <w:rStyle w:val="InstructionsTabelleText"/>
                <w:rFonts w:ascii="Times New Roman" w:hAnsi="Times New Roman"/>
                <w:bCs w:val="0"/>
              </w:rPr>
              <w:t xml:space="preserve"> </w:t>
            </w:r>
            <w:r w:rsidR="009C3310">
              <w:rPr>
                <w:rStyle w:val="InstructionsTabelleText"/>
                <w:rFonts w:ascii="Times New Roman" w:hAnsi="Times New Roman"/>
                <w:bCs w:val="0"/>
              </w:rPr>
              <w:t>to</w:t>
            </w:r>
            <w:r w:rsidR="00807CFF" w:rsidRPr="00EA201D">
              <w:rPr>
                <w:rStyle w:val="InstructionsTabelleText"/>
                <w:rFonts w:ascii="Times New Roman" w:hAnsi="Times New Roman"/>
                <w:bCs w:val="0"/>
              </w:rPr>
              <w:t xml:space="preserve"> </w:t>
            </w:r>
            <w:r w:rsidRPr="00EA201D">
              <w:rPr>
                <w:rStyle w:val="InstructionsTabelleText"/>
                <w:rFonts w:ascii="Times New Roman" w:hAnsi="Times New Roman"/>
                <w:bCs w:val="0"/>
              </w:rPr>
              <w:t>Commission Implementing Regulation (EU) No 680/2014</w:t>
            </w:r>
          </w:p>
        </w:tc>
        <w:tc>
          <w:tcPr>
            <w:tcW w:w="9781" w:type="dxa"/>
          </w:tcPr>
          <w:p w14:paraId="6D0E8708" w14:textId="3D6B76FF" w:rsidR="00807CFF" w:rsidRPr="00EA201D" w:rsidRDefault="004665B5" w:rsidP="001F1AEB">
            <w:pPr>
              <w:spacing w:before="0" w:after="0"/>
              <w:ind w:left="33"/>
              <w:rPr>
                <w:rFonts w:ascii="Times New Roman" w:hAnsi="Times New Roman"/>
                <w:szCs w:val="20"/>
                <w:lang w:eastAsia="de-DE"/>
              </w:rPr>
            </w:pPr>
            <w:r w:rsidRPr="00146200">
              <w:rPr>
                <w:rStyle w:val="InstructionsTabelleText"/>
                <w:rFonts w:ascii="Times New Roman" w:hAnsi="Times New Roman"/>
              </w:rPr>
              <w:t>The PD shall be the PD used in the calculation of the RWA</w:t>
            </w:r>
            <w:r>
              <w:rPr>
                <w:rStyle w:val="InstructionsTabelleText"/>
                <w:rFonts w:ascii="Times New Roman" w:hAnsi="Times New Roman"/>
                <w:bCs/>
              </w:rPr>
              <w:t xml:space="preserve">, excluding the effect of potential measures introduced in accordance with Article 458 of </w:t>
            </w:r>
            <w:r w:rsidR="00001EA2" w:rsidRPr="00EA201D">
              <w:rPr>
                <w:rStyle w:val="InstructionsTabelleText"/>
                <w:rFonts w:ascii="Times New Roman" w:hAnsi="Times New Roman"/>
                <w:bCs/>
              </w:rPr>
              <w:t>Regulation (EU) No 575/2013</w:t>
            </w:r>
            <w:r w:rsidR="00146200" w:rsidRPr="00146200">
              <w:rPr>
                <w:rFonts w:ascii="Times New Roman" w:hAnsi="Times New Roman"/>
                <w:szCs w:val="20"/>
                <w:lang w:eastAsia="de-DE"/>
              </w:rPr>
              <w:t xml:space="preserve">. </w:t>
            </w:r>
            <w:r w:rsidR="00D5745C">
              <w:rPr>
                <w:rFonts w:ascii="Times New Roman" w:hAnsi="Times New Roman"/>
                <w:szCs w:val="20"/>
                <w:lang w:eastAsia="de-DE"/>
              </w:rPr>
              <w:t xml:space="preserve">For portfolios corresponding to an </w:t>
            </w:r>
            <w:r w:rsidR="00807CFF" w:rsidRPr="00EA201D">
              <w:rPr>
                <w:rFonts w:ascii="Times New Roman" w:hAnsi="Times New Roman"/>
                <w:szCs w:val="20"/>
                <w:lang w:eastAsia="de-DE"/>
              </w:rPr>
              <w:t xml:space="preserve">individual grade or pool, the PD assigned to the specific obligor grade or pool shall be reported. For </w:t>
            </w:r>
            <w:r w:rsidR="00D5745C">
              <w:rPr>
                <w:rFonts w:ascii="Times New Roman" w:hAnsi="Times New Roman"/>
                <w:szCs w:val="20"/>
                <w:lang w:eastAsia="de-DE"/>
              </w:rPr>
              <w:t xml:space="preserve">portfolios </w:t>
            </w:r>
            <w:r w:rsidR="00807CFF" w:rsidRPr="00EA201D">
              <w:rPr>
                <w:rFonts w:ascii="Times New Roman" w:hAnsi="Times New Roman"/>
                <w:szCs w:val="20"/>
                <w:lang w:eastAsia="de-DE"/>
              </w:rPr>
              <w:t>corresponding to an aggregation of obligor</w:t>
            </w:r>
            <w:r w:rsidR="00E04782">
              <w:rPr>
                <w:rFonts w:ascii="Times New Roman" w:hAnsi="Times New Roman"/>
                <w:szCs w:val="20"/>
                <w:lang w:eastAsia="de-DE"/>
              </w:rPr>
              <w:t>s of different</w:t>
            </w:r>
            <w:r w:rsidR="00807CFF" w:rsidRPr="00EA201D">
              <w:rPr>
                <w:rFonts w:ascii="Times New Roman" w:hAnsi="Times New Roman"/>
                <w:szCs w:val="20"/>
                <w:lang w:eastAsia="de-DE"/>
              </w:rPr>
              <w:t xml:space="preserve"> grades or pools</w:t>
            </w:r>
            <w:r w:rsidR="00E04782">
              <w:rPr>
                <w:rFonts w:ascii="Times New Roman" w:hAnsi="Times New Roman"/>
                <w:szCs w:val="20"/>
                <w:lang w:eastAsia="de-DE"/>
              </w:rPr>
              <w:t>,</w:t>
            </w:r>
            <w:r w:rsidR="00807CFF" w:rsidRPr="00EA201D">
              <w:rPr>
                <w:rFonts w:ascii="Times New Roman" w:hAnsi="Times New Roman"/>
                <w:szCs w:val="20"/>
                <w:lang w:eastAsia="de-DE"/>
              </w:rPr>
              <w:t xml:space="preserve"> the </w:t>
            </w:r>
            <w:r w:rsidR="00CA0798">
              <w:rPr>
                <w:rFonts w:ascii="Times New Roman" w:hAnsi="Times New Roman"/>
                <w:szCs w:val="20"/>
                <w:lang w:eastAsia="de-DE"/>
              </w:rPr>
              <w:t>EAD-</w:t>
            </w:r>
            <w:r w:rsidR="00807CFF" w:rsidRPr="00EA201D">
              <w:rPr>
                <w:rFonts w:ascii="Times New Roman" w:hAnsi="Times New Roman"/>
                <w:szCs w:val="20"/>
                <w:lang w:eastAsia="de-DE"/>
              </w:rPr>
              <w:t xml:space="preserve">weighted average of the PDs assigned to the </w:t>
            </w:r>
            <w:r w:rsidR="00E04782">
              <w:rPr>
                <w:rFonts w:ascii="Times New Roman" w:hAnsi="Times New Roman"/>
                <w:szCs w:val="20"/>
                <w:lang w:eastAsia="de-DE"/>
              </w:rPr>
              <w:t xml:space="preserve">exposures </w:t>
            </w:r>
            <w:r w:rsidR="00807CFF" w:rsidRPr="00EA201D">
              <w:rPr>
                <w:rFonts w:ascii="Times New Roman" w:hAnsi="Times New Roman"/>
                <w:szCs w:val="20"/>
                <w:lang w:eastAsia="de-DE"/>
              </w:rPr>
              <w:t>included in the aggregation shall be provided.</w:t>
            </w:r>
            <w:r w:rsidR="000D4F8F" w:rsidRPr="00EA201D">
              <w:rPr>
                <w:rFonts w:ascii="Times New Roman" w:hAnsi="Times New Roman"/>
                <w:szCs w:val="20"/>
                <w:lang w:eastAsia="de-DE"/>
              </w:rPr>
              <w:t xml:space="preserve"> The PD shall be expressed as a value between 0 and 1.</w:t>
            </w:r>
          </w:p>
          <w:p w14:paraId="4D96DCAC" w14:textId="77777777" w:rsidR="00807CFF" w:rsidRPr="00EA201D" w:rsidRDefault="00807CFF" w:rsidP="00C954AD">
            <w:pPr>
              <w:spacing w:before="0" w:after="0"/>
              <w:ind w:left="33"/>
              <w:rPr>
                <w:rFonts w:ascii="Times New Roman" w:hAnsi="Times New Roman"/>
                <w:szCs w:val="20"/>
                <w:lang w:eastAsia="de-DE"/>
              </w:rPr>
            </w:pPr>
          </w:p>
        </w:tc>
      </w:tr>
      <w:tr w:rsidR="00807CFF" w:rsidRPr="00EA201D" w14:paraId="7A85B782" w14:textId="77777777" w:rsidTr="00585623">
        <w:tc>
          <w:tcPr>
            <w:tcW w:w="993" w:type="dxa"/>
          </w:tcPr>
          <w:p w14:paraId="2463F674"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0</w:t>
            </w:r>
            <w:r w:rsidRPr="00EA201D">
              <w:rPr>
                <w:rStyle w:val="InstructionsTabelleText"/>
                <w:rFonts w:ascii="Times New Roman" w:hAnsi="Times New Roman"/>
                <w:bCs/>
              </w:rPr>
              <w:t>8</w:t>
            </w:r>
            <w:r w:rsidRPr="00EA201D">
              <w:rPr>
                <w:rStyle w:val="InstructionsTabelleText"/>
                <w:rFonts w:ascii="Times New Roman" w:hAnsi="Times New Roman"/>
              </w:rPr>
              <w:t>0</w:t>
            </w:r>
          </w:p>
        </w:tc>
        <w:tc>
          <w:tcPr>
            <w:tcW w:w="1701" w:type="dxa"/>
          </w:tcPr>
          <w:p w14:paraId="29F294D0" w14:textId="77777777" w:rsidR="00807CFF" w:rsidRPr="003F573B" w:rsidRDefault="00807CFF" w:rsidP="00E847ED">
            <w:pPr>
              <w:pStyle w:val="InstructionsText"/>
              <w:rPr>
                <w:rStyle w:val="InstructionsTabelleText"/>
                <w:rFonts w:ascii="Times New Roman" w:hAnsi="Times New Roman"/>
                <w:bCs w:val="0"/>
                <w:szCs w:val="24"/>
                <w:lang w:val="fr-BE" w:eastAsia="en-US"/>
              </w:rPr>
            </w:pPr>
            <w:r w:rsidRPr="003F573B">
              <w:rPr>
                <w:rStyle w:val="InstructionsTabelleText"/>
                <w:rFonts w:ascii="Times New Roman" w:hAnsi="Times New Roman"/>
                <w:bCs w:val="0"/>
                <w:lang w:val="fr-BE"/>
              </w:rPr>
              <w:t xml:space="preserve">Original </w:t>
            </w:r>
            <w:proofErr w:type="spellStart"/>
            <w:r w:rsidRPr="003F573B">
              <w:rPr>
                <w:rStyle w:val="InstructionsTabelleText"/>
                <w:rFonts w:ascii="Times New Roman" w:hAnsi="Times New Roman"/>
                <w:bCs w:val="0"/>
                <w:lang w:val="fr-BE"/>
              </w:rPr>
              <w:t>exposure</w:t>
            </w:r>
            <w:proofErr w:type="spellEnd"/>
            <w:r w:rsidRPr="003F573B">
              <w:rPr>
                <w:rStyle w:val="InstructionsTabelleText"/>
                <w:rFonts w:ascii="Times New Roman" w:hAnsi="Times New Roman"/>
                <w:bCs w:val="0"/>
                <w:lang w:val="fr-BE"/>
              </w:rPr>
              <w:t xml:space="preserve"> </w:t>
            </w:r>
            <w:proofErr w:type="spellStart"/>
            <w:r w:rsidRPr="003F573B">
              <w:rPr>
                <w:rStyle w:val="InstructionsTabelleText"/>
                <w:rFonts w:ascii="Times New Roman" w:hAnsi="Times New Roman"/>
                <w:bCs w:val="0"/>
                <w:lang w:val="fr-BE"/>
              </w:rPr>
              <w:t>pre</w:t>
            </w:r>
            <w:proofErr w:type="spellEnd"/>
            <w:r w:rsidR="00D92A98" w:rsidRPr="003F573B">
              <w:rPr>
                <w:rStyle w:val="InstructionsTabelleText"/>
                <w:rFonts w:ascii="Times New Roman" w:hAnsi="Times New Roman"/>
                <w:bCs w:val="0"/>
                <w:lang w:val="fr-BE"/>
              </w:rPr>
              <w:t>-</w:t>
            </w:r>
            <w:r w:rsidRPr="003F573B">
              <w:rPr>
                <w:rStyle w:val="InstructionsTabelleText"/>
                <w:rFonts w:ascii="Times New Roman" w:hAnsi="Times New Roman"/>
                <w:bCs w:val="0"/>
                <w:lang w:val="fr-BE"/>
              </w:rPr>
              <w:t xml:space="preserve">conversion </w:t>
            </w:r>
            <w:proofErr w:type="spellStart"/>
            <w:r w:rsidRPr="003F573B">
              <w:rPr>
                <w:rStyle w:val="InstructionsTabelleText"/>
                <w:rFonts w:ascii="Times New Roman" w:hAnsi="Times New Roman"/>
                <w:bCs w:val="0"/>
                <w:lang w:val="fr-BE"/>
              </w:rPr>
              <w:t>factors</w:t>
            </w:r>
            <w:proofErr w:type="spellEnd"/>
          </w:p>
        </w:tc>
        <w:tc>
          <w:tcPr>
            <w:tcW w:w="1842" w:type="dxa"/>
          </w:tcPr>
          <w:p w14:paraId="5A43ACC7" w14:textId="7910E4A5" w:rsidR="00807CFF" w:rsidRPr="00EA201D" w:rsidRDefault="00B373EF" w:rsidP="009C3310">
            <w:pPr>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020 of </w:t>
            </w:r>
            <w:r w:rsidR="00C954AD" w:rsidRPr="00EA201D">
              <w:rPr>
                <w:rFonts w:ascii="Times New Roman" w:hAnsi="Times New Roman"/>
                <w:szCs w:val="20"/>
                <w:lang w:eastAsia="de-DE"/>
              </w:rPr>
              <w:t>template</w:t>
            </w:r>
            <w:r w:rsidR="00807CFF" w:rsidRPr="00EA201D">
              <w:rPr>
                <w:rFonts w:ascii="Times New Roman" w:hAnsi="Times New Roman"/>
                <w:szCs w:val="20"/>
                <w:lang w:eastAsia="de-DE"/>
              </w:rPr>
              <w:t xml:space="preserve"> 8.1 </w:t>
            </w:r>
            <w:r w:rsidRPr="00EA201D">
              <w:rPr>
                <w:rFonts w:ascii="Times New Roman" w:hAnsi="Times New Roman"/>
                <w:szCs w:val="20"/>
                <w:lang w:eastAsia="de-DE"/>
              </w:rPr>
              <w:t xml:space="preserve">of </w:t>
            </w:r>
            <w:r w:rsidR="00807CFF" w:rsidRPr="00EA201D">
              <w:rPr>
                <w:rFonts w:ascii="Times New Roman" w:hAnsi="Times New Roman"/>
                <w:szCs w:val="20"/>
                <w:lang w:eastAsia="de-DE"/>
              </w:rPr>
              <w:t xml:space="preserve">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 xml:space="preserve">to </w:t>
            </w:r>
            <w:r w:rsidR="00807CFF" w:rsidRPr="00EA201D">
              <w:rPr>
                <w:rFonts w:ascii="Times New Roman" w:hAnsi="Times New Roman"/>
                <w:szCs w:val="20"/>
                <w:lang w:eastAsia="de-DE"/>
              </w:rPr>
              <w:t xml:space="preserve"> </w:t>
            </w:r>
            <w:r w:rsidRPr="00EA201D">
              <w:rPr>
                <w:rFonts w:ascii="Times New Roman" w:hAnsi="Times New Roman"/>
                <w:szCs w:val="20"/>
                <w:lang w:eastAsia="de-DE"/>
              </w:rPr>
              <w:t>Implementing Regulation (EU) No 680/2014</w:t>
            </w:r>
          </w:p>
        </w:tc>
        <w:tc>
          <w:tcPr>
            <w:tcW w:w="9781" w:type="dxa"/>
          </w:tcPr>
          <w:p w14:paraId="7148377D" w14:textId="77777777" w:rsidR="00807CFF" w:rsidRPr="00EA201D" w:rsidRDefault="00D72132" w:rsidP="00807CFF">
            <w:pPr>
              <w:spacing w:before="0" w:after="0"/>
              <w:ind w:left="33"/>
              <w:rPr>
                <w:rFonts w:ascii="Times New Roman" w:hAnsi="Times New Roman"/>
                <w:szCs w:val="20"/>
                <w:lang w:eastAsia="de-DE"/>
              </w:rPr>
            </w:pPr>
            <w:r w:rsidRPr="00EA201D">
              <w:rPr>
                <w:rFonts w:ascii="Times New Roman" w:hAnsi="Times New Roman"/>
                <w:szCs w:val="20"/>
                <w:lang w:eastAsia="de-DE"/>
              </w:rPr>
              <w:t>The original exposure value before taking into account any value adjustments, provisions, effects due to credit risk mitigation techniques or conversion factors shall be reported.</w:t>
            </w:r>
          </w:p>
        </w:tc>
      </w:tr>
      <w:tr w:rsidR="00807CFF" w:rsidRPr="00EA201D" w14:paraId="55F604B1" w14:textId="77777777" w:rsidTr="00585623">
        <w:tc>
          <w:tcPr>
            <w:tcW w:w="993" w:type="dxa"/>
          </w:tcPr>
          <w:p w14:paraId="76DDF53A"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0</w:t>
            </w:r>
            <w:r w:rsidRPr="00EA201D">
              <w:rPr>
                <w:rStyle w:val="InstructionsTabelleText"/>
                <w:rFonts w:ascii="Times New Roman" w:hAnsi="Times New Roman"/>
                <w:bCs/>
              </w:rPr>
              <w:t>9</w:t>
            </w:r>
            <w:r w:rsidRPr="00EA201D">
              <w:rPr>
                <w:rStyle w:val="InstructionsTabelleText"/>
                <w:rFonts w:ascii="Times New Roman" w:hAnsi="Times New Roman"/>
              </w:rPr>
              <w:t>0</w:t>
            </w:r>
          </w:p>
        </w:tc>
        <w:tc>
          <w:tcPr>
            <w:tcW w:w="1701" w:type="dxa"/>
          </w:tcPr>
          <w:p w14:paraId="3C15ADC7"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Exposure after CRM substitution effects pre</w:t>
            </w:r>
            <w:r w:rsidR="00D92A98" w:rsidRPr="00EA201D">
              <w:rPr>
                <w:rStyle w:val="InstructionsTabelleText"/>
                <w:rFonts w:ascii="Times New Roman" w:hAnsi="Times New Roman"/>
                <w:bCs w:val="0"/>
              </w:rPr>
              <w:t>-</w:t>
            </w:r>
            <w:r w:rsidRPr="00EA201D">
              <w:rPr>
                <w:rStyle w:val="InstructionsTabelleText"/>
                <w:rFonts w:ascii="Times New Roman" w:hAnsi="Times New Roman"/>
                <w:bCs w:val="0"/>
              </w:rPr>
              <w:t>conversion factors</w:t>
            </w:r>
          </w:p>
        </w:tc>
        <w:tc>
          <w:tcPr>
            <w:tcW w:w="1842" w:type="dxa"/>
          </w:tcPr>
          <w:p w14:paraId="26B880F0" w14:textId="48936D14" w:rsidR="00807CFF" w:rsidRPr="00EA201D" w:rsidRDefault="00B373EF" w:rsidP="009C3310">
            <w:pPr>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090 of </w:t>
            </w:r>
            <w:r w:rsidR="00C954AD" w:rsidRPr="00EA201D">
              <w:rPr>
                <w:rFonts w:ascii="Times New Roman" w:hAnsi="Times New Roman"/>
                <w:szCs w:val="20"/>
                <w:lang w:eastAsia="de-DE"/>
              </w:rPr>
              <w:t>template</w:t>
            </w:r>
            <w:r w:rsidR="00807CFF" w:rsidRPr="00EA201D">
              <w:rPr>
                <w:rFonts w:ascii="Times New Roman" w:hAnsi="Times New Roman"/>
                <w:szCs w:val="20"/>
                <w:lang w:eastAsia="de-DE"/>
              </w:rPr>
              <w:t xml:space="preserve"> 8.1 </w:t>
            </w:r>
            <w:r w:rsidRPr="00EA201D">
              <w:rPr>
                <w:rFonts w:ascii="Times New Roman" w:hAnsi="Times New Roman"/>
                <w:szCs w:val="20"/>
                <w:lang w:eastAsia="de-DE"/>
              </w:rPr>
              <w:t xml:space="preserve">of </w:t>
            </w:r>
            <w:r w:rsidR="00807CFF" w:rsidRPr="00EA201D">
              <w:rPr>
                <w:rFonts w:ascii="Times New Roman" w:hAnsi="Times New Roman"/>
                <w:szCs w:val="20"/>
                <w:lang w:eastAsia="de-DE"/>
              </w:rPr>
              <w:t xml:space="preserve">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 xml:space="preserve">to </w:t>
            </w:r>
            <w:r w:rsidR="00807CFF" w:rsidRPr="00EA201D">
              <w:rPr>
                <w:rFonts w:ascii="Times New Roman" w:hAnsi="Times New Roman"/>
                <w:szCs w:val="20"/>
                <w:lang w:eastAsia="de-DE"/>
              </w:rPr>
              <w:t xml:space="preserve"> </w:t>
            </w:r>
            <w:r w:rsidRPr="00EA201D">
              <w:rPr>
                <w:rFonts w:ascii="Times New Roman" w:hAnsi="Times New Roman"/>
                <w:szCs w:val="20"/>
                <w:lang w:eastAsia="de-DE"/>
              </w:rPr>
              <w:t xml:space="preserve">Implementing </w:t>
            </w:r>
            <w:r w:rsidRPr="00EA201D">
              <w:rPr>
                <w:rFonts w:ascii="Times New Roman" w:hAnsi="Times New Roman"/>
                <w:szCs w:val="20"/>
                <w:lang w:eastAsia="de-DE"/>
              </w:rPr>
              <w:lastRenderedPageBreak/>
              <w:t>Regulation (EU) No 680/2014</w:t>
            </w:r>
          </w:p>
        </w:tc>
        <w:tc>
          <w:tcPr>
            <w:tcW w:w="9781" w:type="dxa"/>
          </w:tcPr>
          <w:p w14:paraId="0F374245" w14:textId="77777777" w:rsidR="00807CFF" w:rsidRPr="00EA201D" w:rsidRDefault="00D72132" w:rsidP="001F1AEB">
            <w:pPr>
              <w:spacing w:before="0" w:after="0"/>
              <w:rPr>
                <w:rFonts w:ascii="Times New Roman" w:hAnsi="Times New Roman"/>
                <w:szCs w:val="20"/>
                <w:lang w:eastAsia="de-DE"/>
              </w:rPr>
            </w:pPr>
            <w:r w:rsidRPr="00EA201D">
              <w:rPr>
                <w:rFonts w:ascii="Times New Roman" w:hAnsi="Times New Roman"/>
                <w:szCs w:val="20"/>
                <w:lang w:eastAsia="de-DE"/>
              </w:rPr>
              <w:lastRenderedPageBreak/>
              <w:t>The amount to which a CCF is applied in order to obtain the EAD shall be reported. This shall be done taking into account credit risk mitigation techniques with substitution effects on the exposure.</w:t>
            </w:r>
          </w:p>
        </w:tc>
      </w:tr>
      <w:tr w:rsidR="00807CFF" w:rsidRPr="00EA201D" w14:paraId="0FC0833F" w14:textId="77777777" w:rsidTr="00585623">
        <w:tc>
          <w:tcPr>
            <w:tcW w:w="993" w:type="dxa"/>
          </w:tcPr>
          <w:p w14:paraId="5A1ED9E8"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bCs/>
              </w:rPr>
              <w:t>100</w:t>
            </w:r>
          </w:p>
        </w:tc>
        <w:tc>
          <w:tcPr>
            <w:tcW w:w="1701" w:type="dxa"/>
          </w:tcPr>
          <w:p w14:paraId="6C9A90CA"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CCF</w:t>
            </w:r>
          </w:p>
        </w:tc>
        <w:tc>
          <w:tcPr>
            <w:tcW w:w="1842" w:type="dxa"/>
          </w:tcPr>
          <w:p w14:paraId="00B18ABA" w14:textId="77777777" w:rsidR="00807CFF" w:rsidRPr="00EA201D" w:rsidRDefault="00807CFF" w:rsidP="00B373EF">
            <w:pPr>
              <w:jc w:val="left"/>
              <w:rPr>
                <w:rFonts w:ascii="Times New Roman" w:hAnsi="Times New Roman"/>
                <w:szCs w:val="20"/>
                <w:lang w:eastAsia="de-DE"/>
              </w:rPr>
            </w:pPr>
            <w:r w:rsidRPr="00EA201D">
              <w:rPr>
                <w:rFonts w:ascii="Times New Roman" w:hAnsi="Times New Roman"/>
                <w:szCs w:val="20"/>
                <w:lang w:eastAsia="de-DE"/>
              </w:rPr>
              <w:t>Art</w:t>
            </w:r>
            <w:r w:rsidR="00B373EF" w:rsidRPr="00EA201D">
              <w:rPr>
                <w:rFonts w:ascii="Times New Roman" w:hAnsi="Times New Roman"/>
                <w:szCs w:val="20"/>
                <w:lang w:eastAsia="de-DE"/>
              </w:rPr>
              <w:t>icle</w:t>
            </w:r>
            <w:r w:rsidRPr="00EA201D">
              <w:rPr>
                <w:rFonts w:ascii="Times New Roman" w:hAnsi="Times New Roman"/>
                <w:szCs w:val="20"/>
                <w:lang w:eastAsia="de-DE"/>
              </w:rPr>
              <w:t xml:space="preserve"> 166</w:t>
            </w:r>
            <w:r w:rsidR="00B373EF" w:rsidRPr="00EA201D">
              <w:rPr>
                <w:rFonts w:ascii="Times New Roman" w:hAnsi="Times New Roman"/>
                <w:szCs w:val="20"/>
                <w:lang w:eastAsia="de-DE"/>
              </w:rPr>
              <w:t>(</w:t>
            </w:r>
            <w:r w:rsidRPr="00EA201D">
              <w:rPr>
                <w:rFonts w:ascii="Times New Roman" w:hAnsi="Times New Roman"/>
                <w:szCs w:val="20"/>
                <w:lang w:eastAsia="de-DE"/>
              </w:rPr>
              <w:t>8</w:t>
            </w:r>
            <w:r w:rsidR="00B373EF" w:rsidRPr="00EA201D">
              <w:rPr>
                <w:rFonts w:ascii="Times New Roman" w:hAnsi="Times New Roman"/>
                <w:szCs w:val="20"/>
                <w:lang w:eastAsia="de-DE"/>
              </w:rPr>
              <w:t>)(</w:t>
            </w:r>
            <w:r w:rsidRPr="00EA201D">
              <w:rPr>
                <w:rFonts w:ascii="Times New Roman" w:hAnsi="Times New Roman"/>
                <w:szCs w:val="20"/>
                <w:lang w:eastAsia="de-DE"/>
              </w:rPr>
              <w:t xml:space="preserve">e) </w:t>
            </w:r>
            <w:r w:rsidR="00B373EF" w:rsidRPr="00EA201D">
              <w:rPr>
                <w:rFonts w:ascii="Times New Roman" w:hAnsi="Times New Roman"/>
                <w:szCs w:val="20"/>
                <w:lang w:eastAsia="de-DE"/>
              </w:rPr>
              <w:t xml:space="preserve">of </w:t>
            </w:r>
            <w:r w:rsidR="005E0AAC" w:rsidRPr="00EA201D">
              <w:rPr>
                <w:rFonts w:ascii="Times New Roman" w:hAnsi="Times New Roman"/>
                <w:szCs w:val="20"/>
                <w:lang w:eastAsia="de-DE"/>
              </w:rPr>
              <w:t>Regulation (EU) No 575/2013</w:t>
            </w:r>
          </w:p>
        </w:tc>
        <w:tc>
          <w:tcPr>
            <w:tcW w:w="9781" w:type="dxa"/>
          </w:tcPr>
          <w:p w14:paraId="6B8E0326" w14:textId="7922120F" w:rsidR="008F43EE" w:rsidRDefault="00A117FD" w:rsidP="009C3310">
            <w:pPr>
              <w:spacing w:before="0" w:after="0"/>
              <w:ind w:left="33"/>
              <w:rPr>
                <w:rFonts w:ascii="Times New Roman" w:hAnsi="Times New Roman"/>
                <w:szCs w:val="20"/>
                <w:lang w:eastAsia="de-DE"/>
              </w:rPr>
            </w:pPr>
            <w:r>
              <w:rPr>
                <w:rFonts w:ascii="Times New Roman" w:hAnsi="Times New Roman"/>
                <w:szCs w:val="20"/>
                <w:lang w:eastAsia="de-DE"/>
              </w:rPr>
              <w:t>T</w:t>
            </w:r>
            <w:r w:rsidRPr="00EA201D">
              <w:rPr>
                <w:rFonts w:ascii="Times New Roman" w:hAnsi="Times New Roman"/>
                <w:szCs w:val="20"/>
                <w:lang w:eastAsia="de-DE"/>
              </w:rPr>
              <w:t xml:space="preserve">he weighted average </w:t>
            </w:r>
            <w:r>
              <w:rPr>
                <w:rFonts w:ascii="Times New Roman" w:hAnsi="Times New Roman"/>
                <w:szCs w:val="20"/>
                <w:lang w:eastAsia="de-DE"/>
              </w:rPr>
              <w:t xml:space="preserve">of the </w:t>
            </w:r>
            <w:r w:rsidRPr="00EA201D">
              <w:rPr>
                <w:rFonts w:ascii="Times New Roman" w:hAnsi="Times New Roman"/>
                <w:szCs w:val="20"/>
                <w:lang w:eastAsia="de-DE"/>
              </w:rPr>
              <w:t>CCFs shall be reported. The weights that shall be used shall be the amounts to which the CCFs are applied in order to obtain the EAD.</w:t>
            </w:r>
            <w:r>
              <w:rPr>
                <w:rFonts w:ascii="Times New Roman" w:hAnsi="Times New Roman"/>
                <w:szCs w:val="20"/>
                <w:lang w:eastAsia="de-DE"/>
              </w:rPr>
              <w:t xml:space="preserve"> </w:t>
            </w:r>
          </w:p>
          <w:p w14:paraId="3D743510" w14:textId="77777777" w:rsidR="008F43EE" w:rsidRDefault="008F43EE" w:rsidP="009C3310">
            <w:pPr>
              <w:spacing w:before="0" w:after="0"/>
              <w:ind w:left="33"/>
              <w:rPr>
                <w:rFonts w:ascii="Times New Roman" w:hAnsi="Times New Roman"/>
                <w:szCs w:val="20"/>
                <w:lang w:eastAsia="de-DE"/>
              </w:rPr>
            </w:pPr>
          </w:p>
          <w:p w14:paraId="0A1CC0F4" w14:textId="13B60FB4" w:rsidR="00B72C74" w:rsidRDefault="00B72C74" w:rsidP="00B72C74">
            <w:pPr>
              <w:pStyle w:val="InstructionsText"/>
            </w:pPr>
            <w:r w:rsidRPr="00341DD3">
              <w:t xml:space="preserve">For </w:t>
            </w:r>
            <w:r>
              <w:t xml:space="preserve">portfolios </w:t>
            </w:r>
            <w:r w:rsidRPr="00341DD3">
              <w:t>with only</w:t>
            </w:r>
            <w:r>
              <w:t xml:space="preserve"> facilities for </w:t>
            </w:r>
            <w:r w:rsidRPr="001527D7">
              <w:t>items mentioned in paragraph</w:t>
            </w:r>
            <w:r>
              <w:t xml:space="preserve"> </w:t>
            </w:r>
            <w:r w:rsidRPr="001527D7">
              <w:t>(8) of Article 166 of the CRR</w:t>
            </w:r>
            <w:r w:rsidRPr="00341DD3">
              <w:t xml:space="preserve">, the weighted </w:t>
            </w:r>
            <w:r>
              <w:t>average of the</w:t>
            </w:r>
            <w:r w:rsidRPr="00341DD3">
              <w:t xml:space="preserve"> CCF shall be based on all the facilities.</w:t>
            </w:r>
          </w:p>
          <w:p w14:paraId="0C23089E" w14:textId="77777777" w:rsidR="00B72C74" w:rsidRDefault="00B72C74" w:rsidP="00B72C74">
            <w:pPr>
              <w:pStyle w:val="InstructionsText"/>
            </w:pPr>
          </w:p>
          <w:p w14:paraId="370E3CD0" w14:textId="19AB0185" w:rsidR="00B72C74" w:rsidRDefault="00B72C74" w:rsidP="00B72C74">
            <w:pPr>
              <w:pStyle w:val="InstructionsText"/>
            </w:pPr>
            <w:r w:rsidRPr="00341DD3">
              <w:t xml:space="preserve">For </w:t>
            </w:r>
            <w:r>
              <w:t>portfolios</w:t>
            </w:r>
            <w:r w:rsidRPr="00341DD3">
              <w:t xml:space="preserve"> with only </w:t>
            </w:r>
            <w:r>
              <w:t>facilities which do not fall under the items</w:t>
            </w:r>
            <w:r w:rsidRPr="001527D7">
              <w:t xml:space="preserve"> mentioned in paragraph (8) of Article 166 of the CRR</w:t>
            </w:r>
            <w:r w:rsidRPr="00341DD3">
              <w:t xml:space="preserve">, the weighted </w:t>
            </w:r>
            <w:r>
              <w:t>average of the</w:t>
            </w:r>
            <w:r w:rsidRPr="00341DD3">
              <w:t xml:space="preserve"> CCF shall either be left blank or the indication ‘NULL’ shall be inserted.</w:t>
            </w:r>
          </w:p>
          <w:p w14:paraId="383FBFDE" w14:textId="77777777" w:rsidR="00B72C74" w:rsidRDefault="00B72C74" w:rsidP="00B72C74">
            <w:pPr>
              <w:pStyle w:val="InstructionsText"/>
            </w:pPr>
          </w:p>
          <w:p w14:paraId="00B08C5B" w14:textId="7F965455" w:rsidR="00B72C74" w:rsidRDefault="00B72C74" w:rsidP="00B72C74">
            <w:pPr>
              <w:pStyle w:val="InstructionsText"/>
            </w:pPr>
            <w:r w:rsidRPr="00341DD3">
              <w:t xml:space="preserve">For </w:t>
            </w:r>
            <w:r>
              <w:t>portfolios</w:t>
            </w:r>
            <w:r w:rsidRPr="00341DD3">
              <w:t xml:space="preserve"> with </w:t>
            </w:r>
            <w:r>
              <w:t xml:space="preserve">facilities for </w:t>
            </w:r>
            <w:proofErr w:type="spellStart"/>
            <w:r>
              <w:t>i</w:t>
            </w:r>
            <w:proofErr w:type="spellEnd"/>
            <w:r>
              <w:t>) items</w:t>
            </w:r>
            <w:r w:rsidRPr="001527D7">
              <w:t xml:space="preserve"> mentioned in paragraph (8) of Article 166 of the CRR</w:t>
            </w:r>
            <w:r>
              <w:t xml:space="preserve"> </w:t>
            </w:r>
            <w:r w:rsidRPr="00341DD3">
              <w:t xml:space="preserve">and </w:t>
            </w:r>
            <w:r>
              <w:t>ii) items</w:t>
            </w:r>
            <w:r w:rsidRPr="001527D7">
              <w:t xml:space="preserve"> </w:t>
            </w:r>
            <w:r>
              <w:t>which do not fall under the items</w:t>
            </w:r>
            <w:r w:rsidR="001716C4">
              <w:t xml:space="preserve"> mentioned in paragraph</w:t>
            </w:r>
            <w:r w:rsidRPr="001527D7">
              <w:t xml:space="preserve"> (8) of Article 166 of the C</w:t>
            </w:r>
            <w:r>
              <w:t>R</w:t>
            </w:r>
            <w:r w:rsidRPr="001527D7">
              <w:t>R</w:t>
            </w:r>
            <w:r w:rsidRPr="00341DD3">
              <w:t xml:space="preserve">, the weighted </w:t>
            </w:r>
            <w:r>
              <w:t xml:space="preserve">average of the </w:t>
            </w:r>
            <w:r w:rsidRPr="00341DD3">
              <w:t>CCF shall be based only on facilities</w:t>
            </w:r>
            <w:r>
              <w:t xml:space="preserve"> which fall under </w:t>
            </w:r>
            <w:proofErr w:type="spellStart"/>
            <w:r>
              <w:t>i</w:t>
            </w:r>
            <w:proofErr w:type="spellEnd"/>
            <w:r>
              <w:t xml:space="preserve">). </w:t>
            </w:r>
          </w:p>
          <w:p w14:paraId="3D637AEC" w14:textId="225E0607" w:rsidR="00B72C74" w:rsidRPr="00341DD3" w:rsidRDefault="00B72C74" w:rsidP="00341DD3">
            <w:pPr>
              <w:pStyle w:val="InstructionsText"/>
            </w:pPr>
          </w:p>
          <w:p w14:paraId="50F2247E" w14:textId="1CD9F42A" w:rsidR="00341DD3" w:rsidRPr="00341DD3" w:rsidRDefault="00341DD3" w:rsidP="00341DD3">
            <w:pPr>
              <w:pStyle w:val="InstructionsText"/>
            </w:pPr>
            <w:r>
              <w:t>Where the institution applies own estimates of CCFs</w:t>
            </w:r>
            <w:r w:rsidR="00B72C74">
              <w:t xml:space="preserve"> for the items mentioned </w:t>
            </w:r>
            <w:r w:rsidR="001716C4">
              <w:t>in paragraph</w:t>
            </w:r>
            <w:r w:rsidR="00B72C74" w:rsidRPr="001527D7">
              <w:t xml:space="preserve"> (8) of Article 166</w:t>
            </w:r>
            <w:r>
              <w:t>, those CCFs shall be used to calculate the weighted average of the CCFs. Where</w:t>
            </w:r>
            <w:r w:rsidRPr="00341DD3">
              <w:t xml:space="preserve"> the </w:t>
            </w:r>
            <w:r>
              <w:t>institution do</w:t>
            </w:r>
            <w:r w:rsidRPr="00341DD3">
              <w:t>es</w:t>
            </w:r>
            <w:r>
              <w:t xml:space="preserve"> not apply own estimates of CCFs</w:t>
            </w:r>
            <w:r w:rsidR="00B72C74">
              <w:t xml:space="preserve"> for the items mentioned </w:t>
            </w:r>
            <w:r w:rsidR="001716C4">
              <w:t>in paragraph</w:t>
            </w:r>
            <w:r w:rsidR="00B72C74" w:rsidRPr="001527D7">
              <w:t xml:space="preserve"> (8) of Article 166</w:t>
            </w:r>
            <w:r>
              <w:t xml:space="preserve">, </w:t>
            </w:r>
            <w:r w:rsidR="00B72C74">
              <w:t xml:space="preserve">the </w:t>
            </w:r>
            <w:r>
              <w:t>regulatory CCFs shall be used.</w:t>
            </w:r>
          </w:p>
          <w:p w14:paraId="7325E39D" w14:textId="77777777" w:rsidR="00341DD3" w:rsidRDefault="00341DD3" w:rsidP="009C3310">
            <w:pPr>
              <w:spacing w:before="0" w:after="0"/>
              <w:ind w:left="33"/>
              <w:rPr>
                <w:rFonts w:ascii="Times New Roman" w:hAnsi="Times New Roman"/>
                <w:szCs w:val="20"/>
                <w:lang w:eastAsia="de-DE"/>
              </w:rPr>
            </w:pPr>
          </w:p>
          <w:p w14:paraId="33C68549" w14:textId="6FD26F32" w:rsidR="00727A7D" w:rsidRPr="00EA201D" w:rsidRDefault="00727A7D" w:rsidP="00727A7D">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w:t>
            </w:r>
            <w:r>
              <w:rPr>
                <w:rFonts w:ascii="Times New Roman" w:hAnsi="Times New Roman"/>
                <w:szCs w:val="20"/>
                <w:lang w:eastAsia="de-DE"/>
              </w:rPr>
              <w:t xml:space="preserve">CCF </w:t>
            </w:r>
            <w:r w:rsidRPr="00EA201D">
              <w:rPr>
                <w:rFonts w:ascii="Times New Roman" w:hAnsi="Times New Roman"/>
                <w:szCs w:val="20"/>
                <w:lang w:eastAsia="de-DE"/>
              </w:rPr>
              <w:t>shall be expressed as a value between 0 and 1.</w:t>
            </w:r>
          </w:p>
          <w:p w14:paraId="3623A011" w14:textId="6ED0F4CA" w:rsidR="00727A7D" w:rsidRPr="00EA201D" w:rsidRDefault="00727A7D" w:rsidP="009C3310">
            <w:pPr>
              <w:spacing w:before="0" w:after="0"/>
              <w:ind w:left="33"/>
              <w:rPr>
                <w:rFonts w:ascii="Times New Roman" w:hAnsi="Times New Roman"/>
                <w:szCs w:val="20"/>
                <w:lang w:eastAsia="de-DE"/>
              </w:rPr>
            </w:pPr>
          </w:p>
        </w:tc>
      </w:tr>
      <w:tr w:rsidR="00807CFF" w:rsidRPr="00EA201D" w14:paraId="6DB5959B" w14:textId="77777777" w:rsidTr="00585623">
        <w:tc>
          <w:tcPr>
            <w:tcW w:w="993" w:type="dxa"/>
          </w:tcPr>
          <w:p w14:paraId="6777C95F"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1</w:t>
            </w:r>
            <w:r w:rsidRPr="00EA201D">
              <w:rPr>
                <w:rStyle w:val="InstructionsTabelleText"/>
                <w:rFonts w:ascii="Times New Roman" w:hAnsi="Times New Roman"/>
              </w:rPr>
              <w:t>0</w:t>
            </w:r>
          </w:p>
        </w:tc>
        <w:tc>
          <w:tcPr>
            <w:tcW w:w="1701" w:type="dxa"/>
          </w:tcPr>
          <w:p w14:paraId="79753845"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EAD</w:t>
            </w:r>
          </w:p>
        </w:tc>
        <w:tc>
          <w:tcPr>
            <w:tcW w:w="1842" w:type="dxa"/>
          </w:tcPr>
          <w:p w14:paraId="20FCAB73" w14:textId="298B6090" w:rsidR="00807CFF" w:rsidRPr="00EA201D" w:rsidRDefault="00B373EF" w:rsidP="009C3310">
            <w:pPr>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110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 8.1 </w:t>
            </w:r>
            <w:r w:rsidR="00FC6D77" w:rsidRPr="00EA201D">
              <w:rPr>
                <w:rFonts w:ascii="Times New Roman" w:hAnsi="Times New Roman"/>
                <w:szCs w:val="20"/>
                <w:lang w:eastAsia="de-DE"/>
              </w:rPr>
              <w:t xml:space="preserve">of </w:t>
            </w:r>
            <w:r w:rsidR="00807CFF" w:rsidRPr="00EA201D">
              <w:rPr>
                <w:rFonts w:ascii="Times New Roman" w:hAnsi="Times New Roman"/>
                <w:szCs w:val="20"/>
                <w:lang w:eastAsia="de-DE"/>
              </w:rPr>
              <w:t xml:space="preserve">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to</w:t>
            </w:r>
            <w:r w:rsidR="009B2A8B">
              <w:rPr>
                <w:rFonts w:ascii="Times New Roman" w:hAnsi="Times New Roman"/>
                <w:szCs w:val="20"/>
                <w:lang w:eastAsia="de-DE"/>
              </w:rPr>
              <w:t xml:space="preserve"> </w:t>
            </w:r>
            <w:r w:rsidRPr="00EA201D">
              <w:rPr>
                <w:rFonts w:ascii="Times New Roman" w:hAnsi="Times New Roman"/>
                <w:szCs w:val="20"/>
                <w:lang w:eastAsia="de-DE"/>
              </w:rPr>
              <w:t>Implementing Regulation (EU) No 680/2014</w:t>
            </w:r>
          </w:p>
        </w:tc>
        <w:tc>
          <w:tcPr>
            <w:tcW w:w="9781" w:type="dxa"/>
          </w:tcPr>
          <w:p w14:paraId="184A2256" w14:textId="77777777" w:rsidR="00807CFF" w:rsidRPr="00EA201D" w:rsidRDefault="001E0564" w:rsidP="001F1AEB">
            <w:pPr>
              <w:spacing w:before="0" w:after="0"/>
              <w:ind w:left="33"/>
              <w:rPr>
                <w:rFonts w:ascii="Times New Roman" w:hAnsi="Times New Roman"/>
                <w:szCs w:val="20"/>
                <w:lang w:eastAsia="de-DE"/>
              </w:rPr>
            </w:pPr>
            <w:r w:rsidRPr="00EA201D">
              <w:rPr>
                <w:rFonts w:ascii="Times New Roman" w:hAnsi="Times New Roman"/>
                <w:szCs w:val="20"/>
                <w:lang w:eastAsia="de-DE"/>
              </w:rPr>
              <w:t>T</w:t>
            </w:r>
            <w:r w:rsidR="00807CFF" w:rsidRPr="00EA201D">
              <w:rPr>
                <w:rFonts w:ascii="Times New Roman" w:hAnsi="Times New Roman"/>
                <w:szCs w:val="20"/>
                <w:lang w:eastAsia="de-DE"/>
              </w:rPr>
              <w:t>he exposure value</w:t>
            </w:r>
            <w:r w:rsidRPr="00EA201D">
              <w:rPr>
                <w:rFonts w:ascii="Times New Roman" w:hAnsi="Times New Roman"/>
                <w:szCs w:val="20"/>
                <w:lang w:eastAsia="de-DE"/>
              </w:rPr>
              <w:t xml:space="preserve"> shall be reported</w:t>
            </w:r>
            <w:r w:rsidR="00D92A98" w:rsidRPr="00EA201D">
              <w:rPr>
                <w:rFonts w:ascii="Times New Roman" w:hAnsi="Times New Roman"/>
                <w:szCs w:val="20"/>
                <w:lang w:eastAsia="de-DE"/>
              </w:rPr>
              <w:t>.</w:t>
            </w:r>
          </w:p>
          <w:p w14:paraId="6F1402A0" w14:textId="77777777" w:rsidR="00807CFF" w:rsidRPr="00EA201D" w:rsidRDefault="00807CFF" w:rsidP="001F1AEB">
            <w:pPr>
              <w:spacing w:before="0" w:after="0"/>
              <w:ind w:left="33"/>
              <w:rPr>
                <w:rFonts w:ascii="Times New Roman" w:hAnsi="Times New Roman"/>
                <w:szCs w:val="20"/>
                <w:lang w:eastAsia="de-DE"/>
              </w:rPr>
            </w:pPr>
          </w:p>
        </w:tc>
      </w:tr>
      <w:tr w:rsidR="00807CFF" w:rsidRPr="00EA201D" w14:paraId="5A3F96B3" w14:textId="77777777" w:rsidTr="00585623">
        <w:tc>
          <w:tcPr>
            <w:tcW w:w="993" w:type="dxa"/>
          </w:tcPr>
          <w:p w14:paraId="6A394149"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2</w:t>
            </w:r>
            <w:r w:rsidRPr="00EA201D">
              <w:rPr>
                <w:rStyle w:val="InstructionsTabelleText"/>
                <w:rFonts w:ascii="Times New Roman" w:hAnsi="Times New Roman"/>
              </w:rPr>
              <w:t>0</w:t>
            </w:r>
          </w:p>
        </w:tc>
        <w:tc>
          <w:tcPr>
            <w:tcW w:w="1701" w:type="dxa"/>
          </w:tcPr>
          <w:p w14:paraId="318A6F9A"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Collateral value</w:t>
            </w:r>
          </w:p>
        </w:tc>
        <w:tc>
          <w:tcPr>
            <w:tcW w:w="1842" w:type="dxa"/>
          </w:tcPr>
          <w:p w14:paraId="26E837DF" w14:textId="3BC41315"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 xml:space="preserve">Columns </w:t>
            </w:r>
            <w:r w:rsidR="00807CFF" w:rsidRPr="00EA201D">
              <w:rPr>
                <w:rFonts w:ascii="Times New Roman" w:hAnsi="Times New Roman"/>
                <w:szCs w:val="20"/>
                <w:lang w:eastAsia="de-DE"/>
              </w:rPr>
              <w:t xml:space="preserve">150 </w:t>
            </w:r>
            <w:r w:rsidRPr="00EA201D">
              <w:rPr>
                <w:rFonts w:ascii="Times New Roman" w:hAnsi="Times New Roman"/>
                <w:szCs w:val="20"/>
                <w:lang w:eastAsia="de-DE"/>
              </w:rPr>
              <w:t>to</w:t>
            </w:r>
            <w:r w:rsidR="00807CFF" w:rsidRPr="00EA201D">
              <w:rPr>
                <w:rFonts w:ascii="Times New Roman" w:hAnsi="Times New Roman"/>
                <w:szCs w:val="20"/>
                <w:lang w:eastAsia="de-DE"/>
              </w:rPr>
              <w:t xml:space="preserve"> 210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8.1 of 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 xml:space="preserve">to </w:t>
            </w:r>
            <w:r w:rsidR="00807CFF" w:rsidRPr="00EA201D">
              <w:rPr>
                <w:rFonts w:ascii="Times New Roman" w:hAnsi="Times New Roman"/>
                <w:szCs w:val="20"/>
                <w:lang w:eastAsia="de-DE"/>
              </w:rPr>
              <w:t xml:space="preserve"> </w:t>
            </w:r>
            <w:r w:rsidR="00B373EF" w:rsidRPr="00EA201D">
              <w:rPr>
                <w:rFonts w:ascii="Times New Roman" w:hAnsi="Times New Roman"/>
                <w:szCs w:val="20"/>
                <w:lang w:eastAsia="de-DE"/>
              </w:rPr>
              <w:t xml:space="preserve"> Implementing Regulation (EU) No 680/2014</w:t>
            </w:r>
          </w:p>
        </w:tc>
        <w:tc>
          <w:tcPr>
            <w:tcW w:w="9781" w:type="dxa"/>
          </w:tcPr>
          <w:p w14:paraId="35B42015" w14:textId="5F8FFA32" w:rsidR="00807CFF" w:rsidRPr="00EA201D" w:rsidRDefault="001E0564" w:rsidP="00D92A98">
            <w:pPr>
              <w:spacing w:before="0" w:after="0"/>
              <w:ind w:left="33"/>
              <w:rPr>
                <w:rFonts w:ascii="Times New Roman" w:hAnsi="Times New Roman"/>
                <w:szCs w:val="20"/>
                <w:lang w:eastAsia="de-DE"/>
              </w:rPr>
            </w:pPr>
            <w:r w:rsidRPr="00EA201D">
              <w:rPr>
                <w:rFonts w:ascii="Times New Roman" w:hAnsi="Times New Roman"/>
                <w:szCs w:val="20"/>
                <w:lang w:eastAsia="de-DE"/>
              </w:rPr>
              <w:t>T</w:t>
            </w:r>
            <w:r w:rsidR="00807CFF" w:rsidRPr="00EA201D">
              <w:rPr>
                <w:rFonts w:ascii="Times New Roman" w:hAnsi="Times New Roman"/>
                <w:szCs w:val="20"/>
                <w:lang w:eastAsia="de-DE"/>
              </w:rPr>
              <w:t>he market value of the collateral</w:t>
            </w:r>
            <w:r w:rsidRPr="00EA201D">
              <w:rPr>
                <w:rFonts w:ascii="Times New Roman" w:hAnsi="Times New Roman"/>
                <w:szCs w:val="20"/>
                <w:lang w:eastAsia="de-DE"/>
              </w:rPr>
              <w:t xml:space="preserve"> shall be reported.</w:t>
            </w:r>
          </w:p>
        </w:tc>
      </w:tr>
      <w:tr w:rsidR="00807CFF" w:rsidRPr="00EA201D" w14:paraId="6832230B" w14:textId="77777777" w:rsidTr="00585623">
        <w:tc>
          <w:tcPr>
            <w:tcW w:w="993" w:type="dxa"/>
          </w:tcPr>
          <w:p w14:paraId="54853F65"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3</w:t>
            </w:r>
            <w:r w:rsidRPr="00EA201D">
              <w:rPr>
                <w:rStyle w:val="InstructionsTabelleText"/>
                <w:rFonts w:ascii="Times New Roman" w:hAnsi="Times New Roman"/>
              </w:rPr>
              <w:t>0</w:t>
            </w:r>
          </w:p>
        </w:tc>
        <w:tc>
          <w:tcPr>
            <w:tcW w:w="1701" w:type="dxa"/>
          </w:tcPr>
          <w:p w14:paraId="16DDF4E3"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LGD</w:t>
            </w:r>
          </w:p>
        </w:tc>
        <w:tc>
          <w:tcPr>
            <w:tcW w:w="1842" w:type="dxa"/>
          </w:tcPr>
          <w:p w14:paraId="5C087138" w14:textId="5666511D"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Column</w:t>
            </w:r>
            <w:r w:rsidR="00BF2945">
              <w:rPr>
                <w:rFonts w:ascii="Times New Roman" w:hAnsi="Times New Roman"/>
                <w:szCs w:val="20"/>
                <w:lang w:eastAsia="de-DE"/>
              </w:rPr>
              <w:t>s</w:t>
            </w:r>
            <w:r w:rsidRPr="00EA201D">
              <w:rPr>
                <w:rFonts w:ascii="Times New Roman" w:hAnsi="Times New Roman"/>
                <w:szCs w:val="20"/>
                <w:lang w:eastAsia="de-DE"/>
              </w:rPr>
              <w:t xml:space="preserve"> </w:t>
            </w:r>
            <w:r w:rsidR="00807CFF" w:rsidRPr="00EA201D">
              <w:rPr>
                <w:rFonts w:ascii="Times New Roman" w:hAnsi="Times New Roman"/>
                <w:szCs w:val="20"/>
                <w:lang w:eastAsia="de-DE"/>
              </w:rPr>
              <w:t>230</w:t>
            </w:r>
            <w:r w:rsidR="00BF2945">
              <w:rPr>
                <w:rStyle w:val="InstructionsTabelleText"/>
                <w:rFonts w:ascii="Times New Roman" w:hAnsi="Times New Roman"/>
                <w:bCs/>
              </w:rPr>
              <w:t xml:space="preserve"> and 240</w:t>
            </w:r>
            <w:r w:rsidR="00807CFF" w:rsidRPr="00EA201D">
              <w:rPr>
                <w:rFonts w:ascii="Times New Roman" w:hAnsi="Times New Roman"/>
                <w:szCs w:val="20"/>
                <w:lang w:eastAsia="de-DE"/>
              </w:rPr>
              <w:t xml:space="preserve">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8.1 of 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to</w:t>
            </w:r>
            <w:r w:rsidR="00807CFF" w:rsidRPr="00EA201D">
              <w:rPr>
                <w:rFonts w:ascii="Times New Roman" w:hAnsi="Times New Roman"/>
                <w:szCs w:val="20"/>
                <w:lang w:eastAsia="de-DE"/>
              </w:rPr>
              <w:t xml:space="preserve"> </w:t>
            </w:r>
            <w:r w:rsidRPr="00EA201D">
              <w:rPr>
                <w:rFonts w:ascii="Times New Roman" w:hAnsi="Times New Roman"/>
                <w:szCs w:val="20"/>
                <w:lang w:eastAsia="de-DE"/>
              </w:rPr>
              <w:t xml:space="preserve"> Implementing </w:t>
            </w:r>
            <w:r w:rsidRPr="00EA201D">
              <w:rPr>
                <w:rFonts w:ascii="Times New Roman" w:hAnsi="Times New Roman"/>
                <w:szCs w:val="20"/>
                <w:lang w:eastAsia="de-DE"/>
              </w:rPr>
              <w:lastRenderedPageBreak/>
              <w:t>Regulation (EU) No 680/2014</w:t>
            </w:r>
          </w:p>
        </w:tc>
        <w:tc>
          <w:tcPr>
            <w:tcW w:w="9781" w:type="dxa"/>
          </w:tcPr>
          <w:p w14:paraId="16F48E17" w14:textId="77777777" w:rsidR="00C65C45" w:rsidRDefault="00C65C45" w:rsidP="00771B5F">
            <w:pPr>
              <w:spacing w:before="0" w:after="0"/>
              <w:ind w:left="33"/>
              <w:rPr>
                <w:rFonts w:ascii="Times New Roman" w:hAnsi="Times New Roman"/>
                <w:szCs w:val="20"/>
                <w:lang w:eastAsia="de-DE"/>
              </w:rPr>
            </w:pPr>
            <w:r>
              <w:rPr>
                <w:rFonts w:ascii="Times New Roman" w:hAnsi="Times New Roman"/>
                <w:szCs w:val="20"/>
                <w:lang w:eastAsia="de-DE"/>
              </w:rPr>
              <w:lastRenderedPageBreak/>
              <w:t>The EAD-weighted average of the LGD values of the exposures in the respective portfolio shall be reported.</w:t>
            </w:r>
          </w:p>
          <w:p w14:paraId="5CC030C3" w14:textId="77777777" w:rsidR="00C65C45" w:rsidRDefault="00C65C45" w:rsidP="00771B5F">
            <w:pPr>
              <w:spacing w:before="0" w:after="0"/>
              <w:ind w:left="33"/>
              <w:rPr>
                <w:rFonts w:ascii="Times New Roman" w:hAnsi="Times New Roman"/>
                <w:szCs w:val="20"/>
                <w:lang w:eastAsia="de-DE"/>
              </w:rPr>
            </w:pPr>
          </w:p>
          <w:p w14:paraId="3724AA7C" w14:textId="5F8214BB" w:rsidR="00C65C45" w:rsidRDefault="00962416" w:rsidP="00771B5F">
            <w:pPr>
              <w:spacing w:before="0" w:after="0"/>
              <w:ind w:left="33"/>
              <w:rPr>
                <w:rFonts w:ascii="Times New Roman" w:hAnsi="Times New Roman"/>
                <w:szCs w:val="20"/>
                <w:lang w:eastAsia="de-DE"/>
              </w:rPr>
            </w:pPr>
            <w:r>
              <w:rPr>
                <w:rFonts w:ascii="Times New Roman" w:hAnsi="Times New Roman"/>
                <w:szCs w:val="20"/>
                <w:lang w:eastAsia="de-DE"/>
              </w:rPr>
              <w:t>Depending on the institution’s permission, t</w:t>
            </w:r>
            <w:r w:rsidR="00C65C45">
              <w:rPr>
                <w:rFonts w:ascii="Times New Roman" w:hAnsi="Times New Roman"/>
                <w:szCs w:val="20"/>
                <w:lang w:eastAsia="de-DE"/>
              </w:rPr>
              <w:t>he</w:t>
            </w:r>
            <w:r>
              <w:rPr>
                <w:rFonts w:ascii="Times New Roman" w:hAnsi="Times New Roman"/>
                <w:szCs w:val="20"/>
                <w:lang w:eastAsia="de-DE"/>
              </w:rPr>
              <w:t xml:space="preserve"> </w:t>
            </w:r>
            <w:r w:rsidR="00C65C45">
              <w:rPr>
                <w:rFonts w:ascii="Times New Roman" w:hAnsi="Times New Roman"/>
                <w:szCs w:val="20"/>
                <w:lang w:eastAsia="de-DE"/>
              </w:rPr>
              <w:t>LGD</w:t>
            </w:r>
            <w:r>
              <w:rPr>
                <w:rFonts w:ascii="Times New Roman" w:hAnsi="Times New Roman"/>
                <w:szCs w:val="20"/>
                <w:lang w:eastAsia="de-DE"/>
              </w:rPr>
              <w:t>s</w:t>
            </w:r>
            <w:r w:rsidR="00C65C45">
              <w:rPr>
                <w:rFonts w:ascii="Times New Roman" w:hAnsi="Times New Roman"/>
                <w:szCs w:val="20"/>
                <w:lang w:eastAsia="de-DE"/>
              </w:rPr>
              <w:t xml:space="preserve"> shall be </w:t>
            </w:r>
            <w:r>
              <w:rPr>
                <w:rFonts w:ascii="Times New Roman" w:hAnsi="Times New Roman"/>
                <w:szCs w:val="20"/>
                <w:lang w:eastAsia="de-DE"/>
              </w:rPr>
              <w:t xml:space="preserve">based on the institutions’ own estimates or </w:t>
            </w:r>
            <w:r w:rsidR="00B818F8">
              <w:rPr>
                <w:rFonts w:ascii="Times New Roman" w:hAnsi="Times New Roman"/>
                <w:szCs w:val="20"/>
                <w:lang w:eastAsia="de-DE"/>
              </w:rPr>
              <w:t xml:space="preserve">on </w:t>
            </w:r>
            <w:r>
              <w:rPr>
                <w:rFonts w:ascii="Times New Roman" w:hAnsi="Times New Roman"/>
                <w:szCs w:val="20"/>
                <w:lang w:eastAsia="de-DE"/>
              </w:rPr>
              <w:t xml:space="preserve">regulatory values; in either case, </w:t>
            </w:r>
            <w:r w:rsidR="00C65C45">
              <w:rPr>
                <w:rFonts w:ascii="Times New Roman" w:hAnsi="Times New Roman"/>
                <w:szCs w:val="20"/>
                <w:lang w:eastAsia="de-DE"/>
              </w:rPr>
              <w:t>the LGD</w:t>
            </w:r>
            <w:r>
              <w:rPr>
                <w:rFonts w:ascii="Times New Roman" w:hAnsi="Times New Roman"/>
                <w:szCs w:val="20"/>
                <w:lang w:eastAsia="de-DE"/>
              </w:rPr>
              <w:t>s</w:t>
            </w:r>
            <w:r w:rsidR="00C65C45">
              <w:rPr>
                <w:rFonts w:ascii="Times New Roman" w:hAnsi="Times New Roman"/>
                <w:szCs w:val="20"/>
                <w:lang w:eastAsia="de-DE"/>
              </w:rPr>
              <w:t xml:space="preserve"> </w:t>
            </w:r>
            <w:r>
              <w:rPr>
                <w:rFonts w:ascii="Times New Roman" w:hAnsi="Times New Roman"/>
                <w:szCs w:val="20"/>
                <w:lang w:eastAsia="de-DE"/>
              </w:rPr>
              <w:t xml:space="preserve">shall be those </w:t>
            </w:r>
            <w:r w:rsidR="00C65C45">
              <w:rPr>
                <w:rFonts w:ascii="Times New Roman" w:hAnsi="Times New Roman"/>
                <w:szCs w:val="20"/>
                <w:lang w:eastAsia="de-DE"/>
              </w:rPr>
              <w:t xml:space="preserve">used for the calculation of </w:t>
            </w:r>
            <w:r w:rsidR="00B818F8">
              <w:rPr>
                <w:rFonts w:ascii="Times New Roman" w:hAnsi="Times New Roman"/>
                <w:szCs w:val="20"/>
                <w:lang w:eastAsia="de-DE"/>
              </w:rPr>
              <w:t xml:space="preserve">the </w:t>
            </w:r>
            <w:r w:rsidR="00C65C45">
              <w:rPr>
                <w:rFonts w:ascii="Times New Roman" w:hAnsi="Times New Roman"/>
                <w:szCs w:val="20"/>
                <w:lang w:eastAsia="de-DE"/>
              </w:rPr>
              <w:t>RWA</w:t>
            </w:r>
            <w:r>
              <w:rPr>
                <w:rFonts w:ascii="Times New Roman" w:hAnsi="Times New Roman"/>
                <w:szCs w:val="20"/>
                <w:lang w:eastAsia="de-DE"/>
              </w:rPr>
              <w:t xml:space="preserve">. </w:t>
            </w:r>
          </w:p>
          <w:p w14:paraId="1BD8AB4F" w14:textId="77777777" w:rsidR="0032457F" w:rsidRDefault="0032457F" w:rsidP="00771B5F">
            <w:pPr>
              <w:spacing w:before="0" w:after="0"/>
              <w:ind w:left="33"/>
              <w:rPr>
                <w:rFonts w:ascii="Times New Roman" w:hAnsi="Times New Roman"/>
                <w:szCs w:val="20"/>
                <w:lang w:eastAsia="de-DE"/>
              </w:rPr>
            </w:pPr>
          </w:p>
          <w:p w14:paraId="5192B926" w14:textId="57504B07" w:rsidR="00C65C45" w:rsidRDefault="0032457F" w:rsidP="00771B5F">
            <w:pPr>
              <w:spacing w:before="0" w:after="0"/>
              <w:ind w:left="33"/>
              <w:rPr>
                <w:rFonts w:ascii="Times New Roman" w:hAnsi="Times New Roman"/>
                <w:szCs w:val="20"/>
                <w:lang w:eastAsia="de-DE"/>
              </w:rPr>
            </w:pPr>
            <w:r w:rsidRPr="0032457F">
              <w:rPr>
                <w:rFonts w:ascii="Times New Roman" w:hAnsi="Times New Roman"/>
                <w:szCs w:val="20"/>
                <w:lang w:eastAsia="de-DE"/>
              </w:rPr>
              <w:t>Exposure</w:t>
            </w:r>
            <w:r>
              <w:rPr>
                <w:rFonts w:ascii="Times New Roman" w:hAnsi="Times New Roman"/>
                <w:szCs w:val="20"/>
                <w:lang w:eastAsia="de-DE"/>
              </w:rPr>
              <w:t>s</w:t>
            </w:r>
            <w:r w:rsidRPr="0032457F">
              <w:rPr>
                <w:rFonts w:ascii="Times New Roman" w:hAnsi="Times New Roman"/>
                <w:szCs w:val="20"/>
                <w:lang w:eastAsia="de-DE"/>
              </w:rPr>
              <w:t xml:space="preserve"> and the respective LGDs for large regulated financial sector entities and unregulated financial entities shall be included</w:t>
            </w:r>
            <w:r>
              <w:rPr>
                <w:rFonts w:ascii="Times New Roman" w:hAnsi="Times New Roman"/>
                <w:szCs w:val="20"/>
                <w:lang w:eastAsia="de-DE"/>
              </w:rPr>
              <w:t xml:space="preserve">. </w:t>
            </w:r>
          </w:p>
          <w:p w14:paraId="3E5B254F" w14:textId="49B31267" w:rsidR="008113A1" w:rsidRDefault="008113A1" w:rsidP="00771B5F">
            <w:pPr>
              <w:spacing w:before="0" w:after="0"/>
              <w:ind w:left="33"/>
              <w:rPr>
                <w:rFonts w:ascii="Times New Roman" w:hAnsi="Times New Roman"/>
                <w:szCs w:val="20"/>
                <w:lang w:eastAsia="de-DE"/>
              </w:rPr>
            </w:pPr>
          </w:p>
          <w:p w14:paraId="75D5D6ED" w14:textId="0C19F42B" w:rsidR="008113A1" w:rsidRDefault="008113A1" w:rsidP="00771B5F">
            <w:pPr>
              <w:spacing w:before="0" w:after="0"/>
              <w:ind w:left="33"/>
              <w:rPr>
                <w:rFonts w:ascii="Times New Roman" w:hAnsi="Times New Roman"/>
                <w:szCs w:val="20"/>
                <w:lang w:eastAsia="de-DE"/>
              </w:rPr>
            </w:pPr>
            <w:r>
              <w:rPr>
                <w:rFonts w:ascii="Times New Roman" w:hAnsi="Times New Roman"/>
                <w:szCs w:val="20"/>
                <w:lang w:eastAsia="de-DE"/>
              </w:rPr>
              <w:t xml:space="preserve">The effect of measures introduced in accordance with Article 458 of </w:t>
            </w:r>
            <w:r w:rsidR="00AA6332">
              <w:rPr>
                <w:rStyle w:val="InstructionsTabelleText"/>
                <w:rFonts w:ascii="Times New Roman" w:hAnsi="Times New Roman"/>
                <w:bCs/>
              </w:rPr>
              <w:t xml:space="preserve">the CRR </w:t>
            </w:r>
            <w:r>
              <w:rPr>
                <w:rFonts w:ascii="Times New Roman" w:hAnsi="Times New Roman"/>
                <w:szCs w:val="20"/>
                <w:lang w:eastAsia="de-DE"/>
              </w:rPr>
              <w:t>shall be excluded.</w:t>
            </w:r>
          </w:p>
          <w:p w14:paraId="16077A3B" w14:textId="0D5DF252" w:rsidR="00C65C45" w:rsidRDefault="00C65C45" w:rsidP="00771B5F">
            <w:pPr>
              <w:spacing w:before="0" w:after="0"/>
              <w:ind w:left="33"/>
              <w:rPr>
                <w:rFonts w:ascii="Times New Roman" w:hAnsi="Times New Roman"/>
                <w:szCs w:val="20"/>
                <w:lang w:eastAsia="de-DE"/>
              </w:rPr>
            </w:pPr>
          </w:p>
          <w:p w14:paraId="13D4EE78" w14:textId="54746F89" w:rsidR="00727A7D" w:rsidRPr="00EA201D" w:rsidRDefault="00727A7D" w:rsidP="00727A7D">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w:t>
            </w:r>
            <w:r>
              <w:rPr>
                <w:rFonts w:ascii="Times New Roman" w:hAnsi="Times New Roman"/>
                <w:szCs w:val="20"/>
                <w:lang w:eastAsia="de-DE"/>
              </w:rPr>
              <w:t xml:space="preserve">LGD </w:t>
            </w:r>
            <w:r w:rsidRPr="00EA201D">
              <w:rPr>
                <w:rFonts w:ascii="Times New Roman" w:hAnsi="Times New Roman"/>
                <w:szCs w:val="20"/>
                <w:lang w:eastAsia="de-DE"/>
              </w:rPr>
              <w:t>shall be expressed as a value between 0 and 1.</w:t>
            </w:r>
          </w:p>
          <w:p w14:paraId="4AEC597E" w14:textId="04D5B82E" w:rsidR="00C65C45" w:rsidRPr="00EA201D" w:rsidRDefault="00C65C45" w:rsidP="00771B5F">
            <w:pPr>
              <w:spacing w:before="0" w:after="0"/>
              <w:ind w:left="33"/>
              <w:rPr>
                <w:rFonts w:ascii="Times New Roman" w:hAnsi="Times New Roman"/>
                <w:szCs w:val="20"/>
                <w:lang w:eastAsia="de-DE"/>
              </w:rPr>
            </w:pPr>
            <w:r>
              <w:rPr>
                <w:rFonts w:ascii="Times New Roman" w:hAnsi="Times New Roman"/>
                <w:szCs w:val="20"/>
                <w:lang w:eastAsia="de-DE"/>
              </w:rPr>
              <w:t xml:space="preserve"> </w:t>
            </w:r>
          </w:p>
        </w:tc>
      </w:tr>
      <w:tr w:rsidR="00807CFF" w:rsidRPr="00EA201D" w14:paraId="51E2ED56" w14:textId="77777777" w:rsidTr="00585623">
        <w:tc>
          <w:tcPr>
            <w:tcW w:w="993" w:type="dxa"/>
          </w:tcPr>
          <w:p w14:paraId="667748E4"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lastRenderedPageBreak/>
              <w:t>140</w:t>
            </w:r>
          </w:p>
        </w:tc>
        <w:tc>
          <w:tcPr>
            <w:tcW w:w="1701" w:type="dxa"/>
          </w:tcPr>
          <w:p w14:paraId="09344240"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Maturity</w:t>
            </w:r>
          </w:p>
        </w:tc>
        <w:tc>
          <w:tcPr>
            <w:tcW w:w="1842" w:type="dxa"/>
          </w:tcPr>
          <w:p w14:paraId="34DE488C" w14:textId="74C3413D"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250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 of 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to</w:t>
            </w:r>
            <w:r w:rsidR="00807CFF" w:rsidRPr="00EA201D">
              <w:rPr>
                <w:rFonts w:ascii="Times New Roman" w:hAnsi="Times New Roman"/>
                <w:szCs w:val="20"/>
                <w:lang w:eastAsia="de-DE"/>
              </w:rPr>
              <w:t xml:space="preserve"> </w:t>
            </w:r>
            <w:r w:rsidR="00B373EF" w:rsidRPr="00EA201D">
              <w:rPr>
                <w:rFonts w:ascii="Times New Roman" w:hAnsi="Times New Roman"/>
                <w:szCs w:val="20"/>
                <w:lang w:eastAsia="de-DE"/>
              </w:rPr>
              <w:t>Implementing Regulation (EU) No 680/2014</w:t>
            </w:r>
          </w:p>
        </w:tc>
        <w:tc>
          <w:tcPr>
            <w:tcW w:w="9781" w:type="dxa"/>
          </w:tcPr>
          <w:p w14:paraId="4E91FEA5" w14:textId="6E2B04EC" w:rsidR="00807CFF" w:rsidRPr="00EA201D" w:rsidRDefault="002D194B" w:rsidP="00221A8E">
            <w:pPr>
              <w:spacing w:before="0" w:after="0"/>
              <w:ind w:left="33"/>
              <w:rPr>
                <w:rFonts w:ascii="Times New Roman" w:hAnsi="Times New Roman"/>
                <w:szCs w:val="20"/>
                <w:lang w:eastAsia="de-DE"/>
              </w:rPr>
            </w:pPr>
            <w:r w:rsidRPr="00EA201D">
              <w:rPr>
                <w:rStyle w:val="InstructionsTabelleText"/>
                <w:rFonts w:ascii="Times New Roman" w:hAnsi="Times New Roman"/>
                <w:bCs/>
              </w:rPr>
              <w:t>T</w:t>
            </w:r>
            <w:r w:rsidR="009D09F2" w:rsidRPr="00EA201D">
              <w:rPr>
                <w:rStyle w:val="InstructionsTabelleText"/>
                <w:rFonts w:ascii="Times New Roman" w:hAnsi="Times New Roman"/>
                <w:bCs/>
              </w:rPr>
              <w:t xml:space="preserve">he </w:t>
            </w:r>
            <w:r w:rsidR="0011434F">
              <w:rPr>
                <w:rStyle w:val="InstructionsTabelleText"/>
                <w:rFonts w:ascii="Times New Roman" w:hAnsi="Times New Roman"/>
                <w:bCs/>
              </w:rPr>
              <w:t>EAD-weighted</w:t>
            </w:r>
            <w:r w:rsidR="009D09F2" w:rsidRPr="00EA201D">
              <w:rPr>
                <w:rStyle w:val="InstructionsTabelleText"/>
                <w:rFonts w:ascii="Times New Roman" w:hAnsi="Times New Roman"/>
                <w:bCs/>
              </w:rPr>
              <w:t xml:space="preserve"> maturity </w:t>
            </w:r>
            <w:r w:rsidR="00771B5F" w:rsidRPr="00EA201D">
              <w:rPr>
                <w:rStyle w:val="InstructionsTabelleText"/>
                <w:rFonts w:ascii="Times New Roman" w:hAnsi="Times New Roman"/>
                <w:bCs/>
              </w:rPr>
              <w:t xml:space="preserve">shall be reported. </w:t>
            </w:r>
            <w:r w:rsidR="00935B3F" w:rsidRPr="00EA201D">
              <w:rPr>
                <w:rStyle w:val="InstructionsTabelleText"/>
                <w:rFonts w:ascii="Times New Roman" w:hAnsi="Times New Roman"/>
                <w:bCs/>
              </w:rPr>
              <w:t>It</w:t>
            </w:r>
            <w:r w:rsidRPr="00EA201D">
              <w:rPr>
                <w:rStyle w:val="InstructionsTabelleText"/>
                <w:rFonts w:ascii="Times New Roman" w:hAnsi="Times New Roman"/>
                <w:bCs/>
              </w:rPr>
              <w:t xml:space="preserve"> shall be </w:t>
            </w:r>
            <w:r w:rsidR="009D09F2" w:rsidRPr="00EA201D">
              <w:rPr>
                <w:rStyle w:val="InstructionsTabelleText"/>
                <w:rFonts w:ascii="Times New Roman" w:hAnsi="Times New Roman"/>
                <w:bCs/>
              </w:rPr>
              <w:t>expressed in number of days</w:t>
            </w:r>
            <w:r w:rsidR="00D92A98" w:rsidRPr="00EA201D">
              <w:rPr>
                <w:rStyle w:val="InstructionsTabelleText"/>
                <w:rFonts w:ascii="Times New Roman" w:hAnsi="Times New Roman"/>
                <w:bCs/>
              </w:rPr>
              <w:t>.</w:t>
            </w:r>
            <w:r w:rsidR="00D736C1">
              <w:t xml:space="preserve"> </w:t>
            </w:r>
            <w:r w:rsidR="00D736C1" w:rsidRPr="00D736C1">
              <w:rPr>
                <w:rStyle w:val="InstructionsTabelleText"/>
                <w:rFonts w:ascii="Times New Roman" w:hAnsi="Times New Roman"/>
                <w:bCs/>
              </w:rPr>
              <w:t xml:space="preserve">This </w:t>
            </w:r>
            <w:r w:rsidR="00D736C1">
              <w:rPr>
                <w:rStyle w:val="InstructionsTabelleText"/>
                <w:rFonts w:ascii="Times New Roman" w:hAnsi="Times New Roman"/>
                <w:bCs/>
              </w:rPr>
              <w:t>information</w:t>
            </w:r>
            <w:r w:rsidR="00D736C1" w:rsidRPr="00D736C1">
              <w:rPr>
                <w:rStyle w:val="InstructionsTabelleText"/>
                <w:rFonts w:ascii="Times New Roman" w:hAnsi="Times New Roman"/>
                <w:bCs/>
              </w:rPr>
              <w:t xml:space="preserve"> shall not be reported for exposure</w:t>
            </w:r>
            <w:r w:rsidR="00D736C1">
              <w:rPr>
                <w:rStyle w:val="InstructionsTabelleText"/>
                <w:rFonts w:ascii="Times New Roman" w:hAnsi="Times New Roman"/>
                <w:bCs/>
              </w:rPr>
              <w:t>s</w:t>
            </w:r>
            <w:r w:rsidR="00D736C1" w:rsidRPr="00D736C1">
              <w:rPr>
                <w:rStyle w:val="InstructionsTabelleText"/>
                <w:rFonts w:ascii="Times New Roman" w:hAnsi="Times New Roman"/>
                <w:bCs/>
              </w:rPr>
              <w:t xml:space="preserve"> for which the maturity is not an element in the calculation of risk weighted exposure amounts.</w:t>
            </w:r>
            <w:r w:rsidR="009C3310">
              <w:rPr>
                <w:rStyle w:val="InstructionsTabelleText"/>
                <w:rFonts w:ascii="Times New Roman" w:hAnsi="Times New Roman"/>
                <w:bCs/>
              </w:rPr>
              <w:t xml:space="preserve"> T</w:t>
            </w:r>
            <w:r w:rsidR="009C3310" w:rsidRPr="00D736C1">
              <w:rPr>
                <w:rStyle w:val="InstructionsTabelleText"/>
                <w:rFonts w:ascii="Times New Roman" w:hAnsi="Times New Roman"/>
                <w:bCs/>
              </w:rPr>
              <w:t xml:space="preserve">his </w:t>
            </w:r>
            <w:r w:rsidR="009C3310" w:rsidRPr="0012648C">
              <w:rPr>
                <w:rFonts w:ascii="Times New Roman" w:hAnsi="Times New Roman"/>
                <w:szCs w:val="20"/>
                <w:lang w:eastAsia="de-DE"/>
              </w:rPr>
              <w:t xml:space="preserve">information shall </w:t>
            </w:r>
            <w:r w:rsidR="009C3310">
              <w:rPr>
                <w:rFonts w:ascii="Times New Roman" w:hAnsi="Times New Roman"/>
                <w:szCs w:val="20"/>
                <w:lang w:eastAsia="de-DE"/>
              </w:rPr>
              <w:t>not be reported for portfolios that represent exposures of the exposure class ‘Retail’.</w:t>
            </w:r>
            <w:r w:rsidR="00D736C1" w:rsidRPr="00D736C1">
              <w:rPr>
                <w:rStyle w:val="InstructionsTabelleText"/>
                <w:rFonts w:ascii="Times New Roman" w:hAnsi="Times New Roman"/>
                <w:bCs/>
              </w:rPr>
              <w:t xml:space="preserve"> </w:t>
            </w:r>
          </w:p>
        </w:tc>
      </w:tr>
      <w:tr w:rsidR="00807CFF" w:rsidRPr="00EA201D" w14:paraId="6283899C" w14:textId="77777777" w:rsidTr="00585623">
        <w:tc>
          <w:tcPr>
            <w:tcW w:w="993" w:type="dxa"/>
          </w:tcPr>
          <w:p w14:paraId="09B7DD94"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bCs/>
              </w:rPr>
              <w:t>15</w:t>
            </w:r>
            <w:r w:rsidRPr="00EA201D">
              <w:rPr>
                <w:rStyle w:val="InstructionsTabelleText"/>
                <w:rFonts w:ascii="Times New Roman" w:hAnsi="Times New Roman"/>
              </w:rPr>
              <w:t>0</w:t>
            </w:r>
          </w:p>
        </w:tc>
        <w:tc>
          <w:tcPr>
            <w:tcW w:w="1701" w:type="dxa"/>
          </w:tcPr>
          <w:p w14:paraId="6DBC285E" w14:textId="6F851609"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Expected Loss</w:t>
            </w:r>
            <w:r w:rsidR="00690A82">
              <w:rPr>
                <w:rStyle w:val="InstructionsTabelleText"/>
                <w:rFonts w:ascii="Times New Roman" w:hAnsi="Times New Roman"/>
                <w:bCs w:val="0"/>
              </w:rPr>
              <w:t xml:space="preserve"> amount</w:t>
            </w:r>
          </w:p>
        </w:tc>
        <w:tc>
          <w:tcPr>
            <w:tcW w:w="1842" w:type="dxa"/>
          </w:tcPr>
          <w:p w14:paraId="6665816D" w14:textId="1270B4A2"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280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8.1 of 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 xml:space="preserve">to </w:t>
            </w:r>
            <w:r w:rsidR="00807CFF" w:rsidRPr="00EA201D">
              <w:rPr>
                <w:rFonts w:ascii="Times New Roman" w:hAnsi="Times New Roman"/>
                <w:szCs w:val="20"/>
                <w:lang w:eastAsia="de-DE"/>
              </w:rPr>
              <w:t xml:space="preserve"> </w:t>
            </w:r>
            <w:r w:rsidRPr="00EA201D">
              <w:rPr>
                <w:rFonts w:ascii="Times New Roman" w:hAnsi="Times New Roman"/>
                <w:szCs w:val="20"/>
                <w:lang w:eastAsia="de-DE"/>
              </w:rPr>
              <w:t xml:space="preserve"> Implementing Regulation (EU) No 680/2014</w:t>
            </w:r>
          </w:p>
        </w:tc>
        <w:tc>
          <w:tcPr>
            <w:tcW w:w="9781" w:type="dxa"/>
          </w:tcPr>
          <w:p w14:paraId="5F23265C" w14:textId="5B9E8CD5" w:rsidR="00807CFF" w:rsidRPr="00EA201D" w:rsidRDefault="00D72132" w:rsidP="001F1AEB">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expected loss </w:t>
            </w:r>
            <w:r w:rsidR="00AC3FAB">
              <w:rPr>
                <w:rFonts w:ascii="Times New Roman" w:hAnsi="Times New Roman"/>
                <w:szCs w:val="20"/>
                <w:lang w:eastAsia="de-DE"/>
              </w:rPr>
              <w:t xml:space="preserve">amount </w:t>
            </w:r>
            <w:r w:rsidRPr="00EA201D">
              <w:rPr>
                <w:rFonts w:ascii="Times New Roman" w:hAnsi="Times New Roman"/>
                <w:szCs w:val="20"/>
                <w:lang w:eastAsia="de-DE"/>
              </w:rPr>
              <w:t>shall be reported.</w:t>
            </w:r>
          </w:p>
        </w:tc>
      </w:tr>
      <w:tr w:rsidR="00807CFF" w:rsidRPr="00EA201D" w14:paraId="5D22C868" w14:textId="77777777" w:rsidTr="00585623">
        <w:tc>
          <w:tcPr>
            <w:tcW w:w="993" w:type="dxa"/>
          </w:tcPr>
          <w:p w14:paraId="6B431EFA"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bCs/>
              </w:rPr>
              <w:t>16</w:t>
            </w:r>
            <w:r w:rsidRPr="00EA201D">
              <w:rPr>
                <w:rStyle w:val="InstructionsTabelleText"/>
                <w:rFonts w:ascii="Times New Roman" w:hAnsi="Times New Roman"/>
              </w:rPr>
              <w:t>0</w:t>
            </w:r>
          </w:p>
        </w:tc>
        <w:tc>
          <w:tcPr>
            <w:tcW w:w="1701" w:type="dxa"/>
          </w:tcPr>
          <w:p w14:paraId="09085FF3" w14:textId="7130A789"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Provisions </w:t>
            </w:r>
            <w:r w:rsidR="00A6169B">
              <w:rPr>
                <w:rStyle w:val="InstructionsTabelleText"/>
                <w:rFonts w:ascii="Times New Roman" w:hAnsi="Times New Roman"/>
                <w:bCs w:val="0"/>
              </w:rPr>
              <w:t>defaulted</w:t>
            </w:r>
            <w:r w:rsidRPr="00A6169B">
              <w:rPr>
                <w:rStyle w:val="InstructionsTabelleText"/>
                <w:rFonts w:ascii="Times New Roman" w:hAnsi="Times New Roman"/>
                <w:bCs w:val="0"/>
              </w:rPr>
              <w:t xml:space="preserve"> exposures</w:t>
            </w:r>
          </w:p>
        </w:tc>
        <w:tc>
          <w:tcPr>
            <w:tcW w:w="1842" w:type="dxa"/>
          </w:tcPr>
          <w:p w14:paraId="21559BF6" w14:textId="667BA75A"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 xml:space="preserve">Columns </w:t>
            </w:r>
            <w:r w:rsidR="00806926" w:rsidRPr="00EA201D">
              <w:rPr>
                <w:rFonts w:ascii="Times New Roman" w:hAnsi="Times New Roman"/>
                <w:szCs w:val="20"/>
                <w:lang w:eastAsia="de-DE"/>
              </w:rPr>
              <w:t>0</w:t>
            </w:r>
            <w:r w:rsidR="00807CFF" w:rsidRPr="00EA201D">
              <w:rPr>
                <w:rFonts w:ascii="Times New Roman" w:hAnsi="Times New Roman"/>
                <w:szCs w:val="20"/>
                <w:lang w:eastAsia="de-DE"/>
              </w:rPr>
              <w:t>50</w:t>
            </w:r>
            <w:r w:rsidR="0073125C">
              <w:rPr>
                <w:rFonts w:ascii="Times New Roman" w:hAnsi="Times New Roman"/>
                <w:szCs w:val="20"/>
                <w:lang w:eastAsia="de-DE"/>
              </w:rPr>
              <w:t>, 055</w:t>
            </w:r>
            <w:r w:rsidR="00807CFF" w:rsidRPr="00EA201D">
              <w:rPr>
                <w:rFonts w:ascii="Times New Roman" w:hAnsi="Times New Roman"/>
                <w:szCs w:val="20"/>
                <w:lang w:eastAsia="de-DE"/>
              </w:rPr>
              <w:t xml:space="preserve"> </w:t>
            </w:r>
            <w:r w:rsidRPr="00EA201D">
              <w:rPr>
                <w:rFonts w:ascii="Times New Roman" w:hAnsi="Times New Roman"/>
                <w:szCs w:val="20"/>
                <w:lang w:eastAsia="de-DE"/>
              </w:rPr>
              <w:t xml:space="preserve">and </w:t>
            </w:r>
            <w:r w:rsidR="00806926" w:rsidRPr="00EA201D">
              <w:rPr>
                <w:rFonts w:ascii="Times New Roman" w:hAnsi="Times New Roman"/>
                <w:szCs w:val="20"/>
                <w:lang w:eastAsia="de-DE"/>
              </w:rPr>
              <w:t>0</w:t>
            </w:r>
            <w:r w:rsidR="00807CFF" w:rsidRPr="00EA201D">
              <w:rPr>
                <w:rFonts w:ascii="Times New Roman" w:hAnsi="Times New Roman"/>
                <w:szCs w:val="20"/>
                <w:lang w:eastAsia="de-DE"/>
              </w:rPr>
              <w:t xml:space="preserve">60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 9.2 of Annex </w:t>
            </w:r>
            <w:r w:rsidR="009C3310">
              <w:rPr>
                <w:rFonts w:ascii="Times New Roman" w:hAnsi="Times New Roman"/>
                <w:szCs w:val="20"/>
                <w:lang w:eastAsia="de-DE"/>
              </w:rPr>
              <w:t>I</w:t>
            </w:r>
            <w:r w:rsidR="00807CFF" w:rsidRPr="00EA201D">
              <w:rPr>
                <w:rFonts w:ascii="Times New Roman" w:hAnsi="Times New Roman"/>
                <w:szCs w:val="20"/>
                <w:lang w:eastAsia="de-DE"/>
              </w:rPr>
              <w:t xml:space="preserve"> </w:t>
            </w:r>
            <w:r w:rsidR="009C3310">
              <w:rPr>
                <w:rFonts w:ascii="Times New Roman" w:hAnsi="Times New Roman"/>
                <w:szCs w:val="20"/>
                <w:lang w:eastAsia="de-DE"/>
              </w:rPr>
              <w:t>to</w:t>
            </w:r>
            <w:r w:rsidR="009C3310" w:rsidRPr="00EA201D">
              <w:rPr>
                <w:rFonts w:ascii="Times New Roman" w:hAnsi="Times New Roman"/>
                <w:szCs w:val="20"/>
                <w:lang w:eastAsia="de-DE"/>
              </w:rPr>
              <w:t xml:space="preserve"> </w:t>
            </w:r>
            <w:r w:rsidRPr="00EA201D">
              <w:rPr>
                <w:rFonts w:ascii="Times New Roman" w:hAnsi="Times New Roman"/>
                <w:szCs w:val="20"/>
                <w:lang w:eastAsia="de-DE"/>
              </w:rPr>
              <w:t>Implementing Regulation (EU) No 680/2014</w:t>
            </w:r>
          </w:p>
        </w:tc>
        <w:tc>
          <w:tcPr>
            <w:tcW w:w="9781" w:type="dxa"/>
          </w:tcPr>
          <w:p w14:paraId="6C4CE60F" w14:textId="31A0D331" w:rsidR="00807CFF" w:rsidRPr="00EA201D" w:rsidRDefault="00D72132" w:rsidP="00B818F8">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provisions for </w:t>
            </w:r>
            <w:r w:rsidR="00BD0482">
              <w:rPr>
                <w:rFonts w:ascii="Times New Roman" w:hAnsi="Times New Roman"/>
                <w:szCs w:val="20"/>
                <w:lang w:eastAsia="de-DE"/>
              </w:rPr>
              <w:t>defaulted</w:t>
            </w:r>
            <w:r w:rsidRPr="00EA201D">
              <w:rPr>
                <w:rFonts w:ascii="Times New Roman" w:hAnsi="Times New Roman"/>
                <w:szCs w:val="20"/>
                <w:lang w:eastAsia="de-DE"/>
              </w:rPr>
              <w:t xml:space="preserve"> exposures shall be reported.</w:t>
            </w:r>
            <w:r w:rsidR="00A0392D">
              <w:rPr>
                <w:rFonts w:ascii="Times New Roman" w:hAnsi="Times New Roman"/>
                <w:szCs w:val="20"/>
                <w:lang w:eastAsia="de-DE"/>
              </w:rPr>
              <w:t xml:space="preserve"> These </w:t>
            </w:r>
            <w:r w:rsidR="00B818F8">
              <w:rPr>
                <w:rFonts w:ascii="Times New Roman" w:hAnsi="Times New Roman"/>
                <w:szCs w:val="20"/>
                <w:lang w:eastAsia="de-DE"/>
              </w:rPr>
              <w:t xml:space="preserve">shall </w:t>
            </w:r>
            <w:r w:rsidR="00A0392D" w:rsidRPr="00A0392D">
              <w:rPr>
                <w:rFonts w:ascii="Times New Roman" w:hAnsi="Times New Roman"/>
                <w:szCs w:val="20"/>
                <w:lang w:eastAsia="de-DE"/>
              </w:rPr>
              <w:t>include all the general and specific credit risk adjustments for defaulted assets as defined in Article 110 of Regulation (EU) No 575/2013</w:t>
            </w:r>
            <w:r w:rsidR="00111991" w:rsidRPr="00BD7B04">
              <w:rPr>
                <w:rFonts w:ascii="Times New Roman" w:hAnsi="Times New Roman"/>
                <w:szCs w:val="20"/>
                <w:lang w:eastAsia="de-DE"/>
              </w:rPr>
              <w:t>, irrespective of the threshold set for Template C 09.02 of Annex I of Regulation (EU) No 680/2014</w:t>
            </w:r>
            <w:r w:rsidR="00A0392D">
              <w:rPr>
                <w:rFonts w:ascii="Times New Roman" w:hAnsi="Times New Roman"/>
                <w:szCs w:val="20"/>
                <w:lang w:eastAsia="de-DE"/>
              </w:rPr>
              <w:t>.</w:t>
            </w:r>
          </w:p>
        </w:tc>
      </w:tr>
      <w:tr w:rsidR="00807CFF" w:rsidRPr="00EA201D" w14:paraId="0EC78888" w14:textId="77777777" w:rsidTr="00585623">
        <w:tc>
          <w:tcPr>
            <w:tcW w:w="993" w:type="dxa"/>
          </w:tcPr>
          <w:p w14:paraId="1A6F1A78"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7</w:t>
            </w:r>
            <w:r w:rsidRPr="00EA201D">
              <w:rPr>
                <w:rStyle w:val="InstructionsTabelleText"/>
                <w:rFonts w:ascii="Times New Roman" w:hAnsi="Times New Roman"/>
              </w:rPr>
              <w:t>0</w:t>
            </w:r>
          </w:p>
        </w:tc>
        <w:tc>
          <w:tcPr>
            <w:tcW w:w="1701" w:type="dxa"/>
          </w:tcPr>
          <w:p w14:paraId="33573B85"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RWA</w:t>
            </w:r>
          </w:p>
        </w:tc>
        <w:tc>
          <w:tcPr>
            <w:tcW w:w="1842" w:type="dxa"/>
          </w:tcPr>
          <w:p w14:paraId="3493338F" w14:textId="30D00608" w:rsidR="00807CFF" w:rsidRPr="00EA201D" w:rsidRDefault="00FC6D77" w:rsidP="009C3310">
            <w:pPr>
              <w:spacing w:before="0" w:after="0"/>
              <w:ind w:left="33"/>
              <w:rPr>
                <w:rFonts w:ascii="Times New Roman" w:hAnsi="Times New Roman"/>
                <w:szCs w:val="20"/>
                <w:lang w:eastAsia="de-DE"/>
              </w:rPr>
            </w:pPr>
            <w:r w:rsidRPr="00EA201D">
              <w:rPr>
                <w:rFonts w:ascii="Times New Roman" w:hAnsi="Times New Roman"/>
                <w:szCs w:val="20"/>
                <w:lang w:eastAsia="de-DE"/>
              </w:rPr>
              <w:t xml:space="preserve">Column </w:t>
            </w:r>
            <w:r w:rsidR="00807CFF" w:rsidRPr="00EA201D">
              <w:rPr>
                <w:rFonts w:ascii="Times New Roman" w:hAnsi="Times New Roman"/>
                <w:szCs w:val="20"/>
                <w:lang w:eastAsia="de-DE"/>
              </w:rPr>
              <w:t xml:space="preserve">260 of </w:t>
            </w:r>
            <w:r w:rsidR="00771B5F" w:rsidRPr="00EA201D">
              <w:rPr>
                <w:rFonts w:ascii="Times New Roman" w:hAnsi="Times New Roman"/>
                <w:szCs w:val="20"/>
                <w:lang w:eastAsia="de-DE"/>
              </w:rPr>
              <w:t>template</w:t>
            </w:r>
            <w:r w:rsidR="00807CFF" w:rsidRPr="00EA201D">
              <w:rPr>
                <w:rFonts w:ascii="Times New Roman" w:hAnsi="Times New Roman"/>
                <w:szCs w:val="20"/>
                <w:lang w:eastAsia="de-DE"/>
              </w:rPr>
              <w:t xml:space="preserve"> 8.1 of Annex </w:t>
            </w:r>
            <w:r w:rsidR="009C3310">
              <w:rPr>
                <w:rFonts w:ascii="Times New Roman" w:hAnsi="Times New Roman"/>
                <w:szCs w:val="20"/>
                <w:lang w:eastAsia="de-DE"/>
              </w:rPr>
              <w:t>I</w:t>
            </w:r>
            <w:r w:rsidR="009C3310" w:rsidRPr="00EA201D">
              <w:rPr>
                <w:rFonts w:ascii="Times New Roman" w:hAnsi="Times New Roman"/>
                <w:szCs w:val="20"/>
                <w:lang w:eastAsia="de-DE"/>
              </w:rPr>
              <w:t xml:space="preserve"> </w:t>
            </w:r>
            <w:r w:rsidR="009C3310">
              <w:rPr>
                <w:rFonts w:ascii="Times New Roman" w:hAnsi="Times New Roman"/>
                <w:szCs w:val="20"/>
                <w:lang w:eastAsia="de-DE"/>
              </w:rPr>
              <w:t>t</w:t>
            </w:r>
            <w:r w:rsidR="009C3310" w:rsidRPr="00EA201D">
              <w:rPr>
                <w:rFonts w:ascii="Times New Roman" w:hAnsi="Times New Roman"/>
                <w:szCs w:val="20"/>
                <w:lang w:eastAsia="de-DE"/>
              </w:rPr>
              <w:t>o Implementing Regulation (EU) No 680/2014</w:t>
            </w:r>
          </w:p>
        </w:tc>
        <w:tc>
          <w:tcPr>
            <w:tcW w:w="9781" w:type="dxa"/>
          </w:tcPr>
          <w:p w14:paraId="0E2DD16A" w14:textId="77777777" w:rsidR="00807CFF" w:rsidRPr="00EA201D" w:rsidRDefault="002D194B" w:rsidP="002D194B">
            <w:pPr>
              <w:spacing w:before="0" w:after="0"/>
              <w:ind w:left="33"/>
              <w:rPr>
                <w:rFonts w:ascii="Times New Roman" w:hAnsi="Times New Roman"/>
                <w:szCs w:val="20"/>
                <w:lang w:eastAsia="de-DE"/>
              </w:rPr>
            </w:pPr>
            <w:r w:rsidRPr="00EA201D">
              <w:rPr>
                <w:rFonts w:ascii="Times New Roman" w:hAnsi="Times New Roman"/>
                <w:szCs w:val="20"/>
                <w:lang w:eastAsia="de-DE"/>
              </w:rPr>
              <w:t>T</w:t>
            </w:r>
            <w:r w:rsidR="00807CFF" w:rsidRPr="00EA201D">
              <w:rPr>
                <w:rFonts w:ascii="Times New Roman" w:hAnsi="Times New Roman"/>
                <w:szCs w:val="20"/>
                <w:lang w:eastAsia="de-DE"/>
              </w:rPr>
              <w:t xml:space="preserve">he </w:t>
            </w:r>
            <w:r w:rsidRPr="00EA201D">
              <w:rPr>
                <w:rFonts w:ascii="Times New Roman" w:hAnsi="Times New Roman"/>
                <w:szCs w:val="20"/>
                <w:lang w:eastAsia="de-DE"/>
              </w:rPr>
              <w:t>risk-</w:t>
            </w:r>
            <w:r w:rsidR="00807CFF" w:rsidRPr="00EA201D">
              <w:rPr>
                <w:rFonts w:ascii="Times New Roman" w:hAnsi="Times New Roman"/>
                <w:szCs w:val="20"/>
                <w:lang w:eastAsia="de-DE"/>
              </w:rPr>
              <w:t xml:space="preserve">weighted exposure amount after </w:t>
            </w:r>
            <w:r w:rsidR="00D92A98" w:rsidRPr="00EA201D">
              <w:rPr>
                <w:rFonts w:ascii="Times New Roman" w:hAnsi="Times New Roman"/>
                <w:szCs w:val="20"/>
                <w:lang w:eastAsia="de-DE"/>
              </w:rPr>
              <w:t xml:space="preserve">applying the </w:t>
            </w:r>
            <w:r w:rsidR="00807CFF" w:rsidRPr="00EA201D">
              <w:rPr>
                <w:rFonts w:ascii="Times New Roman" w:hAnsi="Times New Roman"/>
                <w:szCs w:val="20"/>
                <w:lang w:eastAsia="de-DE"/>
              </w:rPr>
              <w:t>SME supporting factor</w:t>
            </w:r>
            <w:r w:rsidRPr="00EA201D">
              <w:rPr>
                <w:rFonts w:ascii="Times New Roman" w:hAnsi="Times New Roman"/>
                <w:szCs w:val="20"/>
                <w:lang w:eastAsia="de-DE"/>
              </w:rPr>
              <w:t xml:space="preserve"> shall be reported</w:t>
            </w:r>
            <w:r w:rsidR="00D92A98" w:rsidRPr="00EA201D">
              <w:rPr>
                <w:rFonts w:ascii="Times New Roman" w:hAnsi="Times New Roman"/>
                <w:szCs w:val="20"/>
                <w:lang w:eastAsia="de-DE"/>
              </w:rPr>
              <w:t>.</w:t>
            </w:r>
          </w:p>
        </w:tc>
      </w:tr>
      <w:tr w:rsidR="00807CFF" w:rsidRPr="00EA201D" w14:paraId="01189F62" w14:textId="77777777" w:rsidTr="00585623">
        <w:tc>
          <w:tcPr>
            <w:tcW w:w="993" w:type="dxa"/>
          </w:tcPr>
          <w:p w14:paraId="17CD85A7" w14:textId="77777777" w:rsidR="00807CFF" w:rsidRPr="00EA201D" w:rsidRDefault="00807CFF" w:rsidP="001F1AE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8</w:t>
            </w:r>
            <w:r w:rsidRPr="00EA201D">
              <w:rPr>
                <w:rStyle w:val="InstructionsTabelleText"/>
                <w:rFonts w:ascii="Times New Roman" w:hAnsi="Times New Roman"/>
              </w:rPr>
              <w:t>0</w:t>
            </w:r>
          </w:p>
        </w:tc>
        <w:tc>
          <w:tcPr>
            <w:tcW w:w="1701" w:type="dxa"/>
          </w:tcPr>
          <w:p w14:paraId="428D0CA4" w14:textId="77777777" w:rsidR="00807CFF" w:rsidRPr="00EA201D" w:rsidRDefault="00807CFF"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RWA Standardised</w:t>
            </w:r>
          </w:p>
        </w:tc>
        <w:tc>
          <w:tcPr>
            <w:tcW w:w="1842" w:type="dxa"/>
          </w:tcPr>
          <w:p w14:paraId="223C957C" w14:textId="01D2D57F" w:rsidR="00B550E4" w:rsidRPr="00612FA5" w:rsidRDefault="00B550E4" w:rsidP="00612FA5">
            <w:pPr>
              <w:spacing w:before="0" w:after="0"/>
              <w:ind w:left="33"/>
              <w:rPr>
                <w:szCs w:val="20"/>
                <w:lang w:eastAsia="de-DE"/>
              </w:rPr>
            </w:pPr>
            <w:r w:rsidRPr="00612FA5">
              <w:rPr>
                <w:rFonts w:ascii="Times New Roman" w:hAnsi="Times New Roman"/>
                <w:szCs w:val="20"/>
                <w:lang w:eastAsia="de-DE"/>
              </w:rPr>
              <w:t>Part Three, Title II, Chapter 2</w:t>
            </w:r>
            <w:r w:rsidR="00B42AE6">
              <w:rPr>
                <w:rFonts w:ascii="Times New Roman" w:hAnsi="Times New Roman"/>
                <w:szCs w:val="20"/>
                <w:lang w:eastAsia="de-DE"/>
              </w:rPr>
              <w:t xml:space="preserve"> </w:t>
            </w:r>
            <w:r w:rsidR="00B42AE6" w:rsidRPr="00EA201D">
              <w:rPr>
                <w:rStyle w:val="InstructionsTabelleText"/>
                <w:rFonts w:ascii="Times New Roman" w:hAnsi="Times New Roman"/>
              </w:rPr>
              <w:t>of Regulation (EU) No 575/2013</w:t>
            </w:r>
            <w:r w:rsidR="00B42AE6">
              <w:rPr>
                <w:rStyle w:val="InstructionsTabelleText"/>
                <w:rFonts w:ascii="Times New Roman" w:hAnsi="Times New Roman"/>
              </w:rPr>
              <w:t>.</w:t>
            </w:r>
          </w:p>
          <w:p w14:paraId="382AD987" w14:textId="7136A438" w:rsidR="00807CFF" w:rsidRPr="00EA201D" w:rsidRDefault="00807CFF" w:rsidP="00FC6D77">
            <w:pPr>
              <w:spacing w:before="0" w:after="0"/>
              <w:ind w:left="33"/>
              <w:rPr>
                <w:rFonts w:ascii="Times New Roman" w:hAnsi="Times New Roman"/>
                <w:szCs w:val="20"/>
                <w:lang w:eastAsia="de-DE"/>
              </w:rPr>
            </w:pPr>
          </w:p>
        </w:tc>
        <w:tc>
          <w:tcPr>
            <w:tcW w:w="9781" w:type="dxa"/>
          </w:tcPr>
          <w:p w14:paraId="5EE7E3BC" w14:textId="7AD7EC55" w:rsidR="00807CFF" w:rsidRPr="00EA201D" w:rsidRDefault="00AD2885" w:rsidP="00B818F8">
            <w:pPr>
              <w:spacing w:before="0" w:after="0"/>
              <w:ind w:left="33"/>
              <w:rPr>
                <w:rFonts w:ascii="Times New Roman" w:hAnsi="Times New Roman"/>
                <w:szCs w:val="20"/>
                <w:lang w:eastAsia="de-DE"/>
              </w:rPr>
            </w:pPr>
            <w:r>
              <w:rPr>
                <w:rFonts w:ascii="Times New Roman" w:hAnsi="Times New Roman"/>
                <w:szCs w:val="20"/>
                <w:lang w:eastAsia="de-DE"/>
              </w:rPr>
              <w:t>RWA Standardised is t</w:t>
            </w:r>
            <w:r w:rsidR="00807CFF" w:rsidRPr="00EA201D">
              <w:rPr>
                <w:rFonts w:ascii="Times New Roman" w:hAnsi="Times New Roman"/>
                <w:szCs w:val="20"/>
                <w:lang w:eastAsia="de-DE"/>
              </w:rPr>
              <w:t xml:space="preserve">he </w:t>
            </w:r>
            <w:r>
              <w:rPr>
                <w:rFonts w:ascii="Times New Roman" w:hAnsi="Times New Roman"/>
                <w:szCs w:val="20"/>
                <w:lang w:eastAsia="de-DE"/>
              </w:rPr>
              <w:t xml:space="preserve">hypothetical </w:t>
            </w:r>
            <w:r w:rsidR="00807CFF" w:rsidRPr="00EA201D">
              <w:rPr>
                <w:rFonts w:ascii="Times New Roman" w:hAnsi="Times New Roman"/>
                <w:szCs w:val="20"/>
                <w:lang w:eastAsia="de-DE"/>
              </w:rPr>
              <w:t xml:space="preserve">RWA amount </w:t>
            </w:r>
            <w:r>
              <w:rPr>
                <w:rFonts w:ascii="Times New Roman" w:hAnsi="Times New Roman"/>
                <w:szCs w:val="20"/>
                <w:lang w:eastAsia="de-DE"/>
              </w:rPr>
              <w:t xml:space="preserve">obtained by </w:t>
            </w:r>
            <w:r w:rsidR="002D194B" w:rsidRPr="00EA201D">
              <w:rPr>
                <w:rFonts w:ascii="Times New Roman" w:hAnsi="Times New Roman"/>
                <w:szCs w:val="20"/>
                <w:lang w:eastAsia="de-DE"/>
              </w:rPr>
              <w:t xml:space="preserve">applying </w:t>
            </w:r>
            <w:r w:rsidR="00807CFF" w:rsidRPr="00EA201D">
              <w:rPr>
                <w:rFonts w:ascii="Times New Roman" w:hAnsi="Times New Roman"/>
                <w:szCs w:val="20"/>
                <w:lang w:eastAsia="de-DE"/>
              </w:rPr>
              <w:t xml:space="preserve">the </w:t>
            </w:r>
            <w:r w:rsidR="00D92A98" w:rsidRPr="00EA201D">
              <w:rPr>
                <w:rFonts w:ascii="Times New Roman" w:hAnsi="Times New Roman"/>
                <w:szCs w:val="20"/>
                <w:lang w:eastAsia="de-DE"/>
              </w:rPr>
              <w:t>s</w:t>
            </w:r>
            <w:r w:rsidR="00807CFF" w:rsidRPr="00EA201D">
              <w:rPr>
                <w:rFonts w:ascii="Times New Roman" w:hAnsi="Times New Roman"/>
                <w:szCs w:val="20"/>
                <w:lang w:eastAsia="de-DE"/>
              </w:rPr>
              <w:t>tandardised approach for credit risk</w:t>
            </w:r>
            <w:r w:rsidR="00D92A98" w:rsidRPr="00EA201D">
              <w:rPr>
                <w:rFonts w:ascii="Times New Roman" w:hAnsi="Times New Roman"/>
                <w:szCs w:val="20"/>
                <w:lang w:eastAsia="de-DE"/>
              </w:rPr>
              <w:t xml:space="preserve"> </w:t>
            </w:r>
            <w:r w:rsidR="002D194B" w:rsidRPr="00EA201D">
              <w:rPr>
                <w:rFonts w:ascii="Times New Roman" w:hAnsi="Times New Roman"/>
                <w:szCs w:val="20"/>
                <w:lang w:eastAsia="de-DE"/>
              </w:rPr>
              <w:t>to the exposures</w:t>
            </w:r>
            <w:r>
              <w:rPr>
                <w:rFonts w:ascii="Times New Roman" w:hAnsi="Times New Roman"/>
                <w:szCs w:val="20"/>
                <w:lang w:eastAsia="de-DE"/>
              </w:rPr>
              <w:t xml:space="preserve"> instead of the IRB approach. </w:t>
            </w:r>
            <w:r w:rsidR="00D92A98" w:rsidRPr="00EA201D">
              <w:rPr>
                <w:rFonts w:ascii="Times New Roman" w:hAnsi="Times New Roman"/>
                <w:szCs w:val="20"/>
                <w:lang w:eastAsia="de-DE"/>
              </w:rPr>
              <w:t>.</w:t>
            </w:r>
          </w:p>
        </w:tc>
      </w:tr>
    </w:tbl>
    <w:p w14:paraId="15213267" w14:textId="77777777" w:rsidR="00FA6FEC" w:rsidRDefault="00C43DCF" w:rsidP="000A0AD0">
      <w:pPr>
        <w:pStyle w:val="Heading3"/>
        <w:rPr>
          <w:lang w:val="en-GB"/>
        </w:rPr>
      </w:pPr>
      <w:r w:rsidRPr="00EA201D">
        <w:rPr>
          <w:rStyle w:val="InstructionsTabelleText"/>
          <w:rFonts w:ascii="Times New Roman" w:hAnsi="Times New Roman"/>
          <w:lang w:val="en-GB"/>
        </w:rPr>
        <w:br w:type="page"/>
      </w:r>
      <w:bookmarkStart w:id="14" w:name="_Toc5720720"/>
      <w:r w:rsidR="000D163C" w:rsidRPr="00EA201D">
        <w:rPr>
          <w:lang w:val="en-GB"/>
        </w:rPr>
        <w:lastRenderedPageBreak/>
        <w:t xml:space="preserve">C 103 – </w:t>
      </w:r>
      <w:r w:rsidR="00242338" w:rsidRPr="00EA201D">
        <w:rPr>
          <w:lang w:val="en-GB"/>
        </w:rPr>
        <w:t>Details on exposures in H</w:t>
      </w:r>
      <w:r w:rsidR="00126276" w:rsidRPr="00EA201D">
        <w:rPr>
          <w:lang w:val="en-GB"/>
        </w:rPr>
        <w:t xml:space="preserve">igh </w:t>
      </w:r>
      <w:r w:rsidR="00242338" w:rsidRPr="00EA201D">
        <w:rPr>
          <w:lang w:val="en-GB"/>
        </w:rPr>
        <w:t>D</w:t>
      </w:r>
      <w:r w:rsidR="00126276" w:rsidRPr="00EA201D">
        <w:rPr>
          <w:lang w:val="en-GB"/>
        </w:rPr>
        <w:t xml:space="preserve">efault </w:t>
      </w:r>
      <w:r w:rsidR="00242338" w:rsidRPr="00EA201D">
        <w:rPr>
          <w:lang w:val="en-GB"/>
        </w:rPr>
        <w:t>P</w:t>
      </w:r>
      <w:r w:rsidR="00126276" w:rsidRPr="00EA201D">
        <w:rPr>
          <w:lang w:val="en-GB"/>
        </w:rPr>
        <w:t>ortfolio</w:t>
      </w:r>
      <w:bookmarkEnd w:id="14"/>
    </w:p>
    <w:p w14:paraId="32E0B6A0" w14:textId="454F9D35" w:rsidR="00FA6FEC" w:rsidRPr="00A65E84" w:rsidRDefault="00FA6FEC" w:rsidP="00FA6FEC">
      <w:r w:rsidRPr="000A0AD0">
        <w:rPr>
          <w:rFonts w:ascii="Times New Roman" w:hAnsi="Times New Roman"/>
          <w:szCs w:val="20"/>
          <w:lang w:eastAsia="de-DE"/>
        </w:rPr>
        <w:t xml:space="preserve">For portfolios defined in Annex I with a collateralisation status different from “Not applicable”, the following information </w:t>
      </w:r>
      <w:r w:rsidR="00AC3FAB">
        <w:rPr>
          <w:rFonts w:ascii="Times New Roman" w:hAnsi="Times New Roman"/>
          <w:szCs w:val="20"/>
          <w:lang w:eastAsia="de-DE"/>
        </w:rPr>
        <w:t>may</w:t>
      </w:r>
      <w:r w:rsidR="002B0661">
        <w:rPr>
          <w:rFonts w:ascii="Times New Roman" w:hAnsi="Times New Roman"/>
          <w:szCs w:val="20"/>
          <w:lang w:eastAsia="de-DE"/>
        </w:rPr>
        <w:t xml:space="preserve"> </w:t>
      </w:r>
      <w:r w:rsidRPr="000A0AD0">
        <w:rPr>
          <w:rFonts w:ascii="Times New Roman" w:hAnsi="Times New Roman"/>
          <w:szCs w:val="20"/>
          <w:lang w:eastAsia="de-DE"/>
        </w:rPr>
        <w:t xml:space="preserve">be omitted </w:t>
      </w:r>
      <w:r>
        <w:rPr>
          <w:rFonts w:ascii="Times New Roman" w:hAnsi="Times New Roman"/>
          <w:szCs w:val="20"/>
          <w:lang w:eastAsia="de-DE"/>
        </w:rPr>
        <w:t>where</w:t>
      </w:r>
      <w:r w:rsidRPr="000A0AD0">
        <w:rPr>
          <w:rFonts w:ascii="Times New Roman" w:hAnsi="Times New Roman"/>
          <w:szCs w:val="20"/>
          <w:lang w:eastAsia="de-DE"/>
        </w:rPr>
        <w:t xml:space="preserve"> the approved model does not accommodate distinct LGD calculations for the secured and unsecured parts of an exposure: LGD (c</w:t>
      </w:r>
      <w:r>
        <w:rPr>
          <w:rFonts w:ascii="Times New Roman" w:hAnsi="Times New Roman"/>
          <w:szCs w:val="20"/>
          <w:lang w:eastAsia="de-DE"/>
        </w:rPr>
        <w:t xml:space="preserve">olumn </w:t>
      </w:r>
      <w:r w:rsidRPr="000A0AD0">
        <w:rPr>
          <w:rFonts w:ascii="Times New Roman" w:hAnsi="Times New Roman"/>
          <w:szCs w:val="20"/>
          <w:lang w:eastAsia="de-DE"/>
        </w:rPr>
        <w:t>130), Expected Loss (c</w:t>
      </w:r>
      <w:r>
        <w:rPr>
          <w:rFonts w:ascii="Times New Roman" w:hAnsi="Times New Roman"/>
          <w:szCs w:val="20"/>
          <w:lang w:eastAsia="de-DE"/>
        </w:rPr>
        <w:t xml:space="preserve">olumn </w:t>
      </w:r>
      <w:r w:rsidRPr="000A0AD0">
        <w:rPr>
          <w:rFonts w:ascii="Times New Roman" w:hAnsi="Times New Roman"/>
          <w:szCs w:val="20"/>
          <w:lang w:eastAsia="de-DE"/>
        </w:rPr>
        <w:t>150), RWA (c</w:t>
      </w:r>
      <w:r>
        <w:rPr>
          <w:rFonts w:ascii="Times New Roman" w:hAnsi="Times New Roman"/>
          <w:szCs w:val="20"/>
          <w:lang w:eastAsia="de-DE"/>
        </w:rPr>
        <w:t xml:space="preserve">olumn </w:t>
      </w:r>
      <w:r w:rsidRPr="000A0AD0">
        <w:rPr>
          <w:rFonts w:ascii="Times New Roman" w:hAnsi="Times New Roman"/>
          <w:szCs w:val="20"/>
          <w:lang w:eastAsia="de-DE"/>
        </w:rPr>
        <w:t>170), Loss rate latest year (c</w:t>
      </w:r>
      <w:r>
        <w:rPr>
          <w:rFonts w:ascii="Times New Roman" w:hAnsi="Times New Roman"/>
          <w:szCs w:val="20"/>
          <w:lang w:eastAsia="de-DE"/>
        </w:rPr>
        <w:t xml:space="preserve">olumn </w:t>
      </w:r>
      <w:r w:rsidRPr="000A0AD0">
        <w:rPr>
          <w:rFonts w:ascii="Times New Roman" w:hAnsi="Times New Roman"/>
          <w:szCs w:val="20"/>
          <w:lang w:eastAsia="de-DE"/>
        </w:rPr>
        <w:t>210) and Loss rate past 5 years (c</w:t>
      </w:r>
      <w:r>
        <w:rPr>
          <w:rFonts w:ascii="Times New Roman" w:hAnsi="Times New Roman"/>
          <w:szCs w:val="20"/>
          <w:lang w:eastAsia="de-DE"/>
        </w:rPr>
        <w:t xml:space="preserve">olumn </w:t>
      </w:r>
      <w:r w:rsidRPr="000A0AD0">
        <w:rPr>
          <w:rFonts w:ascii="Times New Roman" w:hAnsi="Times New Roman"/>
          <w:szCs w:val="20"/>
          <w:lang w:eastAsia="de-DE"/>
        </w:rPr>
        <w:t>220).</w:t>
      </w:r>
    </w:p>
    <w:p w14:paraId="2E41AC64" w14:textId="3D60F40E" w:rsidR="000A0AD0" w:rsidRPr="000A0AD0" w:rsidRDefault="00242338" w:rsidP="000A0AD0">
      <w:pPr>
        <w:pStyle w:val="Heading3"/>
        <w:rPr>
          <w:lang w:val="en-GB"/>
        </w:rPr>
      </w:pPr>
      <w:r w:rsidRPr="00EA201D">
        <w:rPr>
          <w:lang w:val="en-GB"/>
        </w:rPr>
        <w:t xml:space="preserve"> </w:t>
      </w:r>
    </w:p>
    <w:tbl>
      <w:tblPr>
        <w:tblW w:w="1431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714"/>
        <w:gridCol w:w="1829"/>
        <w:gridCol w:w="9781"/>
      </w:tblGrid>
      <w:tr w:rsidR="00111A18" w:rsidRPr="00EA201D" w14:paraId="247D1347" w14:textId="77777777" w:rsidTr="00585623">
        <w:tc>
          <w:tcPr>
            <w:tcW w:w="992" w:type="dxa"/>
            <w:shd w:val="clear" w:color="auto" w:fill="D9D9D9"/>
          </w:tcPr>
          <w:p w14:paraId="287F3D74" w14:textId="77777777" w:rsidR="00111A18" w:rsidRPr="00EA201D" w:rsidRDefault="00111A18" w:rsidP="00AF67FB">
            <w:pPr>
              <w:spacing w:before="0" w:after="0"/>
              <w:ind w:left="33"/>
              <w:rPr>
                <w:rFonts w:ascii="Times New Roman" w:hAnsi="Times New Roman"/>
                <w:bCs/>
                <w:szCs w:val="20"/>
                <w:lang w:eastAsia="de-DE"/>
              </w:rPr>
            </w:pPr>
            <w:r w:rsidRPr="00EA201D">
              <w:rPr>
                <w:rFonts w:ascii="Times New Roman" w:hAnsi="Times New Roman"/>
                <w:bCs/>
                <w:szCs w:val="20"/>
                <w:lang w:eastAsia="de-DE"/>
              </w:rPr>
              <w:t>Column</w:t>
            </w:r>
          </w:p>
        </w:tc>
        <w:tc>
          <w:tcPr>
            <w:tcW w:w="1714" w:type="dxa"/>
            <w:shd w:val="clear" w:color="auto" w:fill="D9D9D9"/>
          </w:tcPr>
          <w:p w14:paraId="3465410D" w14:textId="77777777" w:rsidR="00111A18" w:rsidRPr="00EA201D" w:rsidRDefault="00111A18" w:rsidP="00E847ED">
            <w:pPr>
              <w:pStyle w:val="InstructionsText"/>
              <w:rPr>
                <w:rStyle w:val="InstructionsTabelleText"/>
                <w:rFonts w:ascii="Times New Roman" w:hAnsi="Times New Roman"/>
              </w:rPr>
            </w:pPr>
            <w:r w:rsidRPr="00EA201D">
              <w:rPr>
                <w:rStyle w:val="InstructionsTabelleText"/>
                <w:rFonts w:ascii="Times New Roman" w:hAnsi="Times New Roman"/>
              </w:rPr>
              <w:t>Label</w:t>
            </w:r>
          </w:p>
        </w:tc>
        <w:tc>
          <w:tcPr>
            <w:tcW w:w="1829" w:type="dxa"/>
            <w:shd w:val="clear" w:color="auto" w:fill="D9D9D9"/>
          </w:tcPr>
          <w:p w14:paraId="2B7D70DE" w14:textId="77777777" w:rsidR="00111A18" w:rsidRPr="00EA201D" w:rsidRDefault="00111A18" w:rsidP="00AF67FB">
            <w:pPr>
              <w:spacing w:before="0" w:after="0"/>
              <w:ind w:left="33"/>
              <w:rPr>
                <w:rFonts w:ascii="Times New Roman" w:hAnsi="Times New Roman"/>
                <w:bCs/>
                <w:szCs w:val="20"/>
                <w:lang w:eastAsia="de-DE"/>
              </w:rPr>
            </w:pPr>
            <w:r w:rsidRPr="00EA201D">
              <w:rPr>
                <w:rFonts w:ascii="Times New Roman" w:hAnsi="Times New Roman"/>
                <w:bCs/>
                <w:szCs w:val="20"/>
                <w:lang w:eastAsia="de-DE"/>
              </w:rPr>
              <w:t>Legal reference</w:t>
            </w:r>
          </w:p>
        </w:tc>
        <w:tc>
          <w:tcPr>
            <w:tcW w:w="9781" w:type="dxa"/>
            <w:shd w:val="clear" w:color="auto" w:fill="D9D9D9"/>
          </w:tcPr>
          <w:p w14:paraId="065FCE61" w14:textId="77777777" w:rsidR="00111A18" w:rsidRPr="00EA201D" w:rsidRDefault="00111A18" w:rsidP="00AF67FB">
            <w:pPr>
              <w:spacing w:before="0" w:after="0"/>
              <w:ind w:left="33"/>
              <w:rPr>
                <w:rFonts w:ascii="Times New Roman" w:hAnsi="Times New Roman"/>
                <w:bCs/>
                <w:szCs w:val="20"/>
                <w:lang w:eastAsia="de-DE"/>
              </w:rPr>
            </w:pPr>
            <w:r w:rsidRPr="00EA201D">
              <w:rPr>
                <w:rFonts w:ascii="Times New Roman" w:hAnsi="Times New Roman"/>
                <w:bCs/>
                <w:szCs w:val="20"/>
                <w:lang w:eastAsia="de-DE"/>
              </w:rPr>
              <w:t>Instructions</w:t>
            </w:r>
          </w:p>
        </w:tc>
      </w:tr>
      <w:tr w:rsidR="00111A18" w:rsidRPr="00EA201D" w14:paraId="50F44BD3" w14:textId="77777777" w:rsidTr="00111991">
        <w:trPr>
          <w:trHeight w:val="180"/>
        </w:trPr>
        <w:tc>
          <w:tcPr>
            <w:tcW w:w="992" w:type="dxa"/>
          </w:tcPr>
          <w:p w14:paraId="485FA594"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010</w:t>
            </w:r>
          </w:p>
        </w:tc>
        <w:tc>
          <w:tcPr>
            <w:tcW w:w="1714" w:type="dxa"/>
          </w:tcPr>
          <w:p w14:paraId="18600366"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Portfolio ID</w:t>
            </w:r>
          </w:p>
        </w:tc>
        <w:tc>
          <w:tcPr>
            <w:tcW w:w="1829" w:type="dxa"/>
          </w:tcPr>
          <w:p w14:paraId="366F115C" w14:textId="5E759D89" w:rsidR="00111A18" w:rsidRPr="00EA201D" w:rsidRDefault="00111A18" w:rsidP="00E847ED">
            <w:pPr>
              <w:pStyle w:val="InstructionsText"/>
              <w:rPr>
                <w:rStyle w:val="InstructionsTabelleText"/>
                <w:rFonts w:ascii="Times New Roman" w:hAnsi="Times New Roman"/>
                <w:bCs w:val="0"/>
              </w:rPr>
            </w:pPr>
          </w:p>
        </w:tc>
        <w:tc>
          <w:tcPr>
            <w:tcW w:w="9781" w:type="dxa"/>
          </w:tcPr>
          <w:p w14:paraId="5DF9BDD4" w14:textId="7A8955ED" w:rsidR="00111A18" w:rsidRPr="00EA201D" w:rsidRDefault="00111991" w:rsidP="00111991">
            <w:pPr>
              <w:autoSpaceDE w:val="0"/>
              <w:autoSpaceDN w:val="0"/>
              <w:adjustRightInd w:val="0"/>
              <w:spacing w:after="0"/>
              <w:rPr>
                <w:rFonts w:ascii="Times New Roman" w:hAnsi="Times New Roman"/>
                <w:szCs w:val="20"/>
                <w:lang w:eastAsia="de-DE"/>
              </w:rPr>
            </w:pPr>
            <w:r>
              <w:rPr>
                <w:rStyle w:val="InstructionsTabelleText"/>
                <w:rFonts w:ascii="Times New Roman" w:hAnsi="Times New Roman"/>
              </w:rPr>
              <w:t>The instructions provided for column 010 of C 102 shall apply.</w:t>
            </w:r>
          </w:p>
        </w:tc>
      </w:tr>
      <w:tr w:rsidR="00111A18" w:rsidRPr="00EA201D" w14:paraId="235008BD" w14:textId="77777777" w:rsidTr="00585623">
        <w:tc>
          <w:tcPr>
            <w:tcW w:w="992" w:type="dxa"/>
          </w:tcPr>
          <w:p w14:paraId="470DC760"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t>040</w:t>
            </w:r>
          </w:p>
        </w:tc>
        <w:tc>
          <w:tcPr>
            <w:tcW w:w="1714" w:type="dxa"/>
          </w:tcPr>
          <w:p w14:paraId="76A69306"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Number of obligors</w:t>
            </w:r>
          </w:p>
        </w:tc>
        <w:tc>
          <w:tcPr>
            <w:tcW w:w="1829" w:type="dxa"/>
          </w:tcPr>
          <w:p w14:paraId="6F63559F" w14:textId="143977EF" w:rsidR="00111A18" w:rsidRPr="00EA201D" w:rsidRDefault="00111A18" w:rsidP="00FA6FEC">
            <w:pPr>
              <w:spacing w:before="0" w:after="0"/>
              <w:ind w:left="33"/>
              <w:rPr>
                <w:rFonts w:ascii="Times New Roman" w:hAnsi="Times New Roman"/>
                <w:szCs w:val="20"/>
                <w:lang w:eastAsia="de-DE"/>
              </w:rPr>
            </w:pPr>
          </w:p>
        </w:tc>
        <w:tc>
          <w:tcPr>
            <w:tcW w:w="9781" w:type="dxa"/>
          </w:tcPr>
          <w:p w14:paraId="50D8AC1F" w14:textId="7BBAD82C"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040 of C 102 shall apply.</w:t>
            </w:r>
          </w:p>
        </w:tc>
      </w:tr>
      <w:tr w:rsidR="00111A18" w:rsidRPr="00EA201D" w14:paraId="4FBC549F" w14:textId="77777777" w:rsidTr="00585623">
        <w:tc>
          <w:tcPr>
            <w:tcW w:w="992" w:type="dxa"/>
          </w:tcPr>
          <w:p w14:paraId="506C0E94"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060</w:t>
            </w:r>
          </w:p>
        </w:tc>
        <w:tc>
          <w:tcPr>
            <w:tcW w:w="1714" w:type="dxa"/>
          </w:tcPr>
          <w:p w14:paraId="5C782E63"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PD</w:t>
            </w:r>
          </w:p>
        </w:tc>
        <w:tc>
          <w:tcPr>
            <w:tcW w:w="1829" w:type="dxa"/>
          </w:tcPr>
          <w:p w14:paraId="09987804" w14:textId="7A506EC3" w:rsidR="00111A18" w:rsidRPr="00EA201D" w:rsidRDefault="00111A18" w:rsidP="00FA6FEC">
            <w:pPr>
              <w:spacing w:before="0" w:after="0"/>
              <w:ind w:left="33"/>
              <w:rPr>
                <w:rFonts w:ascii="Times New Roman" w:hAnsi="Times New Roman"/>
                <w:szCs w:val="20"/>
                <w:lang w:eastAsia="de-DE"/>
              </w:rPr>
            </w:pPr>
          </w:p>
        </w:tc>
        <w:tc>
          <w:tcPr>
            <w:tcW w:w="9781" w:type="dxa"/>
          </w:tcPr>
          <w:p w14:paraId="4F24BEE6" w14:textId="0241A71A" w:rsidR="00111A18" w:rsidRPr="00EA201D" w:rsidRDefault="00111991" w:rsidP="00935B3F">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060 of C 102 shall apply.</w:t>
            </w:r>
          </w:p>
        </w:tc>
      </w:tr>
      <w:tr w:rsidR="00111A18" w:rsidRPr="00EA201D" w14:paraId="13C55DF9" w14:textId="77777777" w:rsidTr="00585623">
        <w:tc>
          <w:tcPr>
            <w:tcW w:w="992" w:type="dxa"/>
          </w:tcPr>
          <w:p w14:paraId="07073427"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0</w:t>
            </w:r>
            <w:r w:rsidRPr="00EA201D">
              <w:rPr>
                <w:rStyle w:val="InstructionsTabelleText"/>
                <w:rFonts w:ascii="Times New Roman" w:hAnsi="Times New Roman"/>
                <w:bCs/>
              </w:rPr>
              <w:t>8</w:t>
            </w:r>
            <w:r w:rsidRPr="00EA201D">
              <w:rPr>
                <w:rStyle w:val="InstructionsTabelleText"/>
                <w:rFonts w:ascii="Times New Roman" w:hAnsi="Times New Roman"/>
              </w:rPr>
              <w:t>0</w:t>
            </w:r>
          </w:p>
        </w:tc>
        <w:tc>
          <w:tcPr>
            <w:tcW w:w="1714" w:type="dxa"/>
          </w:tcPr>
          <w:p w14:paraId="3A686E39" w14:textId="77777777" w:rsidR="00111A18" w:rsidRPr="003F573B" w:rsidRDefault="00111A18" w:rsidP="00E847ED">
            <w:pPr>
              <w:pStyle w:val="InstructionsText"/>
              <w:rPr>
                <w:rStyle w:val="InstructionsTabelleText"/>
                <w:rFonts w:ascii="Times New Roman" w:hAnsi="Times New Roman"/>
                <w:bCs w:val="0"/>
                <w:szCs w:val="24"/>
                <w:lang w:val="fr-BE" w:eastAsia="en-US"/>
              </w:rPr>
            </w:pPr>
            <w:r w:rsidRPr="003F573B">
              <w:rPr>
                <w:rStyle w:val="InstructionsTabelleText"/>
                <w:rFonts w:ascii="Times New Roman" w:hAnsi="Times New Roman"/>
                <w:bCs w:val="0"/>
                <w:lang w:val="fr-BE"/>
              </w:rPr>
              <w:t xml:space="preserve">Original </w:t>
            </w:r>
            <w:proofErr w:type="spellStart"/>
            <w:r w:rsidRPr="003F573B">
              <w:rPr>
                <w:rStyle w:val="InstructionsTabelleText"/>
                <w:rFonts w:ascii="Times New Roman" w:hAnsi="Times New Roman"/>
                <w:bCs w:val="0"/>
                <w:lang w:val="fr-BE"/>
              </w:rPr>
              <w:t>exposure</w:t>
            </w:r>
            <w:proofErr w:type="spellEnd"/>
            <w:r w:rsidRPr="003F573B">
              <w:rPr>
                <w:rStyle w:val="InstructionsTabelleText"/>
                <w:rFonts w:ascii="Times New Roman" w:hAnsi="Times New Roman"/>
                <w:bCs w:val="0"/>
                <w:lang w:val="fr-BE"/>
              </w:rPr>
              <w:t xml:space="preserve"> </w:t>
            </w:r>
            <w:proofErr w:type="spellStart"/>
            <w:r w:rsidRPr="003F573B">
              <w:rPr>
                <w:rStyle w:val="InstructionsTabelleText"/>
                <w:rFonts w:ascii="Times New Roman" w:hAnsi="Times New Roman"/>
                <w:bCs w:val="0"/>
                <w:lang w:val="fr-BE"/>
              </w:rPr>
              <w:t>pre</w:t>
            </w:r>
            <w:proofErr w:type="spellEnd"/>
            <w:r w:rsidRPr="003F573B">
              <w:rPr>
                <w:rStyle w:val="InstructionsTabelleText"/>
                <w:rFonts w:ascii="Times New Roman" w:hAnsi="Times New Roman"/>
                <w:bCs w:val="0"/>
                <w:lang w:val="fr-BE"/>
              </w:rPr>
              <w:t xml:space="preserve"> conversion </w:t>
            </w:r>
            <w:proofErr w:type="spellStart"/>
            <w:r w:rsidRPr="003F573B">
              <w:rPr>
                <w:rStyle w:val="InstructionsTabelleText"/>
                <w:rFonts w:ascii="Times New Roman" w:hAnsi="Times New Roman"/>
                <w:bCs w:val="0"/>
                <w:lang w:val="fr-BE"/>
              </w:rPr>
              <w:t>factors</w:t>
            </w:r>
            <w:proofErr w:type="spellEnd"/>
          </w:p>
        </w:tc>
        <w:tc>
          <w:tcPr>
            <w:tcW w:w="1829" w:type="dxa"/>
          </w:tcPr>
          <w:p w14:paraId="53594112" w14:textId="16285C48" w:rsidR="00111A18" w:rsidRPr="00EA201D" w:rsidRDefault="00111A18" w:rsidP="008739E3">
            <w:pPr>
              <w:spacing w:before="0" w:after="0"/>
              <w:ind w:left="33"/>
              <w:rPr>
                <w:rFonts w:ascii="Times New Roman" w:hAnsi="Times New Roman"/>
                <w:szCs w:val="20"/>
                <w:lang w:eastAsia="de-DE"/>
              </w:rPr>
            </w:pPr>
          </w:p>
        </w:tc>
        <w:tc>
          <w:tcPr>
            <w:tcW w:w="9781" w:type="dxa"/>
          </w:tcPr>
          <w:p w14:paraId="22222A81" w14:textId="447EA188"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080 of C 102 shall apply.</w:t>
            </w:r>
          </w:p>
        </w:tc>
      </w:tr>
      <w:tr w:rsidR="00111A18" w:rsidRPr="00EA201D" w14:paraId="44642509" w14:textId="77777777" w:rsidTr="00585623">
        <w:tc>
          <w:tcPr>
            <w:tcW w:w="992" w:type="dxa"/>
          </w:tcPr>
          <w:p w14:paraId="15B2DB66"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0</w:t>
            </w:r>
            <w:r w:rsidRPr="00EA201D">
              <w:rPr>
                <w:rStyle w:val="InstructionsTabelleText"/>
                <w:rFonts w:ascii="Times New Roman" w:hAnsi="Times New Roman"/>
                <w:bCs/>
              </w:rPr>
              <w:t>9</w:t>
            </w:r>
            <w:r w:rsidRPr="00EA201D">
              <w:rPr>
                <w:rStyle w:val="InstructionsTabelleText"/>
                <w:rFonts w:ascii="Times New Roman" w:hAnsi="Times New Roman"/>
              </w:rPr>
              <w:t>0</w:t>
            </w:r>
          </w:p>
        </w:tc>
        <w:tc>
          <w:tcPr>
            <w:tcW w:w="1714" w:type="dxa"/>
          </w:tcPr>
          <w:p w14:paraId="0997858A"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Exposure after CRM substitution effects pre conversion factors</w:t>
            </w:r>
          </w:p>
        </w:tc>
        <w:tc>
          <w:tcPr>
            <w:tcW w:w="1829" w:type="dxa"/>
          </w:tcPr>
          <w:p w14:paraId="14EABC6D" w14:textId="08CB55AE" w:rsidR="00111A18" w:rsidRPr="00EA201D" w:rsidRDefault="00111A18" w:rsidP="002526CF">
            <w:pPr>
              <w:spacing w:before="0" w:after="0"/>
              <w:ind w:left="33"/>
              <w:rPr>
                <w:rFonts w:ascii="Times New Roman" w:hAnsi="Times New Roman"/>
                <w:szCs w:val="20"/>
                <w:lang w:eastAsia="de-DE"/>
              </w:rPr>
            </w:pPr>
          </w:p>
        </w:tc>
        <w:tc>
          <w:tcPr>
            <w:tcW w:w="9781" w:type="dxa"/>
          </w:tcPr>
          <w:p w14:paraId="0C4B6B68" w14:textId="2C804029"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090 of C 102 shall apply.</w:t>
            </w:r>
          </w:p>
        </w:tc>
      </w:tr>
      <w:tr w:rsidR="00111A18" w:rsidRPr="00EA201D" w14:paraId="31547521" w14:textId="77777777" w:rsidTr="00585623">
        <w:tc>
          <w:tcPr>
            <w:tcW w:w="992" w:type="dxa"/>
          </w:tcPr>
          <w:p w14:paraId="50EDA335"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t>100</w:t>
            </w:r>
          </w:p>
        </w:tc>
        <w:tc>
          <w:tcPr>
            <w:tcW w:w="1714" w:type="dxa"/>
          </w:tcPr>
          <w:p w14:paraId="479B1965"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CCF</w:t>
            </w:r>
          </w:p>
        </w:tc>
        <w:tc>
          <w:tcPr>
            <w:tcW w:w="1829" w:type="dxa"/>
          </w:tcPr>
          <w:p w14:paraId="242A1C2C" w14:textId="38E06AF9" w:rsidR="00111A18" w:rsidRPr="00EA201D" w:rsidRDefault="00111A18" w:rsidP="00146200">
            <w:pPr>
              <w:spacing w:before="0" w:after="0"/>
              <w:ind w:left="33"/>
              <w:rPr>
                <w:rFonts w:ascii="Times New Roman" w:hAnsi="Times New Roman"/>
                <w:szCs w:val="20"/>
                <w:lang w:eastAsia="de-DE"/>
              </w:rPr>
            </w:pPr>
          </w:p>
        </w:tc>
        <w:tc>
          <w:tcPr>
            <w:tcW w:w="9781" w:type="dxa"/>
          </w:tcPr>
          <w:p w14:paraId="7E878DB6" w14:textId="4ACD7915" w:rsidR="00AA6332" w:rsidRPr="00EA201D" w:rsidRDefault="00AA6332" w:rsidP="002526CF">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100 of C 102 shall apply.</w:t>
            </w:r>
          </w:p>
        </w:tc>
      </w:tr>
      <w:tr w:rsidR="00111A18" w:rsidRPr="00EA201D" w14:paraId="75C6AF0B" w14:textId="77777777" w:rsidTr="00585623">
        <w:tc>
          <w:tcPr>
            <w:tcW w:w="992" w:type="dxa"/>
          </w:tcPr>
          <w:p w14:paraId="101E5021"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1</w:t>
            </w:r>
            <w:r w:rsidRPr="00EA201D">
              <w:rPr>
                <w:rStyle w:val="InstructionsTabelleText"/>
                <w:rFonts w:ascii="Times New Roman" w:hAnsi="Times New Roman"/>
              </w:rPr>
              <w:t>0</w:t>
            </w:r>
          </w:p>
        </w:tc>
        <w:tc>
          <w:tcPr>
            <w:tcW w:w="1714" w:type="dxa"/>
          </w:tcPr>
          <w:p w14:paraId="75F4ACFF"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EAD</w:t>
            </w:r>
          </w:p>
        </w:tc>
        <w:tc>
          <w:tcPr>
            <w:tcW w:w="1829" w:type="dxa"/>
          </w:tcPr>
          <w:p w14:paraId="469D9684" w14:textId="63453ED2" w:rsidR="00111A18" w:rsidRPr="00EA201D" w:rsidRDefault="00111A18" w:rsidP="002526CF">
            <w:pPr>
              <w:spacing w:before="0" w:after="0"/>
              <w:ind w:left="33"/>
              <w:rPr>
                <w:rFonts w:ascii="Times New Roman" w:hAnsi="Times New Roman"/>
                <w:szCs w:val="20"/>
                <w:lang w:eastAsia="de-DE"/>
              </w:rPr>
            </w:pPr>
          </w:p>
        </w:tc>
        <w:tc>
          <w:tcPr>
            <w:tcW w:w="9781" w:type="dxa"/>
          </w:tcPr>
          <w:p w14:paraId="022237E3" w14:textId="12E32D61" w:rsidR="00111A18" w:rsidRPr="00EA201D" w:rsidRDefault="00111991" w:rsidP="00111991">
            <w:pPr>
              <w:autoSpaceDE w:val="0"/>
              <w:autoSpaceDN w:val="0"/>
              <w:adjustRightInd w:val="0"/>
              <w:spacing w:after="0"/>
              <w:rPr>
                <w:rFonts w:ascii="Times New Roman" w:hAnsi="Times New Roman"/>
                <w:szCs w:val="20"/>
                <w:lang w:eastAsia="de-DE"/>
              </w:rPr>
            </w:pPr>
            <w:r>
              <w:rPr>
                <w:rStyle w:val="InstructionsTabelleText"/>
                <w:rFonts w:ascii="Times New Roman" w:hAnsi="Times New Roman"/>
              </w:rPr>
              <w:t>The instructions provided for column 110 of C 102 shall apply.</w:t>
            </w:r>
          </w:p>
        </w:tc>
      </w:tr>
      <w:tr w:rsidR="00111A18" w:rsidRPr="00EA201D" w14:paraId="65918182" w14:textId="77777777" w:rsidTr="00585623">
        <w:tc>
          <w:tcPr>
            <w:tcW w:w="992" w:type="dxa"/>
          </w:tcPr>
          <w:p w14:paraId="62361FF3"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2</w:t>
            </w:r>
            <w:r w:rsidRPr="00EA201D">
              <w:rPr>
                <w:rStyle w:val="InstructionsTabelleText"/>
                <w:rFonts w:ascii="Times New Roman" w:hAnsi="Times New Roman"/>
              </w:rPr>
              <w:t>0</w:t>
            </w:r>
          </w:p>
        </w:tc>
        <w:tc>
          <w:tcPr>
            <w:tcW w:w="1714" w:type="dxa"/>
          </w:tcPr>
          <w:p w14:paraId="51748DDC"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Collateral value</w:t>
            </w:r>
          </w:p>
        </w:tc>
        <w:tc>
          <w:tcPr>
            <w:tcW w:w="1829" w:type="dxa"/>
          </w:tcPr>
          <w:p w14:paraId="7F730FED" w14:textId="4AB751EA" w:rsidR="00111A18" w:rsidRPr="00EA201D" w:rsidRDefault="00111A18" w:rsidP="002526CF">
            <w:pPr>
              <w:spacing w:before="0" w:after="0"/>
              <w:ind w:left="33"/>
              <w:rPr>
                <w:rFonts w:ascii="Times New Roman" w:hAnsi="Times New Roman"/>
                <w:szCs w:val="20"/>
                <w:lang w:eastAsia="de-DE"/>
              </w:rPr>
            </w:pPr>
          </w:p>
        </w:tc>
        <w:tc>
          <w:tcPr>
            <w:tcW w:w="9781" w:type="dxa"/>
          </w:tcPr>
          <w:p w14:paraId="7C370396" w14:textId="3CE7BFF7"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120 of C 102 shall apply.</w:t>
            </w:r>
          </w:p>
        </w:tc>
      </w:tr>
      <w:tr w:rsidR="00111A18" w:rsidRPr="00EA201D" w14:paraId="7572F25E" w14:textId="77777777" w:rsidTr="00585623">
        <w:tc>
          <w:tcPr>
            <w:tcW w:w="992" w:type="dxa"/>
          </w:tcPr>
          <w:p w14:paraId="1A224759"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3</w:t>
            </w:r>
            <w:r w:rsidRPr="00EA201D">
              <w:rPr>
                <w:rStyle w:val="InstructionsTabelleText"/>
                <w:rFonts w:ascii="Times New Roman" w:hAnsi="Times New Roman"/>
              </w:rPr>
              <w:t>0</w:t>
            </w:r>
          </w:p>
        </w:tc>
        <w:tc>
          <w:tcPr>
            <w:tcW w:w="1714" w:type="dxa"/>
          </w:tcPr>
          <w:p w14:paraId="3017E31F"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LGD</w:t>
            </w:r>
          </w:p>
        </w:tc>
        <w:tc>
          <w:tcPr>
            <w:tcW w:w="1829" w:type="dxa"/>
          </w:tcPr>
          <w:p w14:paraId="1F70E22C" w14:textId="2DA3366D" w:rsidR="00111A18" w:rsidRPr="00EA201D" w:rsidRDefault="00111A18" w:rsidP="002526CF">
            <w:pPr>
              <w:spacing w:before="0" w:after="0"/>
              <w:ind w:left="33"/>
              <w:rPr>
                <w:rFonts w:ascii="Times New Roman" w:hAnsi="Times New Roman"/>
                <w:szCs w:val="20"/>
                <w:lang w:eastAsia="de-DE"/>
              </w:rPr>
            </w:pPr>
          </w:p>
        </w:tc>
        <w:tc>
          <w:tcPr>
            <w:tcW w:w="9781" w:type="dxa"/>
          </w:tcPr>
          <w:p w14:paraId="48A17785" w14:textId="6FB74541"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130 of C 102 shall apply.</w:t>
            </w:r>
          </w:p>
        </w:tc>
      </w:tr>
      <w:tr w:rsidR="00111A18" w:rsidRPr="00EA201D" w14:paraId="09755667" w14:textId="77777777" w:rsidTr="00585623">
        <w:tc>
          <w:tcPr>
            <w:tcW w:w="992" w:type="dxa"/>
          </w:tcPr>
          <w:p w14:paraId="55C9042C"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140</w:t>
            </w:r>
          </w:p>
        </w:tc>
        <w:tc>
          <w:tcPr>
            <w:tcW w:w="1714" w:type="dxa"/>
          </w:tcPr>
          <w:p w14:paraId="1BB1E7ED"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Maturity</w:t>
            </w:r>
          </w:p>
        </w:tc>
        <w:tc>
          <w:tcPr>
            <w:tcW w:w="1829" w:type="dxa"/>
          </w:tcPr>
          <w:p w14:paraId="131B1DB5" w14:textId="04EEA073" w:rsidR="00111A18" w:rsidRPr="00EA201D" w:rsidRDefault="00111A18" w:rsidP="002526CF">
            <w:pPr>
              <w:spacing w:before="0" w:after="0"/>
              <w:ind w:left="33"/>
              <w:rPr>
                <w:rFonts w:ascii="Times New Roman" w:hAnsi="Times New Roman"/>
                <w:szCs w:val="20"/>
                <w:lang w:eastAsia="de-DE"/>
              </w:rPr>
            </w:pPr>
          </w:p>
        </w:tc>
        <w:tc>
          <w:tcPr>
            <w:tcW w:w="9781" w:type="dxa"/>
          </w:tcPr>
          <w:p w14:paraId="124F5B7C" w14:textId="6BF1753E"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140 of C 102 shall apply.</w:t>
            </w:r>
          </w:p>
        </w:tc>
      </w:tr>
      <w:tr w:rsidR="00111A18" w:rsidRPr="00EA201D" w14:paraId="6CE74C64" w14:textId="77777777" w:rsidTr="00585623">
        <w:tc>
          <w:tcPr>
            <w:tcW w:w="992" w:type="dxa"/>
          </w:tcPr>
          <w:p w14:paraId="7580634A"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t>15</w:t>
            </w:r>
            <w:r w:rsidRPr="00EA201D">
              <w:rPr>
                <w:rStyle w:val="InstructionsTabelleText"/>
                <w:rFonts w:ascii="Times New Roman" w:hAnsi="Times New Roman"/>
              </w:rPr>
              <w:t>0</w:t>
            </w:r>
          </w:p>
        </w:tc>
        <w:tc>
          <w:tcPr>
            <w:tcW w:w="1714" w:type="dxa"/>
          </w:tcPr>
          <w:p w14:paraId="596DFEB9" w14:textId="1C32884C"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Expected Loss</w:t>
            </w:r>
            <w:r w:rsidR="00D168C3">
              <w:rPr>
                <w:rStyle w:val="InstructionsTabelleText"/>
                <w:rFonts w:ascii="Times New Roman" w:hAnsi="Times New Roman"/>
                <w:bCs w:val="0"/>
              </w:rPr>
              <w:t xml:space="preserve"> amount</w:t>
            </w:r>
          </w:p>
        </w:tc>
        <w:tc>
          <w:tcPr>
            <w:tcW w:w="1829" w:type="dxa"/>
          </w:tcPr>
          <w:p w14:paraId="6BD1EE53" w14:textId="4F4106F7" w:rsidR="00111A18" w:rsidRPr="00EA201D" w:rsidRDefault="00111A18" w:rsidP="002526CF">
            <w:pPr>
              <w:spacing w:before="0" w:after="0"/>
              <w:ind w:left="33"/>
              <w:rPr>
                <w:rFonts w:ascii="Times New Roman" w:hAnsi="Times New Roman"/>
                <w:szCs w:val="20"/>
                <w:lang w:eastAsia="de-DE"/>
              </w:rPr>
            </w:pPr>
          </w:p>
        </w:tc>
        <w:tc>
          <w:tcPr>
            <w:tcW w:w="9781" w:type="dxa"/>
          </w:tcPr>
          <w:p w14:paraId="6FB0CE4D" w14:textId="0CB51D1B"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150 of C 102 shall apply.</w:t>
            </w:r>
          </w:p>
        </w:tc>
      </w:tr>
      <w:tr w:rsidR="00111A18" w:rsidRPr="00EA201D" w14:paraId="47F86F16" w14:textId="77777777" w:rsidTr="00585623">
        <w:tc>
          <w:tcPr>
            <w:tcW w:w="992" w:type="dxa"/>
          </w:tcPr>
          <w:p w14:paraId="006A923E"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t>16</w:t>
            </w:r>
            <w:r w:rsidRPr="00EA201D">
              <w:rPr>
                <w:rStyle w:val="InstructionsTabelleText"/>
                <w:rFonts w:ascii="Times New Roman" w:hAnsi="Times New Roman"/>
              </w:rPr>
              <w:t>0</w:t>
            </w:r>
          </w:p>
        </w:tc>
        <w:tc>
          <w:tcPr>
            <w:tcW w:w="1714" w:type="dxa"/>
          </w:tcPr>
          <w:p w14:paraId="1378F605"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Provisions </w:t>
            </w:r>
            <w:r w:rsidR="005D4156" w:rsidRPr="00A6169B">
              <w:rPr>
                <w:rStyle w:val="InstructionsTabelleText"/>
                <w:rFonts w:ascii="Times New Roman" w:hAnsi="Times New Roman"/>
                <w:bCs w:val="0"/>
              </w:rPr>
              <w:t>defaulted</w:t>
            </w:r>
            <w:r w:rsidRPr="00A6169B">
              <w:rPr>
                <w:rStyle w:val="InstructionsTabelleText"/>
                <w:rFonts w:ascii="Times New Roman" w:hAnsi="Times New Roman"/>
                <w:bCs w:val="0"/>
              </w:rPr>
              <w:t xml:space="preserve"> exposures</w:t>
            </w:r>
          </w:p>
        </w:tc>
        <w:tc>
          <w:tcPr>
            <w:tcW w:w="1829" w:type="dxa"/>
          </w:tcPr>
          <w:p w14:paraId="2282D8B7" w14:textId="66749DA0" w:rsidR="00111A18" w:rsidRPr="00EA201D" w:rsidRDefault="00111A18" w:rsidP="00C016DD">
            <w:pPr>
              <w:spacing w:before="0" w:after="0"/>
              <w:ind w:left="33"/>
              <w:rPr>
                <w:rFonts w:ascii="Times New Roman" w:hAnsi="Times New Roman"/>
                <w:szCs w:val="20"/>
                <w:lang w:eastAsia="de-DE"/>
              </w:rPr>
            </w:pPr>
          </w:p>
        </w:tc>
        <w:tc>
          <w:tcPr>
            <w:tcW w:w="9781" w:type="dxa"/>
          </w:tcPr>
          <w:p w14:paraId="10C09A9F" w14:textId="1DE1DC8E" w:rsidR="00111991" w:rsidRPr="00EA201D" w:rsidRDefault="00111991" w:rsidP="00111991">
            <w:pPr>
              <w:spacing w:after="0"/>
              <w:rPr>
                <w:rFonts w:ascii="Times New Roman" w:hAnsi="Times New Roman"/>
                <w:szCs w:val="20"/>
                <w:lang w:eastAsia="de-DE"/>
              </w:rPr>
            </w:pPr>
            <w:r>
              <w:rPr>
                <w:rStyle w:val="InstructionsTabelleText"/>
                <w:rFonts w:ascii="Times New Roman" w:hAnsi="Times New Roman"/>
              </w:rPr>
              <w:t>The instructions provided for column 160 of C 102 shall apply.</w:t>
            </w:r>
          </w:p>
        </w:tc>
      </w:tr>
      <w:tr w:rsidR="00111A18" w:rsidRPr="00EA201D" w14:paraId="4B68BCC1" w14:textId="77777777" w:rsidTr="00585623">
        <w:tc>
          <w:tcPr>
            <w:tcW w:w="992" w:type="dxa"/>
          </w:tcPr>
          <w:p w14:paraId="20CA6C5C"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7</w:t>
            </w:r>
            <w:r w:rsidRPr="00EA201D">
              <w:rPr>
                <w:rStyle w:val="InstructionsTabelleText"/>
                <w:rFonts w:ascii="Times New Roman" w:hAnsi="Times New Roman"/>
              </w:rPr>
              <w:t>0</w:t>
            </w:r>
          </w:p>
        </w:tc>
        <w:tc>
          <w:tcPr>
            <w:tcW w:w="1714" w:type="dxa"/>
          </w:tcPr>
          <w:p w14:paraId="10ABBAA0"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RWA</w:t>
            </w:r>
          </w:p>
        </w:tc>
        <w:tc>
          <w:tcPr>
            <w:tcW w:w="1829" w:type="dxa"/>
          </w:tcPr>
          <w:p w14:paraId="27233E41" w14:textId="7FC2D53D" w:rsidR="00111A18" w:rsidRPr="00EA201D" w:rsidRDefault="00111A18" w:rsidP="002526CF">
            <w:pPr>
              <w:spacing w:before="0" w:after="0"/>
              <w:ind w:left="33"/>
              <w:rPr>
                <w:rFonts w:ascii="Times New Roman" w:hAnsi="Times New Roman"/>
                <w:szCs w:val="20"/>
                <w:lang w:eastAsia="de-DE"/>
              </w:rPr>
            </w:pPr>
          </w:p>
        </w:tc>
        <w:tc>
          <w:tcPr>
            <w:tcW w:w="9781" w:type="dxa"/>
          </w:tcPr>
          <w:p w14:paraId="0E180AF3" w14:textId="22751E0C"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170 of C 102 shall apply.</w:t>
            </w:r>
          </w:p>
        </w:tc>
      </w:tr>
      <w:tr w:rsidR="00111A18" w:rsidRPr="00EA201D" w14:paraId="205AC26D" w14:textId="77777777" w:rsidTr="00585623">
        <w:tc>
          <w:tcPr>
            <w:tcW w:w="992" w:type="dxa"/>
          </w:tcPr>
          <w:p w14:paraId="0C1E25F6"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w:t>
            </w:r>
            <w:r w:rsidRPr="00EA201D">
              <w:rPr>
                <w:rStyle w:val="InstructionsTabelleText"/>
                <w:rFonts w:ascii="Times New Roman" w:hAnsi="Times New Roman"/>
                <w:bCs/>
              </w:rPr>
              <w:t>8</w:t>
            </w:r>
            <w:r w:rsidRPr="00EA201D">
              <w:rPr>
                <w:rStyle w:val="InstructionsTabelleText"/>
                <w:rFonts w:ascii="Times New Roman" w:hAnsi="Times New Roman"/>
              </w:rPr>
              <w:t>0</w:t>
            </w:r>
          </w:p>
        </w:tc>
        <w:tc>
          <w:tcPr>
            <w:tcW w:w="1714" w:type="dxa"/>
          </w:tcPr>
          <w:p w14:paraId="7BA30CC7"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RWA Standardised</w:t>
            </w:r>
          </w:p>
        </w:tc>
        <w:tc>
          <w:tcPr>
            <w:tcW w:w="1829" w:type="dxa"/>
          </w:tcPr>
          <w:p w14:paraId="392E3A42" w14:textId="47C4CCF4" w:rsidR="00111A18" w:rsidRPr="00EA201D" w:rsidRDefault="00111A18" w:rsidP="00806926">
            <w:pPr>
              <w:spacing w:before="0" w:after="0"/>
              <w:ind w:left="33"/>
              <w:rPr>
                <w:rFonts w:ascii="Times New Roman" w:hAnsi="Times New Roman"/>
                <w:szCs w:val="20"/>
                <w:lang w:eastAsia="de-DE"/>
              </w:rPr>
            </w:pPr>
          </w:p>
        </w:tc>
        <w:tc>
          <w:tcPr>
            <w:tcW w:w="9781" w:type="dxa"/>
          </w:tcPr>
          <w:p w14:paraId="3D7DDB81" w14:textId="069D068E" w:rsidR="00111991" w:rsidRPr="00EA201D" w:rsidRDefault="00111991" w:rsidP="00111991">
            <w:pPr>
              <w:spacing w:before="0" w:after="0"/>
              <w:ind w:left="33"/>
              <w:rPr>
                <w:rFonts w:ascii="Times New Roman" w:hAnsi="Times New Roman"/>
                <w:szCs w:val="20"/>
                <w:lang w:eastAsia="de-DE"/>
              </w:rPr>
            </w:pPr>
            <w:r>
              <w:rPr>
                <w:rStyle w:val="InstructionsTabelleText"/>
                <w:rFonts w:ascii="Times New Roman" w:hAnsi="Times New Roman"/>
              </w:rPr>
              <w:t>The instructions provided for column 180 of C 102 shall apply.</w:t>
            </w:r>
          </w:p>
        </w:tc>
      </w:tr>
      <w:tr w:rsidR="00111A18" w:rsidRPr="00EA201D" w14:paraId="1427CC27" w14:textId="77777777" w:rsidTr="00585623">
        <w:tc>
          <w:tcPr>
            <w:tcW w:w="992" w:type="dxa"/>
          </w:tcPr>
          <w:p w14:paraId="54E18BEA"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t>190</w:t>
            </w:r>
          </w:p>
        </w:tc>
        <w:tc>
          <w:tcPr>
            <w:tcW w:w="1714" w:type="dxa"/>
          </w:tcPr>
          <w:p w14:paraId="6BC17250"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Default rate latest year</w:t>
            </w:r>
          </w:p>
        </w:tc>
        <w:tc>
          <w:tcPr>
            <w:tcW w:w="1829" w:type="dxa"/>
          </w:tcPr>
          <w:p w14:paraId="774B4CE3" w14:textId="77777777" w:rsidR="00111A18" w:rsidRPr="00EA201D" w:rsidRDefault="00111A18" w:rsidP="0077624D">
            <w:pPr>
              <w:spacing w:before="0" w:after="0"/>
              <w:ind w:left="33"/>
              <w:rPr>
                <w:rFonts w:ascii="Times New Roman" w:hAnsi="Times New Roman"/>
                <w:szCs w:val="20"/>
                <w:lang w:eastAsia="de-DE"/>
              </w:rPr>
            </w:pPr>
          </w:p>
        </w:tc>
        <w:tc>
          <w:tcPr>
            <w:tcW w:w="9781" w:type="dxa"/>
          </w:tcPr>
          <w:p w14:paraId="7EEA41CA" w14:textId="25EC5DC1" w:rsidR="00BF00EC" w:rsidRDefault="00BF00EC" w:rsidP="00BF00EC">
            <w:pPr>
              <w:spacing w:before="0" w:after="0"/>
              <w:ind w:left="33"/>
              <w:rPr>
                <w:rFonts w:ascii="Times New Roman" w:hAnsi="Times New Roman"/>
                <w:szCs w:val="20"/>
                <w:lang w:eastAsia="de-DE"/>
              </w:rPr>
            </w:pPr>
            <w:r w:rsidRPr="003F5BE7">
              <w:rPr>
                <w:rFonts w:ascii="Times New Roman" w:hAnsi="Times New Roman"/>
                <w:szCs w:val="20"/>
                <w:lang w:eastAsia="de-DE"/>
              </w:rPr>
              <w:t>The default rate</w:t>
            </w:r>
            <w:r w:rsidR="002526CF">
              <w:rPr>
                <w:rFonts w:ascii="Times New Roman" w:hAnsi="Times New Roman"/>
                <w:szCs w:val="20"/>
                <w:lang w:eastAsia="de-DE"/>
              </w:rPr>
              <w:t xml:space="preserve"> for the latest year</w:t>
            </w:r>
            <w:r w:rsidRPr="003F5BE7">
              <w:rPr>
                <w:rFonts w:ascii="Times New Roman" w:hAnsi="Times New Roman"/>
                <w:szCs w:val="20"/>
                <w:lang w:eastAsia="de-DE"/>
              </w:rPr>
              <w:t xml:space="preserve"> shall be </w:t>
            </w:r>
            <w:r w:rsidR="002526CF">
              <w:rPr>
                <w:rFonts w:ascii="Times New Roman" w:hAnsi="Times New Roman"/>
                <w:szCs w:val="20"/>
                <w:lang w:eastAsia="de-DE"/>
              </w:rPr>
              <w:t>reported. For this purpose the default rate shall be defined</w:t>
            </w:r>
            <w:r w:rsidR="002526CF" w:rsidRPr="003F5BE7">
              <w:rPr>
                <w:rFonts w:ascii="Times New Roman" w:hAnsi="Times New Roman"/>
                <w:szCs w:val="20"/>
                <w:lang w:eastAsia="de-DE"/>
              </w:rPr>
              <w:t xml:space="preserve"> </w:t>
            </w:r>
            <w:r w:rsidRPr="003F5BE7">
              <w:rPr>
                <w:rFonts w:ascii="Times New Roman" w:hAnsi="Times New Roman"/>
                <w:szCs w:val="20"/>
                <w:lang w:eastAsia="de-DE"/>
              </w:rPr>
              <w:t xml:space="preserve">as the ratio between </w:t>
            </w:r>
            <w:proofErr w:type="spellStart"/>
            <w:r w:rsidRPr="003F5BE7">
              <w:rPr>
                <w:rFonts w:ascii="Times New Roman" w:hAnsi="Times New Roman"/>
                <w:szCs w:val="20"/>
                <w:lang w:eastAsia="de-DE"/>
              </w:rPr>
              <w:t>i</w:t>
            </w:r>
            <w:proofErr w:type="spellEnd"/>
            <w:r w:rsidRPr="003F5BE7">
              <w:rPr>
                <w:rFonts w:ascii="Times New Roman" w:hAnsi="Times New Roman"/>
                <w:szCs w:val="20"/>
                <w:lang w:eastAsia="de-DE"/>
              </w:rPr>
              <w:t>) the sum of the exposures (original exposure before</w:t>
            </w:r>
            <w:r>
              <w:rPr>
                <w:rFonts w:ascii="Times New Roman" w:hAnsi="Times New Roman"/>
                <w:szCs w:val="20"/>
                <w:lang w:eastAsia="de-DE"/>
              </w:rPr>
              <w:t xml:space="preserve"> applying the conversion factor</w:t>
            </w:r>
            <w:r w:rsidRPr="003F5BE7">
              <w:rPr>
                <w:rFonts w:ascii="Times New Roman" w:hAnsi="Times New Roman"/>
                <w:szCs w:val="20"/>
                <w:lang w:eastAsia="de-DE"/>
              </w:rPr>
              <w:t xml:space="preserve"> measured at the reference date minus one year) that </w:t>
            </w:r>
            <w:r w:rsidRPr="00612FA5">
              <w:rPr>
                <w:rFonts w:ascii="Times New Roman" w:hAnsi="Times New Roman"/>
                <w:szCs w:val="20"/>
                <w:lang w:eastAsia="de-DE"/>
              </w:rPr>
              <w:t xml:space="preserve">were non-defaulted exactly one year before the reference date </w:t>
            </w:r>
            <w:r w:rsidR="00FC262E">
              <w:rPr>
                <w:rFonts w:ascii="Times New Roman" w:hAnsi="Times New Roman"/>
                <w:szCs w:val="20"/>
                <w:lang w:eastAsia="de-DE"/>
              </w:rPr>
              <w:t xml:space="preserve">and </w:t>
            </w:r>
            <w:r w:rsidRPr="003F5BE7">
              <w:rPr>
                <w:rFonts w:ascii="Times New Roman" w:hAnsi="Times New Roman"/>
                <w:szCs w:val="20"/>
                <w:lang w:eastAsia="de-DE"/>
              </w:rPr>
              <w:t>defaulted between the reference date minus one year and the reference date and ii) the sum of the exposures (original exposure before</w:t>
            </w:r>
            <w:r>
              <w:rPr>
                <w:rFonts w:ascii="Times New Roman" w:hAnsi="Times New Roman"/>
                <w:szCs w:val="20"/>
                <w:lang w:eastAsia="de-DE"/>
              </w:rPr>
              <w:t xml:space="preserve"> applying the </w:t>
            </w:r>
            <w:r>
              <w:rPr>
                <w:rFonts w:ascii="Times New Roman" w:hAnsi="Times New Roman"/>
                <w:szCs w:val="20"/>
                <w:lang w:eastAsia="de-DE"/>
              </w:rPr>
              <w:lastRenderedPageBreak/>
              <w:t>conversion factor</w:t>
            </w:r>
            <w:r w:rsidRPr="003F5BE7">
              <w:rPr>
                <w:rFonts w:ascii="Times New Roman" w:hAnsi="Times New Roman"/>
                <w:szCs w:val="20"/>
                <w:lang w:eastAsia="de-DE"/>
              </w:rPr>
              <w:t xml:space="preserve"> measured at the reference date minus one year) that were non-defaulted at the reference date minus one year.</w:t>
            </w:r>
          </w:p>
          <w:p w14:paraId="7BEAE01C" w14:textId="77777777" w:rsidR="00BF00EC" w:rsidRDefault="00BF00EC" w:rsidP="00BF00EC">
            <w:pPr>
              <w:spacing w:before="0" w:after="0"/>
              <w:ind w:left="33"/>
              <w:rPr>
                <w:rFonts w:ascii="Times New Roman" w:hAnsi="Times New Roman"/>
                <w:szCs w:val="20"/>
                <w:lang w:eastAsia="de-DE"/>
              </w:rPr>
            </w:pPr>
          </w:p>
          <w:p w14:paraId="7CA48A94" w14:textId="77D56F1B" w:rsidR="00BF00EC" w:rsidRDefault="00BF00EC" w:rsidP="00BF00EC">
            <w:pPr>
              <w:spacing w:before="0" w:after="0"/>
              <w:ind w:left="33"/>
              <w:rPr>
                <w:rFonts w:ascii="Times New Roman" w:hAnsi="Times New Roman"/>
                <w:szCs w:val="20"/>
                <w:lang w:eastAsia="de-DE"/>
              </w:rPr>
            </w:pPr>
            <w:r>
              <w:rPr>
                <w:rFonts w:ascii="Times New Roman" w:hAnsi="Times New Roman"/>
                <w:szCs w:val="20"/>
                <w:lang w:eastAsia="de-DE"/>
              </w:rPr>
              <w:t xml:space="preserve">New exposures that were generated during the year preceding the reference date shall not be included. </w:t>
            </w:r>
            <w:r w:rsidRPr="00CE3819">
              <w:rPr>
                <w:rFonts w:ascii="Times New Roman" w:hAnsi="Times New Roman"/>
                <w:szCs w:val="20"/>
                <w:lang w:eastAsia="de-DE"/>
              </w:rPr>
              <w:t>Exposures that defaulted and were cured again during the year preceding the reference date shall be included in both the numerator and the denominator.</w:t>
            </w:r>
            <w:r w:rsidRPr="0012648C">
              <w:rPr>
                <w:rFonts w:ascii="Times New Roman" w:hAnsi="Times New Roman"/>
                <w:szCs w:val="20"/>
                <w:lang w:eastAsia="de-DE"/>
              </w:rPr>
              <w:t xml:space="preserve"> Multiple defaults of the same obligor shall be </w:t>
            </w:r>
            <w:r>
              <w:rPr>
                <w:rFonts w:ascii="Times New Roman" w:hAnsi="Times New Roman"/>
                <w:szCs w:val="20"/>
                <w:lang w:eastAsia="de-DE"/>
              </w:rPr>
              <w:t>included</w:t>
            </w:r>
            <w:r w:rsidRPr="0012648C">
              <w:rPr>
                <w:rFonts w:ascii="Times New Roman" w:hAnsi="Times New Roman"/>
                <w:szCs w:val="20"/>
                <w:lang w:eastAsia="de-DE"/>
              </w:rPr>
              <w:t xml:space="preserve"> only once.</w:t>
            </w:r>
          </w:p>
          <w:p w14:paraId="52144F46" w14:textId="77777777" w:rsidR="00FC262E" w:rsidRDefault="00FC262E" w:rsidP="00BF00EC">
            <w:pPr>
              <w:spacing w:before="0" w:after="0"/>
              <w:ind w:left="33"/>
              <w:rPr>
                <w:rFonts w:ascii="Times New Roman" w:hAnsi="Times New Roman"/>
                <w:szCs w:val="20"/>
                <w:lang w:eastAsia="de-DE"/>
              </w:rPr>
            </w:pPr>
          </w:p>
          <w:p w14:paraId="4F654C12" w14:textId="5B776965" w:rsidR="00BF00EC" w:rsidRDefault="00BF00EC" w:rsidP="00BF00EC">
            <w:pPr>
              <w:spacing w:before="0" w:after="0"/>
              <w:ind w:left="33"/>
              <w:rPr>
                <w:rFonts w:ascii="Times New Roman" w:hAnsi="Times New Roman"/>
                <w:szCs w:val="20"/>
                <w:lang w:eastAsia="de-DE"/>
              </w:rPr>
            </w:pPr>
            <w:r w:rsidRPr="0012648C">
              <w:rPr>
                <w:rFonts w:ascii="Times New Roman" w:hAnsi="Times New Roman"/>
                <w:szCs w:val="20"/>
                <w:lang w:eastAsia="de-DE"/>
              </w:rPr>
              <w:t>This information shall be reported for portfolio IDs relating to non-defaulted exposures only.</w:t>
            </w:r>
            <w:r w:rsidR="00FC262E">
              <w:rPr>
                <w:rFonts w:ascii="Times New Roman" w:hAnsi="Times New Roman"/>
                <w:szCs w:val="20"/>
                <w:lang w:eastAsia="de-DE"/>
              </w:rPr>
              <w:t xml:space="preserve"> </w:t>
            </w:r>
          </w:p>
          <w:p w14:paraId="7C243590" w14:textId="6F1BB9B3" w:rsidR="00BF40CD" w:rsidRPr="00EA201D" w:rsidRDefault="00BF40CD" w:rsidP="00BF00EC">
            <w:pPr>
              <w:spacing w:before="0" w:after="0"/>
              <w:ind w:left="33"/>
              <w:rPr>
                <w:rFonts w:ascii="Times New Roman" w:hAnsi="Times New Roman"/>
                <w:szCs w:val="20"/>
                <w:lang w:eastAsia="de-DE"/>
              </w:rPr>
            </w:pPr>
          </w:p>
        </w:tc>
      </w:tr>
      <w:tr w:rsidR="00111A18" w:rsidRPr="00EA201D" w14:paraId="1EE6918F" w14:textId="77777777" w:rsidTr="00585623">
        <w:tc>
          <w:tcPr>
            <w:tcW w:w="992" w:type="dxa"/>
          </w:tcPr>
          <w:p w14:paraId="55CFAAF1"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rPr>
              <w:lastRenderedPageBreak/>
              <w:t>200</w:t>
            </w:r>
          </w:p>
        </w:tc>
        <w:tc>
          <w:tcPr>
            <w:tcW w:w="1714" w:type="dxa"/>
          </w:tcPr>
          <w:p w14:paraId="1ADDB0ED"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Default rate past 5 years</w:t>
            </w:r>
          </w:p>
        </w:tc>
        <w:tc>
          <w:tcPr>
            <w:tcW w:w="1829" w:type="dxa"/>
          </w:tcPr>
          <w:p w14:paraId="45D9319D" w14:textId="77777777" w:rsidR="00111A18" w:rsidRPr="00EA201D" w:rsidRDefault="00111A18" w:rsidP="00806926">
            <w:pPr>
              <w:spacing w:before="0" w:after="0"/>
              <w:ind w:left="33"/>
              <w:rPr>
                <w:rFonts w:ascii="Times New Roman" w:hAnsi="Times New Roman"/>
                <w:szCs w:val="20"/>
                <w:lang w:eastAsia="de-DE"/>
              </w:rPr>
            </w:pPr>
          </w:p>
        </w:tc>
        <w:tc>
          <w:tcPr>
            <w:tcW w:w="9781" w:type="dxa"/>
          </w:tcPr>
          <w:p w14:paraId="385132BF" w14:textId="20A0FC58" w:rsidR="00111A18" w:rsidRPr="00EA201D" w:rsidRDefault="00111A18" w:rsidP="00363389">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w:t>
            </w:r>
            <w:r w:rsidR="0011434F">
              <w:rPr>
                <w:rFonts w:ascii="Times New Roman" w:hAnsi="Times New Roman"/>
                <w:szCs w:val="20"/>
                <w:lang w:eastAsia="de-DE"/>
              </w:rPr>
              <w:t>weighted</w:t>
            </w:r>
            <w:r w:rsidRPr="00EA201D">
              <w:rPr>
                <w:rFonts w:ascii="Times New Roman" w:hAnsi="Times New Roman"/>
                <w:szCs w:val="20"/>
                <w:lang w:eastAsia="de-DE"/>
              </w:rPr>
              <w:t xml:space="preserve"> average of the default rates observed in the </w:t>
            </w:r>
            <w:r w:rsidR="007C5F44">
              <w:rPr>
                <w:rFonts w:ascii="Times New Roman" w:hAnsi="Times New Roman"/>
                <w:szCs w:val="20"/>
                <w:lang w:eastAsia="de-DE"/>
              </w:rPr>
              <w:t xml:space="preserve">last </w:t>
            </w:r>
            <w:r w:rsidR="00AE28FE">
              <w:rPr>
                <w:rFonts w:ascii="Times New Roman" w:hAnsi="Times New Roman"/>
                <w:szCs w:val="20"/>
                <w:lang w:eastAsia="de-DE"/>
              </w:rPr>
              <w:t>five</w:t>
            </w:r>
            <w:r w:rsidRPr="00EA201D">
              <w:rPr>
                <w:rFonts w:ascii="Times New Roman" w:hAnsi="Times New Roman"/>
                <w:szCs w:val="20"/>
                <w:lang w:eastAsia="de-DE"/>
              </w:rPr>
              <w:t xml:space="preserve"> years</w:t>
            </w:r>
            <w:r w:rsidR="000C61AD" w:rsidRPr="00EA201D">
              <w:rPr>
                <w:rFonts w:ascii="Times New Roman" w:hAnsi="Times New Roman"/>
                <w:szCs w:val="20"/>
                <w:lang w:eastAsia="de-DE"/>
              </w:rPr>
              <w:t xml:space="preserve"> </w:t>
            </w:r>
            <w:r w:rsidR="00AE28FE">
              <w:rPr>
                <w:rFonts w:ascii="Times New Roman" w:hAnsi="Times New Roman"/>
                <w:szCs w:val="20"/>
                <w:lang w:eastAsia="de-DE"/>
              </w:rPr>
              <w:t xml:space="preserve">preceding the reference date </w:t>
            </w:r>
            <w:r w:rsidR="000C61AD" w:rsidRPr="00EA201D">
              <w:rPr>
                <w:rFonts w:ascii="Times New Roman" w:hAnsi="Times New Roman"/>
                <w:szCs w:val="20"/>
                <w:lang w:eastAsia="de-DE"/>
              </w:rPr>
              <w:t>shall be reported</w:t>
            </w:r>
            <w:r w:rsidRPr="00EA201D">
              <w:rPr>
                <w:rFonts w:ascii="Times New Roman" w:hAnsi="Times New Roman"/>
                <w:szCs w:val="20"/>
                <w:lang w:eastAsia="de-DE"/>
              </w:rPr>
              <w:t xml:space="preserve">. </w:t>
            </w:r>
            <w:r w:rsidR="00AE28FE">
              <w:rPr>
                <w:rFonts w:ascii="Times New Roman" w:hAnsi="Times New Roman"/>
                <w:szCs w:val="20"/>
                <w:lang w:eastAsia="de-DE"/>
              </w:rPr>
              <w:t xml:space="preserve">The default rate definition </w:t>
            </w:r>
            <w:r w:rsidR="00BB7F97">
              <w:rPr>
                <w:rFonts w:ascii="Times New Roman" w:hAnsi="Times New Roman"/>
                <w:szCs w:val="20"/>
                <w:lang w:eastAsia="de-DE"/>
              </w:rPr>
              <w:t>referred to in</w:t>
            </w:r>
            <w:r w:rsidR="00AE28FE">
              <w:rPr>
                <w:rFonts w:ascii="Times New Roman" w:hAnsi="Times New Roman"/>
                <w:szCs w:val="20"/>
                <w:lang w:eastAsia="de-DE"/>
              </w:rPr>
              <w:t xml:space="preserve"> column 190 shall apply. </w:t>
            </w:r>
            <w:r w:rsidR="00BE211B" w:rsidRPr="00BE211B">
              <w:rPr>
                <w:rFonts w:ascii="Times New Roman" w:hAnsi="Times New Roman"/>
                <w:szCs w:val="20"/>
                <w:lang w:eastAsia="de-DE"/>
              </w:rPr>
              <w:t xml:space="preserve">The weights to be used are the non-defaulted exposures used in the calculation of the default rate </w:t>
            </w:r>
            <w:r w:rsidR="00AE28FE">
              <w:rPr>
                <w:rFonts w:ascii="Times New Roman" w:hAnsi="Times New Roman"/>
                <w:szCs w:val="20"/>
                <w:lang w:eastAsia="de-DE"/>
              </w:rPr>
              <w:t>in accordance with</w:t>
            </w:r>
            <w:r w:rsidR="00BE211B" w:rsidRPr="00BE211B">
              <w:rPr>
                <w:rFonts w:ascii="Times New Roman" w:hAnsi="Times New Roman"/>
                <w:szCs w:val="20"/>
                <w:lang w:eastAsia="de-DE"/>
              </w:rPr>
              <w:t xml:space="preserve"> column 190.</w:t>
            </w:r>
          </w:p>
          <w:p w14:paraId="1E1493A5" w14:textId="77777777" w:rsidR="00806926" w:rsidRPr="00EA201D" w:rsidRDefault="00806926" w:rsidP="00363389">
            <w:pPr>
              <w:spacing w:before="0" w:after="0"/>
              <w:ind w:left="33"/>
              <w:rPr>
                <w:rFonts w:ascii="Times New Roman" w:hAnsi="Times New Roman"/>
                <w:szCs w:val="20"/>
                <w:lang w:eastAsia="de-DE"/>
              </w:rPr>
            </w:pPr>
          </w:p>
          <w:p w14:paraId="1670D4A5" w14:textId="139F12A3" w:rsidR="00111A18" w:rsidRDefault="007C5F44" w:rsidP="009939B7">
            <w:pPr>
              <w:spacing w:before="0" w:after="0"/>
              <w:ind w:left="33"/>
              <w:rPr>
                <w:rFonts w:ascii="Times New Roman" w:hAnsi="Times New Roman"/>
                <w:szCs w:val="20"/>
                <w:lang w:eastAsia="de-DE"/>
              </w:rPr>
            </w:pPr>
            <w:r>
              <w:rPr>
                <w:rFonts w:ascii="Times New Roman" w:hAnsi="Times New Roman"/>
                <w:szCs w:val="20"/>
                <w:lang w:eastAsia="de-DE"/>
              </w:rPr>
              <w:t>Where</w:t>
            </w:r>
            <w:r w:rsidR="00111A18" w:rsidRPr="00EA201D">
              <w:rPr>
                <w:rFonts w:ascii="Times New Roman" w:hAnsi="Times New Roman"/>
                <w:szCs w:val="20"/>
                <w:lang w:eastAsia="de-DE"/>
              </w:rPr>
              <w:t xml:space="preserve"> the institution is not able to calculate a default rate for the</w:t>
            </w:r>
            <w:r>
              <w:rPr>
                <w:rFonts w:ascii="Times New Roman" w:hAnsi="Times New Roman"/>
                <w:szCs w:val="20"/>
                <w:lang w:eastAsia="de-DE"/>
              </w:rPr>
              <w:t xml:space="preserve"> past </w:t>
            </w:r>
            <w:r w:rsidR="00AE28FE">
              <w:rPr>
                <w:rFonts w:ascii="Times New Roman" w:hAnsi="Times New Roman"/>
                <w:szCs w:val="20"/>
                <w:lang w:eastAsia="de-DE"/>
              </w:rPr>
              <w:t>five</w:t>
            </w:r>
            <w:r w:rsidR="00111A18" w:rsidRPr="00EA201D">
              <w:rPr>
                <w:rFonts w:ascii="Times New Roman" w:hAnsi="Times New Roman"/>
                <w:szCs w:val="20"/>
                <w:lang w:eastAsia="de-DE"/>
              </w:rPr>
              <w:t xml:space="preserve"> years </w:t>
            </w:r>
            <w:r w:rsidR="00AE28FE">
              <w:rPr>
                <w:rFonts w:ascii="Times New Roman" w:hAnsi="Times New Roman"/>
                <w:szCs w:val="20"/>
                <w:lang w:eastAsia="de-DE"/>
              </w:rPr>
              <w:t>preceding the reference date, the institution</w:t>
            </w:r>
            <w:r w:rsidR="00111A18" w:rsidRPr="00EA201D">
              <w:rPr>
                <w:rFonts w:ascii="Times New Roman" w:hAnsi="Times New Roman"/>
                <w:szCs w:val="20"/>
                <w:lang w:eastAsia="de-DE"/>
              </w:rPr>
              <w:t xml:space="preserve"> shall develop a proxy using its longest history up to </w:t>
            </w:r>
            <w:r w:rsidR="00AE28FE">
              <w:rPr>
                <w:rFonts w:ascii="Times New Roman" w:hAnsi="Times New Roman"/>
                <w:szCs w:val="20"/>
                <w:lang w:eastAsia="de-DE"/>
              </w:rPr>
              <w:t>five</w:t>
            </w:r>
            <w:r w:rsidR="00111A18" w:rsidRPr="00EA201D">
              <w:rPr>
                <w:rFonts w:ascii="Times New Roman" w:hAnsi="Times New Roman"/>
                <w:szCs w:val="20"/>
                <w:lang w:eastAsia="de-DE"/>
              </w:rPr>
              <w:t xml:space="preserve"> years</w:t>
            </w:r>
            <w:r w:rsidR="00AE28FE">
              <w:rPr>
                <w:rFonts w:ascii="Times New Roman" w:hAnsi="Times New Roman"/>
                <w:szCs w:val="20"/>
                <w:lang w:eastAsia="de-DE"/>
              </w:rPr>
              <w:t xml:space="preserve"> preceding the reference date</w:t>
            </w:r>
            <w:r w:rsidR="00111A18" w:rsidRPr="00EA201D">
              <w:rPr>
                <w:rFonts w:ascii="Times New Roman" w:hAnsi="Times New Roman"/>
                <w:szCs w:val="20"/>
                <w:lang w:eastAsia="de-DE"/>
              </w:rPr>
              <w:t xml:space="preserve"> and provide </w:t>
            </w:r>
            <w:r w:rsidR="00806926" w:rsidRPr="00EA201D">
              <w:rPr>
                <w:rFonts w:ascii="Times New Roman" w:hAnsi="Times New Roman"/>
                <w:szCs w:val="20"/>
                <w:lang w:eastAsia="de-DE"/>
              </w:rPr>
              <w:t xml:space="preserve">the </w:t>
            </w:r>
            <w:r w:rsidR="00111A18" w:rsidRPr="00EA201D">
              <w:rPr>
                <w:rFonts w:ascii="Times New Roman" w:hAnsi="Times New Roman"/>
                <w:szCs w:val="20"/>
                <w:lang w:eastAsia="de-DE"/>
              </w:rPr>
              <w:t xml:space="preserve">documentation </w:t>
            </w:r>
            <w:r w:rsidR="00806926" w:rsidRPr="00EA201D">
              <w:rPr>
                <w:rFonts w:ascii="Times New Roman" w:hAnsi="Times New Roman"/>
                <w:szCs w:val="20"/>
                <w:lang w:eastAsia="de-DE"/>
              </w:rPr>
              <w:t>detailing the calculation</w:t>
            </w:r>
            <w:r w:rsidR="00815BC5" w:rsidRPr="00EA201D">
              <w:rPr>
                <w:rFonts w:ascii="Times New Roman" w:hAnsi="Times New Roman"/>
                <w:szCs w:val="20"/>
                <w:lang w:eastAsia="de-DE"/>
              </w:rPr>
              <w:t xml:space="preserve"> </w:t>
            </w:r>
            <w:r w:rsidR="00111A18" w:rsidRPr="00EA201D">
              <w:rPr>
                <w:rFonts w:ascii="Times New Roman" w:hAnsi="Times New Roman"/>
                <w:szCs w:val="20"/>
                <w:lang w:eastAsia="de-DE"/>
              </w:rPr>
              <w:t>to its competent authority.</w:t>
            </w:r>
          </w:p>
          <w:p w14:paraId="019A7E29" w14:textId="77777777" w:rsidR="008031A6" w:rsidRPr="00EA201D" w:rsidRDefault="00B81949" w:rsidP="009939B7">
            <w:pPr>
              <w:spacing w:before="0" w:after="0"/>
              <w:ind w:left="33"/>
              <w:rPr>
                <w:rFonts w:ascii="Times New Roman" w:hAnsi="Times New Roman"/>
                <w:szCs w:val="20"/>
                <w:lang w:eastAsia="de-DE"/>
              </w:rPr>
            </w:pPr>
            <w:r>
              <w:rPr>
                <w:rFonts w:ascii="Times New Roman" w:hAnsi="Times New Roman"/>
                <w:szCs w:val="20"/>
                <w:lang w:eastAsia="de-DE"/>
              </w:rPr>
              <w:t xml:space="preserve">This information shall be reported for </w:t>
            </w:r>
            <w:r w:rsidRPr="00B81949">
              <w:rPr>
                <w:rFonts w:ascii="Times New Roman" w:hAnsi="Times New Roman"/>
                <w:szCs w:val="20"/>
                <w:lang w:eastAsia="de-DE"/>
              </w:rPr>
              <w:t>portfolio IDs relating to “non-defaulted” exposures only</w:t>
            </w:r>
            <w:r>
              <w:rPr>
                <w:rFonts w:ascii="Times New Roman" w:hAnsi="Times New Roman"/>
                <w:szCs w:val="20"/>
                <w:lang w:eastAsia="de-DE"/>
              </w:rPr>
              <w:t>.</w:t>
            </w:r>
          </w:p>
        </w:tc>
      </w:tr>
      <w:tr w:rsidR="00111A18" w:rsidRPr="00EA201D" w14:paraId="5D49874E" w14:textId="77777777" w:rsidTr="00585623">
        <w:tc>
          <w:tcPr>
            <w:tcW w:w="992" w:type="dxa"/>
          </w:tcPr>
          <w:p w14:paraId="0E6AEA4E"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t>210</w:t>
            </w:r>
          </w:p>
        </w:tc>
        <w:tc>
          <w:tcPr>
            <w:tcW w:w="1714" w:type="dxa"/>
          </w:tcPr>
          <w:p w14:paraId="36AB58AA"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Loss rate latest year</w:t>
            </w:r>
          </w:p>
        </w:tc>
        <w:tc>
          <w:tcPr>
            <w:tcW w:w="1829" w:type="dxa"/>
          </w:tcPr>
          <w:p w14:paraId="667534EE" w14:textId="77777777" w:rsidR="00111A18" w:rsidRPr="00EA201D" w:rsidRDefault="00111A18" w:rsidP="00FC6D77">
            <w:pPr>
              <w:spacing w:before="0" w:after="0"/>
              <w:ind w:left="33"/>
              <w:rPr>
                <w:rFonts w:ascii="Times New Roman" w:hAnsi="Times New Roman"/>
                <w:szCs w:val="20"/>
                <w:lang w:eastAsia="de-DE"/>
              </w:rPr>
            </w:pPr>
          </w:p>
        </w:tc>
        <w:tc>
          <w:tcPr>
            <w:tcW w:w="9781" w:type="dxa"/>
          </w:tcPr>
          <w:p w14:paraId="397C756A" w14:textId="43BEC73C" w:rsidR="00AE6CD7" w:rsidRDefault="00D72132" w:rsidP="009420AD">
            <w:pPr>
              <w:spacing w:before="0" w:after="0"/>
              <w:ind w:left="33"/>
              <w:rPr>
                <w:rFonts w:ascii="Times New Roman" w:hAnsi="Times New Roman"/>
                <w:szCs w:val="20"/>
                <w:lang w:eastAsia="de-DE"/>
              </w:rPr>
            </w:pPr>
            <w:r w:rsidRPr="00EA201D">
              <w:rPr>
                <w:rFonts w:ascii="Times New Roman" w:hAnsi="Times New Roman"/>
                <w:szCs w:val="20"/>
                <w:lang w:eastAsia="de-DE"/>
              </w:rPr>
              <w:t>The loss rate observed in the latest year shall be reported</w:t>
            </w:r>
            <w:r w:rsidR="009E4AF3">
              <w:rPr>
                <w:rFonts w:ascii="Times New Roman" w:hAnsi="Times New Roman"/>
                <w:szCs w:val="20"/>
                <w:lang w:eastAsia="de-DE"/>
              </w:rPr>
              <w:t xml:space="preserve"> for </w:t>
            </w:r>
            <w:r w:rsidR="009E4AF3" w:rsidRPr="00B81949">
              <w:rPr>
                <w:rFonts w:ascii="Times New Roman" w:hAnsi="Times New Roman"/>
                <w:szCs w:val="20"/>
                <w:lang w:eastAsia="de-DE"/>
              </w:rPr>
              <w:t xml:space="preserve">portfolio IDs relating to </w:t>
            </w:r>
            <w:r w:rsidR="00B818F8">
              <w:rPr>
                <w:rFonts w:ascii="Times New Roman" w:hAnsi="Times New Roman"/>
                <w:szCs w:val="20"/>
                <w:lang w:eastAsia="de-DE"/>
              </w:rPr>
              <w:t>‘</w:t>
            </w:r>
            <w:r w:rsidR="009E4AF3" w:rsidRPr="00B81949">
              <w:rPr>
                <w:rFonts w:ascii="Times New Roman" w:hAnsi="Times New Roman"/>
                <w:szCs w:val="20"/>
                <w:lang w:eastAsia="de-DE"/>
              </w:rPr>
              <w:t>non-defaulted</w:t>
            </w:r>
            <w:r w:rsidR="00B818F8">
              <w:rPr>
                <w:rFonts w:ascii="Times New Roman" w:hAnsi="Times New Roman"/>
                <w:szCs w:val="20"/>
                <w:lang w:eastAsia="de-DE"/>
              </w:rPr>
              <w:t>’</w:t>
            </w:r>
            <w:r w:rsidR="009E4AF3" w:rsidRPr="00B81949">
              <w:rPr>
                <w:rFonts w:ascii="Times New Roman" w:hAnsi="Times New Roman"/>
                <w:szCs w:val="20"/>
                <w:lang w:eastAsia="de-DE"/>
              </w:rPr>
              <w:t xml:space="preserve"> </w:t>
            </w:r>
            <w:r w:rsidR="009E4AF3">
              <w:rPr>
                <w:rFonts w:ascii="Times New Roman" w:hAnsi="Times New Roman"/>
                <w:szCs w:val="20"/>
                <w:lang w:eastAsia="de-DE"/>
              </w:rPr>
              <w:t xml:space="preserve">and </w:t>
            </w:r>
            <w:r w:rsidR="00B818F8">
              <w:rPr>
                <w:rFonts w:ascii="Times New Roman" w:hAnsi="Times New Roman"/>
                <w:szCs w:val="20"/>
                <w:lang w:eastAsia="de-DE"/>
              </w:rPr>
              <w:t>‘</w:t>
            </w:r>
            <w:r w:rsidR="009E4AF3">
              <w:rPr>
                <w:rFonts w:ascii="Times New Roman" w:hAnsi="Times New Roman"/>
                <w:szCs w:val="20"/>
                <w:lang w:eastAsia="de-DE"/>
              </w:rPr>
              <w:t>defaulted</w:t>
            </w:r>
            <w:r w:rsidR="00B818F8">
              <w:rPr>
                <w:rFonts w:ascii="Times New Roman" w:hAnsi="Times New Roman"/>
                <w:szCs w:val="20"/>
                <w:lang w:eastAsia="de-DE"/>
              </w:rPr>
              <w:t>’</w:t>
            </w:r>
            <w:r w:rsidR="009E4AF3">
              <w:rPr>
                <w:rFonts w:ascii="Times New Roman" w:hAnsi="Times New Roman"/>
                <w:szCs w:val="20"/>
                <w:lang w:eastAsia="de-DE"/>
              </w:rPr>
              <w:t xml:space="preserve"> </w:t>
            </w:r>
            <w:r w:rsidR="009E4AF3" w:rsidRPr="00B81949">
              <w:rPr>
                <w:rFonts w:ascii="Times New Roman" w:hAnsi="Times New Roman"/>
                <w:szCs w:val="20"/>
                <w:lang w:eastAsia="de-DE"/>
              </w:rPr>
              <w:t>exposures only</w:t>
            </w:r>
            <w:r w:rsidRPr="00EA201D">
              <w:rPr>
                <w:rFonts w:ascii="Times New Roman" w:hAnsi="Times New Roman"/>
                <w:szCs w:val="20"/>
                <w:lang w:eastAsia="de-DE"/>
              </w:rPr>
              <w:t>.</w:t>
            </w:r>
          </w:p>
          <w:p w14:paraId="76B12D02" w14:textId="77777777" w:rsidR="001328E6" w:rsidRDefault="001328E6" w:rsidP="001328E6">
            <w:pPr>
              <w:spacing w:before="0" w:after="0"/>
              <w:ind w:left="33"/>
              <w:rPr>
                <w:rFonts w:ascii="Times New Roman" w:hAnsi="Times New Roman"/>
                <w:szCs w:val="20"/>
                <w:lang w:eastAsia="de-DE"/>
              </w:rPr>
            </w:pPr>
          </w:p>
          <w:p w14:paraId="0618AD33" w14:textId="4949D08C" w:rsidR="001328E6" w:rsidRDefault="00A1075D" w:rsidP="001328E6">
            <w:pPr>
              <w:spacing w:before="0" w:after="0"/>
              <w:ind w:left="33"/>
              <w:rPr>
                <w:rFonts w:ascii="Times New Roman" w:hAnsi="Times New Roman"/>
                <w:szCs w:val="20"/>
                <w:lang w:eastAsia="de-DE"/>
              </w:rPr>
            </w:pPr>
            <w:r>
              <w:rPr>
                <w:rFonts w:ascii="Times New Roman" w:hAnsi="Times New Roman"/>
                <w:szCs w:val="20"/>
                <w:lang w:eastAsia="de-DE"/>
              </w:rPr>
              <w:t>For non-defaulted portfolios, t</w:t>
            </w:r>
            <w:r w:rsidR="001328E6" w:rsidRPr="001328E6">
              <w:rPr>
                <w:rFonts w:ascii="Times New Roman" w:hAnsi="Times New Roman"/>
                <w:szCs w:val="20"/>
                <w:lang w:eastAsia="de-DE"/>
              </w:rPr>
              <w:t xml:space="preserve">he loss rate </w:t>
            </w:r>
            <w:r w:rsidR="00AE28FE">
              <w:rPr>
                <w:rFonts w:ascii="Times New Roman" w:hAnsi="Times New Roman"/>
                <w:szCs w:val="20"/>
                <w:lang w:eastAsia="de-DE"/>
              </w:rPr>
              <w:t>shall be</w:t>
            </w:r>
            <w:r w:rsidR="001328E6" w:rsidRPr="001328E6">
              <w:rPr>
                <w:rFonts w:ascii="Times New Roman" w:hAnsi="Times New Roman"/>
                <w:szCs w:val="20"/>
                <w:lang w:eastAsia="de-DE"/>
              </w:rPr>
              <w:t xml:space="preserve"> the sum of credit risk adjustments and write-offs applied, within the year preceding the reference date, to exposures that were </w:t>
            </w:r>
            <w:r w:rsidR="001328E6" w:rsidRPr="00CE3819">
              <w:rPr>
                <w:rFonts w:ascii="Times New Roman" w:hAnsi="Times New Roman"/>
                <w:szCs w:val="20"/>
                <w:lang w:eastAsia="de-DE"/>
              </w:rPr>
              <w:t>non-defaulted</w:t>
            </w:r>
            <w:r w:rsidR="001328E6" w:rsidRPr="001328E6">
              <w:rPr>
                <w:rFonts w:ascii="Times New Roman" w:hAnsi="Times New Roman"/>
                <w:szCs w:val="20"/>
                <w:lang w:eastAsia="de-DE"/>
              </w:rPr>
              <w:t xml:space="preserve"> </w:t>
            </w:r>
            <w:r w:rsidR="001328E6">
              <w:rPr>
                <w:rFonts w:ascii="Times New Roman" w:hAnsi="Times New Roman"/>
                <w:szCs w:val="20"/>
                <w:lang w:eastAsia="de-DE"/>
              </w:rPr>
              <w:t xml:space="preserve">exactly one year before the reference date </w:t>
            </w:r>
            <w:r w:rsidR="001328E6" w:rsidRPr="00CE3819">
              <w:rPr>
                <w:rFonts w:ascii="Times New Roman" w:hAnsi="Times New Roman"/>
                <w:szCs w:val="20"/>
                <w:lang w:eastAsia="de-DE"/>
              </w:rPr>
              <w:t xml:space="preserve">and </w:t>
            </w:r>
            <w:r w:rsidR="00AE28FE">
              <w:rPr>
                <w:rFonts w:ascii="Times New Roman" w:hAnsi="Times New Roman"/>
                <w:szCs w:val="20"/>
                <w:lang w:eastAsia="de-DE"/>
              </w:rPr>
              <w:t>which</w:t>
            </w:r>
            <w:r w:rsidR="00AE28FE" w:rsidRPr="00CE3819">
              <w:rPr>
                <w:rFonts w:ascii="Times New Roman" w:hAnsi="Times New Roman"/>
                <w:szCs w:val="20"/>
                <w:lang w:eastAsia="de-DE"/>
              </w:rPr>
              <w:t xml:space="preserve"> </w:t>
            </w:r>
            <w:r w:rsidR="001328E6" w:rsidRPr="00CE3819">
              <w:rPr>
                <w:rFonts w:ascii="Times New Roman" w:hAnsi="Times New Roman"/>
                <w:szCs w:val="20"/>
                <w:lang w:eastAsia="de-DE"/>
              </w:rPr>
              <w:t>defaulted during the year preceding the reference date</w:t>
            </w:r>
            <w:r w:rsidR="001328E6">
              <w:rPr>
                <w:rFonts w:ascii="Times New Roman" w:hAnsi="Times New Roman"/>
                <w:szCs w:val="20"/>
                <w:lang w:eastAsia="de-DE"/>
              </w:rPr>
              <w:t xml:space="preserve">, </w:t>
            </w:r>
            <w:r w:rsidR="001328E6" w:rsidRPr="001328E6">
              <w:rPr>
                <w:rFonts w:ascii="Times New Roman" w:hAnsi="Times New Roman"/>
                <w:szCs w:val="20"/>
                <w:lang w:eastAsia="de-DE"/>
              </w:rPr>
              <w:t xml:space="preserve">divided by the sum of the </w:t>
            </w:r>
            <w:r>
              <w:rPr>
                <w:rFonts w:ascii="Times New Roman" w:hAnsi="Times New Roman"/>
                <w:szCs w:val="20"/>
                <w:lang w:eastAsia="de-DE"/>
              </w:rPr>
              <w:t>EAD</w:t>
            </w:r>
            <w:r w:rsidR="001328E6" w:rsidRPr="001328E6">
              <w:rPr>
                <w:rFonts w:ascii="Times New Roman" w:hAnsi="Times New Roman"/>
                <w:szCs w:val="20"/>
                <w:lang w:eastAsia="de-DE"/>
              </w:rPr>
              <w:t xml:space="preserve">, measured exactly one year before the reference date, of the exposures that were non-defaulted exactly one year before the reference date and </w:t>
            </w:r>
            <w:r w:rsidR="00AE28FE">
              <w:rPr>
                <w:rFonts w:ascii="Times New Roman" w:hAnsi="Times New Roman"/>
                <w:szCs w:val="20"/>
                <w:lang w:eastAsia="de-DE"/>
              </w:rPr>
              <w:t>which</w:t>
            </w:r>
            <w:r w:rsidR="00AE28FE" w:rsidRPr="001328E6">
              <w:rPr>
                <w:rFonts w:ascii="Times New Roman" w:hAnsi="Times New Roman"/>
                <w:szCs w:val="20"/>
                <w:lang w:eastAsia="de-DE"/>
              </w:rPr>
              <w:t xml:space="preserve"> </w:t>
            </w:r>
            <w:r w:rsidR="001328E6" w:rsidRPr="001328E6">
              <w:rPr>
                <w:rFonts w:ascii="Times New Roman" w:hAnsi="Times New Roman"/>
                <w:szCs w:val="20"/>
                <w:lang w:eastAsia="de-DE"/>
              </w:rPr>
              <w:t>defaulted during the year preceding the reference date.</w:t>
            </w:r>
          </w:p>
          <w:p w14:paraId="7BB94096" w14:textId="4A232B05" w:rsidR="00AE28FE" w:rsidRDefault="00B818F8" w:rsidP="001328E6">
            <w:pPr>
              <w:spacing w:before="0" w:after="0"/>
              <w:ind w:left="33"/>
              <w:rPr>
                <w:rFonts w:ascii="Times New Roman" w:hAnsi="Times New Roman"/>
                <w:szCs w:val="20"/>
                <w:lang w:eastAsia="de-DE"/>
              </w:rPr>
            </w:pPr>
            <w:r>
              <w:rPr>
                <w:rFonts w:ascii="Times New Roman" w:hAnsi="Times New Roman"/>
                <w:szCs w:val="20"/>
                <w:lang w:eastAsia="de-DE"/>
              </w:rPr>
              <w:t>T</w:t>
            </w:r>
            <w:r w:rsidR="002B35F5" w:rsidRPr="002B35F5">
              <w:rPr>
                <w:rFonts w:ascii="Times New Roman" w:hAnsi="Times New Roman"/>
                <w:szCs w:val="20"/>
                <w:lang w:eastAsia="de-DE"/>
              </w:rPr>
              <w:t xml:space="preserve">he numerator of the loss rate </w:t>
            </w:r>
            <w:r>
              <w:rPr>
                <w:rFonts w:ascii="Times New Roman" w:hAnsi="Times New Roman"/>
                <w:szCs w:val="20"/>
                <w:lang w:eastAsia="de-DE"/>
              </w:rPr>
              <w:t xml:space="preserve">shall </w:t>
            </w:r>
            <w:r w:rsidR="002B35F5" w:rsidRPr="002B35F5">
              <w:rPr>
                <w:rFonts w:ascii="Times New Roman" w:hAnsi="Times New Roman"/>
                <w:szCs w:val="20"/>
                <w:lang w:eastAsia="de-DE"/>
              </w:rPr>
              <w:t>incorporate all the credit risk adjustments and write-offs related to the exposures that defaulted within the year preceding the reference, including the credit risk adjustments applied before the default date</w:t>
            </w:r>
            <w:r>
              <w:rPr>
                <w:rFonts w:ascii="Times New Roman" w:hAnsi="Times New Roman"/>
                <w:szCs w:val="20"/>
                <w:lang w:eastAsia="de-DE"/>
              </w:rPr>
              <w:t>.</w:t>
            </w:r>
          </w:p>
          <w:p w14:paraId="0CEFAA24" w14:textId="77777777" w:rsidR="00440881" w:rsidRDefault="00440881" w:rsidP="001328E6">
            <w:pPr>
              <w:spacing w:before="0" w:after="0"/>
              <w:ind w:left="33"/>
              <w:rPr>
                <w:rFonts w:ascii="Times New Roman" w:hAnsi="Times New Roman"/>
                <w:szCs w:val="20"/>
                <w:lang w:eastAsia="de-DE"/>
              </w:rPr>
            </w:pPr>
            <w:r w:rsidRPr="00440881">
              <w:rPr>
                <w:rFonts w:ascii="Times New Roman" w:hAnsi="Times New Roman"/>
                <w:szCs w:val="20"/>
                <w:lang w:eastAsia="de-DE"/>
              </w:rPr>
              <w:t xml:space="preserve">New exposures generated during the year preceding the reference date </w:t>
            </w:r>
            <w:r>
              <w:rPr>
                <w:rFonts w:ascii="Times New Roman" w:hAnsi="Times New Roman"/>
                <w:szCs w:val="20"/>
                <w:lang w:eastAsia="de-DE"/>
              </w:rPr>
              <w:t>shall</w:t>
            </w:r>
            <w:r w:rsidRPr="00440881">
              <w:rPr>
                <w:rFonts w:ascii="Times New Roman" w:hAnsi="Times New Roman"/>
                <w:szCs w:val="20"/>
                <w:lang w:eastAsia="de-DE"/>
              </w:rPr>
              <w:t xml:space="preserve"> not be </w:t>
            </w:r>
            <w:r w:rsidR="00AE28FE">
              <w:rPr>
                <w:rFonts w:ascii="Times New Roman" w:hAnsi="Times New Roman"/>
                <w:szCs w:val="20"/>
                <w:lang w:eastAsia="de-DE"/>
              </w:rPr>
              <w:t>included</w:t>
            </w:r>
            <w:r w:rsidRPr="00440881">
              <w:rPr>
                <w:rFonts w:ascii="Times New Roman" w:hAnsi="Times New Roman"/>
                <w:szCs w:val="20"/>
                <w:lang w:eastAsia="de-DE"/>
              </w:rPr>
              <w:t>. Exposures that defaulted and were cured again during the year preceding the r</w:t>
            </w:r>
            <w:r>
              <w:rPr>
                <w:rFonts w:ascii="Times New Roman" w:hAnsi="Times New Roman"/>
                <w:szCs w:val="20"/>
                <w:lang w:eastAsia="de-DE"/>
              </w:rPr>
              <w:t>eference date shall be included</w:t>
            </w:r>
            <w:r w:rsidRPr="001328E6">
              <w:rPr>
                <w:rFonts w:ascii="Times New Roman" w:hAnsi="Times New Roman"/>
                <w:szCs w:val="20"/>
                <w:lang w:eastAsia="de-DE"/>
              </w:rPr>
              <w:t xml:space="preserve"> in the denominator of the loss rate and credit risk adjustments and write-offs on those exposures shall be considered in the numerator of the loss rate. Multiple defaults of the very same obligor shall be considered only once.</w:t>
            </w:r>
          </w:p>
          <w:p w14:paraId="615ECD11" w14:textId="77777777" w:rsidR="001328E6" w:rsidRDefault="001328E6" w:rsidP="001328E6">
            <w:pPr>
              <w:spacing w:before="0" w:after="0"/>
              <w:ind w:left="33"/>
              <w:rPr>
                <w:rFonts w:ascii="Times New Roman" w:hAnsi="Times New Roman"/>
                <w:szCs w:val="20"/>
                <w:lang w:eastAsia="de-DE"/>
              </w:rPr>
            </w:pPr>
          </w:p>
          <w:p w14:paraId="0CEDE28A" w14:textId="77777777" w:rsidR="00862431" w:rsidRDefault="00862431" w:rsidP="00862431">
            <w:pPr>
              <w:spacing w:before="0" w:after="0"/>
              <w:ind w:left="33"/>
              <w:rPr>
                <w:rFonts w:ascii="Times New Roman" w:hAnsi="Times New Roman"/>
                <w:szCs w:val="20"/>
                <w:lang w:eastAsia="de-DE"/>
              </w:rPr>
            </w:pPr>
            <w:r w:rsidRPr="00862431">
              <w:rPr>
                <w:rFonts w:ascii="Times New Roman" w:hAnsi="Times New Roman"/>
                <w:szCs w:val="20"/>
                <w:lang w:eastAsia="de-DE"/>
              </w:rPr>
              <w:t xml:space="preserve">For defaulted portfolios, the loss rate </w:t>
            </w:r>
            <w:r w:rsidR="00AE28FE">
              <w:rPr>
                <w:rFonts w:ascii="Times New Roman" w:hAnsi="Times New Roman"/>
                <w:szCs w:val="20"/>
                <w:lang w:eastAsia="de-DE"/>
              </w:rPr>
              <w:t>shall be</w:t>
            </w:r>
            <w:r w:rsidRPr="00862431">
              <w:rPr>
                <w:rFonts w:ascii="Times New Roman" w:hAnsi="Times New Roman"/>
                <w:szCs w:val="20"/>
                <w:lang w:eastAsia="de-DE"/>
              </w:rPr>
              <w:t xml:space="preserve"> the sum of (</w:t>
            </w:r>
            <w:proofErr w:type="spellStart"/>
            <w:r w:rsidRPr="00862431">
              <w:rPr>
                <w:rFonts w:ascii="Times New Roman" w:hAnsi="Times New Roman"/>
                <w:szCs w:val="20"/>
                <w:lang w:eastAsia="de-DE"/>
              </w:rPr>
              <w:t>i</w:t>
            </w:r>
            <w:proofErr w:type="spellEnd"/>
            <w:r w:rsidRPr="00862431">
              <w:rPr>
                <w:rFonts w:ascii="Times New Roman" w:hAnsi="Times New Roman"/>
                <w:szCs w:val="20"/>
                <w:lang w:eastAsia="de-DE"/>
              </w:rPr>
              <w:t>) credit risk adjustments to</w:t>
            </w:r>
            <w:r>
              <w:rPr>
                <w:rFonts w:ascii="Times New Roman" w:hAnsi="Times New Roman"/>
                <w:szCs w:val="20"/>
                <w:lang w:eastAsia="de-DE"/>
              </w:rPr>
              <w:t xml:space="preserve"> </w:t>
            </w:r>
            <w:r w:rsidRPr="00862431">
              <w:rPr>
                <w:rFonts w:ascii="Times New Roman" w:hAnsi="Times New Roman"/>
                <w:szCs w:val="20"/>
                <w:lang w:eastAsia="de-DE"/>
              </w:rPr>
              <w:t>exposures that were already in default exactly one year before the reference date in the</w:t>
            </w:r>
            <w:r>
              <w:rPr>
                <w:rFonts w:ascii="Times New Roman" w:hAnsi="Times New Roman"/>
                <w:szCs w:val="20"/>
                <w:lang w:eastAsia="de-DE"/>
              </w:rPr>
              <w:t xml:space="preserve"> </w:t>
            </w:r>
            <w:r w:rsidRPr="00862431">
              <w:rPr>
                <w:rFonts w:ascii="Times New Roman" w:hAnsi="Times New Roman"/>
                <w:szCs w:val="20"/>
                <w:lang w:eastAsia="de-DE"/>
              </w:rPr>
              <w:t>respective portfolio and (ii) credit risk adjustments and write-offs applied within the year</w:t>
            </w:r>
            <w:r>
              <w:rPr>
                <w:rFonts w:ascii="Times New Roman" w:hAnsi="Times New Roman"/>
                <w:szCs w:val="20"/>
                <w:lang w:eastAsia="de-DE"/>
              </w:rPr>
              <w:t xml:space="preserve"> </w:t>
            </w:r>
            <w:r w:rsidRPr="00862431">
              <w:rPr>
                <w:rFonts w:ascii="Times New Roman" w:hAnsi="Times New Roman"/>
                <w:szCs w:val="20"/>
                <w:lang w:eastAsia="de-DE"/>
              </w:rPr>
              <w:t>preceding the reference date for these exposures, divided by the sum of the EAD, measured</w:t>
            </w:r>
            <w:r>
              <w:rPr>
                <w:rFonts w:ascii="Times New Roman" w:hAnsi="Times New Roman"/>
                <w:szCs w:val="20"/>
                <w:lang w:eastAsia="de-DE"/>
              </w:rPr>
              <w:t xml:space="preserve"> </w:t>
            </w:r>
            <w:r w:rsidRPr="00862431">
              <w:rPr>
                <w:rFonts w:ascii="Times New Roman" w:hAnsi="Times New Roman"/>
                <w:szCs w:val="20"/>
                <w:lang w:eastAsia="de-DE"/>
              </w:rPr>
              <w:t>exactly one year before the reference date, of the exposures that were defaulted exactly one</w:t>
            </w:r>
            <w:r>
              <w:rPr>
                <w:rFonts w:ascii="Times New Roman" w:hAnsi="Times New Roman"/>
                <w:szCs w:val="20"/>
                <w:lang w:eastAsia="de-DE"/>
              </w:rPr>
              <w:t xml:space="preserve"> </w:t>
            </w:r>
            <w:r w:rsidRPr="00862431">
              <w:rPr>
                <w:rFonts w:ascii="Times New Roman" w:hAnsi="Times New Roman"/>
                <w:szCs w:val="20"/>
                <w:lang w:eastAsia="de-DE"/>
              </w:rPr>
              <w:t>year before the reference date.</w:t>
            </w:r>
          </w:p>
          <w:p w14:paraId="1D18880D" w14:textId="77777777" w:rsidR="00AE28FE" w:rsidRPr="00862431" w:rsidRDefault="00AE28FE" w:rsidP="00862431">
            <w:pPr>
              <w:spacing w:before="0" w:after="0"/>
              <w:ind w:left="33"/>
              <w:rPr>
                <w:rFonts w:ascii="Times New Roman" w:hAnsi="Times New Roman"/>
                <w:szCs w:val="20"/>
                <w:lang w:eastAsia="de-DE"/>
              </w:rPr>
            </w:pPr>
          </w:p>
          <w:p w14:paraId="51280BE0" w14:textId="2218F3F4" w:rsidR="00862431" w:rsidRDefault="00862431" w:rsidP="00862431">
            <w:pPr>
              <w:spacing w:before="0" w:after="0"/>
              <w:ind w:left="33"/>
              <w:rPr>
                <w:rFonts w:ascii="Times New Roman" w:hAnsi="Times New Roman"/>
                <w:szCs w:val="20"/>
                <w:lang w:eastAsia="de-DE"/>
              </w:rPr>
            </w:pPr>
            <w:r w:rsidRPr="00862431">
              <w:rPr>
                <w:rFonts w:ascii="Times New Roman" w:hAnsi="Times New Roman"/>
                <w:szCs w:val="20"/>
                <w:lang w:eastAsia="de-DE"/>
              </w:rPr>
              <w:lastRenderedPageBreak/>
              <w:t xml:space="preserve">New defaults during the year preceding the reference date shall not be </w:t>
            </w:r>
            <w:r w:rsidR="00AE28FE">
              <w:rPr>
                <w:rFonts w:ascii="Times New Roman" w:hAnsi="Times New Roman"/>
                <w:szCs w:val="20"/>
                <w:lang w:eastAsia="de-DE"/>
              </w:rPr>
              <w:t>included</w:t>
            </w:r>
            <w:r w:rsidRPr="00862431">
              <w:rPr>
                <w:rFonts w:ascii="Times New Roman" w:hAnsi="Times New Roman"/>
                <w:szCs w:val="20"/>
                <w:lang w:eastAsia="de-DE"/>
              </w:rPr>
              <w:t>. Exposures</w:t>
            </w:r>
            <w:r>
              <w:rPr>
                <w:rFonts w:ascii="Times New Roman" w:hAnsi="Times New Roman"/>
                <w:szCs w:val="20"/>
                <w:lang w:eastAsia="de-DE"/>
              </w:rPr>
              <w:t xml:space="preserve"> </w:t>
            </w:r>
            <w:r w:rsidRPr="00862431">
              <w:rPr>
                <w:rFonts w:ascii="Times New Roman" w:hAnsi="Times New Roman"/>
                <w:szCs w:val="20"/>
                <w:lang w:eastAsia="de-DE"/>
              </w:rPr>
              <w:t>that cured again during the year preceding the reference date shall be included in the</w:t>
            </w:r>
            <w:r>
              <w:rPr>
                <w:rFonts w:ascii="Times New Roman" w:hAnsi="Times New Roman"/>
                <w:szCs w:val="20"/>
                <w:lang w:eastAsia="de-DE"/>
              </w:rPr>
              <w:t xml:space="preserve"> </w:t>
            </w:r>
            <w:r w:rsidRPr="00862431">
              <w:rPr>
                <w:rFonts w:ascii="Times New Roman" w:hAnsi="Times New Roman"/>
                <w:szCs w:val="20"/>
                <w:lang w:eastAsia="de-DE"/>
              </w:rPr>
              <w:t>denominator of the loss rate and credit risk adjustments and write-offs on those exposures</w:t>
            </w:r>
            <w:r>
              <w:rPr>
                <w:rFonts w:ascii="Times New Roman" w:hAnsi="Times New Roman"/>
                <w:szCs w:val="20"/>
                <w:lang w:eastAsia="de-DE"/>
              </w:rPr>
              <w:t xml:space="preserve"> </w:t>
            </w:r>
            <w:r w:rsidRPr="00862431">
              <w:rPr>
                <w:rFonts w:ascii="Times New Roman" w:hAnsi="Times New Roman"/>
                <w:szCs w:val="20"/>
                <w:lang w:eastAsia="de-DE"/>
              </w:rPr>
              <w:t xml:space="preserve">shall be </w:t>
            </w:r>
            <w:r w:rsidR="00AE28FE">
              <w:rPr>
                <w:rFonts w:ascii="Times New Roman" w:hAnsi="Times New Roman"/>
                <w:szCs w:val="20"/>
                <w:lang w:eastAsia="de-DE"/>
              </w:rPr>
              <w:t>included</w:t>
            </w:r>
            <w:r w:rsidR="00AE28FE" w:rsidRPr="00862431">
              <w:rPr>
                <w:rFonts w:ascii="Times New Roman" w:hAnsi="Times New Roman"/>
                <w:szCs w:val="20"/>
                <w:lang w:eastAsia="de-DE"/>
              </w:rPr>
              <w:t xml:space="preserve"> </w:t>
            </w:r>
            <w:r w:rsidRPr="00862431">
              <w:rPr>
                <w:rFonts w:ascii="Times New Roman" w:hAnsi="Times New Roman"/>
                <w:szCs w:val="20"/>
                <w:lang w:eastAsia="de-DE"/>
              </w:rPr>
              <w:t>in the numerator of the loss rate. Multiple defaults of the very same</w:t>
            </w:r>
            <w:r>
              <w:rPr>
                <w:rFonts w:ascii="Times New Roman" w:hAnsi="Times New Roman"/>
                <w:szCs w:val="20"/>
                <w:lang w:eastAsia="de-DE"/>
              </w:rPr>
              <w:t xml:space="preserve"> </w:t>
            </w:r>
            <w:r w:rsidRPr="00862431">
              <w:rPr>
                <w:rFonts w:ascii="Times New Roman" w:hAnsi="Times New Roman"/>
                <w:szCs w:val="20"/>
                <w:lang w:eastAsia="de-DE"/>
              </w:rPr>
              <w:t xml:space="preserve">obligor shall be </w:t>
            </w:r>
            <w:r w:rsidR="00AE28FE">
              <w:rPr>
                <w:rFonts w:ascii="Times New Roman" w:hAnsi="Times New Roman"/>
                <w:szCs w:val="20"/>
                <w:lang w:eastAsia="de-DE"/>
              </w:rPr>
              <w:t>included</w:t>
            </w:r>
            <w:r w:rsidR="00AE28FE" w:rsidRPr="00862431">
              <w:rPr>
                <w:rFonts w:ascii="Times New Roman" w:hAnsi="Times New Roman"/>
                <w:szCs w:val="20"/>
                <w:lang w:eastAsia="de-DE"/>
              </w:rPr>
              <w:t xml:space="preserve"> </w:t>
            </w:r>
            <w:r w:rsidRPr="00862431">
              <w:rPr>
                <w:rFonts w:ascii="Times New Roman" w:hAnsi="Times New Roman"/>
                <w:szCs w:val="20"/>
                <w:lang w:eastAsia="de-DE"/>
              </w:rPr>
              <w:t>only once.</w:t>
            </w:r>
          </w:p>
          <w:p w14:paraId="085C7036" w14:textId="5AA32A6E" w:rsidR="008031A6" w:rsidRPr="00EA201D" w:rsidRDefault="008031A6" w:rsidP="00683779">
            <w:pPr>
              <w:spacing w:before="0" w:after="0"/>
              <w:ind w:left="33"/>
              <w:jc w:val="center"/>
              <w:rPr>
                <w:rFonts w:ascii="Times New Roman" w:hAnsi="Times New Roman"/>
                <w:szCs w:val="20"/>
                <w:lang w:eastAsia="de-DE"/>
              </w:rPr>
            </w:pPr>
          </w:p>
        </w:tc>
      </w:tr>
      <w:tr w:rsidR="00111A18" w:rsidRPr="00EA201D" w14:paraId="5CEEC8D7" w14:textId="77777777" w:rsidTr="00371919">
        <w:tc>
          <w:tcPr>
            <w:tcW w:w="992" w:type="dxa"/>
            <w:tcBorders>
              <w:bottom w:val="single" w:sz="4" w:space="0" w:color="auto"/>
            </w:tcBorders>
          </w:tcPr>
          <w:p w14:paraId="68D8A44F" w14:textId="77777777" w:rsidR="00111A18" w:rsidRPr="00EA201D" w:rsidRDefault="00111A18" w:rsidP="00AF67FB">
            <w:pPr>
              <w:spacing w:before="0" w:after="0"/>
              <w:ind w:left="33"/>
              <w:rPr>
                <w:rFonts w:ascii="Times New Roman" w:hAnsi="Times New Roman"/>
                <w:szCs w:val="20"/>
                <w:lang w:eastAsia="de-DE"/>
              </w:rPr>
            </w:pPr>
            <w:r w:rsidRPr="00EA201D">
              <w:rPr>
                <w:rStyle w:val="InstructionsTabelleText"/>
                <w:rFonts w:ascii="Times New Roman" w:hAnsi="Times New Roman"/>
                <w:bCs/>
              </w:rPr>
              <w:lastRenderedPageBreak/>
              <w:t>220</w:t>
            </w:r>
          </w:p>
        </w:tc>
        <w:tc>
          <w:tcPr>
            <w:tcW w:w="1714" w:type="dxa"/>
            <w:tcBorders>
              <w:bottom w:val="single" w:sz="4" w:space="0" w:color="auto"/>
            </w:tcBorders>
          </w:tcPr>
          <w:p w14:paraId="5A2456E5" w14:textId="77777777" w:rsidR="00111A18" w:rsidRPr="00EA201D" w:rsidRDefault="00111A18"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Loss rate past 5 years</w:t>
            </w:r>
          </w:p>
        </w:tc>
        <w:tc>
          <w:tcPr>
            <w:tcW w:w="1829" w:type="dxa"/>
            <w:tcBorders>
              <w:bottom w:val="single" w:sz="4" w:space="0" w:color="auto"/>
            </w:tcBorders>
          </w:tcPr>
          <w:p w14:paraId="3F26741F" w14:textId="77777777" w:rsidR="00111A18" w:rsidRPr="00EA201D" w:rsidRDefault="00111A18" w:rsidP="009939B7">
            <w:pPr>
              <w:spacing w:before="0" w:after="0"/>
              <w:ind w:left="33"/>
              <w:rPr>
                <w:rFonts w:ascii="Times New Roman" w:hAnsi="Times New Roman"/>
                <w:szCs w:val="20"/>
                <w:lang w:eastAsia="de-DE"/>
              </w:rPr>
            </w:pPr>
          </w:p>
        </w:tc>
        <w:tc>
          <w:tcPr>
            <w:tcW w:w="9781" w:type="dxa"/>
            <w:tcBorders>
              <w:bottom w:val="single" w:sz="4" w:space="0" w:color="auto"/>
            </w:tcBorders>
          </w:tcPr>
          <w:p w14:paraId="41419670" w14:textId="3F8FA233" w:rsidR="00111A18" w:rsidRDefault="00111A18" w:rsidP="00AF67FB">
            <w:pPr>
              <w:spacing w:before="0" w:after="0"/>
              <w:ind w:left="33"/>
              <w:rPr>
                <w:rFonts w:ascii="Times New Roman" w:hAnsi="Times New Roman"/>
                <w:szCs w:val="20"/>
                <w:lang w:eastAsia="de-DE"/>
              </w:rPr>
            </w:pPr>
            <w:r w:rsidRPr="00EA201D">
              <w:rPr>
                <w:rFonts w:ascii="Times New Roman" w:hAnsi="Times New Roman"/>
                <w:szCs w:val="20"/>
                <w:lang w:eastAsia="de-DE"/>
              </w:rPr>
              <w:t xml:space="preserve">The </w:t>
            </w:r>
            <w:r w:rsidR="0011434F">
              <w:rPr>
                <w:rFonts w:ascii="Times New Roman" w:hAnsi="Times New Roman"/>
                <w:szCs w:val="20"/>
                <w:lang w:eastAsia="de-DE"/>
              </w:rPr>
              <w:t>EAD-weighted</w:t>
            </w:r>
            <w:r w:rsidRPr="00EA201D">
              <w:rPr>
                <w:rFonts w:ascii="Times New Roman" w:hAnsi="Times New Roman"/>
                <w:szCs w:val="20"/>
                <w:lang w:eastAsia="de-DE"/>
              </w:rPr>
              <w:t xml:space="preserve"> average of the loss rates observed in the </w:t>
            </w:r>
            <w:r w:rsidR="007C5F44">
              <w:rPr>
                <w:rFonts w:ascii="Times New Roman" w:hAnsi="Times New Roman"/>
                <w:szCs w:val="20"/>
                <w:lang w:eastAsia="de-DE"/>
              </w:rPr>
              <w:t xml:space="preserve">last </w:t>
            </w:r>
            <w:r w:rsidR="00AE28FE">
              <w:rPr>
                <w:rFonts w:ascii="Times New Roman" w:hAnsi="Times New Roman"/>
                <w:szCs w:val="20"/>
                <w:lang w:eastAsia="de-DE"/>
              </w:rPr>
              <w:t>five</w:t>
            </w:r>
            <w:r w:rsidRPr="00EA201D">
              <w:rPr>
                <w:rFonts w:ascii="Times New Roman" w:hAnsi="Times New Roman"/>
                <w:szCs w:val="20"/>
                <w:lang w:eastAsia="de-DE"/>
              </w:rPr>
              <w:t xml:space="preserve"> years</w:t>
            </w:r>
            <w:r w:rsidR="00AE28FE">
              <w:rPr>
                <w:rFonts w:ascii="Times New Roman" w:hAnsi="Times New Roman"/>
                <w:szCs w:val="20"/>
                <w:lang w:eastAsia="de-DE"/>
              </w:rPr>
              <w:t xml:space="preserve"> preceding the reference date</w:t>
            </w:r>
            <w:r w:rsidR="000C61AD" w:rsidRPr="00EA201D">
              <w:rPr>
                <w:rFonts w:ascii="Times New Roman" w:hAnsi="Times New Roman"/>
                <w:szCs w:val="20"/>
                <w:lang w:eastAsia="de-DE"/>
              </w:rPr>
              <w:t xml:space="preserve"> shall be reported</w:t>
            </w:r>
            <w:r w:rsidR="009E4AF3">
              <w:rPr>
                <w:rFonts w:ascii="Times New Roman" w:hAnsi="Times New Roman"/>
                <w:szCs w:val="20"/>
                <w:lang w:eastAsia="de-DE"/>
              </w:rPr>
              <w:t xml:space="preserve"> for </w:t>
            </w:r>
            <w:r w:rsidR="009E4AF3" w:rsidRPr="00B81949">
              <w:rPr>
                <w:rFonts w:ascii="Times New Roman" w:hAnsi="Times New Roman"/>
                <w:szCs w:val="20"/>
                <w:lang w:eastAsia="de-DE"/>
              </w:rPr>
              <w:t xml:space="preserve">portfolio IDs relating to </w:t>
            </w:r>
            <w:r w:rsidR="00BE04D3">
              <w:rPr>
                <w:rFonts w:ascii="Times New Roman" w:hAnsi="Times New Roman"/>
                <w:szCs w:val="20"/>
                <w:lang w:eastAsia="de-DE"/>
              </w:rPr>
              <w:t>‘</w:t>
            </w:r>
            <w:r w:rsidR="009E4AF3" w:rsidRPr="00B81949">
              <w:rPr>
                <w:rFonts w:ascii="Times New Roman" w:hAnsi="Times New Roman"/>
                <w:szCs w:val="20"/>
                <w:lang w:eastAsia="de-DE"/>
              </w:rPr>
              <w:t>non-defaulted</w:t>
            </w:r>
            <w:r w:rsidR="00BE04D3">
              <w:rPr>
                <w:rFonts w:ascii="Times New Roman" w:hAnsi="Times New Roman"/>
                <w:szCs w:val="20"/>
                <w:lang w:eastAsia="de-DE"/>
              </w:rPr>
              <w:t>’</w:t>
            </w:r>
            <w:r w:rsidR="009E4AF3" w:rsidRPr="00B81949">
              <w:rPr>
                <w:rFonts w:ascii="Times New Roman" w:hAnsi="Times New Roman"/>
                <w:szCs w:val="20"/>
                <w:lang w:eastAsia="de-DE"/>
              </w:rPr>
              <w:t xml:space="preserve"> </w:t>
            </w:r>
            <w:r w:rsidR="009E4AF3">
              <w:rPr>
                <w:rFonts w:ascii="Times New Roman" w:hAnsi="Times New Roman"/>
                <w:szCs w:val="20"/>
                <w:lang w:eastAsia="de-DE"/>
              </w:rPr>
              <w:t xml:space="preserve">and </w:t>
            </w:r>
            <w:r w:rsidR="00BE04D3">
              <w:rPr>
                <w:rFonts w:ascii="Times New Roman" w:hAnsi="Times New Roman"/>
                <w:szCs w:val="20"/>
                <w:lang w:eastAsia="de-DE"/>
              </w:rPr>
              <w:t>‘</w:t>
            </w:r>
            <w:r w:rsidR="009E4AF3">
              <w:rPr>
                <w:rFonts w:ascii="Times New Roman" w:hAnsi="Times New Roman"/>
                <w:szCs w:val="20"/>
                <w:lang w:eastAsia="de-DE"/>
              </w:rPr>
              <w:t>defaulted</w:t>
            </w:r>
            <w:r w:rsidR="00BE04D3">
              <w:rPr>
                <w:rFonts w:ascii="Times New Roman" w:hAnsi="Times New Roman"/>
                <w:szCs w:val="20"/>
                <w:lang w:eastAsia="de-DE"/>
              </w:rPr>
              <w:t>’</w:t>
            </w:r>
            <w:r w:rsidR="009E4AF3">
              <w:rPr>
                <w:rFonts w:ascii="Times New Roman" w:hAnsi="Times New Roman"/>
                <w:szCs w:val="20"/>
                <w:lang w:eastAsia="de-DE"/>
              </w:rPr>
              <w:t xml:space="preserve"> </w:t>
            </w:r>
            <w:r w:rsidR="009E4AF3" w:rsidRPr="00B81949">
              <w:rPr>
                <w:rFonts w:ascii="Times New Roman" w:hAnsi="Times New Roman"/>
                <w:szCs w:val="20"/>
                <w:lang w:eastAsia="de-DE"/>
              </w:rPr>
              <w:t>exposures only</w:t>
            </w:r>
            <w:r w:rsidRPr="00EA201D">
              <w:rPr>
                <w:rFonts w:ascii="Times New Roman" w:hAnsi="Times New Roman"/>
                <w:szCs w:val="20"/>
                <w:lang w:eastAsia="de-DE"/>
              </w:rPr>
              <w:t xml:space="preserve">. </w:t>
            </w:r>
            <w:r w:rsidR="00AE28FE">
              <w:rPr>
                <w:rFonts w:ascii="Times New Roman" w:hAnsi="Times New Roman"/>
                <w:szCs w:val="20"/>
                <w:lang w:eastAsia="de-DE"/>
              </w:rPr>
              <w:t>The</w:t>
            </w:r>
            <w:r w:rsidRPr="00EA201D">
              <w:rPr>
                <w:rFonts w:ascii="Times New Roman" w:hAnsi="Times New Roman"/>
                <w:szCs w:val="20"/>
                <w:lang w:eastAsia="de-DE"/>
              </w:rPr>
              <w:t xml:space="preserve"> definition of loss rate </w:t>
            </w:r>
            <w:r w:rsidR="00AE28FE">
              <w:rPr>
                <w:rFonts w:ascii="Times New Roman" w:hAnsi="Times New Roman"/>
                <w:szCs w:val="20"/>
                <w:lang w:eastAsia="de-DE"/>
              </w:rPr>
              <w:t>referred to in</w:t>
            </w:r>
            <w:r w:rsidR="00AE28FE" w:rsidRPr="00EA201D">
              <w:rPr>
                <w:rFonts w:ascii="Times New Roman" w:hAnsi="Times New Roman"/>
                <w:szCs w:val="20"/>
                <w:lang w:eastAsia="de-DE"/>
              </w:rPr>
              <w:t xml:space="preserve"> </w:t>
            </w:r>
            <w:r w:rsidRPr="00EA201D">
              <w:rPr>
                <w:rFonts w:ascii="Times New Roman" w:hAnsi="Times New Roman"/>
                <w:szCs w:val="20"/>
                <w:lang w:eastAsia="de-DE"/>
              </w:rPr>
              <w:t>column 210</w:t>
            </w:r>
            <w:r w:rsidR="00AE28FE">
              <w:rPr>
                <w:rFonts w:ascii="Times New Roman" w:hAnsi="Times New Roman"/>
                <w:szCs w:val="20"/>
                <w:lang w:eastAsia="de-DE"/>
              </w:rPr>
              <w:t xml:space="preserve"> shall apply</w:t>
            </w:r>
            <w:r w:rsidRPr="00EA201D">
              <w:rPr>
                <w:rFonts w:ascii="Times New Roman" w:hAnsi="Times New Roman"/>
                <w:szCs w:val="20"/>
                <w:lang w:eastAsia="de-DE"/>
              </w:rPr>
              <w:t>.</w:t>
            </w:r>
          </w:p>
          <w:p w14:paraId="3C08E6B6" w14:textId="3507BD96" w:rsidR="002B35F5" w:rsidRDefault="002B35F5" w:rsidP="00AF67FB">
            <w:pPr>
              <w:spacing w:before="0" w:after="0"/>
              <w:ind w:left="33"/>
              <w:rPr>
                <w:rFonts w:ascii="Times New Roman" w:hAnsi="Times New Roman"/>
                <w:szCs w:val="20"/>
                <w:lang w:eastAsia="de-DE"/>
              </w:rPr>
            </w:pPr>
          </w:p>
          <w:p w14:paraId="73E3503C" w14:textId="044E585F" w:rsidR="002B35F5" w:rsidRPr="002B35F5" w:rsidRDefault="002B35F5" w:rsidP="002B35F5">
            <w:pPr>
              <w:autoSpaceDE w:val="0"/>
              <w:autoSpaceDN w:val="0"/>
              <w:adjustRightInd w:val="0"/>
              <w:spacing w:after="0"/>
              <w:rPr>
                <w:rFonts w:ascii="Times New Roman" w:hAnsi="Times New Roman"/>
                <w:szCs w:val="20"/>
                <w:lang w:eastAsia="de-DE"/>
              </w:rPr>
            </w:pPr>
            <w:r w:rsidRPr="002B35F5">
              <w:rPr>
                <w:rFonts w:ascii="Times New Roman" w:hAnsi="Times New Roman"/>
                <w:szCs w:val="20"/>
                <w:lang w:eastAsia="de-DE"/>
              </w:rPr>
              <w:t xml:space="preserve">The loss ratio of past five years </w:t>
            </w:r>
            <w:r w:rsidR="00BE04D3">
              <w:rPr>
                <w:rFonts w:ascii="Times New Roman" w:hAnsi="Times New Roman"/>
                <w:szCs w:val="20"/>
                <w:lang w:eastAsia="de-DE"/>
              </w:rPr>
              <w:t>shall</w:t>
            </w:r>
            <w:r w:rsidRPr="002B35F5">
              <w:rPr>
                <w:rFonts w:ascii="Times New Roman" w:hAnsi="Times New Roman"/>
                <w:szCs w:val="20"/>
                <w:lang w:eastAsia="de-DE"/>
              </w:rPr>
              <w:t xml:space="preserve"> not include changes in credit risk adjustments and write offs that occur after the first year of default.</w:t>
            </w:r>
          </w:p>
          <w:p w14:paraId="0C3523FA" w14:textId="77777777" w:rsidR="009939B7" w:rsidRPr="00EA201D" w:rsidRDefault="009939B7" w:rsidP="00AF67FB">
            <w:pPr>
              <w:spacing w:before="0" w:after="0"/>
              <w:ind w:left="33"/>
              <w:rPr>
                <w:rFonts w:ascii="Times New Roman" w:hAnsi="Times New Roman"/>
                <w:szCs w:val="20"/>
                <w:lang w:eastAsia="de-DE"/>
              </w:rPr>
            </w:pPr>
          </w:p>
          <w:p w14:paraId="6DB1E6C3" w14:textId="4BC92DFF" w:rsidR="008031A6" w:rsidRPr="00EA201D" w:rsidRDefault="007C5F44" w:rsidP="007C5F44">
            <w:pPr>
              <w:spacing w:before="0" w:after="0"/>
              <w:ind w:left="33"/>
              <w:rPr>
                <w:rFonts w:ascii="Times New Roman" w:hAnsi="Times New Roman"/>
                <w:szCs w:val="20"/>
                <w:lang w:eastAsia="de-DE"/>
              </w:rPr>
            </w:pPr>
            <w:r>
              <w:rPr>
                <w:rFonts w:ascii="Times New Roman" w:hAnsi="Times New Roman"/>
                <w:szCs w:val="20"/>
                <w:lang w:eastAsia="de-DE"/>
              </w:rPr>
              <w:t>Where</w:t>
            </w:r>
            <w:r w:rsidR="00111A18" w:rsidRPr="00EA201D">
              <w:rPr>
                <w:rFonts w:ascii="Times New Roman" w:hAnsi="Times New Roman"/>
                <w:szCs w:val="20"/>
                <w:lang w:eastAsia="de-DE"/>
              </w:rPr>
              <w:t xml:space="preserve"> the institution is not able to calculate a loss rate for the </w:t>
            </w:r>
            <w:r>
              <w:rPr>
                <w:rFonts w:ascii="Times New Roman" w:hAnsi="Times New Roman"/>
                <w:szCs w:val="20"/>
                <w:lang w:eastAsia="de-DE"/>
              </w:rPr>
              <w:t xml:space="preserve">past </w:t>
            </w:r>
            <w:r w:rsidR="00BB7F97">
              <w:rPr>
                <w:rFonts w:ascii="Times New Roman" w:hAnsi="Times New Roman"/>
                <w:szCs w:val="20"/>
                <w:lang w:eastAsia="de-DE"/>
              </w:rPr>
              <w:t>five</w:t>
            </w:r>
            <w:r w:rsidR="00111A18" w:rsidRPr="00EA201D">
              <w:rPr>
                <w:rFonts w:ascii="Times New Roman" w:hAnsi="Times New Roman"/>
                <w:szCs w:val="20"/>
                <w:lang w:eastAsia="de-DE"/>
              </w:rPr>
              <w:t xml:space="preserve"> </w:t>
            </w:r>
            <w:r>
              <w:rPr>
                <w:rFonts w:ascii="Times New Roman" w:hAnsi="Times New Roman"/>
                <w:szCs w:val="20"/>
                <w:lang w:eastAsia="de-DE"/>
              </w:rPr>
              <w:t xml:space="preserve">years it </w:t>
            </w:r>
            <w:r w:rsidR="00111A18" w:rsidRPr="00EA201D">
              <w:rPr>
                <w:rFonts w:ascii="Times New Roman" w:hAnsi="Times New Roman"/>
                <w:szCs w:val="20"/>
                <w:lang w:eastAsia="de-DE"/>
              </w:rPr>
              <w:t xml:space="preserve">shall develop a proxy using its longest history up to </w:t>
            </w:r>
            <w:r>
              <w:rPr>
                <w:rFonts w:ascii="Times New Roman" w:hAnsi="Times New Roman"/>
                <w:szCs w:val="20"/>
                <w:lang w:eastAsia="de-DE"/>
              </w:rPr>
              <w:t>5</w:t>
            </w:r>
            <w:r w:rsidR="00BB7F97" w:rsidRPr="00EA201D">
              <w:rPr>
                <w:rFonts w:ascii="Times New Roman" w:hAnsi="Times New Roman"/>
                <w:szCs w:val="20"/>
                <w:lang w:eastAsia="de-DE"/>
              </w:rPr>
              <w:t xml:space="preserve"> </w:t>
            </w:r>
            <w:r w:rsidR="00111A18" w:rsidRPr="00EA201D">
              <w:rPr>
                <w:rFonts w:ascii="Times New Roman" w:hAnsi="Times New Roman"/>
                <w:szCs w:val="20"/>
                <w:lang w:eastAsia="de-DE"/>
              </w:rPr>
              <w:t xml:space="preserve">years and provide documentation </w:t>
            </w:r>
            <w:r w:rsidR="0076018B" w:rsidRPr="00EA201D">
              <w:rPr>
                <w:rFonts w:ascii="Times New Roman" w:hAnsi="Times New Roman"/>
                <w:szCs w:val="20"/>
                <w:lang w:eastAsia="de-DE"/>
              </w:rPr>
              <w:t xml:space="preserve">detailing the calculation </w:t>
            </w:r>
            <w:r w:rsidR="00111A18" w:rsidRPr="00EA201D">
              <w:rPr>
                <w:rFonts w:ascii="Times New Roman" w:hAnsi="Times New Roman"/>
                <w:szCs w:val="20"/>
                <w:lang w:eastAsia="de-DE"/>
              </w:rPr>
              <w:t>to its competent authority</w:t>
            </w:r>
            <w:r w:rsidR="00815BC5" w:rsidRPr="00EA201D">
              <w:rPr>
                <w:rFonts w:ascii="Times New Roman" w:hAnsi="Times New Roman"/>
                <w:szCs w:val="20"/>
                <w:lang w:eastAsia="de-DE"/>
              </w:rPr>
              <w:t>.</w:t>
            </w:r>
          </w:p>
        </w:tc>
      </w:tr>
      <w:tr w:rsidR="00352F94" w:rsidRPr="00371919" w14:paraId="045DDF0B" w14:textId="77777777" w:rsidTr="00371919">
        <w:tc>
          <w:tcPr>
            <w:tcW w:w="992" w:type="dxa"/>
            <w:tcBorders>
              <w:bottom w:val="single" w:sz="4" w:space="0" w:color="auto"/>
            </w:tcBorders>
            <w:shd w:val="clear" w:color="auto" w:fill="auto"/>
          </w:tcPr>
          <w:p w14:paraId="4F9BBFA3" w14:textId="77777777" w:rsidR="00352F94" w:rsidRPr="00371919" w:rsidDel="003B7034" w:rsidRDefault="00352F94" w:rsidP="00AF67FB">
            <w:pPr>
              <w:spacing w:before="0" w:after="0"/>
              <w:ind w:left="33"/>
              <w:rPr>
                <w:rStyle w:val="InstructionsTabelleText"/>
                <w:rFonts w:ascii="Times New Roman" w:hAnsi="Times New Roman"/>
              </w:rPr>
            </w:pPr>
            <w:r w:rsidRPr="00371919">
              <w:rPr>
                <w:rStyle w:val="InstructionsTabelleText"/>
                <w:rFonts w:ascii="Times New Roman" w:hAnsi="Times New Roman"/>
              </w:rPr>
              <w:t>250</w:t>
            </w:r>
          </w:p>
        </w:tc>
        <w:tc>
          <w:tcPr>
            <w:tcW w:w="1714" w:type="dxa"/>
            <w:tcBorders>
              <w:bottom w:val="single" w:sz="4" w:space="0" w:color="auto"/>
            </w:tcBorders>
            <w:shd w:val="clear" w:color="auto" w:fill="auto"/>
          </w:tcPr>
          <w:p w14:paraId="2513C0C2" w14:textId="77777777" w:rsidR="00352F94" w:rsidRPr="00371919" w:rsidRDefault="00352F94" w:rsidP="00E847ED">
            <w:pPr>
              <w:pStyle w:val="InstructionsText"/>
              <w:rPr>
                <w:rStyle w:val="InstructionsTabelleText"/>
                <w:rFonts w:ascii="Times New Roman" w:hAnsi="Times New Roman"/>
                <w:bCs w:val="0"/>
              </w:rPr>
            </w:pPr>
            <w:r w:rsidRPr="00371919">
              <w:rPr>
                <w:rStyle w:val="InstructionsTabelleText"/>
                <w:rFonts w:ascii="Times New Roman" w:hAnsi="Times New Roman"/>
                <w:bCs w:val="0"/>
              </w:rPr>
              <w:t>RWA-</w:t>
            </w:r>
          </w:p>
        </w:tc>
        <w:tc>
          <w:tcPr>
            <w:tcW w:w="1829" w:type="dxa"/>
            <w:tcBorders>
              <w:bottom w:val="single" w:sz="4" w:space="0" w:color="auto"/>
            </w:tcBorders>
            <w:shd w:val="clear" w:color="auto" w:fill="auto"/>
          </w:tcPr>
          <w:p w14:paraId="01D6A593" w14:textId="77777777" w:rsidR="00352F94" w:rsidRPr="00371919" w:rsidRDefault="00352F94" w:rsidP="00AF67FB">
            <w:pPr>
              <w:spacing w:before="0" w:after="0"/>
              <w:ind w:left="33"/>
              <w:rPr>
                <w:rFonts w:ascii="Times New Roman" w:hAnsi="Times New Roman"/>
                <w:szCs w:val="20"/>
                <w:lang w:eastAsia="de-DE"/>
              </w:rPr>
            </w:pPr>
          </w:p>
        </w:tc>
        <w:tc>
          <w:tcPr>
            <w:tcW w:w="9781" w:type="dxa"/>
            <w:tcBorders>
              <w:bottom w:val="single" w:sz="4" w:space="0" w:color="auto"/>
            </w:tcBorders>
            <w:shd w:val="clear" w:color="auto" w:fill="auto"/>
          </w:tcPr>
          <w:p w14:paraId="229ABCBD" w14:textId="52B754AD" w:rsidR="00352F94" w:rsidRPr="00371919" w:rsidRDefault="00352F94" w:rsidP="00704F89">
            <w:pPr>
              <w:spacing w:before="0" w:after="0"/>
              <w:ind w:left="33"/>
              <w:rPr>
                <w:rFonts w:ascii="Times New Roman" w:hAnsi="Times New Roman"/>
                <w:szCs w:val="20"/>
                <w:lang w:eastAsia="de-DE"/>
              </w:rPr>
            </w:pPr>
            <w:r w:rsidRPr="00371919">
              <w:rPr>
                <w:rFonts w:ascii="Times New Roman" w:hAnsi="Times New Roman"/>
                <w:szCs w:val="20"/>
                <w:lang w:eastAsia="de-DE"/>
              </w:rPr>
              <w:t>Institutions shall calculate and report RWA- for portfolios are defined in Annex I, template 103 with the following portfolio ID:</w:t>
            </w:r>
          </w:p>
          <w:p w14:paraId="25476B51" w14:textId="0D01796F"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CORP_ALL_0086_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3FECC5F0" w14:textId="08D76F3C"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SMEC_ALL_0106_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p>
          <w:p w14:paraId="32306ED9" w14:textId="7D21A285" w:rsidR="00371919"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MORT_ALL_0094_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11E9A745" w14:textId="52F67919"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SMOT_A</w:t>
            </w:r>
            <w:r>
              <w:rPr>
                <w:rFonts w:ascii="Times New Roman" w:hAnsi="Times New Roman"/>
                <w:szCs w:val="20"/>
                <w:lang w:eastAsia="de-DE"/>
              </w:rPr>
              <w:t>LL_0106_CT_****_**_Rx0_ALL</w:t>
            </w:r>
          </w:p>
          <w:p w14:paraId="4BC2C6B3" w14:textId="41E7504D"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RSMS_A</w:t>
            </w:r>
            <w:r>
              <w:rPr>
                <w:rFonts w:ascii="Times New Roman" w:hAnsi="Times New Roman"/>
                <w:szCs w:val="20"/>
                <w:lang w:eastAsia="de-DE"/>
              </w:rPr>
              <w:t>LL_0106_CT_****_**_Rx0_ALL</w:t>
            </w:r>
          </w:p>
          <w:p w14:paraId="65ABD8BD"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RETO_A</w:t>
            </w:r>
            <w:r>
              <w:rPr>
                <w:rFonts w:ascii="Times New Roman" w:hAnsi="Times New Roman"/>
                <w:szCs w:val="20"/>
                <w:lang w:eastAsia="de-DE"/>
              </w:rPr>
              <w:t>LL_0094_CT_****_**_Rx0_ALL</w:t>
            </w:r>
          </w:p>
          <w:p w14:paraId="07194C95" w14:textId="665BAA94" w:rsidR="00352F94"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RQRR_ALL_0094_CT_****_**_Rx0_ALL</w:t>
            </w:r>
          </w:p>
          <w:p w14:paraId="073F92A0" w14:textId="77777777" w:rsidR="00256D3B" w:rsidRPr="00371919" w:rsidRDefault="00256D3B" w:rsidP="00704F89">
            <w:pPr>
              <w:spacing w:before="0" w:after="0"/>
              <w:ind w:left="33"/>
              <w:rPr>
                <w:rFonts w:ascii="Times New Roman" w:hAnsi="Times New Roman"/>
                <w:szCs w:val="20"/>
                <w:lang w:eastAsia="de-DE"/>
              </w:rPr>
            </w:pPr>
          </w:p>
          <w:p w14:paraId="709BAA1F" w14:textId="1EA26F1E"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RWA- </w:t>
            </w:r>
            <w:r w:rsidR="00BB7F97" w:rsidRPr="00371919">
              <w:rPr>
                <w:rFonts w:ascii="Times New Roman" w:hAnsi="Times New Roman"/>
                <w:szCs w:val="20"/>
                <w:lang w:val="en-US" w:eastAsia="de-DE"/>
              </w:rPr>
              <w:t>shall be</w:t>
            </w:r>
            <w:r w:rsidRPr="00371919">
              <w:rPr>
                <w:rFonts w:ascii="Times New Roman" w:hAnsi="Times New Roman"/>
                <w:szCs w:val="20"/>
                <w:lang w:val="en-US" w:eastAsia="de-DE"/>
              </w:rPr>
              <w:t xml:space="preserve"> the hypothetical risk-weighted exposure amount, after applying the SME supporting factor, </w:t>
            </w:r>
            <w:proofErr w:type="gramStart"/>
            <w:r w:rsidR="007C5F44">
              <w:rPr>
                <w:rFonts w:ascii="Times New Roman" w:hAnsi="Times New Roman"/>
                <w:szCs w:val="20"/>
                <w:lang w:val="en-US" w:eastAsia="de-DE"/>
              </w:rPr>
              <w:t xml:space="preserve">which </w:t>
            </w:r>
            <w:r w:rsidRPr="00371919">
              <w:rPr>
                <w:rFonts w:ascii="Times New Roman" w:hAnsi="Times New Roman"/>
                <w:szCs w:val="20"/>
                <w:lang w:val="en-US" w:eastAsia="de-DE"/>
              </w:rPr>
              <w:t xml:space="preserve"> results</w:t>
            </w:r>
            <w:proofErr w:type="gramEnd"/>
            <w:r w:rsidRPr="00371919">
              <w:rPr>
                <w:rFonts w:ascii="Times New Roman" w:hAnsi="Times New Roman"/>
                <w:szCs w:val="20"/>
                <w:lang w:val="en-US" w:eastAsia="de-DE"/>
              </w:rPr>
              <w:t xml:space="preserve"> from the application of the PD- values instead of the institution’s PD values, for each exposure. The remaining parameters needed in the computation shall not be subject to changes.</w:t>
            </w:r>
          </w:p>
          <w:p w14:paraId="1EDA57BB" w14:textId="77777777" w:rsidR="00352F94" w:rsidRPr="00371919" w:rsidRDefault="00352F94" w:rsidP="00704F89">
            <w:pPr>
              <w:spacing w:before="0" w:after="0"/>
              <w:ind w:left="33"/>
              <w:rPr>
                <w:rFonts w:ascii="Times New Roman" w:hAnsi="Times New Roman"/>
                <w:szCs w:val="20"/>
                <w:lang w:val="en-US" w:eastAsia="de-DE"/>
              </w:rPr>
            </w:pPr>
          </w:p>
          <w:p w14:paraId="39646D23"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PD- </w:t>
            </w:r>
            <w:r w:rsidR="00BB7F97"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based on a calculation performed separately for each obligor grade</w:t>
            </w:r>
            <w:r w:rsidR="00BB7F97" w:rsidRPr="00371919">
              <w:rPr>
                <w:rFonts w:ascii="Times New Roman" w:hAnsi="Times New Roman"/>
                <w:szCs w:val="20"/>
                <w:lang w:val="en-US" w:eastAsia="de-DE"/>
              </w:rPr>
              <w:t>.</w:t>
            </w:r>
            <w:r w:rsidRPr="00371919">
              <w:rPr>
                <w:rFonts w:ascii="Times New Roman" w:hAnsi="Times New Roman"/>
                <w:szCs w:val="20"/>
                <w:lang w:val="en-US" w:eastAsia="de-DE"/>
              </w:rPr>
              <w:t xml:space="preserve"> </w:t>
            </w:r>
            <w:r w:rsidR="00BB7F97" w:rsidRPr="00371919">
              <w:rPr>
                <w:rFonts w:ascii="Times New Roman" w:hAnsi="Times New Roman"/>
                <w:szCs w:val="20"/>
                <w:lang w:val="en-US" w:eastAsia="de-DE"/>
              </w:rPr>
              <w:t>T</w:t>
            </w:r>
            <w:r w:rsidRPr="00371919">
              <w:rPr>
                <w:rFonts w:ascii="Times New Roman" w:hAnsi="Times New Roman"/>
                <w:szCs w:val="20"/>
                <w:lang w:val="en-US" w:eastAsia="de-DE"/>
              </w:rPr>
              <w:t xml:space="preserve">he obligor grades as reported in column 005 of Template C 08.02 of Annex I of Regulation (EU) No 680/2014 (cf. Q&amp;A 2016_2782) </w:t>
            </w:r>
            <w:r w:rsidR="00BB7F97" w:rsidRPr="00371919">
              <w:rPr>
                <w:rFonts w:ascii="Times New Roman" w:hAnsi="Times New Roman"/>
                <w:szCs w:val="20"/>
                <w:lang w:val="en-US" w:eastAsia="de-DE"/>
              </w:rPr>
              <w:t>shall</w:t>
            </w:r>
            <w:r w:rsidRPr="00371919">
              <w:rPr>
                <w:rFonts w:ascii="Times New Roman" w:hAnsi="Times New Roman"/>
                <w:szCs w:val="20"/>
                <w:lang w:val="en-US" w:eastAsia="de-DE"/>
              </w:rPr>
              <w:t xml:space="preserve"> be used (see Annex II of Regulation (EU) No 680/2014, C 08.01 column 010 and C 08.02 for instructions). </w:t>
            </w:r>
          </w:p>
          <w:p w14:paraId="5CBBA723" w14:textId="77777777" w:rsidR="00352F94" w:rsidRPr="00371919" w:rsidRDefault="00352F94" w:rsidP="00704F89">
            <w:pPr>
              <w:spacing w:before="0" w:after="0"/>
              <w:ind w:left="33"/>
              <w:rPr>
                <w:rFonts w:ascii="Times New Roman" w:hAnsi="Times New Roman"/>
                <w:szCs w:val="20"/>
                <w:lang w:val="en-US" w:eastAsia="de-DE"/>
              </w:rPr>
            </w:pPr>
          </w:p>
          <w:p w14:paraId="2607D83C"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grade,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BB7F97"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the smallest positive value satisfying the equation</w:t>
            </w:r>
            <w:r w:rsidRPr="00371919">
              <w:rPr>
                <w:rFonts w:ascii="Times New Roman" w:hAnsi="Times New Roman"/>
                <w:szCs w:val="20"/>
                <w:lang w:val="en-US" w:eastAsia="de-DE"/>
              </w:rPr>
              <w:tab/>
            </w:r>
          </w:p>
          <w:p w14:paraId="15FF4C91" w14:textId="77777777" w:rsidR="00352F94" w:rsidRPr="00371919" w:rsidRDefault="00352F94" w:rsidP="00704F89">
            <w:pPr>
              <w:spacing w:before="0" w:after="0"/>
              <w:ind w:left="33"/>
              <w:rPr>
                <w:rFonts w:ascii="Times New Roman" w:hAnsi="Times New Roman"/>
                <w:szCs w:val="20"/>
                <w:lang w:val="en-US" w:eastAsia="de-DE"/>
              </w:rPr>
            </w:pPr>
          </w:p>
          <w:p w14:paraId="7E291730" w14:textId="4907A0DE" w:rsidR="00352F94" w:rsidRPr="00371919" w:rsidRDefault="008979F8" w:rsidP="00704F89">
            <w:pPr>
              <w:spacing w:before="0" w:after="0"/>
              <w:ind w:left="33"/>
              <w:rPr>
                <w:rFonts w:ascii="Times New Roman" w:hAnsi="Times New Roman"/>
                <w:szCs w:val="20"/>
                <w:lang w:val="de-DE" w:eastAsia="de-DE"/>
              </w:rPr>
            </w:pPr>
            <m:oMathPara>
              <m:oMath>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sSup>
                  <m:sSupPr>
                    <m:ctrlPr>
                      <w:rPr>
                        <w:rFonts w:ascii="Cambria Math" w:hAnsi="Cambria Math"/>
                        <w:szCs w:val="20"/>
                        <w:lang w:val="de-DE" w:eastAsia="de-DE"/>
                      </w:rPr>
                    </m:ctrlPr>
                  </m:sSupPr>
                  <m:e>
                    <m:r>
                      <m:rPr>
                        <m:sty m:val="p"/>
                      </m:rPr>
                      <w:rPr>
                        <w:rFonts w:ascii="Cambria Math" w:hAnsi="Cambria Math"/>
                        <w:szCs w:val="20"/>
                        <w:lang w:val="de-DE" w:eastAsia="de-DE"/>
                      </w:rPr>
                      <m:t xml:space="preserve"> Φ</m:t>
                    </m:r>
                  </m:e>
                  <m:sup>
                    <m:r>
                      <m:rPr>
                        <m:sty m:val="p"/>
                      </m:rPr>
                      <w:rPr>
                        <w:rFonts w:ascii="Cambria Math" w:hAnsi="Cambria Math"/>
                        <w:szCs w:val="20"/>
                        <w:lang w:val="de-DE" w:eastAsia="de-DE"/>
                      </w:rPr>
                      <m:t>-1</m:t>
                    </m:r>
                  </m:sup>
                </m:sSup>
                <m:r>
                  <m:rPr>
                    <m:sty m:val="p"/>
                  </m:rPr>
                  <w:rPr>
                    <w:rFonts w:ascii="Cambria Math" w:hAnsi="Cambria Math"/>
                    <w:szCs w:val="20"/>
                    <w:lang w:val="de-DE" w:eastAsia="de-DE"/>
                  </w:rPr>
                  <m:t>(q)∙</m:t>
                </m:r>
                <m:rad>
                  <m:radPr>
                    <m:degHide m:val="1"/>
                    <m:ctrlPr>
                      <w:rPr>
                        <w:rFonts w:ascii="Cambria Math" w:hAnsi="Cambria Math"/>
                        <w:iCs/>
                        <w:szCs w:val="20"/>
                        <w:lang w:val="de-DE" w:eastAsia="de-DE"/>
                      </w:rPr>
                    </m:ctrlPr>
                  </m:radPr>
                  <m:deg/>
                  <m:e>
                    <m:f>
                      <m:fPr>
                        <m:ctrlPr>
                          <w:rPr>
                            <w:rFonts w:ascii="Cambria Math" w:hAnsi="Cambria Math"/>
                            <w:iCs/>
                            <w:szCs w:val="20"/>
                            <w:lang w:val="de-DE" w:eastAsia="de-DE"/>
                          </w:rPr>
                        </m:ctrlPr>
                      </m:fPr>
                      <m:num>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d>
                          <m:dPr>
                            <m:ctrlPr>
                              <w:rPr>
                                <w:rFonts w:ascii="Cambria Math" w:hAnsi="Cambria Math"/>
                                <w:szCs w:val="20"/>
                                <w:lang w:val="de-DE" w:eastAsia="de-DE"/>
                              </w:rPr>
                            </m:ctrlPr>
                          </m:dPr>
                          <m:e>
                            <m:r>
                              <m:rPr>
                                <m:sty m:val="p"/>
                              </m:rPr>
                              <w:rPr>
                                <w:rFonts w:ascii="Cambria Math" w:hAnsi="Cambria Math"/>
                                <w:szCs w:val="20"/>
                                <w:lang w:val="de-DE" w:eastAsia="de-DE"/>
                              </w:rPr>
                              <m:t>1-</m:t>
                            </m:r>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e>
                        </m:d>
                      </m:num>
                      <m:den>
                        <m:r>
                          <m:rPr>
                            <m:sty m:val="p"/>
                          </m:rPr>
                          <w:rPr>
                            <w:rFonts w:ascii="Cambria Math" w:hAnsi="Cambria Math"/>
                            <w:szCs w:val="20"/>
                            <w:lang w:val="de-DE" w:eastAsia="de-DE"/>
                          </w:rPr>
                          <m:t>n</m:t>
                        </m:r>
                      </m:den>
                    </m:f>
                  </m:e>
                </m:rad>
                <m:r>
                  <m:rPr>
                    <m:sty m:val="p"/>
                  </m:rPr>
                  <w:rPr>
                    <w:rFonts w:ascii="Cambria Math" w:hAnsi="Cambria Math"/>
                    <w:color w:val="1F497D"/>
                    <w:lang w:val="en-US"/>
                  </w:rPr>
                  <m:t>≥</m:t>
                </m:r>
                <m:sSub>
                  <m:sSubPr>
                    <m:ctrlPr>
                      <w:rPr>
                        <w:rFonts w:ascii="Cambria Math" w:hAnsi="Cambria Math"/>
                        <w:szCs w:val="20"/>
                        <w:lang w:val="de-DE" w:eastAsia="de-DE"/>
                      </w:rPr>
                    </m:ctrlPr>
                  </m:sSubPr>
                  <m:e>
                    <m:r>
                      <m:rPr>
                        <m:sty m:val="p"/>
                      </m:rPr>
                      <w:rPr>
                        <w:rFonts w:ascii="Cambria Math" w:hAnsi="Cambria Math"/>
                        <w:szCs w:val="20"/>
                        <w:lang w:val="de-DE" w:eastAsia="de-DE"/>
                      </w:rPr>
                      <m:t>DR</m:t>
                    </m:r>
                  </m:e>
                  <m:sub>
                    <m:r>
                      <m:rPr>
                        <m:sty m:val="p"/>
                      </m:rPr>
                      <w:rPr>
                        <w:rFonts w:ascii="Cambria Math" w:hAnsi="Cambria Math"/>
                        <w:szCs w:val="20"/>
                        <w:lang w:val="de-DE" w:eastAsia="de-DE"/>
                      </w:rPr>
                      <m:t>1y</m:t>
                    </m:r>
                  </m:sub>
                </m:sSub>
                <m:r>
                  <m:rPr>
                    <m:sty m:val="p"/>
                  </m:rPr>
                  <w:rPr>
                    <w:rFonts w:ascii="Cambria Math" w:hAnsi="Cambria Math"/>
                    <w:szCs w:val="20"/>
                    <w:lang w:eastAsia="de-DE"/>
                  </w:rPr>
                  <m:t xml:space="preserve"> where </m:t>
                </m:r>
                <m:sSub>
                  <m:sSubPr>
                    <m:ctrlPr>
                      <w:rPr>
                        <w:rFonts w:ascii="Cambria Math" w:hAnsi="Cambria Math"/>
                        <w:szCs w:val="20"/>
                        <w:lang w:val="de-DE" w:eastAsia="de-DE"/>
                      </w:rPr>
                    </m:ctrlPr>
                  </m:sSubPr>
                  <m:e>
                    <m:r>
                      <m:rPr>
                        <m:sty m:val="p"/>
                      </m:rPr>
                      <w:rPr>
                        <w:rFonts w:ascii="Cambria Math" w:hAnsi="Cambria Math"/>
                        <w:szCs w:val="20"/>
                        <w:lang w:eastAsia="de-DE"/>
                      </w:rPr>
                      <m:t>DR</m:t>
                    </m:r>
                  </m:e>
                  <m:sub>
                    <m:r>
                      <m:rPr>
                        <m:sty m:val="p"/>
                      </m:rPr>
                      <w:rPr>
                        <w:rFonts w:ascii="Cambria Math" w:hAnsi="Cambria Math"/>
                        <w:szCs w:val="20"/>
                        <w:lang w:eastAsia="de-DE"/>
                      </w:rPr>
                      <m:t>1y</m:t>
                    </m:r>
                  </m:sub>
                </m:sSub>
                <m:r>
                  <w:rPr>
                    <w:rFonts w:ascii="Cambria Math" w:hAnsi="Cambria Math"/>
                    <w:szCs w:val="20"/>
                    <w:lang w:eastAsia="de-DE"/>
                  </w:rPr>
                  <m:t>&gt;0</m:t>
                </m:r>
              </m:oMath>
            </m:oMathPara>
          </w:p>
          <w:p w14:paraId="096B7557" w14:textId="067B9585" w:rsidR="00352F94" w:rsidRPr="00371919" w:rsidRDefault="000E4476" w:rsidP="00704F89">
            <w:pPr>
              <w:spacing w:before="0" w:after="0"/>
              <w:ind w:left="33"/>
              <w:rPr>
                <w:rFonts w:ascii="Times New Roman" w:hAnsi="Times New Roman"/>
                <w:szCs w:val="20"/>
                <w:lang w:val="en-US" w:eastAsia="de-DE"/>
              </w:rPr>
            </w:pPr>
            <w:r>
              <w:rPr>
                <w:rFonts w:ascii="Times New Roman" w:hAnsi="Times New Roman"/>
                <w:szCs w:val="20"/>
                <w:lang w:eastAsia="de-DE"/>
              </w:rPr>
              <w:t xml:space="preserve">and </w:t>
            </w:r>
            <m:oMath>
              <m:sSup>
                <m:sSupPr>
                  <m:ctrlPr>
                    <w:rPr>
                      <w:rFonts w:ascii="Cambria Math" w:hAnsi="Cambria Math"/>
                      <w:iCs/>
                      <w:szCs w:val="20"/>
                      <w:lang w:val="de-DE" w:eastAsia="de-DE"/>
                    </w:rPr>
                  </m:ctrlPr>
                </m:sSupPr>
                <m:e>
                  <m:r>
                    <m:rPr>
                      <m:sty m:val="p"/>
                    </m:rPr>
                    <w:rPr>
                      <w:rFonts w:ascii="Cambria Math" w:hAnsi="Cambria Math"/>
                      <w:szCs w:val="20"/>
                      <w:lang w:eastAsia="de-DE"/>
                    </w:rPr>
                    <m:t>p</m:t>
                  </m:r>
                </m:e>
                <m:sup>
                  <m:r>
                    <m:rPr>
                      <m:sty m:val="p"/>
                    </m:rPr>
                    <w:rPr>
                      <w:rFonts w:ascii="Cambria Math" w:hAnsi="Cambria Math"/>
                      <w:szCs w:val="20"/>
                      <w:lang w:eastAsia="de-DE"/>
                    </w:rPr>
                    <m:t>-</m:t>
                  </m:r>
                </m:sup>
              </m:sSup>
              <m:box>
                <m:boxPr>
                  <m:opEmu m:val="1"/>
                  <m:ctrlPr>
                    <w:rPr>
                      <w:rFonts w:ascii="Cambria Math" w:hAnsi="Cambria Math"/>
                      <w:i/>
                      <w:iCs/>
                      <w:szCs w:val="20"/>
                      <w:lang w:val="de-DE" w:eastAsia="de-DE"/>
                    </w:rPr>
                  </m:ctrlPr>
                </m:boxPr>
                <m:e>
                  <m:r>
                    <w:rPr>
                      <w:rFonts w:ascii="Cambria Math" w:hAnsi="Cambria Math"/>
                      <w:szCs w:val="20"/>
                      <w:lang w:eastAsia="de-DE"/>
                    </w:rPr>
                    <m:t>=</m:t>
                  </m:r>
                </m:e>
              </m:box>
              <m:r>
                <w:rPr>
                  <w:rFonts w:ascii="Cambria Math" w:hAnsi="Cambria Math"/>
                  <w:szCs w:val="20"/>
                  <w:lang w:eastAsia="de-DE"/>
                </w:rPr>
                <m:t>0</m:t>
              </m:r>
            </m:oMath>
            <w:r>
              <w:rPr>
                <w:rFonts w:ascii="Times New Roman" w:hAnsi="Times New Roman"/>
                <w:iCs/>
                <w:szCs w:val="20"/>
                <w:lang w:eastAsia="de-DE"/>
              </w:rPr>
              <w:t xml:space="preserve"> where </w:t>
            </w:r>
            <m:oMath>
              <m:sSub>
                <m:sSubPr>
                  <m:ctrlPr>
                    <w:rPr>
                      <w:rFonts w:ascii="Cambria Math" w:hAnsi="Cambria Math"/>
                      <w:szCs w:val="20"/>
                      <w:lang w:val="de-DE" w:eastAsia="de-DE"/>
                    </w:rPr>
                  </m:ctrlPr>
                </m:sSubPr>
                <m:e>
                  <m:r>
                    <m:rPr>
                      <m:sty m:val="p"/>
                    </m:rPr>
                    <w:rPr>
                      <w:rFonts w:ascii="Cambria Math" w:hAnsi="Cambria Math"/>
                      <w:szCs w:val="20"/>
                      <w:lang w:eastAsia="de-DE"/>
                    </w:rPr>
                    <m:t>DR</m:t>
                  </m:r>
                </m:e>
                <m:sub>
                  <m:r>
                    <m:rPr>
                      <m:sty m:val="p"/>
                    </m:rPr>
                    <w:rPr>
                      <w:rFonts w:ascii="Cambria Math" w:hAnsi="Cambria Math"/>
                      <w:szCs w:val="20"/>
                      <w:lang w:eastAsia="de-DE"/>
                    </w:rPr>
                    <m:t>1y</m:t>
                  </m:r>
                </m:sub>
              </m:sSub>
              <m:r>
                <w:rPr>
                  <w:rFonts w:ascii="Cambria Math" w:hAnsi="Cambria Math"/>
                  <w:szCs w:val="20"/>
                  <w:lang w:eastAsia="de-DE"/>
                </w:rPr>
                <m:t>= 0</m:t>
              </m:r>
            </m:oMath>
          </w:p>
          <w:p w14:paraId="7A814978" w14:textId="77777777" w:rsidR="00352F94" w:rsidRPr="00371919" w:rsidRDefault="00BB7F97"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lastRenderedPageBreak/>
              <w:t>where</w:t>
            </w:r>
            <w:r w:rsidR="00352F94" w:rsidRPr="00371919">
              <w:rPr>
                <w:rFonts w:ascii="Times New Roman" w:hAnsi="Times New Roman"/>
                <w:szCs w:val="20"/>
                <w:lang w:val="en-US" w:eastAsia="de-DE"/>
              </w:rPr>
              <w:t xml:space="preserve">, </w:t>
            </w:r>
          </w:p>
          <w:p w14:paraId="4CEC69A5" w14:textId="77777777" w:rsidR="00352F94" w:rsidRPr="00371919" w:rsidRDefault="008979F8" w:rsidP="00704F89">
            <w:pPr>
              <w:spacing w:before="0" w:after="0"/>
              <w:ind w:left="601" w:hanging="581"/>
              <w:rPr>
                <w:rFonts w:ascii="Times New Roman" w:hAnsi="Times New Roman"/>
                <w:szCs w:val="20"/>
                <w:lang w:eastAsia="de-DE"/>
              </w:rPr>
            </w:pPr>
            <m:oMath>
              <m:sSup>
                <m:sSupPr>
                  <m:ctrlPr>
                    <w:rPr>
                      <w:rFonts w:ascii="Cambria Math" w:hAnsi="Cambria Math"/>
                      <w:szCs w:val="20"/>
                      <w:lang w:eastAsia="de-DE"/>
                    </w:rPr>
                  </m:ctrlPr>
                </m:sSupPr>
                <m:e>
                  <m:r>
                    <m:rPr>
                      <m:sty m:val="p"/>
                    </m:rPr>
                    <w:rPr>
                      <w:rFonts w:ascii="Cambria Math" w:hAnsi="Cambria Math"/>
                      <w:szCs w:val="20"/>
                      <w:lang w:eastAsia="de-DE"/>
                    </w:rPr>
                    <m:t>Φ</m:t>
                  </m:r>
                </m:e>
                <m:sup>
                  <m:r>
                    <m:rPr>
                      <m:sty m:val="p"/>
                    </m:rPr>
                    <w:rPr>
                      <w:rFonts w:ascii="Cambria Math" w:hAnsi="Cambria Math"/>
                      <w:szCs w:val="20"/>
                      <w:lang w:eastAsia="de-DE"/>
                    </w:rPr>
                    <m:t>-1</m:t>
                  </m:r>
                </m:sup>
              </m:sSup>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inverse function of the standard normal (cumulative) distribution;</w:t>
            </w:r>
          </w:p>
          <w:p w14:paraId="249DABE5"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q </w:t>
            </w:r>
            <w:r w:rsidRPr="00371919">
              <w:rPr>
                <w:rStyle w:val="InstructionsTabelleText"/>
                <w:rFonts w:ascii="Times New Roman" w:hAnsi="Times New Roman"/>
              </w:rPr>
              <w:tab/>
            </w:r>
            <w:r w:rsidRPr="00371919">
              <w:rPr>
                <w:rFonts w:ascii="Times New Roman" w:hAnsi="Times New Roman"/>
                <w:szCs w:val="20"/>
                <w:lang w:eastAsia="de-DE"/>
              </w:rPr>
              <w:t>= the confidence level set at 90%;</w:t>
            </w:r>
          </w:p>
          <w:p w14:paraId="4FD83892" w14:textId="77777777" w:rsidR="00352F94" w:rsidRPr="00371919" w:rsidRDefault="008979F8" w:rsidP="00704F89">
            <w:pPr>
              <w:spacing w:before="0" w:after="0"/>
              <w:ind w:left="601" w:hanging="581"/>
              <w:rPr>
                <w:rFonts w:ascii="Times New Roman" w:hAnsi="Times New Roman"/>
                <w:szCs w:val="20"/>
                <w:lang w:eastAsia="de-DE"/>
              </w:rPr>
            </w:pPr>
            <m:oMath>
              <m:sSub>
                <m:sSubPr>
                  <m:ctrlPr>
                    <w:rPr>
                      <w:rFonts w:ascii="Cambria Math" w:hAnsi="Cambria Math"/>
                      <w:szCs w:val="20"/>
                      <w:lang w:eastAsia="de-DE"/>
                    </w:rPr>
                  </m:ctrlPr>
                </m:sSubPr>
                <m:e>
                  <m:r>
                    <m:rPr>
                      <m:sty m:val="p"/>
                    </m:rPr>
                    <w:rPr>
                      <w:rFonts w:ascii="Cambria Math" w:hAnsi="Cambria Math"/>
                      <w:szCs w:val="20"/>
                      <w:lang w:eastAsia="de-DE"/>
                    </w:rPr>
                    <m:t>DR</m:t>
                  </m:r>
                </m:e>
                <m:sub>
                  <m:r>
                    <w:rPr>
                      <w:rFonts w:ascii="Cambria Math" w:hAnsi="Cambria Math"/>
                      <w:szCs w:val="20"/>
                      <w:lang w:eastAsia="de-DE"/>
                    </w:rPr>
                    <m:t>1y</m:t>
                  </m:r>
                </m:sub>
              </m:sSub>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xml:space="preserve">= </w:t>
            </w:r>
            <w:r w:rsidR="00352F94" w:rsidRPr="00371919">
              <w:rPr>
                <w:rFonts w:ascii="Times New Roman" w:hAnsi="Times New Roman"/>
                <w:szCs w:val="20"/>
                <w:lang w:val="en-US" w:eastAsia="de-DE"/>
              </w:rPr>
              <w:t xml:space="preserve">the case weighted default rate of the year preceding the reference date, i.e., the number of obligors that were not in default and assigned the obligor grade under consideration exactly one year before the reference date and </w:t>
            </w:r>
            <w:r w:rsidR="00BB7F97" w:rsidRPr="00371919">
              <w:rPr>
                <w:rFonts w:ascii="Times New Roman" w:hAnsi="Times New Roman"/>
                <w:szCs w:val="20"/>
                <w:lang w:val="en-US" w:eastAsia="de-DE"/>
              </w:rPr>
              <w:t xml:space="preserve">which </w:t>
            </w:r>
            <w:r w:rsidR="00352F94" w:rsidRPr="00371919">
              <w:rPr>
                <w:rFonts w:ascii="Times New Roman" w:hAnsi="Times New Roman"/>
                <w:szCs w:val="20"/>
                <w:lang w:val="en-US" w:eastAsia="de-DE"/>
              </w:rPr>
              <w:t>defaulted during the latest year, divided by the number of obligors that were not in default and assigned the obligor grade under consideration exactly one year before the reference date</w:t>
            </w:r>
            <w:r w:rsidR="00352F94" w:rsidRPr="00371919">
              <w:rPr>
                <w:rFonts w:ascii="Times New Roman" w:hAnsi="Times New Roman"/>
                <w:szCs w:val="20"/>
                <w:lang w:eastAsia="de-DE"/>
              </w:rPr>
              <w:t>;</w:t>
            </w:r>
          </w:p>
          <w:p w14:paraId="34FF24B6"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n </w:t>
            </w:r>
            <w:r w:rsidRPr="00371919">
              <w:rPr>
                <w:rStyle w:val="InstructionsTabelleText"/>
                <w:rFonts w:ascii="Times New Roman" w:hAnsi="Times New Roman"/>
              </w:rPr>
              <w:tab/>
            </w:r>
            <w:r w:rsidRPr="00371919">
              <w:rPr>
                <w:rFonts w:ascii="Times New Roman" w:hAnsi="Times New Roman"/>
                <w:szCs w:val="20"/>
                <w:lang w:eastAsia="de-DE"/>
              </w:rPr>
              <w:t>= t</w:t>
            </w:r>
            <w:r w:rsidRPr="00371919">
              <w:rPr>
                <w:rFonts w:ascii="Times New Roman" w:hAnsi="Times New Roman"/>
                <w:szCs w:val="20"/>
                <w:lang w:val="en-US" w:eastAsia="de-DE"/>
              </w:rPr>
              <w:t>he number of obligors that were not in default and assigned the obligor grade under consideration exactly one year before the references date</w:t>
            </w:r>
            <w:r w:rsidRPr="00371919">
              <w:rPr>
                <w:rFonts w:ascii="Times New Roman" w:hAnsi="Times New Roman"/>
                <w:szCs w:val="20"/>
                <w:lang w:eastAsia="de-DE"/>
              </w:rPr>
              <w:t>.</w:t>
            </w:r>
          </w:p>
          <w:p w14:paraId="3B3034A2" w14:textId="77777777" w:rsidR="00352F94" w:rsidRPr="00371919" w:rsidRDefault="00352F94" w:rsidP="00704F89">
            <w:pPr>
              <w:spacing w:before="0" w:after="0"/>
              <w:ind w:left="33"/>
              <w:rPr>
                <w:rFonts w:ascii="Times New Roman" w:hAnsi="Times New Roman"/>
                <w:szCs w:val="20"/>
                <w:lang w:val="en-US" w:eastAsia="de-DE"/>
              </w:rPr>
            </w:pPr>
          </w:p>
          <w:p w14:paraId="435FEE83"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PD- </w:t>
            </w:r>
            <w:r w:rsidR="00F74B0F" w:rsidRPr="00371919">
              <w:rPr>
                <w:rFonts w:ascii="Times New Roman" w:hAnsi="Times New Roman"/>
                <w:szCs w:val="20"/>
                <w:lang w:val="en-US" w:eastAsia="de-DE"/>
              </w:rPr>
              <w:t xml:space="preserve">shall be equal </w:t>
            </w:r>
            <w:proofErr w:type="gramStart"/>
            <w:r w:rsidR="00F74B0F" w:rsidRPr="00371919">
              <w:rPr>
                <w:rFonts w:ascii="Times New Roman" w:hAnsi="Times New Roman"/>
                <w:szCs w:val="20"/>
                <w:lang w:val="en-US" w:eastAsia="de-DE"/>
              </w:rPr>
              <w:t>to</w:t>
            </w:r>
            <w:r w:rsidRPr="00371919">
              <w:rPr>
                <w:rFonts w:ascii="Times New Roman" w:hAnsi="Times New Roman"/>
                <w:szCs w:val="20"/>
                <w:lang w:val="en-US" w:eastAsia="de-DE"/>
              </w:rPr>
              <w:t xml:space="preserve"> </w:t>
            </w:r>
            <w:proofErr w:type="gramEnd"/>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where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F74B0F" w:rsidRPr="00371919">
              <w:rPr>
                <w:rFonts w:ascii="Times New Roman" w:hAnsi="Times New Roman"/>
                <w:szCs w:val="20"/>
                <w:lang w:val="en-US" w:eastAsia="de-DE"/>
              </w:rPr>
              <w:t xml:space="preserve">shall be calculated in accordance with the </w:t>
            </w:r>
            <w:r w:rsidRPr="00371919">
              <w:rPr>
                <w:rFonts w:ascii="Times New Roman" w:hAnsi="Times New Roman"/>
                <w:szCs w:val="20"/>
                <w:lang w:val="en-US" w:eastAsia="de-DE"/>
              </w:rPr>
              <w:t>above</w:t>
            </w:r>
            <w:r w:rsidR="00F74B0F" w:rsidRPr="00371919">
              <w:rPr>
                <w:rFonts w:ascii="Times New Roman" w:hAnsi="Times New Roman"/>
                <w:szCs w:val="20"/>
                <w:lang w:val="en-US" w:eastAsia="de-DE"/>
              </w:rPr>
              <w:t xml:space="preserve"> formula</w:t>
            </w:r>
            <w:r w:rsidRPr="00371919">
              <w:rPr>
                <w:rFonts w:ascii="Times New Roman" w:hAnsi="Times New Roman"/>
                <w:szCs w:val="20"/>
                <w:lang w:val="en-US" w:eastAsia="de-DE"/>
              </w:rPr>
              <w:t xml:space="preserve"> for the obligor grade assigned to the obligor. </w:t>
            </w:r>
          </w:p>
          <w:p w14:paraId="13537937" w14:textId="77777777" w:rsidR="00352F94" w:rsidRPr="00371919" w:rsidRDefault="00352F94" w:rsidP="002D7EDD">
            <w:pPr>
              <w:spacing w:before="0" w:after="0"/>
              <w:ind w:left="33"/>
              <w:rPr>
                <w:rFonts w:ascii="Times New Roman" w:hAnsi="Times New Roman"/>
                <w:szCs w:val="20"/>
                <w:lang w:eastAsia="de-DE"/>
              </w:rPr>
            </w:pPr>
          </w:p>
        </w:tc>
      </w:tr>
      <w:tr w:rsidR="00352F94" w:rsidRPr="00371919" w14:paraId="6A9CED94" w14:textId="77777777" w:rsidTr="00371919">
        <w:tc>
          <w:tcPr>
            <w:tcW w:w="992" w:type="dxa"/>
            <w:shd w:val="clear" w:color="auto" w:fill="auto"/>
          </w:tcPr>
          <w:p w14:paraId="204254FB" w14:textId="77777777" w:rsidR="00352F94" w:rsidRPr="00371919" w:rsidDel="003B7034" w:rsidRDefault="00352F94" w:rsidP="00AF67FB">
            <w:pPr>
              <w:spacing w:before="0" w:after="0"/>
              <w:ind w:left="33"/>
              <w:rPr>
                <w:rStyle w:val="InstructionsTabelleText"/>
                <w:rFonts w:ascii="Times New Roman" w:hAnsi="Times New Roman"/>
              </w:rPr>
            </w:pPr>
            <w:r w:rsidRPr="00371919">
              <w:rPr>
                <w:rStyle w:val="InstructionsTabelleText"/>
                <w:rFonts w:ascii="Times New Roman" w:hAnsi="Times New Roman"/>
              </w:rPr>
              <w:lastRenderedPageBreak/>
              <w:t>260</w:t>
            </w:r>
          </w:p>
        </w:tc>
        <w:tc>
          <w:tcPr>
            <w:tcW w:w="1714" w:type="dxa"/>
            <w:shd w:val="clear" w:color="auto" w:fill="auto"/>
          </w:tcPr>
          <w:p w14:paraId="2BC2EC90" w14:textId="77777777" w:rsidR="00352F94" w:rsidRPr="00371919" w:rsidRDefault="00352F94" w:rsidP="00E847ED">
            <w:pPr>
              <w:pStyle w:val="InstructionsText"/>
              <w:rPr>
                <w:rStyle w:val="InstructionsTabelleText"/>
                <w:rFonts w:ascii="Times New Roman" w:hAnsi="Times New Roman"/>
                <w:bCs w:val="0"/>
              </w:rPr>
            </w:pPr>
            <w:r w:rsidRPr="00371919">
              <w:rPr>
                <w:rStyle w:val="InstructionsTabelleText"/>
                <w:rFonts w:ascii="Times New Roman" w:hAnsi="Times New Roman"/>
                <w:bCs w:val="0"/>
              </w:rPr>
              <w:t>RWA+</w:t>
            </w:r>
          </w:p>
        </w:tc>
        <w:tc>
          <w:tcPr>
            <w:tcW w:w="1829" w:type="dxa"/>
            <w:shd w:val="clear" w:color="auto" w:fill="auto"/>
          </w:tcPr>
          <w:p w14:paraId="6FFA1FCF" w14:textId="77777777" w:rsidR="00352F94" w:rsidRPr="00371919" w:rsidRDefault="00352F94" w:rsidP="00AF67FB">
            <w:pPr>
              <w:spacing w:before="0" w:after="0"/>
              <w:ind w:left="33"/>
              <w:rPr>
                <w:rFonts w:ascii="Times New Roman" w:hAnsi="Times New Roman"/>
                <w:szCs w:val="20"/>
                <w:lang w:eastAsia="de-DE"/>
              </w:rPr>
            </w:pPr>
          </w:p>
        </w:tc>
        <w:tc>
          <w:tcPr>
            <w:tcW w:w="9781" w:type="dxa"/>
            <w:shd w:val="clear" w:color="auto" w:fill="auto"/>
          </w:tcPr>
          <w:p w14:paraId="69A33DAF" w14:textId="4D614A93" w:rsidR="00352F94" w:rsidRPr="00371919" w:rsidRDefault="00352F94" w:rsidP="00704F89">
            <w:pPr>
              <w:spacing w:before="0" w:after="0"/>
              <w:ind w:left="33"/>
              <w:rPr>
                <w:rFonts w:ascii="Times New Roman" w:hAnsi="Times New Roman"/>
                <w:szCs w:val="20"/>
                <w:lang w:eastAsia="de-DE"/>
              </w:rPr>
            </w:pPr>
            <w:r w:rsidRPr="00371919">
              <w:rPr>
                <w:rFonts w:ascii="Times New Roman" w:hAnsi="Times New Roman"/>
                <w:szCs w:val="20"/>
                <w:lang w:eastAsia="de-DE"/>
              </w:rPr>
              <w:t>Institutions shall calculate and report RWA+ for the portfolios are defined in Annex I, template 103 with the following portfolio ID:</w:t>
            </w:r>
          </w:p>
          <w:p w14:paraId="36825B96" w14:textId="01B2B35B"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CORP_ALL_0086_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42004A61" w14:textId="3F97675A"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SMEC_ALL_0106_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454B8E05" w14:textId="33396C19" w:rsidR="00371919"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MORT_ALL_0094_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09FE938D"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SMOT_A</w:t>
            </w:r>
            <w:r>
              <w:rPr>
                <w:rFonts w:ascii="Times New Roman" w:hAnsi="Times New Roman"/>
                <w:szCs w:val="20"/>
                <w:lang w:eastAsia="de-DE"/>
              </w:rPr>
              <w:t>LL_0106_CT_****_**_Rx0_ALL</w:t>
            </w:r>
          </w:p>
          <w:p w14:paraId="066F3EB3"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RSMS_A</w:t>
            </w:r>
            <w:r>
              <w:rPr>
                <w:rFonts w:ascii="Times New Roman" w:hAnsi="Times New Roman"/>
                <w:szCs w:val="20"/>
                <w:lang w:eastAsia="de-DE"/>
              </w:rPr>
              <w:t>LL_0106_CT_****_**_Rx0_ALL</w:t>
            </w:r>
          </w:p>
          <w:p w14:paraId="74C50E86"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RETO_A</w:t>
            </w:r>
            <w:r>
              <w:rPr>
                <w:rFonts w:ascii="Times New Roman" w:hAnsi="Times New Roman"/>
                <w:szCs w:val="20"/>
                <w:lang w:eastAsia="de-DE"/>
              </w:rPr>
              <w:t>LL_0094_CT_****_**_Rx0_ALL</w:t>
            </w:r>
          </w:p>
          <w:p w14:paraId="46CB1F0B"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RQRR_ALL_0094_CT_****_**_Rx0_ALL</w:t>
            </w:r>
          </w:p>
          <w:p w14:paraId="3CF4D8BE" w14:textId="77777777" w:rsidR="00256D3B" w:rsidRDefault="00256D3B" w:rsidP="00371919">
            <w:pPr>
              <w:spacing w:before="0" w:after="0"/>
              <w:ind w:left="33"/>
              <w:rPr>
                <w:rFonts w:ascii="Times New Roman" w:hAnsi="Times New Roman"/>
                <w:szCs w:val="20"/>
                <w:lang w:eastAsia="de-DE"/>
              </w:rPr>
            </w:pPr>
          </w:p>
          <w:p w14:paraId="7E9440BC" w14:textId="77777777" w:rsidR="00352F94" w:rsidRPr="00371919" w:rsidRDefault="00352F94" w:rsidP="00704F89">
            <w:pPr>
              <w:spacing w:before="0" w:after="0"/>
              <w:ind w:left="33"/>
              <w:rPr>
                <w:rFonts w:ascii="Times New Roman" w:hAnsi="Times New Roman"/>
                <w:szCs w:val="20"/>
                <w:lang w:eastAsia="de-DE"/>
              </w:rPr>
            </w:pPr>
          </w:p>
          <w:p w14:paraId="18847438" w14:textId="7BE72D1A"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RWA+ </w:t>
            </w:r>
            <w:r w:rsidR="00F74B0F" w:rsidRPr="00371919">
              <w:rPr>
                <w:rFonts w:ascii="Times New Roman" w:hAnsi="Times New Roman"/>
                <w:szCs w:val="20"/>
                <w:lang w:val="en-US" w:eastAsia="de-DE"/>
              </w:rPr>
              <w:t>shall be</w:t>
            </w:r>
            <w:r w:rsidR="00F74B0F" w:rsidRPr="00371919" w:rsidDel="00F74B0F">
              <w:rPr>
                <w:rFonts w:ascii="Times New Roman" w:hAnsi="Times New Roman"/>
                <w:szCs w:val="20"/>
                <w:lang w:val="en-US" w:eastAsia="de-DE"/>
              </w:rPr>
              <w:t xml:space="preserve"> </w:t>
            </w:r>
            <w:r w:rsidRPr="00371919">
              <w:rPr>
                <w:rFonts w:ascii="Times New Roman" w:hAnsi="Times New Roman"/>
                <w:szCs w:val="20"/>
                <w:lang w:val="en-US" w:eastAsia="de-DE"/>
              </w:rPr>
              <w:t xml:space="preserve">the hypothetical risk-weighted exposure amount, after applying the SME supporting factor, </w:t>
            </w:r>
            <w:r w:rsidR="007C5F44">
              <w:rPr>
                <w:rFonts w:ascii="Times New Roman" w:hAnsi="Times New Roman"/>
                <w:szCs w:val="20"/>
                <w:lang w:val="en-US" w:eastAsia="de-DE"/>
              </w:rPr>
              <w:t xml:space="preserve">which </w:t>
            </w:r>
            <w:r w:rsidRPr="00371919">
              <w:rPr>
                <w:rFonts w:ascii="Times New Roman" w:hAnsi="Times New Roman"/>
                <w:szCs w:val="20"/>
                <w:lang w:val="en-US" w:eastAsia="de-DE"/>
              </w:rPr>
              <w:t>results from the application of the PD+ values instead of the institution’s PD values, for each exposure. The remaining parameters needed in the computation shall not be subject to changes.</w:t>
            </w:r>
          </w:p>
          <w:p w14:paraId="2C6B4F01" w14:textId="77777777" w:rsidR="00352F94" w:rsidRPr="00371919" w:rsidRDefault="00352F94" w:rsidP="00704F89">
            <w:pPr>
              <w:spacing w:before="0" w:after="0"/>
              <w:ind w:left="33"/>
              <w:rPr>
                <w:rFonts w:ascii="Times New Roman" w:hAnsi="Times New Roman"/>
                <w:szCs w:val="20"/>
                <w:lang w:val="en-US" w:eastAsia="de-DE"/>
              </w:rPr>
            </w:pPr>
          </w:p>
          <w:p w14:paraId="2BC297DB"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PD+ </w:t>
            </w:r>
            <w:r w:rsidR="00F74B0F" w:rsidRPr="00371919">
              <w:rPr>
                <w:rFonts w:ascii="Times New Roman" w:hAnsi="Times New Roman"/>
                <w:szCs w:val="20"/>
                <w:lang w:val="en-US" w:eastAsia="de-DE"/>
              </w:rPr>
              <w:t>shall be</w:t>
            </w:r>
            <w:r w:rsidR="00F74B0F" w:rsidRPr="00371919" w:rsidDel="00F74B0F">
              <w:rPr>
                <w:rFonts w:ascii="Times New Roman" w:hAnsi="Times New Roman"/>
                <w:szCs w:val="20"/>
                <w:lang w:val="en-US" w:eastAsia="de-DE"/>
              </w:rPr>
              <w:t xml:space="preserve"> </w:t>
            </w:r>
            <w:r w:rsidRPr="00371919">
              <w:rPr>
                <w:rFonts w:ascii="Times New Roman" w:hAnsi="Times New Roman"/>
                <w:szCs w:val="20"/>
                <w:lang w:val="en-US" w:eastAsia="de-DE"/>
              </w:rPr>
              <w:t>based on a calculation performed separately for each obligor grade</w:t>
            </w:r>
            <w:r w:rsidR="00F74B0F" w:rsidRPr="00371919">
              <w:rPr>
                <w:rFonts w:ascii="Times New Roman" w:hAnsi="Times New Roman"/>
                <w:szCs w:val="20"/>
                <w:lang w:val="en-US" w:eastAsia="de-DE"/>
              </w:rPr>
              <w:t>.</w:t>
            </w:r>
            <w:r w:rsidRPr="00371919">
              <w:rPr>
                <w:rFonts w:ascii="Times New Roman" w:hAnsi="Times New Roman"/>
                <w:szCs w:val="20"/>
                <w:lang w:val="en-US" w:eastAsia="de-DE"/>
              </w:rPr>
              <w:t xml:space="preserve"> </w:t>
            </w:r>
            <w:r w:rsidR="00F74B0F" w:rsidRPr="00371919">
              <w:rPr>
                <w:rFonts w:ascii="Times New Roman" w:hAnsi="Times New Roman"/>
                <w:szCs w:val="20"/>
                <w:lang w:val="en-US" w:eastAsia="de-DE"/>
              </w:rPr>
              <w:t>T</w:t>
            </w:r>
            <w:r w:rsidRPr="00371919">
              <w:rPr>
                <w:rFonts w:ascii="Times New Roman" w:hAnsi="Times New Roman"/>
                <w:szCs w:val="20"/>
                <w:lang w:val="en-US" w:eastAsia="de-DE"/>
              </w:rPr>
              <w:t xml:space="preserve">he obligor grades as reported in column 005 of Template C 08.02 of Annex I of Regulation (EU) No 680/2014 (cf. Q&amp;A 2016_2782) </w:t>
            </w:r>
            <w:r w:rsidR="00F74B0F" w:rsidRPr="00371919">
              <w:rPr>
                <w:rFonts w:ascii="Times New Roman" w:hAnsi="Times New Roman"/>
                <w:szCs w:val="20"/>
                <w:lang w:val="en-US" w:eastAsia="de-DE"/>
              </w:rPr>
              <w:t>shall</w:t>
            </w:r>
            <w:r w:rsidRPr="00371919">
              <w:rPr>
                <w:rFonts w:ascii="Times New Roman" w:hAnsi="Times New Roman"/>
                <w:szCs w:val="20"/>
                <w:lang w:val="en-US" w:eastAsia="de-DE"/>
              </w:rPr>
              <w:t xml:space="preserve"> be used (see Annex II of Regulation (EU) No 680/2014, C 08.01 column 010 and C 08.02 for instructions). </w:t>
            </w:r>
          </w:p>
          <w:p w14:paraId="634872C4" w14:textId="77777777" w:rsidR="00352F94" w:rsidRPr="00371919" w:rsidRDefault="00352F94" w:rsidP="00704F89">
            <w:pPr>
              <w:spacing w:before="0" w:after="0"/>
              <w:ind w:left="33"/>
              <w:rPr>
                <w:rFonts w:ascii="Times New Roman" w:hAnsi="Times New Roman"/>
                <w:szCs w:val="20"/>
                <w:lang w:val="en-US" w:eastAsia="de-DE"/>
              </w:rPr>
            </w:pPr>
          </w:p>
          <w:p w14:paraId="6D67AA9C"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grade,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F74B0F"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the largest positive value satisfying the equation</w:t>
            </w:r>
            <w:r w:rsidRPr="00371919">
              <w:rPr>
                <w:rFonts w:ascii="Times New Roman" w:hAnsi="Times New Roman"/>
                <w:szCs w:val="20"/>
                <w:lang w:val="en-US" w:eastAsia="de-DE"/>
              </w:rPr>
              <w:tab/>
            </w:r>
          </w:p>
          <w:p w14:paraId="3D09019B" w14:textId="77777777" w:rsidR="00352F94" w:rsidRPr="00371919" w:rsidRDefault="00352F94" w:rsidP="00704F89">
            <w:pPr>
              <w:spacing w:before="0" w:after="0"/>
              <w:ind w:left="33"/>
              <w:rPr>
                <w:rFonts w:ascii="Times New Roman" w:hAnsi="Times New Roman"/>
                <w:szCs w:val="20"/>
                <w:lang w:val="en-US" w:eastAsia="de-DE"/>
              </w:rPr>
            </w:pPr>
          </w:p>
          <w:p w14:paraId="1D8F768B" w14:textId="77777777" w:rsidR="00352F94" w:rsidRPr="00371919" w:rsidRDefault="008979F8" w:rsidP="00704F89">
            <w:pPr>
              <w:spacing w:before="0" w:after="0"/>
              <w:ind w:left="33"/>
              <w:rPr>
                <w:rFonts w:ascii="Times New Roman" w:hAnsi="Times New Roman"/>
                <w:szCs w:val="20"/>
                <w:lang w:val="de-DE" w:eastAsia="de-DE"/>
              </w:rPr>
            </w:pPr>
            <m:oMathPara>
              <m:oMath>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sSup>
                  <m:sSupPr>
                    <m:ctrlPr>
                      <w:rPr>
                        <w:rFonts w:ascii="Cambria Math" w:hAnsi="Cambria Math"/>
                        <w:szCs w:val="20"/>
                        <w:lang w:val="de-DE" w:eastAsia="de-DE"/>
                      </w:rPr>
                    </m:ctrlPr>
                  </m:sSupPr>
                  <m:e>
                    <m:r>
                      <m:rPr>
                        <m:sty m:val="p"/>
                      </m:rPr>
                      <w:rPr>
                        <w:rFonts w:ascii="Cambria Math" w:hAnsi="Cambria Math"/>
                        <w:szCs w:val="20"/>
                        <w:lang w:val="de-DE" w:eastAsia="de-DE"/>
                      </w:rPr>
                      <m:t xml:space="preserve"> Φ</m:t>
                    </m:r>
                  </m:e>
                  <m:sup>
                    <m:r>
                      <m:rPr>
                        <m:sty m:val="p"/>
                      </m:rPr>
                      <w:rPr>
                        <w:rFonts w:ascii="Cambria Math" w:hAnsi="Cambria Math"/>
                        <w:szCs w:val="20"/>
                        <w:lang w:val="de-DE" w:eastAsia="de-DE"/>
                      </w:rPr>
                      <m:t>-1</m:t>
                    </m:r>
                  </m:sup>
                </m:sSup>
                <m:r>
                  <m:rPr>
                    <m:sty m:val="p"/>
                  </m:rPr>
                  <w:rPr>
                    <w:rFonts w:ascii="Cambria Math" w:hAnsi="Cambria Math"/>
                    <w:szCs w:val="20"/>
                    <w:lang w:val="de-DE" w:eastAsia="de-DE"/>
                  </w:rPr>
                  <m:t>(q)∙</m:t>
                </m:r>
                <m:rad>
                  <m:radPr>
                    <m:degHide m:val="1"/>
                    <m:ctrlPr>
                      <w:rPr>
                        <w:rFonts w:ascii="Cambria Math" w:hAnsi="Cambria Math"/>
                        <w:iCs/>
                        <w:szCs w:val="20"/>
                        <w:lang w:val="de-DE" w:eastAsia="de-DE"/>
                      </w:rPr>
                    </m:ctrlPr>
                  </m:radPr>
                  <m:deg/>
                  <m:e>
                    <m:f>
                      <m:fPr>
                        <m:ctrlPr>
                          <w:rPr>
                            <w:rFonts w:ascii="Cambria Math" w:hAnsi="Cambria Math"/>
                            <w:iCs/>
                            <w:szCs w:val="20"/>
                            <w:lang w:val="de-DE" w:eastAsia="de-DE"/>
                          </w:rPr>
                        </m:ctrlPr>
                      </m:fPr>
                      <m:num>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d>
                          <m:dPr>
                            <m:ctrlPr>
                              <w:rPr>
                                <w:rFonts w:ascii="Cambria Math" w:hAnsi="Cambria Math"/>
                                <w:szCs w:val="20"/>
                                <w:lang w:val="de-DE" w:eastAsia="de-DE"/>
                              </w:rPr>
                            </m:ctrlPr>
                          </m:dPr>
                          <m:e>
                            <m:r>
                              <m:rPr>
                                <m:sty m:val="p"/>
                              </m:rPr>
                              <w:rPr>
                                <w:rFonts w:ascii="Cambria Math" w:hAnsi="Cambria Math"/>
                                <w:szCs w:val="20"/>
                                <w:lang w:val="de-DE" w:eastAsia="de-DE"/>
                              </w:rPr>
                              <m:t>1-</m:t>
                            </m:r>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w:rPr>
                                    <w:rFonts w:ascii="Cambria Math" w:hAnsi="Cambria Math"/>
                                    <w:szCs w:val="20"/>
                                    <w:lang w:val="de-DE" w:eastAsia="de-DE"/>
                                  </w:rPr>
                                  <m:t>+</m:t>
                                </m:r>
                              </m:sup>
                            </m:sSup>
                          </m:e>
                        </m:d>
                      </m:num>
                      <m:den>
                        <m:r>
                          <m:rPr>
                            <m:sty m:val="p"/>
                          </m:rPr>
                          <w:rPr>
                            <w:rFonts w:ascii="Cambria Math" w:hAnsi="Cambria Math"/>
                            <w:szCs w:val="20"/>
                            <w:lang w:val="de-DE" w:eastAsia="de-DE"/>
                          </w:rPr>
                          <m:t>n</m:t>
                        </m:r>
                      </m:den>
                    </m:f>
                  </m:e>
                </m:rad>
                <m:r>
                  <m:rPr>
                    <m:sty m:val="p"/>
                  </m:rPr>
                  <w:rPr>
                    <w:rFonts w:ascii="Cambria Math" w:hAnsi="Cambria Math"/>
                    <w:color w:val="1F497D"/>
                    <w:lang w:val="en-US"/>
                  </w:rPr>
                  <m:t>≤</m:t>
                </m:r>
                <m:sSub>
                  <m:sSubPr>
                    <m:ctrlPr>
                      <w:rPr>
                        <w:rFonts w:ascii="Cambria Math" w:hAnsi="Cambria Math"/>
                        <w:szCs w:val="20"/>
                        <w:lang w:val="de-DE" w:eastAsia="de-DE"/>
                      </w:rPr>
                    </m:ctrlPr>
                  </m:sSubPr>
                  <m:e>
                    <m:r>
                      <m:rPr>
                        <m:sty m:val="p"/>
                      </m:rPr>
                      <w:rPr>
                        <w:rFonts w:ascii="Cambria Math" w:hAnsi="Cambria Math"/>
                        <w:szCs w:val="20"/>
                        <w:lang w:val="de-DE" w:eastAsia="de-DE"/>
                      </w:rPr>
                      <m:t>DR</m:t>
                    </m:r>
                  </m:e>
                  <m:sub>
                    <m:r>
                      <m:rPr>
                        <m:sty m:val="p"/>
                      </m:rPr>
                      <w:rPr>
                        <w:rFonts w:ascii="Cambria Math" w:hAnsi="Cambria Math"/>
                        <w:szCs w:val="20"/>
                        <w:lang w:val="de-DE" w:eastAsia="de-DE"/>
                      </w:rPr>
                      <m:t>1y</m:t>
                    </m:r>
                  </m:sub>
                </m:sSub>
              </m:oMath>
            </m:oMathPara>
          </w:p>
          <w:p w14:paraId="23C3872B" w14:textId="77777777" w:rsidR="00352F94" w:rsidRPr="00371919" w:rsidRDefault="00352F94" w:rsidP="00704F89">
            <w:pPr>
              <w:spacing w:before="0" w:after="0"/>
              <w:ind w:left="33"/>
              <w:rPr>
                <w:rFonts w:ascii="Times New Roman" w:hAnsi="Times New Roman"/>
                <w:szCs w:val="20"/>
                <w:lang w:val="en-US" w:eastAsia="de-DE"/>
              </w:rPr>
            </w:pPr>
          </w:p>
          <w:p w14:paraId="1F2539D7"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In this equation, </w:t>
            </w:r>
          </w:p>
          <w:p w14:paraId="7228AFF0" w14:textId="77777777" w:rsidR="00352F94" w:rsidRPr="00371919" w:rsidRDefault="008979F8" w:rsidP="00704F89">
            <w:pPr>
              <w:spacing w:before="0" w:after="0"/>
              <w:ind w:left="601" w:hanging="581"/>
              <w:rPr>
                <w:rFonts w:ascii="Times New Roman" w:hAnsi="Times New Roman"/>
                <w:szCs w:val="20"/>
                <w:lang w:eastAsia="de-DE"/>
              </w:rPr>
            </w:pPr>
            <m:oMath>
              <m:sSup>
                <m:sSupPr>
                  <m:ctrlPr>
                    <w:rPr>
                      <w:rFonts w:ascii="Cambria Math" w:hAnsi="Cambria Math"/>
                      <w:szCs w:val="20"/>
                      <w:lang w:eastAsia="de-DE"/>
                    </w:rPr>
                  </m:ctrlPr>
                </m:sSupPr>
                <m:e>
                  <m:r>
                    <m:rPr>
                      <m:sty m:val="p"/>
                    </m:rPr>
                    <w:rPr>
                      <w:rFonts w:ascii="Cambria Math" w:hAnsi="Cambria Math"/>
                      <w:szCs w:val="20"/>
                      <w:lang w:eastAsia="de-DE"/>
                    </w:rPr>
                    <m:t>Φ</m:t>
                  </m:r>
                </m:e>
                <m:sup>
                  <m:r>
                    <m:rPr>
                      <m:sty m:val="p"/>
                    </m:rPr>
                    <w:rPr>
                      <w:rFonts w:ascii="Cambria Math" w:hAnsi="Cambria Math"/>
                      <w:szCs w:val="20"/>
                      <w:lang w:eastAsia="de-DE"/>
                    </w:rPr>
                    <m:t>-1</m:t>
                  </m:r>
                </m:sup>
              </m:sSup>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inverse function of the standard normal (cumulative) distribution;</w:t>
            </w:r>
          </w:p>
          <w:p w14:paraId="1DF28B4B"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q </w:t>
            </w:r>
            <w:r w:rsidRPr="00371919">
              <w:rPr>
                <w:rStyle w:val="InstructionsTabelleText"/>
                <w:rFonts w:ascii="Times New Roman" w:hAnsi="Times New Roman"/>
              </w:rPr>
              <w:tab/>
            </w:r>
            <w:r w:rsidRPr="00371919">
              <w:rPr>
                <w:rFonts w:ascii="Times New Roman" w:hAnsi="Times New Roman"/>
                <w:szCs w:val="20"/>
                <w:lang w:eastAsia="de-DE"/>
              </w:rPr>
              <w:t>= the confidence level set at 90%;</w:t>
            </w:r>
          </w:p>
          <w:p w14:paraId="7CD66E85" w14:textId="77777777" w:rsidR="00352F94" w:rsidRPr="00371919" w:rsidRDefault="008979F8" w:rsidP="00704F89">
            <w:pPr>
              <w:spacing w:before="0" w:after="0"/>
              <w:ind w:left="601" w:hanging="581"/>
              <w:rPr>
                <w:rFonts w:ascii="Times New Roman" w:hAnsi="Times New Roman"/>
                <w:szCs w:val="20"/>
                <w:lang w:eastAsia="de-DE"/>
              </w:rPr>
            </w:pPr>
            <m:oMath>
              <m:sSub>
                <m:sSubPr>
                  <m:ctrlPr>
                    <w:rPr>
                      <w:rFonts w:ascii="Cambria Math" w:hAnsi="Cambria Math"/>
                      <w:szCs w:val="20"/>
                      <w:lang w:eastAsia="de-DE"/>
                    </w:rPr>
                  </m:ctrlPr>
                </m:sSubPr>
                <m:e>
                  <m:r>
                    <m:rPr>
                      <m:sty m:val="p"/>
                    </m:rPr>
                    <w:rPr>
                      <w:rFonts w:ascii="Cambria Math" w:hAnsi="Cambria Math"/>
                      <w:szCs w:val="20"/>
                      <w:lang w:eastAsia="de-DE"/>
                    </w:rPr>
                    <m:t>DR</m:t>
                  </m:r>
                </m:e>
                <m:sub>
                  <m:r>
                    <w:rPr>
                      <w:rFonts w:ascii="Cambria Math" w:hAnsi="Cambria Math"/>
                      <w:szCs w:val="20"/>
                      <w:lang w:eastAsia="de-DE"/>
                    </w:rPr>
                    <m:t>1y</m:t>
                  </m:r>
                </m:sub>
              </m:sSub>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xml:space="preserve">= </w:t>
            </w:r>
            <w:r w:rsidR="00352F94" w:rsidRPr="00371919">
              <w:rPr>
                <w:rFonts w:ascii="Times New Roman" w:hAnsi="Times New Roman"/>
                <w:szCs w:val="20"/>
                <w:lang w:val="en-US" w:eastAsia="de-DE"/>
              </w:rPr>
              <w:t xml:space="preserve">the case weighted default rate of the year preceding the reference date, i.e., the number of obligors that were not in default and assigned the obligor grade under consideration exactly one year before the reference date and </w:t>
            </w:r>
            <w:r w:rsidR="00F74B0F" w:rsidRPr="00371919">
              <w:rPr>
                <w:rFonts w:ascii="Times New Roman" w:hAnsi="Times New Roman"/>
                <w:szCs w:val="20"/>
                <w:lang w:val="en-US" w:eastAsia="de-DE"/>
              </w:rPr>
              <w:t xml:space="preserve">which </w:t>
            </w:r>
            <w:r w:rsidR="00352F94" w:rsidRPr="00371919">
              <w:rPr>
                <w:rFonts w:ascii="Times New Roman" w:hAnsi="Times New Roman"/>
                <w:szCs w:val="20"/>
                <w:lang w:val="en-US" w:eastAsia="de-DE"/>
              </w:rPr>
              <w:t>defaulted during the latest year, divided by the number of obligors that were not in default and assigned the obligor grade under consideration exactly one year before the reference date</w:t>
            </w:r>
            <w:r w:rsidR="00352F94" w:rsidRPr="00371919">
              <w:rPr>
                <w:rFonts w:ascii="Times New Roman" w:hAnsi="Times New Roman"/>
                <w:szCs w:val="20"/>
                <w:lang w:eastAsia="de-DE"/>
              </w:rPr>
              <w:t>;</w:t>
            </w:r>
          </w:p>
          <w:p w14:paraId="495ADFF3"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n </w:t>
            </w:r>
            <w:r w:rsidRPr="00371919">
              <w:rPr>
                <w:rStyle w:val="InstructionsTabelleText"/>
                <w:rFonts w:ascii="Times New Roman" w:hAnsi="Times New Roman"/>
              </w:rPr>
              <w:tab/>
            </w:r>
            <w:r w:rsidRPr="00371919">
              <w:rPr>
                <w:rFonts w:ascii="Times New Roman" w:hAnsi="Times New Roman"/>
                <w:szCs w:val="20"/>
                <w:lang w:eastAsia="de-DE"/>
              </w:rPr>
              <w:t>= t</w:t>
            </w:r>
            <w:r w:rsidRPr="00371919">
              <w:rPr>
                <w:rFonts w:ascii="Times New Roman" w:hAnsi="Times New Roman"/>
                <w:szCs w:val="20"/>
                <w:lang w:val="en-US" w:eastAsia="de-DE"/>
              </w:rPr>
              <w:t>he number of obligors that were not in default and assigned the obligor grade under consideration exactly one year before the references date</w:t>
            </w:r>
            <w:r w:rsidRPr="00371919">
              <w:rPr>
                <w:rFonts w:ascii="Times New Roman" w:hAnsi="Times New Roman"/>
                <w:szCs w:val="20"/>
                <w:lang w:eastAsia="de-DE"/>
              </w:rPr>
              <w:t>.</w:t>
            </w:r>
          </w:p>
          <w:p w14:paraId="3E4E3C07" w14:textId="77777777" w:rsidR="00352F94" w:rsidRPr="00371919" w:rsidRDefault="00352F94" w:rsidP="00704F89">
            <w:pPr>
              <w:spacing w:before="0" w:after="0"/>
              <w:ind w:left="33"/>
              <w:rPr>
                <w:rFonts w:ascii="Times New Roman" w:hAnsi="Times New Roman"/>
                <w:szCs w:val="20"/>
                <w:lang w:val="en-US" w:eastAsia="de-DE"/>
              </w:rPr>
            </w:pPr>
          </w:p>
          <w:p w14:paraId="5A61AEB6"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PD+ </w:t>
            </w:r>
            <w:r w:rsidR="00F74B0F" w:rsidRPr="00371919">
              <w:rPr>
                <w:rFonts w:ascii="Times New Roman" w:hAnsi="Times New Roman"/>
                <w:szCs w:val="20"/>
                <w:lang w:val="en-US" w:eastAsia="de-DE"/>
              </w:rPr>
              <w:t xml:space="preserve">shall be equal </w:t>
            </w:r>
            <w:proofErr w:type="gramStart"/>
            <w:r w:rsidR="00F74B0F" w:rsidRPr="00371919">
              <w:rPr>
                <w:rFonts w:ascii="Times New Roman" w:hAnsi="Times New Roman"/>
                <w:szCs w:val="20"/>
                <w:lang w:val="en-US" w:eastAsia="de-DE"/>
              </w:rPr>
              <w:t>to</w:t>
            </w:r>
            <w:r w:rsidRPr="00371919">
              <w:rPr>
                <w:rFonts w:ascii="Times New Roman" w:hAnsi="Times New Roman"/>
                <w:szCs w:val="20"/>
                <w:lang w:val="en-US" w:eastAsia="de-DE"/>
              </w:rPr>
              <w:t xml:space="preserve"> </w:t>
            </w:r>
            <w:proofErr w:type="gramEnd"/>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where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 xml:space="preserve">shall be </w:t>
            </w:r>
            <w:r w:rsidR="00F74B0F" w:rsidRPr="00371919">
              <w:rPr>
                <w:rFonts w:ascii="Times New Roman" w:hAnsi="Times New Roman"/>
                <w:szCs w:val="20"/>
                <w:lang w:val="en-US" w:eastAsia="de-DE"/>
              </w:rPr>
              <w:t>calculated in accordance with the above formula</w:t>
            </w:r>
            <w:r w:rsidRPr="00371919">
              <w:rPr>
                <w:rFonts w:ascii="Times New Roman" w:hAnsi="Times New Roman"/>
                <w:szCs w:val="20"/>
                <w:lang w:val="en-US" w:eastAsia="de-DE"/>
              </w:rPr>
              <w:t xml:space="preserve"> for the obligor grade assigned to the obligor. </w:t>
            </w:r>
          </w:p>
          <w:p w14:paraId="52DFB12D" w14:textId="77777777" w:rsidR="00352F94" w:rsidRPr="00371919" w:rsidRDefault="00352F94" w:rsidP="002D7EDD">
            <w:pPr>
              <w:spacing w:before="0" w:after="0"/>
              <w:ind w:left="33"/>
              <w:rPr>
                <w:rFonts w:ascii="Times New Roman" w:hAnsi="Times New Roman"/>
                <w:szCs w:val="20"/>
                <w:lang w:eastAsia="de-DE"/>
              </w:rPr>
            </w:pPr>
          </w:p>
        </w:tc>
      </w:tr>
      <w:tr w:rsidR="00352F94" w:rsidRPr="00371919" w14:paraId="4DB5277C" w14:textId="77777777" w:rsidTr="00371919">
        <w:tc>
          <w:tcPr>
            <w:tcW w:w="992" w:type="dxa"/>
            <w:shd w:val="clear" w:color="auto" w:fill="auto"/>
          </w:tcPr>
          <w:p w14:paraId="215325A1" w14:textId="77777777" w:rsidR="00352F94" w:rsidRPr="00371919" w:rsidRDefault="00352F94" w:rsidP="00AF67FB">
            <w:pPr>
              <w:spacing w:before="0" w:after="0"/>
              <w:ind w:left="33"/>
              <w:rPr>
                <w:rStyle w:val="InstructionsTabelleText"/>
                <w:rFonts w:ascii="Times New Roman" w:hAnsi="Times New Roman"/>
              </w:rPr>
            </w:pPr>
            <w:r w:rsidRPr="00371919">
              <w:rPr>
                <w:rStyle w:val="InstructionsTabelleText"/>
                <w:rFonts w:ascii="Times New Roman" w:hAnsi="Times New Roman"/>
              </w:rPr>
              <w:lastRenderedPageBreak/>
              <w:t>270</w:t>
            </w:r>
          </w:p>
        </w:tc>
        <w:tc>
          <w:tcPr>
            <w:tcW w:w="1714" w:type="dxa"/>
            <w:shd w:val="clear" w:color="auto" w:fill="auto"/>
          </w:tcPr>
          <w:p w14:paraId="0DD74352" w14:textId="77777777" w:rsidR="00352F94" w:rsidRPr="00371919" w:rsidRDefault="00352F94" w:rsidP="00E847ED">
            <w:pPr>
              <w:pStyle w:val="InstructionsText"/>
              <w:rPr>
                <w:rStyle w:val="InstructionsTabelleText"/>
                <w:rFonts w:ascii="Times New Roman" w:hAnsi="Times New Roman"/>
                <w:bCs w:val="0"/>
              </w:rPr>
            </w:pPr>
            <w:r w:rsidRPr="00371919">
              <w:rPr>
                <w:rStyle w:val="InstructionsTabelleText"/>
                <w:rFonts w:ascii="Times New Roman" w:hAnsi="Times New Roman"/>
                <w:bCs w:val="0"/>
              </w:rPr>
              <w:t>RWA--</w:t>
            </w:r>
          </w:p>
        </w:tc>
        <w:tc>
          <w:tcPr>
            <w:tcW w:w="1829" w:type="dxa"/>
            <w:shd w:val="clear" w:color="auto" w:fill="auto"/>
          </w:tcPr>
          <w:p w14:paraId="163E4C40" w14:textId="77777777" w:rsidR="00352F94" w:rsidRPr="00371919" w:rsidRDefault="00352F94" w:rsidP="00AF67FB">
            <w:pPr>
              <w:spacing w:before="0" w:after="0"/>
              <w:ind w:left="33"/>
              <w:rPr>
                <w:rFonts w:ascii="Times New Roman" w:hAnsi="Times New Roman"/>
                <w:szCs w:val="20"/>
                <w:lang w:eastAsia="de-DE"/>
              </w:rPr>
            </w:pPr>
          </w:p>
        </w:tc>
        <w:tc>
          <w:tcPr>
            <w:tcW w:w="9781" w:type="dxa"/>
            <w:shd w:val="clear" w:color="auto" w:fill="auto"/>
          </w:tcPr>
          <w:p w14:paraId="6EFFF436" w14:textId="75B867B5" w:rsidR="00352F94" w:rsidRPr="00371919" w:rsidRDefault="00352F94" w:rsidP="00704F89">
            <w:pPr>
              <w:spacing w:before="0" w:after="0"/>
              <w:ind w:left="33"/>
              <w:rPr>
                <w:rFonts w:ascii="Times New Roman" w:hAnsi="Times New Roman"/>
                <w:szCs w:val="20"/>
                <w:lang w:eastAsia="de-DE"/>
              </w:rPr>
            </w:pPr>
            <w:r w:rsidRPr="00371919">
              <w:rPr>
                <w:rFonts w:ascii="Times New Roman" w:hAnsi="Times New Roman"/>
                <w:szCs w:val="20"/>
                <w:lang w:eastAsia="de-DE"/>
              </w:rPr>
              <w:t>Institutions shall calculate and report RWA</w:t>
            </w:r>
            <w:r w:rsidR="004D3BBE">
              <w:rPr>
                <w:rFonts w:ascii="Times New Roman" w:hAnsi="Times New Roman"/>
                <w:szCs w:val="20"/>
                <w:lang w:eastAsia="de-DE"/>
              </w:rPr>
              <w:t>—for t</w:t>
            </w:r>
            <w:r w:rsidRPr="00371919">
              <w:rPr>
                <w:rFonts w:ascii="Times New Roman" w:hAnsi="Times New Roman"/>
                <w:szCs w:val="20"/>
                <w:lang w:eastAsia="de-DE"/>
              </w:rPr>
              <w:t>he portfolios are defined in Annex I, template 103 with the following portfolio ID:</w:t>
            </w:r>
          </w:p>
          <w:p w14:paraId="6C48A7F6" w14:textId="0C9F9A24"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CORP_ALL_0086_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3A607B62" w14:textId="61E8FC51"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SMEC_ALL_0106_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5EFBA49E" w14:textId="1D057E30" w:rsidR="00371919"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MORT_ALL_0094_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4770E1C3"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SMOT_A</w:t>
            </w:r>
            <w:r>
              <w:rPr>
                <w:rFonts w:ascii="Times New Roman" w:hAnsi="Times New Roman"/>
                <w:szCs w:val="20"/>
                <w:lang w:eastAsia="de-DE"/>
              </w:rPr>
              <w:t>LL_0106_CT_****_**_Rx0_ALL</w:t>
            </w:r>
          </w:p>
          <w:p w14:paraId="5091D107"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RSMS_A</w:t>
            </w:r>
            <w:r>
              <w:rPr>
                <w:rFonts w:ascii="Times New Roman" w:hAnsi="Times New Roman"/>
                <w:szCs w:val="20"/>
                <w:lang w:eastAsia="de-DE"/>
              </w:rPr>
              <w:t>LL_0106_CT_****_**_Rx0_ALL</w:t>
            </w:r>
          </w:p>
          <w:p w14:paraId="050CD58F"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RETO_A</w:t>
            </w:r>
            <w:r>
              <w:rPr>
                <w:rFonts w:ascii="Times New Roman" w:hAnsi="Times New Roman"/>
                <w:szCs w:val="20"/>
                <w:lang w:eastAsia="de-DE"/>
              </w:rPr>
              <w:t>LL_0094_CT_****_**_Rx0_ALL</w:t>
            </w:r>
          </w:p>
          <w:p w14:paraId="58698486"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RQRR_ALL_0094_CT_****_**_Rx0_ALL</w:t>
            </w:r>
          </w:p>
          <w:p w14:paraId="76C6B3E7" w14:textId="77777777" w:rsidR="00256D3B" w:rsidRDefault="00256D3B" w:rsidP="00371919">
            <w:pPr>
              <w:spacing w:before="0" w:after="0"/>
              <w:ind w:left="33"/>
              <w:rPr>
                <w:rFonts w:ascii="Times New Roman" w:hAnsi="Times New Roman"/>
                <w:szCs w:val="20"/>
                <w:lang w:eastAsia="de-DE"/>
              </w:rPr>
            </w:pPr>
          </w:p>
          <w:p w14:paraId="76E73CA7" w14:textId="77777777" w:rsidR="00352F94" w:rsidRPr="00371919" w:rsidRDefault="00352F94" w:rsidP="00704F89">
            <w:pPr>
              <w:spacing w:before="0" w:after="0"/>
              <w:ind w:left="33"/>
              <w:rPr>
                <w:rFonts w:ascii="Times New Roman" w:hAnsi="Times New Roman"/>
                <w:szCs w:val="20"/>
                <w:lang w:eastAsia="de-DE"/>
              </w:rPr>
            </w:pPr>
          </w:p>
          <w:p w14:paraId="200ECB28" w14:textId="2F6D1D83"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RWA--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 xml:space="preserve">the hypothetical risk-weighted exposure amount, after applying the SME supporting factor, </w:t>
            </w:r>
            <w:r w:rsidR="007C5F44">
              <w:rPr>
                <w:rFonts w:ascii="Times New Roman" w:hAnsi="Times New Roman"/>
                <w:szCs w:val="20"/>
                <w:lang w:val="en-US" w:eastAsia="de-DE"/>
              </w:rPr>
              <w:t>which</w:t>
            </w:r>
            <w:r w:rsidRPr="00371919">
              <w:rPr>
                <w:rFonts w:ascii="Times New Roman" w:hAnsi="Times New Roman"/>
                <w:szCs w:val="20"/>
                <w:lang w:val="en-US" w:eastAsia="de-DE"/>
              </w:rPr>
              <w:t xml:space="preserve"> results from the application of the PD-- values instead of the institution’s PD values, for each exposure. The remaining parameters needed in the computation shall not be subject to changes.</w:t>
            </w:r>
          </w:p>
          <w:p w14:paraId="72947400" w14:textId="77777777" w:rsidR="00352F94" w:rsidRPr="00371919" w:rsidRDefault="00352F94" w:rsidP="00704F89">
            <w:pPr>
              <w:spacing w:before="0" w:after="0"/>
              <w:ind w:left="33"/>
              <w:rPr>
                <w:rFonts w:ascii="Times New Roman" w:hAnsi="Times New Roman"/>
                <w:szCs w:val="20"/>
                <w:lang w:val="en-US" w:eastAsia="de-DE"/>
              </w:rPr>
            </w:pPr>
          </w:p>
          <w:p w14:paraId="4433263A"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PD--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based on a calculation performed separately for each obligor grade</w:t>
            </w:r>
            <w:r w:rsidR="002D7EDD" w:rsidRPr="00371919">
              <w:rPr>
                <w:rFonts w:ascii="Times New Roman" w:hAnsi="Times New Roman"/>
                <w:szCs w:val="20"/>
                <w:lang w:val="en-US" w:eastAsia="de-DE"/>
              </w:rPr>
              <w:t>.</w:t>
            </w:r>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T</w:t>
            </w:r>
            <w:r w:rsidRPr="00371919">
              <w:rPr>
                <w:rFonts w:ascii="Times New Roman" w:hAnsi="Times New Roman"/>
                <w:szCs w:val="20"/>
                <w:lang w:val="en-US" w:eastAsia="de-DE"/>
              </w:rPr>
              <w:t xml:space="preserve">he obligor grades as reported in column 005 of Template C 08.02 of Annex I of Regulation (EU) No 680/2014 (cf. Q&amp;A 2016_2782) </w:t>
            </w:r>
            <w:r w:rsidR="002D7EDD" w:rsidRPr="00371919">
              <w:rPr>
                <w:rFonts w:ascii="Times New Roman" w:hAnsi="Times New Roman"/>
                <w:szCs w:val="20"/>
                <w:lang w:val="en-US" w:eastAsia="de-DE"/>
              </w:rPr>
              <w:t>shall</w:t>
            </w:r>
            <w:r w:rsidRPr="00371919">
              <w:rPr>
                <w:rFonts w:ascii="Times New Roman" w:hAnsi="Times New Roman"/>
                <w:szCs w:val="20"/>
                <w:lang w:val="en-US" w:eastAsia="de-DE"/>
              </w:rPr>
              <w:t xml:space="preserve"> be used (see Annex II of Regulation (EU) No 680/2014, C 08.01 column 010 and C 08.02 for instructions). </w:t>
            </w:r>
          </w:p>
          <w:p w14:paraId="794E4D38" w14:textId="77777777" w:rsidR="00352F94" w:rsidRPr="00371919" w:rsidRDefault="00352F94" w:rsidP="00704F89">
            <w:pPr>
              <w:spacing w:before="0" w:after="0"/>
              <w:ind w:left="33"/>
              <w:rPr>
                <w:rFonts w:ascii="Times New Roman" w:hAnsi="Times New Roman"/>
                <w:szCs w:val="20"/>
                <w:lang w:val="en-US" w:eastAsia="de-DE"/>
              </w:rPr>
            </w:pPr>
          </w:p>
          <w:p w14:paraId="4BF5487E"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grade,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the smallest positive value satisfying the equation</w:t>
            </w:r>
            <w:r w:rsidRPr="00371919">
              <w:rPr>
                <w:rFonts w:ascii="Times New Roman" w:hAnsi="Times New Roman"/>
                <w:szCs w:val="20"/>
                <w:lang w:val="en-US" w:eastAsia="de-DE"/>
              </w:rPr>
              <w:tab/>
            </w:r>
          </w:p>
          <w:p w14:paraId="1BEADA06" w14:textId="77777777" w:rsidR="00352F94" w:rsidRPr="00371919" w:rsidRDefault="00352F94" w:rsidP="00704F89">
            <w:pPr>
              <w:spacing w:before="0" w:after="0"/>
              <w:ind w:left="33"/>
              <w:rPr>
                <w:rFonts w:ascii="Times New Roman" w:hAnsi="Times New Roman"/>
                <w:szCs w:val="20"/>
                <w:lang w:val="en-US" w:eastAsia="de-DE"/>
              </w:rPr>
            </w:pPr>
          </w:p>
          <w:p w14:paraId="1BBAE043" w14:textId="7117C27A" w:rsidR="00352F94" w:rsidRPr="00371919" w:rsidRDefault="008979F8" w:rsidP="00704F89">
            <w:pPr>
              <w:spacing w:before="0" w:after="0"/>
              <w:ind w:left="33"/>
              <w:rPr>
                <w:rFonts w:ascii="Times New Roman" w:hAnsi="Times New Roman"/>
                <w:szCs w:val="20"/>
                <w:lang w:val="de-DE" w:eastAsia="de-DE"/>
              </w:rPr>
            </w:pPr>
            <m:oMathPara>
              <m:oMath>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sSup>
                  <m:sSupPr>
                    <m:ctrlPr>
                      <w:rPr>
                        <w:rFonts w:ascii="Cambria Math" w:hAnsi="Cambria Math"/>
                        <w:szCs w:val="20"/>
                        <w:lang w:val="de-DE" w:eastAsia="de-DE"/>
                      </w:rPr>
                    </m:ctrlPr>
                  </m:sSupPr>
                  <m:e>
                    <m:r>
                      <m:rPr>
                        <m:sty m:val="p"/>
                      </m:rPr>
                      <w:rPr>
                        <w:rFonts w:ascii="Cambria Math" w:hAnsi="Cambria Math"/>
                        <w:szCs w:val="20"/>
                        <w:lang w:val="de-DE" w:eastAsia="de-DE"/>
                      </w:rPr>
                      <m:t xml:space="preserve"> Φ</m:t>
                    </m:r>
                  </m:e>
                  <m:sup>
                    <m:r>
                      <m:rPr>
                        <m:sty m:val="p"/>
                      </m:rPr>
                      <w:rPr>
                        <w:rFonts w:ascii="Cambria Math" w:hAnsi="Cambria Math"/>
                        <w:szCs w:val="20"/>
                        <w:lang w:val="de-DE" w:eastAsia="de-DE"/>
                      </w:rPr>
                      <m:t>-1</m:t>
                    </m:r>
                  </m:sup>
                </m:sSup>
                <m:r>
                  <m:rPr>
                    <m:sty m:val="p"/>
                  </m:rPr>
                  <w:rPr>
                    <w:rFonts w:ascii="Cambria Math" w:hAnsi="Cambria Math"/>
                    <w:szCs w:val="20"/>
                    <w:lang w:val="de-DE" w:eastAsia="de-DE"/>
                  </w:rPr>
                  <m:t>(q)∙</m:t>
                </m:r>
                <m:rad>
                  <m:radPr>
                    <m:degHide m:val="1"/>
                    <m:ctrlPr>
                      <w:rPr>
                        <w:rFonts w:ascii="Cambria Math" w:hAnsi="Cambria Math"/>
                        <w:iCs/>
                        <w:szCs w:val="20"/>
                        <w:lang w:val="de-DE" w:eastAsia="de-DE"/>
                      </w:rPr>
                    </m:ctrlPr>
                  </m:radPr>
                  <m:deg/>
                  <m:e>
                    <m:f>
                      <m:fPr>
                        <m:ctrlPr>
                          <w:rPr>
                            <w:rFonts w:ascii="Cambria Math" w:hAnsi="Cambria Math"/>
                            <w:iCs/>
                            <w:szCs w:val="20"/>
                            <w:lang w:val="de-DE" w:eastAsia="de-DE"/>
                          </w:rPr>
                        </m:ctrlPr>
                      </m:fPr>
                      <m:num>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d>
                          <m:dPr>
                            <m:ctrlPr>
                              <w:rPr>
                                <w:rFonts w:ascii="Cambria Math" w:hAnsi="Cambria Math"/>
                                <w:szCs w:val="20"/>
                                <w:lang w:val="de-DE" w:eastAsia="de-DE"/>
                              </w:rPr>
                            </m:ctrlPr>
                          </m:dPr>
                          <m:e>
                            <m:r>
                              <m:rPr>
                                <m:sty m:val="p"/>
                              </m:rPr>
                              <w:rPr>
                                <w:rFonts w:ascii="Cambria Math" w:hAnsi="Cambria Math"/>
                                <w:szCs w:val="20"/>
                                <w:lang w:val="de-DE" w:eastAsia="de-DE"/>
                              </w:rPr>
                              <m:t>1-</m:t>
                            </m:r>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e>
                        </m:d>
                      </m:num>
                      <m:den>
                        <m:r>
                          <m:rPr>
                            <m:sty m:val="p"/>
                          </m:rPr>
                          <w:rPr>
                            <w:rFonts w:ascii="Cambria Math" w:hAnsi="Cambria Math"/>
                            <w:szCs w:val="20"/>
                            <w:lang w:val="de-DE" w:eastAsia="de-DE"/>
                          </w:rPr>
                          <m:t>n</m:t>
                        </m:r>
                      </m:den>
                    </m:f>
                  </m:e>
                </m:rad>
                <m:r>
                  <m:rPr>
                    <m:sty m:val="p"/>
                  </m:rPr>
                  <w:rPr>
                    <w:rFonts w:ascii="Cambria Math" w:hAnsi="Cambria Math"/>
                    <w:color w:val="1F497D"/>
                    <w:lang w:val="en-US"/>
                  </w:rPr>
                  <m:t>≥</m:t>
                </m:r>
                <m:sSub>
                  <m:sSubPr>
                    <m:ctrlPr>
                      <w:rPr>
                        <w:rFonts w:ascii="Cambria Math" w:hAnsi="Cambria Math"/>
                        <w:szCs w:val="20"/>
                        <w:lang w:val="de-DE" w:eastAsia="de-DE"/>
                      </w:rPr>
                    </m:ctrlPr>
                  </m:sSubPr>
                  <m:e>
                    <m:r>
                      <m:rPr>
                        <m:sty m:val="p"/>
                      </m:rPr>
                      <w:rPr>
                        <w:rFonts w:ascii="Cambria Math" w:hAnsi="Cambria Math"/>
                        <w:szCs w:val="20"/>
                        <w:lang w:val="de-DE" w:eastAsia="de-DE"/>
                      </w:rPr>
                      <m:t>DR</m:t>
                    </m:r>
                  </m:e>
                  <m:sub>
                    <m:r>
                      <m:rPr>
                        <m:sty m:val="p"/>
                      </m:rPr>
                      <w:rPr>
                        <w:rFonts w:ascii="Cambria Math" w:hAnsi="Cambria Math"/>
                        <w:szCs w:val="20"/>
                        <w:lang w:val="de-DE" w:eastAsia="de-DE"/>
                      </w:rPr>
                      <m:t>5y</m:t>
                    </m:r>
                  </m:sub>
                </m:sSub>
                <m:r>
                  <m:rPr>
                    <m:sty m:val="p"/>
                  </m:rPr>
                  <w:rPr>
                    <w:rFonts w:ascii="Cambria Math" w:hAnsi="Cambria Math"/>
                    <w:szCs w:val="20"/>
                    <w:lang w:eastAsia="de-DE"/>
                  </w:rPr>
                  <m:t xml:space="preserve"> where </m:t>
                </m:r>
                <m:sSub>
                  <m:sSubPr>
                    <m:ctrlPr>
                      <w:rPr>
                        <w:rFonts w:ascii="Cambria Math" w:hAnsi="Cambria Math"/>
                        <w:szCs w:val="20"/>
                        <w:lang w:val="de-DE" w:eastAsia="de-DE"/>
                      </w:rPr>
                    </m:ctrlPr>
                  </m:sSubPr>
                  <m:e>
                    <m:r>
                      <m:rPr>
                        <m:sty m:val="p"/>
                      </m:rPr>
                      <w:rPr>
                        <w:rFonts w:ascii="Cambria Math" w:hAnsi="Cambria Math"/>
                        <w:szCs w:val="20"/>
                        <w:lang w:eastAsia="de-DE"/>
                      </w:rPr>
                      <m:t>DR</m:t>
                    </m:r>
                  </m:e>
                  <m:sub>
                    <m:r>
                      <m:rPr>
                        <m:sty m:val="p"/>
                      </m:rPr>
                      <w:rPr>
                        <w:rFonts w:ascii="Cambria Math" w:hAnsi="Cambria Math"/>
                        <w:szCs w:val="20"/>
                        <w:lang w:eastAsia="de-DE"/>
                      </w:rPr>
                      <m:t>5y</m:t>
                    </m:r>
                  </m:sub>
                </m:sSub>
                <m:r>
                  <w:rPr>
                    <w:rFonts w:ascii="Cambria Math" w:hAnsi="Cambria Math"/>
                    <w:szCs w:val="20"/>
                    <w:lang w:eastAsia="de-DE"/>
                  </w:rPr>
                  <m:t>&gt;0</m:t>
                </m:r>
              </m:oMath>
            </m:oMathPara>
          </w:p>
          <w:p w14:paraId="6B3A3A23" w14:textId="7D6A4244" w:rsidR="00352F94" w:rsidRDefault="00352F94" w:rsidP="00704F89">
            <w:pPr>
              <w:spacing w:before="0" w:after="0"/>
              <w:ind w:left="33"/>
              <w:rPr>
                <w:rFonts w:ascii="Times New Roman" w:hAnsi="Times New Roman"/>
                <w:szCs w:val="20"/>
                <w:lang w:val="en-US" w:eastAsia="de-DE"/>
              </w:rPr>
            </w:pPr>
          </w:p>
          <w:p w14:paraId="18EA283E" w14:textId="77777777" w:rsidR="000E4476" w:rsidRPr="00CD03F3" w:rsidRDefault="000E4476" w:rsidP="000E4476">
            <w:pPr>
              <w:spacing w:before="0" w:after="0"/>
              <w:ind w:left="33"/>
              <w:rPr>
                <w:rFonts w:ascii="Times New Roman" w:hAnsi="Times New Roman"/>
                <w:szCs w:val="20"/>
                <w:lang w:eastAsia="de-DE"/>
              </w:rPr>
            </w:pPr>
            <w:r>
              <w:rPr>
                <w:rFonts w:ascii="Times New Roman" w:hAnsi="Times New Roman"/>
                <w:szCs w:val="20"/>
                <w:lang w:eastAsia="de-DE"/>
              </w:rPr>
              <w:t xml:space="preserve">and </w:t>
            </w:r>
            <m:oMath>
              <m:sSup>
                <m:sSupPr>
                  <m:ctrlPr>
                    <w:rPr>
                      <w:rFonts w:ascii="Cambria Math" w:hAnsi="Cambria Math"/>
                      <w:iCs/>
                      <w:szCs w:val="20"/>
                      <w:lang w:val="de-DE" w:eastAsia="de-DE"/>
                    </w:rPr>
                  </m:ctrlPr>
                </m:sSupPr>
                <m:e>
                  <m:r>
                    <m:rPr>
                      <m:sty m:val="p"/>
                    </m:rPr>
                    <w:rPr>
                      <w:rFonts w:ascii="Cambria Math" w:hAnsi="Cambria Math"/>
                      <w:szCs w:val="20"/>
                      <w:lang w:eastAsia="de-DE"/>
                    </w:rPr>
                    <m:t>p</m:t>
                  </m:r>
                </m:e>
                <m:sup>
                  <m:r>
                    <m:rPr>
                      <m:sty m:val="p"/>
                    </m:rPr>
                    <w:rPr>
                      <w:rFonts w:ascii="Cambria Math" w:hAnsi="Cambria Math"/>
                      <w:szCs w:val="20"/>
                      <w:lang w:eastAsia="de-DE"/>
                    </w:rPr>
                    <m:t>-</m:t>
                  </m:r>
                </m:sup>
              </m:sSup>
              <m:box>
                <m:boxPr>
                  <m:opEmu m:val="1"/>
                  <m:ctrlPr>
                    <w:rPr>
                      <w:rFonts w:ascii="Cambria Math" w:hAnsi="Cambria Math"/>
                      <w:i/>
                      <w:iCs/>
                      <w:szCs w:val="20"/>
                      <w:lang w:val="de-DE" w:eastAsia="de-DE"/>
                    </w:rPr>
                  </m:ctrlPr>
                </m:boxPr>
                <m:e>
                  <m:r>
                    <w:rPr>
                      <w:rFonts w:ascii="Cambria Math" w:hAnsi="Cambria Math"/>
                      <w:szCs w:val="20"/>
                      <w:lang w:eastAsia="de-DE"/>
                    </w:rPr>
                    <m:t>∶=</m:t>
                  </m:r>
                </m:e>
              </m:box>
              <m:r>
                <w:rPr>
                  <w:rFonts w:ascii="Cambria Math" w:hAnsi="Cambria Math"/>
                  <w:szCs w:val="20"/>
                  <w:lang w:eastAsia="de-DE"/>
                </w:rPr>
                <m:t>0</m:t>
              </m:r>
            </m:oMath>
            <w:r>
              <w:rPr>
                <w:rFonts w:ascii="Times New Roman" w:hAnsi="Times New Roman"/>
                <w:iCs/>
                <w:szCs w:val="20"/>
                <w:lang w:eastAsia="de-DE"/>
              </w:rPr>
              <w:t xml:space="preserve"> where </w:t>
            </w:r>
            <m:oMath>
              <m:sSub>
                <m:sSubPr>
                  <m:ctrlPr>
                    <w:rPr>
                      <w:rFonts w:ascii="Cambria Math" w:hAnsi="Cambria Math"/>
                      <w:szCs w:val="20"/>
                      <w:lang w:val="de-DE" w:eastAsia="de-DE"/>
                    </w:rPr>
                  </m:ctrlPr>
                </m:sSubPr>
                <m:e>
                  <m:r>
                    <m:rPr>
                      <m:sty m:val="p"/>
                    </m:rPr>
                    <w:rPr>
                      <w:rFonts w:ascii="Cambria Math" w:hAnsi="Cambria Math"/>
                      <w:szCs w:val="20"/>
                      <w:lang w:eastAsia="de-DE"/>
                    </w:rPr>
                    <m:t>DR</m:t>
                  </m:r>
                </m:e>
                <m:sub>
                  <m:r>
                    <m:rPr>
                      <m:sty m:val="p"/>
                    </m:rPr>
                    <w:rPr>
                      <w:rFonts w:ascii="Cambria Math" w:hAnsi="Cambria Math"/>
                      <w:szCs w:val="20"/>
                      <w:lang w:eastAsia="de-DE"/>
                    </w:rPr>
                    <m:t>5y</m:t>
                  </m:r>
                </m:sub>
              </m:sSub>
              <m:r>
                <w:rPr>
                  <w:rFonts w:ascii="Cambria Math" w:hAnsi="Cambria Math"/>
                  <w:szCs w:val="20"/>
                  <w:lang w:eastAsia="de-DE"/>
                </w:rPr>
                <m:t>= 0</m:t>
              </m:r>
            </m:oMath>
            <w:r>
              <w:rPr>
                <w:rFonts w:ascii="Times New Roman" w:hAnsi="Times New Roman"/>
                <w:szCs w:val="20"/>
                <w:lang w:eastAsia="de-DE"/>
              </w:rPr>
              <w:t>,</w:t>
            </w:r>
          </w:p>
          <w:p w14:paraId="707D2ECD" w14:textId="77777777" w:rsidR="000E4476" w:rsidRPr="000E4476" w:rsidRDefault="000E4476" w:rsidP="00704F89">
            <w:pPr>
              <w:spacing w:before="0" w:after="0"/>
              <w:ind w:left="33"/>
              <w:rPr>
                <w:rFonts w:ascii="Times New Roman" w:hAnsi="Times New Roman"/>
                <w:szCs w:val="20"/>
                <w:lang w:eastAsia="de-DE"/>
              </w:rPr>
            </w:pPr>
          </w:p>
          <w:p w14:paraId="33D53BB7" w14:textId="77777777" w:rsidR="00352F94" w:rsidRPr="00371919" w:rsidRDefault="002D7EDD"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where</w:t>
            </w:r>
            <w:r w:rsidR="00352F94" w:rsidRPr="00371919">
              <w:rPr>
                <w:rFonts w:ascii="Times New Roman" w:hAnsi="Times New Roman"/>
                <w:szCs w:val="20"/>
                <w:lang w:val="en-US" w:eastAsia="de-DE"/>
              </w:rPr>
              <w:t xml:space="preserve">, </w:t>
            </w:r>
          </w:p>
          <w:p w14:paraId="16609DA5" w14:textId="77777777" w:rsidR="00352F94" w:rsidRPr="00371919" w:rsidRDefault="008979F8" w:rsidP="00704F89">
            <w:pPr>
              <w:spacing w:before="0" w:after="0"/>
              <w:ind w:left="601" w:hanging="581"/>
              <w:rPr>
                <w:rFonts w:ascii="Times New Roman" w:hAnsi="Times New Roman"/>
                <w:szCs w:val="20"/>
                <w:lang w:eastAsia="de-DE"/>
              </w:rPr>
            </w:pPr>
            <m:oMath>
              <m:sSup>
                <m:sSupPr>
                  <m:ctrlPr>
                    <w:rPr>
                      <w:rFonts w:ascii="Cambria Math" w:hAnsi="Cambria Math"/>
                      <w:szCs w:val="20"/>
                      <w:lang w:eastAsia="de-DE"/>
                    </w:rPr>
                  </m:ctrlPr>
                </m:sSupPr>
                <m:e>
                  <m:r>
                    <m:rPr>
                      <m:sty m:val="p"/>
                    </m:rPr>
                    <w:rPr>
                      <w:rFonts w:ascii="Cambria Math" w:hAnsi="Cambria Math"/>
                      <w:szCs w:val="20"/>
                      <w:lang w:eastAsia="de-DE"/>
                    </w:rPr>
                    <m:t>Φ</m:t>
                  </m:r>
                </m:e>
                <m:sup>
                  <m:r>
                    <m:rPr>
                      <m:sty m:val="p"/>
                    </m:rPr>
                    <w:rPr>
                      <w:rFonts w:ascii="Cambria Math" w:hAnsi="Cambria Math"/>
                      <w:szCs w:val="20"/>
                      <w:lang w:eastAsia="de-DE"/>
                    </w:rPr>
                    <m:t>-1</m:t>
                  </m:r>
                </m:sup>
              </m:sSup>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inverse function of the standard normal (cumulative) distribution;</w:t>
            </w:r>
          </w:p>
          <w:p w14:paraId="138C8555"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q </w:t>
            </w:r>
            <w:r w:rsidRPr="00371919">
              <w:rPr>
                <w:rStyle w:val="InstructionsTabelleText"/>
                <w:rFonts w:ascii="Times New Roman" w:hAnsi="Times New Roman"/>
              </w:rPr>
              <w:tab/>
            </w:r>
            <w:r w:rsidRPr="00371919">
              <w:rPr>
                <w:rFonts w:ascii="Times New Roman" w:hAnsi="Times New Roman"/>
                <w:szCs w:val="20"/>
                <w:lang w:eastAsia="de-DE"/>
              </w:rPr>
              <w:t>= the confidence level set at 90%;</w:t>
            </w:r>
          </w:p>
          <w:p w14:paraId="10E3BECF" w14:textId="77777777" w:rsidR="00352F94" w:rsidRPr="00371919" w:rsidRDefault="008979F8" w:rsidP="00704F89">
            <w:pPr>
              <w:spacing w:before="0" w:after="0"/>
              <w:ind w:left="601" w:hanging="581"/>
              <w:rPr>
                <w:rFonts w:ascii="Times New Roman" w:hAnsi="Times New Roman"/>
                <w:szCs w:val="20"/>
                <w:lang w:eastAsia="de-DE"/>
              </w:rPr>
            </w:pPr>
            <m:oMath>
              <m:sSub>
                <m:sSubPr>
                  <m:ctrlPr>
                    <w:rPr>
                      <w:rFonts w:ascii="Cambria Math" w:hAnsi="Cambria Math"/>
                      <w:szCs w:val="20"/>
                      <w:lang w:eastAsia="de-DE"/>
                    </w:rPr>
                  </m:ctrlPr>
                </m:sSubPr>
                <m:e>
                  <m:r>
                    <m:rPr>
                      <m:sty m:val="p"/>
                    </m:rPr>
                    <w:rPr>
                      <w:rFonts w:ascii="Cambria Math" w:hAnsi="Cambria Math"/>
                      <w:szCs w:val="20"/>
                      <w:lang w:eastAsia="de-DE"/>
                    </w:rPr>
                    <m:t>DR</m:t>
                  </m:r>
                </m:e>
                <m:sub>
                  <m:r>
                    <w:rPr>
                      <w:rFonts w:ascii="Cambria Math" w:hAnsi="Cambria Math"/>
                      <w:szCs w:val="20"/>
                      <w:lang w:eastAsia="de-DE"/>
                    </w:rPr>
                    <m:t>5y</m:t>
                  </m:r>
                </m:sub>
              </m:sSub>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default rate of the 5 latest years for the obligor grade, calculated as the simple average of five 1-year case-weighted default rates;</w:t>
            </w:r>
          </w:p>
          <w:p w14:paraId="0C1BD622"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n </w:t>
            </w:r>
            <w:r w:rsidRPr="00371919">
              <w:rPr>
                <w:rStyle w:val="InstructionsTabelleText"/>
                <w:rFonts w:ascii="Times New Roman" w:hAnsi="Times New Roman"/>
              </w:rPr>
              <w:tab/>
            </w:r>
            <w:r w:rsidRPr="00371919">
              <w:rPr>
                <w:rFonts w:ascii="Times New Roman" w:hAnsi="Times New Roman"/>
                <w:szCs w:val="20"/>
                <w:lang w:eastAsia="de-DE"/>
              </w:rPr>
              <w:t>= t</w:t>
            </w:r>
            <w:r w:rsidRPr="00371919">
              <w:rPr>
                <w:rFonts w:ascii="Times New Roman" w:hAnsi="Times New Roman"/>
                <w:szCs w:val="20"/>
                <w:lang w:val="en-US" w:eastAsia="de-DE"/>
              </w:rPr>
              <w:t>he number of obligors that were not in default and assigned the obligor grade under consideration exactly one year before the references date</w:t>
            </w:r>
            <w:r w:rsidRPr="00371919">
              <w:rPr>
                <w:rFonts w:ascii="Times New Roman" w:hAnsi="Times New Roman"/>
                <w:szCs w:val="20"/>
                <w:lang w:eastAsia="de-DE"/>
              </w:rPr>
              <w:t>.</w:t>
            </w:r>
          </w:p>
          <w:p w14:paraId="22F27C0B" w14:textId="77777777" w:rsidR="00352F94" w:rsidRPr="00371919" w:rsidRDefault="00352F94" w:rsidP="00704F89">
            <w:pPr>
              <w:spacing w:before="0" w:after="0"/>
              <w:ind w:left="33"/>
              <w:rPr>
                <w:rFonts w:ascii="Times New Roman" w:hAnsi="Times New Roman"/>
                <w:szCs w:val="20"/>
                <w:lang w:val="en-US" w:eastAsia="de-DE"/>
              </w:rPr>
            </w:pPr>
          </w:p>
          <w:p w14:paraId="4B8D737C"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PD-- </w:t>
            </w:r>
            <w:r w:rsidR="002D7EDD" w:rsidRPr="00371919">
              <w:rPr>
                <w:rFonts w:ascii="Times New Roman" w:hAnsi="Times New Roman"/>
                <w:szCs w:val="20"/>
                <w:lang w:val="en-US" w:eastAsia="de-DE"/>
              </w:rPr>
              <w:t xml:space="preserve">shall be equal </w:t>
            </w:r>
            <w:proofErr w:type="gramStart"/>
            <w:r w:rsidR="002D7EDD" w:rsidRPr="00371919">
              <w:rPr>
                <w:rFonts w:ascii="Times New Roman" w:hAnsi="Times New Roman"/>
                <w:szCs w:val="20"/>
                <w:lang w:val="en-US" w:eastAsia="de-DE"/>
              </w:rPr>
              <w:t>to</w:t>
            </w:r>
            <w:r w:rsidRPr="00371919">
              <w:rPr>
                <w:rFonts w:ascii="Times New Roman" w:hAnsi="Times New Roman"/>
                <w:szCs w:val="20"/>
                <w:lang w:val="en-US" w:eastAsia="de-DE"/>
              </w:rPr>
              <w:t xml:space="preserve"> </w:t>
            </w:r>
            <w:proofErr w:type="gramEnd"/>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where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shall be calculated in accordance with the above formula</w:t>
            </w:r>
            <w:r w:rsidRPr="00371919">
              <w:rPr>
                <w:rFonts w:ascii="Times New Roman" w:hAnsi="Times New Roman"/>
                <w:szCs w:val="20"/>
                <w:lang w:val="en-US" w:eastAsia="de-DE"/>
              </w:rPr>
              <w:t xml:space="preserve"> for the obligor grade assigned to the obligor. </w:t>
            </w:r>
          </w:p>
          <w:p w14:paraId="7EB054E1" w14:textId="77777777" w:rsidR="00352F94" w:rsidRPr="00371919" w:rsidRDefault="00352F94" w:rsidP="00881A2A">
            <w:pPr>
              <w:spacing w:before="0" w:after="0"/>
              <w:ind w:left="33"/>
              <w:rPr>
                <w:rFonts w:ascii="Times New Roman" w:hAnsi="Times New Roman"/>
                <w:szCs w:val="20"/>
                <w:lang w:eastAsia="de-DE"/>
              </w:rPr>
            </w:pPr>
          </w:p>
        </w:tc>
      </w:tr>
      <w:tr w:rsidR="00352F94" w:rsidRPr="00EA201D" w14:paraId="64E0F3D9" w14:textId="77777777" w:rsidTr="00371919">
        <w:tc>
          <w:tcPr>
            <w:tcW w:w="992" w:type="dxa"/>
            <w:shd w:val="clear" w:color="auto" w:fill="auto"/>
          </w:tcPr>
          <w:p w14:paraId="39B8A1AE" w14:textId="77777777" w:rsidR="00352F94" w:rsidRPr="00371919" w:rsidRDefault="00352F94" w:rsidP="00AF67FB">
            <w:pPr>
              <w:spacing w:before="0" w:after="0"/>
              <w:ind w:left="33"/>
              <w:rPr>
                <w:rStyle w:val="InstructionsTabelleText"/>
                <w:rFonts w:ascii="Times New Roman" w:hAnsi="Times New Roman"/>
              </w:rPr>
            </w:pPr>
            <w:r w:rsidRPr="00371919">
              <w:rPr>
                <w:rStyle w:val="InstructionsTabelleText"/>
                <w:rFonts w:ascii="Times New Roman" w:hAnsi="Times New Roman"/>
              </w:rPr>
              <w:lastRenderedPageBreak/>
              <w:t>280</w:t>
            </w:r>
          </w:p>
        </w:tc>
        <w:tc>
          <w:tcPr>
            <w:tcW w:w="1714" w:type="dxa"/>
            <w:shd w:val="clear" w:color="auto" w:fill="auto"/>
          </w:tcPr>
          <w:p w14:paraId="7B1F5DAF" w14:textId="77777777" w:rsidR="00352F94" w:rsidRPr="00371919" w:rsidRDefault="00352F94" w:rsidP="00E847ED">
            <w:pPr>
              <w:pStyle w:val="InstructionsText"/>
              <w:rPr>
                <w:rStyle w:val="InstructionsTabelleText"/>
                <w:rFonts w:ascii="Times New Roman" w:hAnsi="Times New Roman"/>
                <w:bCs w:val="0"/>
              </w:rPr>
            </w:pPr>
            <w:r w:rsidRPr="00371919">
              <w:rPr>
                <w:rStyle w:val="InstructionsTabelleText"/>
                <w:rFonts w:ascii="Times New Roman" w:hAnsi="Times New Roman"/>
                <w:bCs w:val="0"/>
              </w:rPr>
              <w:t>RWA++</w:t>
            </w:r>
          </w:p>
        </w:tc>
        <w:tc>
          <w:tcPr>
            <w:tcW w:w="1829" w:type="dxa"/>
            <w:shd w:val="clear" w:color="auto" w:fill="auto"/>
          </w:tcPr>
          <w:p w14:paraId="7D59FBBB" w14:textId="77777777" w:rsidR="00352F94" w:rsidRPr="00371919" w:rsidRDefault="00352F94" w:rsidP="00AF67FB">
            <w:pPr>
              <w:spacing w:before="0" w:after="0"/>
              <w:ind w:left="33"/>
              <w:rPr>
                <w:rFonts w:ascii="Times New Roman" w:hAnsi="Times New Roman"/>
                <w:szCs w:val="20"/>
                <w:lang w:eastAsia="de-DE"/>
              </w:rPr>
            </w:pPr>
          </w:p>
        </w:tc>
        <w:tc>
          <w:tcPr>
            <w:tcW w:w="9781" w:type="dxa"/>
            <w:shd w:val="clear" w:color="auto" w:fill="auto"/>
          </w:tcPr>
          <w:p w14:paraId="001B2A33" w14:textId="26150EAC" w:rsidR="00352F94" w:rsidRPr="00371919" w:rsidRDefault="00352F94" w:rsidP="00704F89">
            <w:pPr>
              <w:spacing w:before="0" w:after="0"/>
              <w:ind w:left="33"/>
              <w:rPr>
                <w:rFonts w:ascii="Times New Roman" w:hAnsi="Times New Roman"/>
                <w:szCs w:val="20"/>
                <w:lang w:eastAsia="de-DE"/>
              </w:rPr>
            </w:pPr>
            <w:r w:rsidRPr="00371919">
              <w:rPr>
                <w:rFonts w:ascii="Times New Roman" w:hAnsi="Times New Roman"/>
                <w:szCs w:val="20"/>
                <w:lang w:eastAsia="de-DE"/>
              </w:rPr>
              <w:t xml:space="preserve">Institutions shall calculate and report RWA++ for </w:t>
            </w:r>
            <w:r w:rsidR="005240E8">
              <w:rPr>
                <w:rFonts w:ascii="Times New Roman" w:hAnsi="Times New Roman"/>
                <w:szCs w:val="20"/>
                <w:lang w:eastAsia="de-DE"/>
              </w:rPr>
              <w:t>the</w:t>
            </w:r>
            <w:r w:rsidRPr="00371919">
              <w:rPr>
                <w:rFonts w:ascii="Times New Roman" w:hAnsi="Times New Roman"/>
                <w:szCs w:val="20"/>
                <w:lang w:eastAsia="de-DE"/>
              </w:rPr>
              <w:t xml:space="preserve"> portfolios defined in Annex I, template 103 with the following portfolio ID:</w:t>
            </w:r>
          </w:p>
          <w:p w14:paraId="2D2EA458" w14:textId="385FD9D9"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CORP_ALL_0086_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71639830" w14:textId="50353685" w:rsidR="00371919" w:rsidRPr="0081331F"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SMEC_ALL_0106_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648528D8" w14:textId="0F3F0F1B" w:rsidR="00371919" w:rsidRDefault="00371919" w:rsidP="00371919">
            <w:pPr>
              <w:spacing w:before="0" w:after="0"/>
              <w:ind w:left="33"/>
              <w:rPr>
                <w:rFonts w:ascii="Times New Roman" w:hAnsi="Times New Roman"/>
                <w:szCs w:val="20"/>
                <w:lang w:eastAsia="de-DE"/>
              </w:rPr>
            </w:pPr>
            <w:r w:rsidRPr="0081331F">
              <w:rPr>
                <w:rFonts w:ascii="Times New Roman" w:hAnsi="Times New Roman"/>
                <w:szCs w:val="20"/>
                <w:lang w:eastAsia="de-DE"/>
              </w:rPr>
              <w:t>MORT_ALL_0094_</w:t>
            </w:r>
            <w:r w:rsidR="00FF77A9">
              <w:rPr>
                <w:rFonts w:ascii="Times New Roman" w:hAnsi="Times New Roman"/>
                <w:szCs w:val="20"/>
                <w:lang w:eastAsia="de-DE"/>
              </w:rPr>
              <w:t>CT</w:t>
            </w:r>
            <w:r w:rsidRPr="0081331F">
              <w:rPr>
                <w:rFonts w:ascii="Times New Roman" w:hAnsi="Times New Roman"/>
                <w:szCs w:val="20"/>
                <w:lang w:eastAsia="de-DE"/>
              </w:rPr>
              <w:t>_****_**_Rx0</w:t>
            </w:r>
            <w:r w:rsidR="00FF77A9">
              <w:rPr>
                <w:rFonts w:ascii="Times New Roman" w:hAnsi="Times New Roman"/>
                <w:szCs w:val="20"/>
                <w:lang w:eastAsia="de-DE"/>
              </w:rPr>
              <w:t>_ALL</w:t>
            </w:r>
            <w:r w:rsidRPr="0081331F">
              <w:rPr>
                <w:rFonts w:ascii="Times New Roman" w:hAnsi="Times New Roman"/>
                <w:szCs w:val="20"/>
                <w:lang w:eastAsia="de-DE"/>
              </w:rPr>
              <w:t xml:space="preserve"> </w:t>
            </w:r>
          </w:p>
          <w:p w14:paraId="56E34E8E"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SMOT_A</w:t>
            </w:r>
            <w:r>
              <w:rPr>
                <w:rFonts w:ascii="Times New Roman" w:hAnsi="Times New Roman"/>
                <w:szCs w:val="20"/>
                <w:lang w:eastAsia="de-DE"/>
              </w:rPr>
              <w:t>LL_0106_CT_****_**_Rx0_ALL</w:t>
            </w:r>
          </w:p>
          <w:p w14:paraId="69497819" w14:textId="77777777" w:rsidR="00256D3B" w:rsidRP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RSMS_A</w:t>
            </w:r>
            <w:r>
              <w:rPr>
                <w:rFonts w:ascii="Times New Roman" w:hAnsi="Times New Roman"/>
                <w:szCs w:val="20"/>
                <w:lang w:eastAsia="de-DE"/>
              </w:rPr>
              <w:t>LL_0106_CT_****_**_Rx0_ALL</w:t>
            </w:r>
          </w:p>
          <w:p w14:paraId="4291411B"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RETO_A</w:t>
            </w:r>
            <w:r>
              <w:rPr>
                <w:rFonts w:ascii="Times New Roman" w:hAnsi="Times New Roman"/>
                <w:szCs w:val="20"/>
                <w:lang w:eastAsia="de-DE"/>
              </w:rPr>
              <w:t>LL_0094_CT_****_**_Rx0_ALL</w:t>
            </w:r>
          </w:p>
          <w:p w14:paraId="597B8378" w14:textId="77777777" w:rsidR="00256D3B" w:rsidRDefault="00256D3B" w:rsidP="00256D3B">
            <w:pPr>
              <w:spacing w:before="0" w:after="0"/>
              <w:rPr>
                <w:rFonts w:ascii="Times New Roman" w:hAnsi="Times New Roman"/>
                <w:szCs w:val="20"/>
                <w:lang w:eastAsia="de-DE"/>
              </w:rPr>
            </w:pPr>
            <w:r w:rsidRPr="00256D3B">
              <w:rPr>
                <w:rFonts w:ascii="Times New Roman" w:hAnsi="Times New Roman"/>
                <w:szCs w:val="20"/>
                <w:lang w:eastAsia="de-DE"/>
              </w:rPr>
              <w:t>RQRR_ALL_0094_CT_****_**_Rx0_ALL</w:t>
            </w:r>
          </w:p>
          <w:p w14:paraId="01333F7A" w14:textId="77777777" w:rsidR="00256D3B" w:rsidRDefault="00256D3B" w:rsidP="00371919">
            <w:pPr>
              <w:spacing w:before="0" w:after="0"/>
              <w:ind w:left="33"/>
              <w:rPr>
                <w:rFonts w:ascii="Times New Roman" w:hAnsi="Times New Roman"/>
                <w:szCs w:val="20"/>
                <w:lang w:eastAsia="de-DE"/>
              </w:rPr>
            </w:pPr>
          </w:p>
          <w:p w14:paraId="637CD450" w14:textId="77777777" w:rsidR="00352F94" w:rsidRPr="00371919" w:rsidRDefault="00352F94" w:rsidP="00704F89">
            <w:pPr>
              <w:spacing w:before="0" w:after="0"/>
              <w:ind w:left="33"/>
              <w:rPr>
                <w:rFonts w:ascii="Times New Roman" w:hAnsi="Times New Roman"/>
                <w:szCs w:val="20"/>
                <w:lang w:eastAsia="de-DE"/>
              </w:rPr>
            </w:pPr>
          </w:p>
          <w:p w14:paraId="46E9E5D7" w14:textId="173CA025"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RWA++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the hypothetical risk-weighted exposure amount, after applying the SME supporting factor,</w:t>
            </w:r>
            <w:r w:rsidR="007C5F44">
              <w:rPr>
                <w:rFonts w:ascii="Times New Roman" w:hAnsi="Times New Roman"/>
                <w:szCs w:val="20"/>
                <w:lang w:val="en-US" w:eastAsia="de-DE"/>
              </w:rPr>
              <w:t xml:space="preserve"> which </w:t>
            </w:r>
            <w:r w:rsidRPr="00371919">
              <w:rPr>
                <w:rFonts w:ascii="Times New Roman" w:hAnsi="Times New Roman"/>
                <w:szCs w:val="20"/>
                <w:lang w:val="en-US" w:eastAsia="de-DE"/>
              </w:rPr>
              <w:t>results from the application of the PD++ values instead of the institution’s PD values, for each exposure. The remaining parameters needed in the computation shall not be subject to changes.</w:t>
            </w:r>
          </w:p>
          <w:p w14:paraId="16234EB6" w14:textId="77777777" w:rsidR="00352F94" w:rsidRPr="00371919" w:rsidRDefault="00352F94" w:rsidP="00704F89">
            <w:pPr>
              <w:spacing w:before="0" w:after="0"/>
              <w:ind w:left="33"/>
              <w:rPr>
                <w:rFonts w:ascii="Times New Roman" w:hAnsi="Times New Roman"/>
                <w:szCs w:val="20"/>
                <w:lang w:val="en-US" w:eastAsia="de-DE"/>
              </w:rPr>
            </w:pPr>
          </w:p>
          <w:p w14:paraId="638F5B48" w14:textId="04F4175A"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PD++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based on a calculation performed separately for each obligor grade</w:t>
            </w:r>
            <w:r w:rsidR="002D7EDD" w:rsidRPr="00371919">
              <w:rPr>
                <w:rFonts w:ascii="Times New Roman" w:hAnsi="Times New Roman"/>
                <w:szCs w:val="20"/>
                <w:lang w:val="en-US" w:eastAsia="de-DE"/>
              </w:rPr>
              <w:t>.</w:t>
            </w:r>
            <w:r w:rsidR="00FF77A9">
              <w:rPr>
                <w:rFonts w:ascii="Times New Roman" w:hAnsi="Times New Roman"/>
                <w:szCs w:val="20"/>
                <w:lang w:val="en-US" w:eastAsia="de-DE"/>
              </w:rPr>
              <w:t xml:space="preserve"> </w:t>
            </w:r>
            <w:r w:rsidR="002D7EDD" w:rsidRPr="00371919">
              <w:rPr>
                <w:rFonts w:ascii="Times New Roman" w:hAnsi="Times New Roman"/>
                <w:szCs w:val="20"/>
                <w:lang w:val="en-US" w:eastAsia="de-DE"/>
              </w:rPr>
              <w:t>T</w:t>
            </w:r>
            <w:r w:rsidRPr="00371919">
              <w:rPr>
                <w:rFonts w:ascii="Times New Roman" w:hAnsi="Times New Roman"/>
                <w:szCs w:val="20"/>
                <w:lang w:val="en-US" w:eastAsia="de-DE"/>
              </w:rPr>
              <w:t xml:space="preserve">he obligor grades as reported in column 005 of Template C 08.02 of Annex I of Regulation (EU) No 680/2014 (cf. Q&amp;A 2016_2782) </w:t>
            </w:r>
            <w:r w:rsidR="002D7EDD" w:rsidRPr="00371919">
              <w:rPr>
                <w:rFonts w:ascii="Times New Roman" w:hAnsi="Times New Roman"/>
                <w:szCs w:val="20"/>
                <w:lang w:val="en-US" w:eastAsia="de-DE"/>
              </w:rPr>
              <w:t>shall</w:t>
            </w:r>
            <w:r w:rsidRPr="00371919">
              <w:rPr>
                <w:rFonts w:ascii="Times New Roman" w:hAnsi="Times New Roman"/>
                <w:szCs w:val="20"/>
                <w:lang w:val="en-US" w:eastAsia="de-DE"/>
              </w:rPr>
              <w:t xml:space="preserve"> be used (see Annex II of Regulation (EU) No 680/2014, C 08.01 column 010 and C 08.02 for instructions). </w:t>
            </w:r>
          </w:p>
          <w:p w14:paraId="0DADB7B8" w14:textId="77777777" w:rsidR="00352F94" w:rsidRPr="00371919" w:rsidRDefault="00352F94" w:rsidP="00704F89">
            <w:pPr>
              <w:spacing w:before="0" w:after="0"/>
              <w:ind w:left="33"/>
              <w:rPr>
                <w:rFonts w:ascii="Times New Roman" w:hAnsi="Times New Roman"/>
                <w:szCs w:val="20"/>
                <w:lang w:val="en-US" w:eastAsia="de-DE"/>
              </w:rPr>
            </w:pPr>
          </w:p>
          <w:p w14:paraId="5C6DCA29" w14:textId="77777777" w:rsidR="00352F94" w:rsidRPr="00371919"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grade,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 xml:space="preserve">shall be </w:t>
            </w:r>
            <w:r w:rsidRPr="00371919">
              <w:rPr>
                <w:rFonts w:ascii="Times New Roman" w:hAnsi="Times New Roman"/>
                <w:szCs w:val="20"/>
                <w:lang w:val="en-US" w:eastAsia="de-DE"/>
              </w:rPr>
              <w:t>the largest positive value satisfying the equation</w:t>
            </w:r>
            <w:r w:rsidRPr="00371919">
              <w:rPr>
                <w:rFonts w:ascii="Times New Roman" w:hAnsi="Times New Roman"/>
                <w:szCs w:val="20"/>
                <w:lang w:val="en-US" w:eastAsia="de-DE"/>
              </w:rPr>
              <w:tab/>
            </w:r>
          </w:p>
          <w:p w14:paraId="7AF16932" w14:textId="77777777" w:rsidR="00352F94" w:rsidRPr="00371919" w:rsidRDefault="00352F94" w:rsidP="00704F89">
            <w:pPr>
              <w:spacing w:before="0" w:after="0"/>
              <w:ind w:left="33"/>
              <w:rPr>
                <w:rFonts w:ascii="Times New Roman" w:hAnsi="Times New Roman"/>
                <w:szCs w:val="20"/>
                <w:lang w:val="en-US" w:eastAsia="de-DE"/>
              </w:rPr>
            </w:pPr>
          </w:p>
          <w:p w14:paraId="1A5DAF5C" w14:textId="77777777" w:rsidR="00352F94" w:rsidRPr="00371919" w:rsidRDefault="008979F8" w:rsidP="00704F89">
            <w:pPr>
              <w:spacing w:before="0" w:after="0"/>
              <w:ind w:left="33"/>
              <w:rPr>
                <w:rFonts w:ascii="Times New Roman" w:hAnsi="Times New Roman"/>
                <w:szCs w:val="20"/>
                <w:lang w:val="de-DE" w:eastAsia="de-DE"/>
              </w:rPr>
            </w:pPr>
            <m:oMathPara>
              <m:oMath>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sSup>
                  <m:sSupPr>
                    <m:ctrlPr>
                      <w:rPr>
                        <w:rFonts w:ascii="Cambria Math" w:hAnsi="Cambria Math"/>
                        <w:szCs w:val="20"/>
                        <w:lang w:val="de-DE" w:eastAsia="de-DE"/>
                      </w:rPr>
                    </m:ctrlPr>
                  </m:sSupPr>
                  <m:e>
                    <m:r>
                      <m:rPr>
                        <m:sty m:val="p"/>
                      </m:rPr>
                      <w:rPr>
                        <w:rFonts w:ascii="Cambria Math" w:hAnsi="Cambria Math"/>
                        <w:szCs w:val="20"/>
                        <w:lang w:val="de-DE" w:eastAsia="de-DE"/>
                      </w:rPr>
                      <m:t xml:space="preserve"> Φ</m:t>
                    </m:r>
                  </m:e>
                  <m:sup>
                    <m:r>
                      <m:rPr>
                        <m:sty m:val="p"/>
                      </m:rPr>
                      <w:rPr>
                        <w:rFonts w:ascii="Cambria Math" w:hAnsi="Cambria Math"/>
                        <w:szCs w:val="20"/>
                        <w:lang w:val="de-DE" w:eastAsia="de-DE"/>
                      </w:rPr>
                      <m:t>-1</m:t>
                    </m:r>
                  </m:sup>
                </m:sSup>
                <m:r>
                  <m:rPr>
                    <m:sty m:val="p"/>
                  </m:rPr>
                  <w:rPr>
                    <w:rFonts w:ascii="Cambria Math" w:hAnsi="Cambria Math"/>
                    <w:szCs w:val="20"/>
                    <w:lang w:val="de-DE" w:eastAsia="de-DE"/>
                  </w:rPr>
                  <m:t>(q)∙</m:t>
                </m:r>
                <m:rad>
                  <m:radPr>
                    <m:degHide m:val="1"/>
                    <m:ctrlPr>
                      <w:rPr>
                        <w:rFonts w:ascii="Cambria Math" w:hAnsi="Cambria Math"/>
                        <w:iCs/>
                        <w:szCs w:val="20"/>
                        <w:lang w:val="de-DE" w:eastAsia="de-DE"/>
                      </w:rPr>
                    </m:ctrlPr>
                  </m:radPr>
                  <m:deg/>
                  <m:e>
                    <m:f>
                      <m:fPr>
                        <m:ctrlPr>
                          <w:rPr>
                            <w:rFonts w:ascii="Cambria Math" w:hAnsi="Cambria Math"/>
                            <w:iCs/>
                            <w:szCs w:val="20"/>
                            <w:lang w:val="de-DE" w:eastAsia="de-DE"/>
                          </w:rPr>
                        </m:ctrlPr>
                      </m:fPr>
                      <m:num>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m:rPr>
                                <m:sty m:val="p"/>
                              </m:rPr>
                              <w:rPr>
                                <w:rFonts w:ascii="Cambria Math" w:hAnsi="Cambria Math"/>
                                <w:szCs w:val="20"/>
                                <w:lang w:val="de-DE" w:eastAsia="de-DE"/>
                              </w:rPr>
                              <m:t>++</m:t>
                            </m:r>
                          </m:sup>
                        </m:sSup>
                        <m:r>
                          <m:rPr>
                            <m:sty m:val="p"/>
                          </m:rPr>
                          <w:rPr>
                            <w:rFonts w:ascii="Cambria Math" w:hAnsi="Cambria Math"/>
                            <w:szCs w:val="20"/>
                            <w:lang w:val="de-DE" w:eastAsia="de-DE"/>
                          </w:rPr>
                          <m:t>∙</m:t>
                        </m:r>
                        <m:d>
                          <m:dPr>
                            <m:ctrlPr>
                              <w:rPr>
                                <w:rFonts w:ascii="Cambria Math" w:hAnsi="Cambria Math"/>
                                <w:szCs w:val="20"/>
                                <w:lang w:val="de-DE" w:eastAsia="de-DE"/>
                              </w:rPr>
                            </m:ctrlPr>
                          </m:dPr>
                          <m:e>
                            <m:r>
                              <m:rPr>
                                <m:sty m:val="p"/>
                              </m:rPr>
                              <w:rPr>
                                <w:rFonts w:ascii="Cambria Math" w:hAnsi="Cambria Math"/>
                                <w:szCs w:val="20"/>
                                <w:lang w:val="de-DE" w:eastAsia="de-DE"/>
                              </w:rPr>
                              <m:t>1-</m:t>
                            </m:r>
                            <m:sSup>
                              <m:sSupPr>
                                <m:ctrlPr>
                                  <w:rPr>
                                    <w:rFonts w:ascii="Cambria Math" w:hAnsi="Cambria Math"/>
                                    <w:iCs/>
                                    <w:szCs w:val="20"/>
                                    <w:lang w:val="de-DE" w:eastAsia="de-DE"/>
                                  </w:rPr>
                                </m:ctrlPr>
                              </m:sSupPr>
                              <m:e>
                                <m:r>
                                  <m:rPr>
                                    <m:sty m:val="p"/>
                                  </m:rPr>
                                  <w:rPr>
                                    <w:rFonts w:ascii="Cambria Math" w:hAnsi="Cambria Math"/>
                                    <w:szCs w:val="20"/>
                                    <w:lang w:val="de-DE" w:eastAsia="de-DE"/>
                                  </w:rPr>
                                  <m:t>p</m:t>
                                </m:r>
                              </m:e>
                              <m:sup>
                                <m:r>
                                  <w:rPr>
                                    <w:rFonts w:ascii="Cambria Math" w:hAnsi="Cambria Math"/>
                                    <w:szCs w:val="20"/>
                                    <w:lang w:val="de-DE" w:eastAsia="de-DE"/>
                                  </w:rPr>
                                  <m:t>++</m:t>
                                </m:r>
                              </m:sup>
                            </m:sSup>
                          </m:e>
                        </m:d>
                      </m:num>
                      <m:den>
                        <m:r>
                          <m:rPr>
                            <m:sty m:val="p"/>
                          </m:rPr>
                          <w:rPr>
                            <w:rFonts w:ascii="Cambria Math" w:hAnsi="Cambria Math"/>
                            <w:szCs w:val="20"/>
                            <w:lang w:val="de-DE" w:eastAsia="de-DE"/>
                          </w:rPr>
                          <m:t>n</m:t>
                        </m:r>
                      </m:den>
                    </m:f>
                  </m:e>
                </m:rad>
                <m:r>
                  <m:rPr>
                    <m:sty m:val="p"/>
                  </m:rPr>
                  <w:rPr>
                    <w:rFonts w:ascii="Cambria Math" w:hAnsi="Cambria Math"/>
                    <w:color w:val="1F497D"/>
                    <w:lang w:val="en-US"/>
                  </w:rPr>
                  <m:t>≤</m:t>
                </m:r>
                <m:sSub>
                  <m:sSubPr>
                    <m:ctrlPr>
                      <w:rPr>
                        <w:rFonts w:ascii="Cambria Math" w:hAnsi="Cambria Math"/>
                        <w:szCs w:val="20"/>
                        <w:lang w:val="de-DE" w:eastAsia="de-DE"/>
                      </w:rPr>
                    </m:ctrlPr>
                  </m:sSubPr>
                  <m:e>
                    <m:r>
                      <m:rPr>
                        <m:sty m:val="p"/>
                      </m:rPr>
                      <w:rPr>
                        <w:rFonts w:ascii="Cambria Math" w:hAnsi="Cambria Math"/>
                        <w:szCs w:val="20"/>
                        <w:lang w:val="de-DE" w:eastAsia="de-DE"/>
                      </w:rPr>
                      <m:t>DR</m:t>
                    </m:r>
                  </m:e>
                  <m:sub>
                    <m:r>
                      <m:rPr>
                        <m:sty m:val="p"/>
                      </m:rPr>
                      <w:rPr>
                        <w:rFonts w:ascii="Cambria Math" w:hAnsi="Cambria Math"/>
                        <w:szCs w:val="20"/>
                        <w:lang w:val="de-DE" w:eastAsia="de-DE"/>
                      </w:rPr>
                      <m:t>5y</m:t>
                    </m:r>
                  </m:sub>
                </m:sSub>
              </m:oMath>
            </m:oMathPara>
          </w:p>
          <w:p w14:paraId="171D0A35" w14:textId="77777777" w:rsidR="00352F94" w:rsidRPr="00371919" w:rsidRDefault="00352F94" w:rsidP="00704F89">
            <w:pPr>
              <w:spacing w:before="0" w:after="0"/>
              <w:ind w:left="33"/>
              <w:rPr>
                <w:rFonts w:ascii="Times New Roman" w:hAnsi="Times New Roman"/>
                <w:szCs w:val="20"/>
                <w:lang w:val="en-US" w:eastAsia="de-DE"/>
              </w:rPr>
            </w:pPr>
          </w:p>
          <w:p w14:paraId="501D460E" w14:textId="77777777" w:rsidR="00352F94" w:rsidRPr="00371919" w:rsidRDefault="002D7EDD"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where</w:t>
            </w:r>
            <w:r w:rsidR="00352F94" w:rsidRPr="00371919">
              <w:rPr>
                <w:rFonts w:ascii="Times New Roman" w:hAnsi="Times New Roman"/>
                <w:szCs w:val="20"/>
                <w:lang w:val="en-US" w:eastAsia="de-DE"/>
              </w:rPr>
              <w:t xml:space="preserve">, </w:t>
            </w:r>
          </w:p>
          <w:p w14:paraId="0E1566C6" w14:textId="77777777" w:rsidR="00352F94" w:rsidRPr="00371919" w:rsidRDefault="008979F8" w:rsidP="00704F89">
            <w:pPr>
              <w:spacing w:before="0" w:after="0"/>
              <w:ind w:left="601" w:hanging="581"/>
              <w:rPr>
                <w:rFonts w:ascii="Times New Roman" w:hAnsi="Times New Roman"/>
                <w:szCs w:val="20"/>
                <w:lang w:eastAsia="de-DE"/>
              </w:rPr>
            </w:pPr>
            <m:oMath>
              <m:sSup>
                <m:sSupPr>
                  <m:ctrlPr>
                    <w:rPr>
                      <w:rFonts w:ascii="Cambria Math" w:hAnsi="Cambria Math"/>
                      <w:szCs w:val="20"/>
                      <w:lang w:eastAsia="de-DE"/>
                    </w:rPr>
                  </m:ctrlPr>
                </m:sSupPr>
                <m:e>
                  <m:r>
                    <m:rPr>
                      <m:sty m:val="p"/>
                    </m:rPr>
                    <w:rPr>
                      <w:rFonts w:ascii="Cambria Math" w:hAnsi="Cambria Math"/>
                      <w:szCs w:val="20"/>
                      <w:lang w:eastAsia="de-DE"/>
                    </w:rPr>
                    <m:t>Φ</m:t>
                  </m:r>
                </m:e>
                <m:sup>
                  <m:r>
                    <m:rPr>
                      <m:sty m:val="p"/>
                    </m:rPr>
                    <w:rPr>
                      <w:rFonts w:ascii="Cambria Math" w:hAnsi="Cambria Math"/>
                      <w:szCs w:val="20"/>
                      <w:lang w:eastAsia="de-DE"/>
                    </w:rPr>
                    <m:t>-1</m:t>
                  </m:r>
                </m:sup>
              </m:sSup>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inverse function of the standard normal (cumulative) distribution;</w:t>
            </w:r>
          </w:p>
          <w:p w14:paraId="66146BAE"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lastRenderedPageBreak/>
              <w:t xml:space="preserve">q </w:t>
            </w:r>
            <w:r w:rsidRPr="00371919">
              <w:rPr>
                <w:rStyle w:val="InstructionsTabelleText"/>
                <w:rFonts w:ascii="Times New Roman" w:hAnsi="Times New Roman"/>
              </w:rPr>
              <w:tab/>
            </w:r>
            <w:r w:rsidRPr="00371919">
              <w:rPr>
                <w:rFonts w:ascii="Times New Roman" w:hAnsi="Times New Roman"/>
                <w:szCs w:val="20"/>
                <w:lang w:eastAsia="de-DE"/>
              </w:rPr>
              <w:t>= the confidence level set at 90%;</w:t>
            </w:r>
          </w:p>
          <w:p w14:paraId="3873E36E" w14:textId="77777777" w:rsidR="00352F94" w:rsidRPr="00371919" w:rsidRDefault="008979F8" w:rsidP="00704F89">
            <w:pPr>
              <w:spacing w:before="0" w:after="0"/>
              <w:ind w:left="601" w:hanging="581"/>
              <w:rPr>
                <w:rFonts w:ascii="Times New Roman" w:hAnsi="Times New Roman"/>
                <w:szCs w:val="20"/>
                <w:lang w:eastAsia="de-DE"/>
              </w:rPr>
            </w:pPr>
            <m:oMath>
              <m:sSub>
                <m:sSubPr>
                  <m:ctrlPr>
                    <w:rPr>
                      <w:rFonts w:ascii="Cambria Math" w:hAnsi="Cambria Math"/>
                      <w:szCs w:val="20"/>
                      <w:lang w:eastAsia="de-DE"/>
                    </w:rPr>
                  </m:ctrlPr>
                </m:sSubPr>
                <m:e>
                  <m:r>
                    <m:rPr>
                      <m:sty m:val="p"/>
                    </m:rPr>
                    <w:rPr>
                      <w:rFonts w:ascii="Cambria Math" w:hAnsi="Cambria Math"/>
                      <w:szCs w:val="20"/>
                      <w:lang w:eastAsia="de-DE"/>
                    </w:rPr>
                    <m:t>DR</m:t>
                  </m:r>
                </m:e>
                <m:sub>
                  <m:r>
                    <w:rPr>
                      <w:rFonts w:ascii="Cambria Math" w:hAnsi="Cambria Math"/>
                      <w:szCs w:val="20"/>
                      <w:lang w:eastAsia="de-DE"/>
                    </w:rPr>
                    <m:t>5y</m:t>
                  </m:r>
                </m:sub>
              </m:sSub>
            </m:oMath>
            <w:r w:rsidR="00352F94" w:rsidRPr="00371919">
              <w:rPr>
                <w:rFonts w:ascii="Times New Roman" w:hAnsi="Times New Roman"/>
                <w:szCs w:val="20"/>
                <w:lang w:eastAsia="de-DE"/>
              </w:rPr>
              <w:t xml:space="preserve"> </w:t>
            </w:r>
            <w:r w:rsidR="00352F94" w:rsidRPr="00371919">
              <w:rPr>
                <w:rStyle w:val="InstructionsTabelleText"/>
                <w:rFonts w:ascii="Times New Roman" w:hAnsi="Times New Roman"/>
              </w:rPr>
              <w:tab/>
            </w:r>
            <w:r w:rsidR="00352F94" w:rsidRPr="00371919">
              <w:rPr>
                <w:rFonts w:ascii="Times New Roman" w:hAnsi="Times New Roman"/>
                <w:szCs w:val="20"/>
                <w:lang w:eastAsia="de-DE"/>
              </w:rPr>
              <w:t>= the default rate of the 5 latest years for the obligor grade, calculated as the simple average of five 1-year case-weighted default rates;</w:t>
            </w:r>
          </w:p>
          <w:p w14:paraId="50E8B80B" w14:textId="77777777" w:rsidR="00352F94" w:rsidRPr="00371919" w:rsidRDefault="00352F94" w:rsidP="00704F89">
            <w:pPr>
              <w:spacing w:before="0" w:after="0"/>
              <w:ind w:left="601" w:hanging="581"/>
              <w:rPr>
                <w:rFonts w:ascii="Times New Roman" w:hAnsi="Times New Roman"/>
                <w:szCs w:val="20"/>
                <w:lang w:eastAsia="de-DE"/>
              </w:rPr>
            </w:pPr>
            <w:r w:rsidRPr="00371919">
              <w:rPr>
                <w:rFonts w:ascii="Times New Roman" w:hAnsi="Times New Roman"/>
                <w:szCs w:val="20"/>
                <w:lang w:eastAsia="de-DE"/>
              </w:rPr>
              <w:t xml:space="preserve">n </w:t>
            </w:r>
            <w:r w:rsidRPr="00371919">
              <w:rPr>
                <w:rStyle w:val="InstructionsTabelleText"/>
                <w:rFonts w:ascii="Times New Roman" w:hAnsi="Times New Roman"/>
              </w:rPr>
              <w:tab/>
            </w:r>
            <w:r w:rsidRPr="00371919">
              <w:rPr>
                <w:rFonts w:ascii="Times New Roman" w:hAnsi="Times New Roman"/>
                <w:szCs w:val="20"/>
                <w:lang w:eastAsia="de-DE"/>
              </w:rPr>
              <w:t>= t</w:t>
            </w:r>
            <w:r w:rsidRPr="00371919">
              <w:rPr>
                <w:rFonts w:ascii="Times New Roman" w:hAnsi="Times New Roman"/>
                <w:szCs w:val="20"/>
                <w:lang w:val="en-US" w:eastAsia="de-DE"/>
              </w:rPr>
              <w:t>he number of obligors that were not in default and assigned the obligor grade under consideration exactly one year before the references date</w:t>
            </w:r>
            <w:r w:rsidRPr="00371919">
              <w:rPr>
                <w:rFonts w:ascii="Times New Roman" w:hAnsi="Times New Roman"/>
                <w:szCs w:val="20"/>
                <w:lang w:eastAsia="de-DE"/>
              </w:rPr>
              <w:t>.</w:t>
            </w:r>
          </w:p>
          <w:p w14:paraId="0AE969F9" w14:textId="77777777" w:rsidR="00352F94" w:rsidRPr="00371919" w:rsidRDefault="00352F94" w:rsidP="00704F89">
            <w:pPr>
              <w:spacing w:before="0" w:after="0"/>
              <w:ind w:left="33"/>
              <w:rPr>
                <w:rFonts w:ascii="Times New Roman" w:hAnsi="Times New Roman"/>
                <w:szCs w:val="20"/>
                <w:lang w:val="en-US" w:eastAsia="de-DE"/>
              </w:rPr>
            </w:pPr>
          </w:p>
          <w:p w14:paraId="37931F1E" w14:textId="77777777" w:rsidR="00352F94" w:rsidRPr="00566508" w:rsidRDefault="00352F94" w:rsidP="00704F89">
            <w:pPr>
              <w:spacing w:before="0" w:after="0"/>
              <w:ind w:left="33"/>
              <w:rPr>
                <w:rFonts w:ascii="Times New Roman" w:hAnsi="Times New Roman"/>
                <w:szCs w:val="20"/>
                <w:lang w:val="en-US" w:eastAsia="de-DE"/>
              </w:rPr>
            </w:pPr>
            <w:r w:rsidRPr="00371919">
              <w:rPr>
                <w:rFonts w:ascii="Times New Roman" w:hAnsi="Times New Roman"/>
                <w:szCs w:val="20"/>
                <w:lang w:val="en-US" w:eastAsia="de-DE"/>
              </w:rPr>
              <w:t xml:space="preserve">For each obligor, PD++ </w:t>
            </w:r>
            <w:r w:rsidR="002D7EDD" w:rsidRPr="00371919">
              <w:rPr>
                <w:rFonts w:ascii="Times New Roman" w:hAnsi="Times New Roman"/>
                <w:szCs w:val="20"/>
                <w:lang w:val="en-US" w:eastAsia="de-DE"/>
              </w:rPr>
              <w:t xml:space="preserve">shall be equal </w:t>
            </w:r>
            <w:proofErr w:type="gramStart"/>
            <w:r w:rsidR="002D7EDD" w:rsidRPr="00371919">
              <w:rPr>
                <w:rFonts w:ascii="Times New Roman" w:hAnsi="Times New Roman"/>
                <w:szCs w:val="20"/>
                <w:lang w:val="en-US" w:eastAsia="de-DE"/>
              </w:rPr>
              <w:t>to</w:t>
            </w:r>
            <w:r w:rsidRPr="00371919">
              <w:rPr>
                <w:rFonts w:ascii="Times New Roman" w:hAnsi="Times New Roman"/>
                <w:szCs w:val="20"/>
                <w:lang w:val="en-US" w:eastAsia="de-DE"/>
              </w:rPr>
              <w:t xml:space="preserve"> </w:t>
            </w:r>
            <w:proofErr w:type="gramEnd"/>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where </w:t>
            </w:r>
            <m:oMath>
              <m:sSup>
                <m:sSupPr>
                  <m:ctrlPr>
                    <w:rPr>
                      <w:rFonts w:ascii="Cambria Math" w:hAnsi="Cambria Math"/>
                      <w:szCs w:val="20"/>
                      <w:lang w:val="en-US" w:eastAsia="de-DE"/>
                    </w:rPr>
                  </m:ctrlPr>
                </m:sSupPr>
                <m:e>
                  <m:r>
                    <m:rPr>
                      <m:sty m:val="p"/>
                    </m:rPr>
                    <w:rPr>
                      <w:rFonts w:ascii="Cambria Math" w:hAnsi="Cambria Math"/>
                      <w:szCs w:val="20"/>
                      <w:lang w:val="en-US" w:eastAsia="de-DE"/>
                    </w:rPr>
                    <m:t>p</m:t>
                  </m:r>
                </m:e>
                <m:sup>
                  <m:r>
                    <m:rPr>
                      <m:sty m:val="p"/>
                    </m:rPr>
                    <w:rPr>
                      <w:rFonts w:ascii="Cambria Math" w:hAnsi="Cambria Math"/>
                      <w:szCs w:val="20"/>
                      <w:lang w:val="en-US" w:eastAsia="de-DE"/>
                    </w:rPr>
                    <m:t>++</m:t>
                  </m:r>
                </m:sup>
              </m:sSup>
            </m:oMath>
            <w:r w:rsidRPr="00371919">
              <w:rPr>
                <w:rFonts w:ascii="Times New Roman" w:hAnsi="Times New Roman"/>
                <w:szCs w:val="20"/>
                <w:lang w:val="en-US" w:eastAsia="de-DE"/>
              </w:rPr>
              <w:t xml:space="preserve"> </w:t>
            </w:r>
            <w:r w:rsidR="002D7EDD" w:rsidRPr="00371919">
              <w:rPr>
                <w:rFonts w:ascii="Times New Roman" w:hAnsi="Times New Roman"/>
                <w:szCs w:val="20"/>
                <w:lang w:val="en-US" w:eastAsia="de-DE"/>
              </w:rPr>
              <w:t>shall be calculated in accordance with the above formula</w:t>
            </w:r>
            <w:r w:rsidRPr="00371919">
              <w:rPr>
                <w:rFonts w:ascii="Times New Roman" w:hAnsi="Times New Roman"/>
                <w:szCs w:val="20"/>
                <w:lang w:val="en-US" w:eastAsia="de-DE"/>
              </w:rPr>
              <w:t xml:space="preserve"> for the obligor grade assigned to the obligor.</w:t>
            </w:r>
            <w:r w:rsidRPr="00566508">
              <w:rPr>
                <w:rFonts w:ascii="Times New Roman" w:hAnsi="Times New Roman"/>
                <w:szCs w:val="20"/>
                <w:lang w:val="en-US" w:eastAsia="de-DE"/>
              </w:rPr>
              <w:t xml:space="preserve"> </w:t>
            </w:r>
          </w:p>
          <w:p w14:paraId="221D9B71" w14:textId="77777777" w:rsidR="00352F94" w:rsidRPr="00EA201D" w:rsidRDefault="00352F94" w:rsidP="002D7EDD">
            <w:pPr>
              <w:spacing w:before="0" w:after="0"/>
              <w:ind w:left="33"/>
              <w:rPr>
                <w:rFonts w:ascii="Times New Roman" w:hAnsi="Times New Roman"/>
                <w:szCs w:val="20"/>
                <w:lang w:eastAsia="de-DE"/>
              </w:rPr>
            </w:pPr>
          </w:p>
        </w:tc>
      </w:tr>
    </w:tbl>
    <w:p w14:paraId="24F7B5B5" w14:textId="77777777" w:rsidR="000C4E97" w:rsidRPr="00EA201D" w:rsidRDefault="00CA1B9B" w:rsidP="002715F7">
      <w:pPr>
        <w:pStyle w:val="Heading3"/>
      </w:pPr>
      <w:bookmarkStart w:id="15" w:name="_Toc398295835"/>
      <w:bookmarkStart w:id="16" w:name="_Toc398295889"/>
      <w:bookmarkEnd w:id="15"/>
      <w:bookmarkEnd w:id="16"/>
      <w:r w:rsidRPr="00EA201D">
        <w:rPr>
          <w:rStyle w:val="InstructionsTabelleText"/>
          <w:rFonts w:ascii="Times New Roman" w:hAnsi="Times New Roman"/>
          <w:lang w:val="en-GB"/>
        </w:rPr>
        <w:lastRenderedPageBreak/>
        <w:br w:type="page"/>
      </w:r>
      <w:bookmarkStart w:id="17" w:name="_Toc385235555"/>
    </w:p>
    <w:p w14:paraId="4E02AD7B" w14:textId="77777777" w:rsidR="007500FA" w:rsidRPr="00EA201D" w:rsidRDefault="007500FA" w:rsidP="005464C0">
      <w:pPr>
        <w:pStyle w:val="Heading3"/>
        <w:rPr>
          <w:lang w:val="en-GB"/>
        </w:rPr>
      </w:pPr>
      <w:bookmarkStart w:id="18" w:name="_Toc5720721"/>
      <w:r w:rsidRPr="00EA201D">
        <w:rPr>
          <w:lang w:val="en-GB"/>
        </w:rPr>
        <w:lastRenderedPageBreak/>
        <w:t>C 105.01 – Definition of internal models</w:t>
      </w:r>
      <w:bookmarkEnd w:id="17"/>
      <w:bookmarkEnd w:id="18"/>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842"/>
        <w:gridCol w:w="9781"/>
      </w:tblGrid>
      <w:tr w:rsidR="00131645" w:rsidRPr="00EA201D" w14:paraId="0452971A" w14:textId="77777777" w:rsidTr="00585623">
        <w:tc>
          <w:tcPr>
            <w:tcW w:w="993" w:type="dxa"/>
            <w:shd w:val="clear" w:color="auto" w:fill="D9D9D9"/>
          </w:tcPr>
          <w:p w14:paraId="57C62186" w14:textId="77777777" w:rsidR="00131645" w:rsidRPr="00EA201D" w:rsidRDefault="00131645" w:rsidP="00E847ED">
            <w:pPr>
              <w:pStyle w:val="InstructionsText"/>
              <w:rPr>
                <w:rStyle w:val="InstructionsTabelleText"/>
                <w:rFonts w:ascii="Times New Roman" w:hAnsi="Times New Roman"/>
              </w:rPr>
            </w:pPr>
            <w:r w:rsidRPr="00EA201D">
              <w:rPr>
                <w:rStyle w:val="InstructionsTabelleText"/>
                <w:rFonts w:ascii="Times New Roman" w:hAnsi="Times New Roman"/>
              </w:rPr>
              <w:t>Column</w:t>
            </w:r>
          </w:p>
        </w:tc>
        <w:tc>
          <w:tcPr>
            <w:tcW w:w="1701" w:type="dxa"/>
            <w:shd w:val="clear" w:color="auto" w:fill="D9D9D9"/>
          </w:tcPr>
          <w:p w14:paraId="6700E359"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Label</w:t>
            </w:r>
          </w:p>
        </w:tc>
        <w:tc>
          <w:tcPr>
            <w:tcW w:w="1842" w:type="dxa"/>
            <w:shd w:val="clear" w:color="auto" w:fill="D9D9D9"/>
          </w:tcPr>
          <w:p w14:paraId="281ECD16" w14:textId="77777777" w:rsidR="00131645" w:rsidRPr="00EA201D" w:rsidRDefault="00131645" w:rsidP="00E847ED">
            <w:pPr>
              <w:pStyle w:val="InstructionsText"/>
              <w:rPr>
                <w:rStyle w:val="InstructionsTabelleText"/>
                <w:rFonts w:ascii="Times New Roman" w:hAnsi="Times New Roman"/>
              </w:rPr>
            </w:pPr>
            <w:r w:rsidRPr="00EA201D">
              <w:rPr>
                <w:rStyle w:val="InstructionsTabelleText"/>
                <w:rFonts w:ascii="Times New Roman" w:hAnsi="Times New Roman"/>
              </w:rPr>
              <w:t>Legal reference</w:t>
            </w:r>
          </w:p>
        </w:tc>
        <w:tc>
          <w:tcPr>
            <w:tcW w:w="9781" w:type="dxa"/>
            <w:shd w:val="clear" w:color="auto" w:fill="D9D9D9"/>
          </w:tcPr>
          <w:p w14:paraId="40AE9338" w14:textId="77777777" w:rsidR="00131645" w:rsidRPr="00EA201D" w:rsidRDefault="00131645" w:rsidP="00E847ED">
            <w:pPr>
              <w:pStyle w:val="InstructionsText"/>
              <w:rPr>
                <w:rStyle w:val="InstructionsTabelleText"/>
                <w:rFonts w:ascii="Times New Roman" w:hAnsi="Times New Roman"/>
              </w:rPr>
            </w:pPr>
            <w:r w:rsidRPr="00EA201D">
              <w:rPr>
                <w:rStyle w:val="InstructionsTabelleText"/>
                <w:rFonts w:ascii="Times New Roman" w:hAnsi="Times New Roman"/>
              </w:rPr>
              <w:t>Instructions</w:t>
            </w:r>
          </w:p>
        </w:tc>
      </w:tr>
      <w:tr w:rsidR="00131645" w:rsidRPr="00EA201D" w14:paraId="074F8CDF" w14:textId="77777777" w:rsidTr="00585623">
        <w:tc>
          <w:tcPr>
            <w:tcW w:w="993" w:type="dxa"/>
          </w:tcPr>
          <w:p w14:paraId="6F7B660F"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010</w:t>
            </w:r>
          </w:p>
        </w:tc>
        <w:tc>
          <w:tcPr>
            <w:tcW w:w="1701" w:type="dxa"/>
          </w:tcPr>
          <w:p w14:paraId="6C072E54"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Internal model ID</w:t>
            </w:r>
          </w:p>
        </w:tc>
        <w:tc>
          <w:tcPr>
            <w:tcW w:w="1842" w:type="dxa"/>
          </w:tcPr>
          <w:p w14:paraId="6A894778"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2F87C9A5" w14:textId="77777777" w:rsidR="00131645" w:rsidRPr="00EA201D" w:rsidRDefault="008F7E3B" w:rsidP="00E847ED">
            <w:pPr>
              <w:pStyle w:val="InstructionsText"/>
              <w:rPr>
                <w:rStyle w:val="InstructionsTabelleText"/>
                <w:rFonts w:ascii="Times New Roman" w:hAnsi="Times New Roman"/>
              </w:rPr>
            </w:pPr>
            <w:r w:rsidRPr="00EA201D">
              <w:rPr>
                <w:rStyle w:val="InstructionsTabelleText"/>
                <w:rFonts w:ascii="Times New Roman" w:hAnsi="Times New Roman"/>
                <w:bCs w:val="0"/>
              </w:rPr>
              <w:t>T</w:t>
            </w:r>
            <w:r w:rsidR="00131645" w:rsidRPr="00EA201D">
              <w:rPr>
                <w:rStyle w:val="InstructionsTabelleText"/>
                <w:rFonts w:ascii="Times New Roman" w:hAnsi="Times New Roman"/>
                <w:bCs w:val="0"/>
              </w:rPr>
              <w:t>he internal model ID assigned by the reporting institution</w:t>
            </w:r>
            <w:r w:rsidR="00122E4C" w:rsidRPr="00EA201D">
              <w:rPr>
                <w:rStyle w:val="InstructionsTabelleText"/>
                <w:rFonts w:ascii="Times New Roman" w:hAnsi="Times New Roman"/>
                <w:bCs w:val="0"/>
              </w:rPr>
              <w:t xml:space="preserve"> shall be reported</w:t>
            </w:r>
            <w:r w:rsidR="00D91E06" w:rsidRPr="00EA201D">
              <w:rPr>
                <w:rStyle w:val="InstructionsTabelleText"/>
                <w:rFonts w:ascii="Times New Roman" w:hAnsi="Times New Roman"/>
                <w:bCs w:val="0"/>
              </w:rPr>
              <w:t xml:space="preserve">. This </w:t>
            </w:r>
            <w:r w:rsidRPr="00EA201D">
              <w:rPr>
                <w:rStyle w:val="InstructionsTabelleText"/>
                <w:rFonts w:ascii="Times New Roman" w:hAnsi="Times New Roman"/>
                <w:bCs w:val="0"/>
              </w:rPr>
              <w:t xml:space="preserve">internal model </w:t>
            </w:r>
            <w:r w:rsidR="00D91E06" w:rsidRPr="00EA201D">
              <w:rPr>
                <w:rStyle w:val="InstructionsTabelleText"/>
                <w:rFonts w:ascii="Times New Roman" w:hAnsi="Times New Roman"/>
                <w:bCs w:val="0"/>
              </w:rPr>
              <w:t xml:space="preserve">ID is a row identifier </w:t>
            </w:r>
            <w:r w:rsidRPr="00EA201D">
              <w:rPr>
                <w:rStyle w:val="InstructionsTabelleText"/>
                <w:rFonts w:ascii="Times New Roman" w:hAnsi="Times New Roman"/>
                <w:bCs w:val="0"/>
              </w:rPr>
              <w:t>that</w:t>
            </w:r>
            <w:r w:rsidR="00D91E06" w:rsidRPr="00EA201D">
              <w:rPr>
                <w:rStyle w:val="InstructionsTabelleText"/>
                <w:rFonts w:ascii="Times New Roman" w:hAnsi="Times New Roman"/>
                <w:bCs w:val="0"/>
              </w:rPr>
              <w:t xml:space="preserve"> shall be unique for each row in the table.</w:t>
            </w:r>
          </w:p>
        </w:tc>
      </w:tr>
      <w:tr w:rsidR="00131645" w:rsidRPr="00EA201D" w14:paraId="3EABB80A" w14:textId="77777777" w:rsidTr="00585623">
        <w:tc>
          <w:tcPr>
            <w:tcW w:w="993" w:type="dxa"/>
          </w:tcPr>
          <w:p w14:paraId="11DBF6E5"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020</w:t>
            </w:r>
          </w:p>
        </w:tc>
        <w:tc>
          <w:tcPr>
            <w:tcW w:w="1701" w:type="dxa"/>
          </w:tcPr>
          <w:p w14:paraId="3E9B654A"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Model name</w:t>
            </w:r>
          </w:p>
        </w:tc>
        <w:tc>
          <w:tcPr>
            <w:tcW w:w="1842" w:type="dxa"/>
          </w:tcPr>
          <w:p w14:paraId="6A89A744"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3DE2BE4F" w14:textId="77777777" w:rsidR="00131645" w:rsidRPr="00EA201D" w:rsidRDefault="008F7E3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w:t>
            </w:r>
            <w:r w:rsidR="00131645" w:rsidRPr="00EA201D">
              <w:rPr>
                <w:rStyle w:val="InstructionsTabelleText"/>
                <w:rFonts w:ascii="Times New Roman" w:hAnsi="Times New Roman"/>
                <w:bCs w:val="0"/>
              </w:rPr>
              <w:t>he model name assigned by the reporting institution</w:t>
            </w:r>
            <w:r w:rsidR="00122E4C" w:rsidRPr="00EA201D">
              <w:rPr>
                <w:rStyle w:val="InstructionsTabelleText"/>
                <w:rFonts w:ascii="Times New Roman" w:hAnsi="Times New Roman"/>
                <w:bCs w:val="0"/>
              </w:rPr>
              <w:t xml:space="preserve"> shall be reported.</w:t>
            </w:r>
          </w:p>
        </w:tc>
      </w:tr>
      <w:tr w:rsidR="00131645" w:rsidRPr="00EA201D" w14:paraId="29D5C8F4" w14:textId="77777777" w:rsidTr="00E03A99">
        <w:trPr>
          <w:trHeight w:val="967"/>
        </w:trPr>
        <w:tc>
          <w:tcPr>
            <w:tcW w:w="993" w:type="dxa"/>
          </w:tcPr>
          <w:p w14:paraId="5CC01B37"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030</w:t>
            </w:r>
          </w:p>
        </w:tc>
        <w:tc>
          <w:tcPr>
            <w:tcW w:w="1701" w:type="dxa"/>
          </w:tcPr>
          <w:p w14:paraId="50E1070A"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IRBA Risk parameter</w:t>
            </w:r>
          </w:p>
        </w:tc>
        <w:tc>
          <w:tcPr>
            <w:tcW w:w="1842" w:type="dxa"/>
          </w:tcPr>
          <w:p w14:paraId="63D7E059"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6BC6AEBD" w14:textId="5A97542F"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w:t>
            </w:r>
            <w:r w:rsidR="008F7E3B" w:rsidRPr="00EA201D">
              <w:rPr>
                <w:rStyle w:val="InstructionsTabelleText"/>
                <w:rFonts w:ascii="Times New Roman" w:hAnsi="Times New Roman"/>
                <w:bCs w:val="0"/>
              </w:rPr>
              <w:t>IRB</w:t>
            </w:r>
            <w:r w:rsidR="007C5F44">
              <w:rPr>
                <w:rStyle w:val="InstructionsTabelleText"/>
                <w:rFonts w:ascii="Times New Roman" w:hAnsi="Times New Roman"/>
                <w:bCs w:val="0"/>
              </w:rPr>
              <w:t xml:space="preserve"> approach</w:t>
            </w:r>
            <w:r w:rsidR="008F7E3B" w:rsidRPr="00EA201D">
              <w:rPr>
                <w:rStyle w:val="InstructionsTabelleText"/>
                <w:rFonts w:ascii="Times New Roman" w:hAnsi="Times New Roman"/>
                <w:bCs w:val="0"/>
              </w:rPr>
              <w:t xml:space="preserve"> </w:t>
            </w:r>
            <w:r w:rsidRPr="00EA201D">
              <w:rPr>
                <w:rStyle w:val="InstructionsTabelleText"/>
                <w:rFonts w:ascii="Times New Roman" w:hAnsi="Times New Roman"/>
                <w:bCs w:val="0"/>
              </w:rPr>
              <w:t>risk parameter shall be one of the following:</w:t>
            </w:r>
          </w:p>
          <w:p w14:paraId="402A84E4"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 PD</w:t>
            </w:r>
            <w:r w:rsidR="008F7E3B" w:rsidRPr="00EA201D">
              <w:rPr>
                <w:rStyle w:val="InstructionsTabelleText"/>
                <w:rFonts w:ascii="Times New Roman" w:hAnsi="Times New Roman"/>
                <w:bCs w:val="0"/>
              </w:rPr>
              <w:t>;</w:t>
            </w:r>
          </w:p>
          <w:p w14:paraId="3A38FEF6"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(b) LGD</w:t>
            </w:r>
            <w:r w:rsidR="008F7E3B" w:rsidRPr="00EA201D">
              <w:rPr>
                <w:rStyle w:val="InstructionsTabelleText"/>
                <w:rFonts w:ascii="Times New Roman" w:hAnsi="Times New Roman"/>
                <w:bCs w:val="0"/>
              </w:rPr>
              <w:t>;</w:t>
            </w:r>
          </w:p>
          <w:p w14:paraId="3799FEEE" w14:textId="77777777" w:rsidR="00131645" w:rsidRPr="00EA201D" w:rsidRDefault="00131645">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 CCF</w:t>
            </w:r>
            <w:r w:rsidR="00122E4C" w:rsidRPr="00EA201D">
              <w:rPr>
                <w:rStyle w:val="InstructionsTabelleText"/>
                <w:rFonts w:ascii="Times New Roman" w:hAnsi="Times New Roman"/>
                <w:bCs w:val="0"/>
              </w:rPr>
              <w:t>.</w:t>
            </w:r>
          </w:p>
        </w:tc>
      </w:tr>
      <w:tr w:rsidR="00131645" w:rsidRPr="00EA201D" w14:paraId="0EFE15FA" w14:textId="77777777" w:rsidTr="00585623">
        <w:tc>
          <w:tcPr>
            <w:tcW w:w="993" w:type="dxa"/>
          </w:tcPr>
          <w:p w14:paraId="098AFFFA"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040</w:t>
            </w:r>
          </w:p>
        </w:tc>
        <w:tc>
          <w:tcPr>
            <w:tcW w:w="1701" w:type="dxa"/>
          </w:tcPr>
          <w:p w14:paraId="348ACA4D"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EAD</w:t>
            </w:r>
          </w:p>
        </w:tc>
        <w:tc>
          <w:tcPr>
            <w:tcW w:w="1842" w:type="dxa"/>
          </w:tcPr>
          <w:p w14:paraId="4B7FB374" w14:textId="2BF7C387" w:rsidR="00131645" w:rsidRPr="00EA201D" w:rsidRDefault="00A80BF9"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131645" w:rsidRPr="00EA201D">
              <w:rPr>
                <w:rStyle w:val="InstructionsTabelleText"/>
                <w:rFonts w:ascii="Times New Roman" w:hAnsi="Times New Roman"/>
                <w:bCs w:val="0"/>
              </w:rPr>
              <w:t xml:space="preserve">110 of </w:t>
            </w:r>
            <w:r w:rsidR="00122E4C" w:rsidRPr="00EA201D">
              <w:t>template</w:t>
            </w:r>
            <w:r w:rsidR="00131645" w:rsidRPr="00EA201D">
              <w:rPr>
                <w:rStyle w:val="InstructionsTabelleText"/>
                <w:rFonts w:ascii="Times New Roman" w:hAnsi="Times New Roman"/>
                <w:bCs w:val="0"/>
              </w:rPr>
              <w:t xml:space="preserve"> 8.1 </w:t>
            </w:r>
            <w:r w:rsidRPr="00EA201D">
              <w:rPr>
                <w:rStyle w:val="InstructionsTabelleText"/>
                <w:rFonts w:ascii="Times New Roman" w:hAnsi="Times New Roman"/>
                <w:bCs w:val="0"/>
              </w:rPr>
              <w:t xml:space="preserve">of </w:t>
            </w:r>
            <w:r w:rsidR="00131645" w:rsidRPr="00EA201D">
              <w:rPr>
                <w:rStyle w:val="InstructionsTabelleText"/>
                <w:rFonts w:ascii="Times New Roman" w:hAnsi="Times New Roman"/>
                <w:bCs w:val="0"/>
              </w:rPr>
              <w:t xml:space="preserve">Annex </w:t>
            </w:r>
            <w:r w:rsidR="007C5F44">
              <w:rPr>
                <w:rStyle w:val="InstructionsTabelleText"/>
                <w:rFonts w:ascii="Times New Roman" w:hAnsi="Times New Roman"/>
                <w:bCs w:val="0"/>
              </w:rPr>
              <w:t>I</w:t>
            </w:r>
            <w:r w:rsidR="00131645" w:rsidRPr="00EA201D">
              <w:rPr>
                <w:rStyle w:val="InstructionsTabelleText"/>
                <w:rFonts w:ascii="Times New Roman" w:hAnsi="Times New Roman"/>
                <w:bCs w:val="0"/>
              </w:rPr>
              <w:t xml:space="preserve"> </w:t>
            </w:r>
            <w:r w:rsidR="007C5F44">
              <w:rPr>
                <w:rStyle w:val="InstructionsTabelleText"/>
                <w:rFonts w:ascii="Times New Roman" w:hAnsi="Times New Roman"/>
                <w:bCs w:val="0"/>
              </w:rPr>
              <w:t xml:space="preserve">to </w:t>
            </w:r>
            <w:r w:rsidR="00B373EF" w:rsidRPr="00EA201D">
              <w:rPr>
                <w:rStyle w:val="InstructionsTabelleText"/>
                <w:rFonts w:ascii="Times New Roman" w:hAnsi="Times New Roman"/>
                <w:bCs w:val="0"/>
              </w:rPr>
              <w:t xml:space="preserve"> Implementing Regulation (EU) No 680/2014</w:t>
            </w:r>
          </w:p>
        </w:tc>
        <w:tc>
          <w:tcPr>
            <w:tcW w:w="9781" w:type="dxa"/>
          </w:tcPr>
          <w:p w14:paraId="7D144DEA" w14:textId="77777777" w:rsidR="00131645" w:rsidRPr="00EA201D" w:rsidRDefault="008F7E3B" w:rsidP="00E847ED">
            <w:pPr>
              <w:pStyle w:val="InstructionsText"/>
              <w:rPr>
                <w:rStyle w:val="InstructionsTabelleText"/>
                <w:rFonts w:ascii="Times New Roman" w:hAnsi="Times New Roman"/>
                <w:bCs w:val="0"/>
                <w:szCs w:val="24"/>
                <w:lang w:eastAsia="en-US"/>
              </w:rPr>
            </w:pPr>
            <w:r w:rsidRPr="00EA201D">
              <w:rPr>
                <w:rStyle w:val="InstructionsTabelleText"/>
                <w:rFonts w:ascii="Times New Roman" w:hAnsi="Times New Roman"/>
                <w:bCs w:val="0"/>
              </w:rPr>
              <w:t xml:space="preserve">The </w:t>
            </w:r>
            <w:r w:rsidR="00122E4C" w:rsidRPr="00EA201D">
              <w:rPr>
                <w:rStyle w:val="InstructionsTabelleText"/>
                <w:rFonts w:ascii="Times New Roman" w:hAnsi="Times New Roman"/>
                <w:bCs w:val="0"/>
              </w:rPr>
              <w:t xml:space="preserve">aggregate </w:t>
            </w:r>
            <w:r w:rsidR="00131645" w:rsidRPr="00EA201D">
              <w:rPr>
                <w:rStyle w:val="InstructionsTabelleText"/>
                <w:rFonts w:ascii="Times New Roman" w:hAnsi="Times New Roman"/>
                <w:bCs w:val="0"/>
              </w:rPr>
              <w:t xml:space="preserve">exposure value of the transactions in </w:t>
            </w:r>
            <w:r w:rsidR="00145378">
              <w:rPr>
                <w:rStyle w:val="InstructionsTabelleText"/>
                <w:rFonts w:ascii="Times New Roman" w:hAnsi="Times New Roman"/>
                <w:bCs w:val="0"/>
              </w:rPr>
              <w:t xml:space="preserve">the scope of application of </w:t>
            </w:r>
            <w:r w:rsidR="00131645" w:rsidRPr="00EA201D">
              <w:rPr>
                <w:rStyle w:val="InstructionsTabelleText"/>
                <w:rFonts w:ascii="Times New Roman" w:hAnsi="Times New Roman"/>
                <w:bCs w:val="0"/>
              </w:rPr>
              <w:t xml:space="preserve">the specific model </w:t>
            </w:r>
            <w:r w:rsidR="00122E4C" w:rsidRPr="00EA201D">
              <w:rPr>
                <w:rStyle w:val="InstructionsTabelleText"/>
                <w:rFonts w:ascii="Times New Roman" w:hAnsi="Times New Roman"/>
                <w:bCs w:val="0"/>
              </w:rPr>
              <w:t>shall be reported.</w:t>
            </w:r>
          </w:p>
        </w:tc>
      </w:tr>
      <w:tr w:rsidR="00131645" w:rsidRPr="00EA201D" w14:paraId="5B78F92D" w14:textId="77777777" w:rsidTr="00585623">
        <w:tc>
          <w:tcPr>
            <w:tcW w:w="993" w:type="dxa"/>
          </w:tcPr>
          <w:p w14:paraId="449DD6FC"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050</w:t>
            </w:r>
          </w:p>
        </w:tc>
        <w:tc>
          <w:tcPr>
            <w:tcW w:w="1701" w:type="dxa"/>
          </w:tcPr>
          <w:p w14:paraId="764D601A"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EAD weighted average default rate for calibration</w:t>
            </w:r>
          </w:p>
        </w:tc>
        <w:tc>
          <w:tcPr>
            <w:tcW w:w="1842" w:type="dxa"/>
          </w:tcPr>
          <w:p w14:paraId="116CCE7E"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163A73CB" w14:textId="06E38D5E" w:rsidR="00131645" w:rsidRPr="00EA201D" w:rsidRDefault="008F7E3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The EAD</w:t>
            </w:r>
            <w:r w:rsidR="003A19A6">
              <w:rPr>
                <w:rStyle w:val="InstructionsTabelleText"/>
                <w:rFonts w:ascii="Times New Roman" w:hAnsi="Times New Roman"/>
                <w:bCs w:val="0"/>
              </w:rPr>
              <w:t>-</w:t>
            </w:r>
            <w:r w:rsidR="00131645" w:rsidRPr="00EA201D">
              <w:rPr>
                <w:rStyle w:val="InstructionsTabelleText"/>
                <w:rFonts w:ascii="Times New Roman" w:hAnsi="Times New Roman"/>
                <w:bCs w:val="0"/>
              </w:rPr>
              <w:t>weighted average of the annual default rates</w:t>
            </w:r>
            <w:r w:rsidR="008318D3">
              <w:rPr>
                <w:rStyle w:val="InstructionsTabelleText"/>
                <w:rFonts w:ascii="Times New Roman" w:hAnsi="Times New Roman"/>
                <w:bCs w:val="0"/>
              </w:rPr>
              <w:t>,</w:t>
            </w:r>
            <w:r w:rsidR="00131645" w:rsidRPr="00EA201D">
              <w:rPr>
                <w:rStyle w:val="InstructionsTabelleText"/>
                <w:rFonts w:ascii="Times New Roman" w:hAnsi="Times New Roman"/>
                <w:bCs w:val="0"/>
              </w:rPr>
              <w:t xml:space="preserve"> </w:t>
            </w:r>
            <w:r w:rsidR="007C5F44">
              <w:rPr>
                <w:rStyle w:val="InstructionsTabelleText"/>
                <w:rFonts w:ascii="Times New Roman" w:hAnsi="Times New Roman"/>
                <w:bCs w:val="0"/>
              </w:rPr>
              <w:t>where</w:t>
            </w:r>
            <w:r w:rsidR="008318D3">
              <w:rPr>
                <w:rStyle w:val="InstructionsTabelleText"/>
                <w:rFonts w:ascii="Times New Roman" w:hAnsi="Times New Roman"/>
                <w:bCs w:val="0"/>
              </w:rPr>
              <w:t xml:space="preserve"> </w:t>
            </w:r>
            <w:r w:rsidR="00131645" w:rsidRPr="00EA201D">
              <w:rPr>
                <w:rStyle w:val="InstructionsTabelleText"/>
                <w:rFonts w:ascii="Times New Roman" w:hAnsi="Times New Roman"/>
                <w:bCs w:val="0"/>
              </w:rPr>
              <w:t>used in the calibration of the PD models</w:t>
            </w:r>
            <w:r w:rsidR="008318D3">
              <w:rPr>
                <w:rStyle w:val="InstructionsTabelleText"/>
                <w:rFonts w:ascii="Times New Roman" w:hAnsi="Times New Roman"/>
                <w:bCs w:val="0"/>
              </w:rPr>
              <w:t>,</w:t>
            </w:r>
            <w:r w:rsidR="00496342" w:rsidRPr="00EA201D">
              <w:rPr>
                <w:rStyle w:val="InstructionsTabelleText"/>
                <w:rFonts w:ascii="Times New Roman" w:hAnsi="Times New Roman"/>
                <w:bCs w:val="0"/>
              </w:rPr>
              <w:t xml:space="preserve"> shall be reported</w:t>
            </w:r>
            <w:r w:rsidRPr="00EA201D">
              <w:rPr>
                <w:rStyle w:val="InstructionsTabelleText"/>
                <w:rFonts w:ascii="Times New Roman" w:hAnsi="Times New Roman"/>
                <w:bCs w:val="0"/>
              </w:rPr>
              <w:t>.</w:t>
            </w:r>
            <w:r w:rsidR="00085F94">
              <w:rPr>
                <w:rStyle w:val="InstructionsTabelleText"/>
                <w:rFonts w:ascii="Times New Roman" w:hAnsi="Times New Roman"/>
                <w:bCs w:val="0"/>
              </w:rPr>
              <w:t xml:space="preserve"> </w:t>
            </w:r>
            <w:r w:rsidR="00085F94" w:rsidRPr="00085F94">
              <w:rPr>
                <w:rStyle w:val="InstructionsTabelleText"/>
                <w:rFonts w:ascii="Times New Roman" w:hAnsi="Times New Roman"/>
                <w:bCs w:val="0"/>
              </w:rPr>
              <w:t>This information shall be completed only for PD models.</w:t>
            </w:r>
            <w:r w:rsidR="005F6CAD">
              <w:rPr>
                <w:rStyle w:val="InstructionsTabelleText"/>
                <w:rFonts w:ascii="Times New Roman" w:hAnsi="Times New Roman"/>
                <w:bCs w:val="0"/>
              </w:rPr>
              <w:t xml:space="preserve"> </w:t>
            </w:r>
            <w:r w:rsidR="005F6CAD" w:rsidRPr="005F6CAD">
              <w:rPr>
                <w:rStyle w:val="InstructionsTabelleText"/>
                <w:rFonts w:ascii="Times New Roman" w:hAnsi="Times New Roman"/>
                <w:bCs w:val="0"/>
              </w:rPr>
              <w:t xml:space="preserve">The data used in the calibration of the model parameters </w:t>
            </w:r>
            <w:r w:rsidR="00BE04D3">
              <w:rPr>
                <w:rStyle w:val="InstructionsTabelleText"/>
                <w:rFonts w:ascii="Times New Roman" w:hAnsi="Times New Roman"/>
                <w:bCs w:val="0"/>
              </w:rPr>
              <w:t>shall</w:t>
            </w:r>
            <w:r w:rsidR="005F6CAD" w:rsidRPr="005F6CAD">
              <w:rPr>
                <w:rStyle w:val="InstructionsTabelleText"/>
                <w:rFonts w:ascii="Times New Roman" w:hAnsi="Times New Roman"/>
                <w:bCs w:val="0"/>
              </w:rPr>
              <w:t xml:space="preserve"> be used. If no internal data exists and the calibration is based on external data, then the external data sh</w:t>
            </w:r>
            <w:r w:rsidR="00BE04D3">
              <w:rPr>
                <w:rStyle w:val="InstructionsTabelleText"/>
                <w:rFonts w:ascii="Times New Roman" w:hAnsi="Times New Roman"/>
                <w:bCs w:val="0"/>
              </w:rPr>
              <w:t>all</w:t>
            </w:r>
            <w:r w:rsidR="005F6CAD" w:rsidRPr="005F6CAD">
              <w:rPr>
                <w:rStyle w:val="InstructionsTabelleText"/>
                <w:rFonts w:ascii="Times New Roman" w:hAnsi="Times New Roman"/>
                <w:bCs w:val="0"/>
              </w:rPr>
              <w:t xml:space="preserve"> be reported</w:t>
            </w:r>
            <w:r w:rsidR="005F6CAD">
              <w:rPr>
                <w:rStyle w:val="InstructionsTabelleText"/>
                <w:rFonts w:ascii="Times New Roman" w:hAnsi="Times New Roman"/>
                <w:bCs w:val="0"/>
              </w:rPr>
              <w:t>.</w:t>
            </w:r>
          </w:p>
        </w:tc>
      </w:tr>
      <w:tr w:rsidR="00131645" w:rsidRPr="00EA201D" w14:paraId="5629131A" w14:textId="77777777" w:rsidTr="00585623">
        <w:tc>
          <w:tcPr>
            <w:tcW w:w="993" w:type="dxa"/>
          </w:tcPr>
          <w:p w14:paraId="4AFC29A9"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w:t>
            </w:r>
            <w:r w:rsidR="009420AD">
              <w:rPr>
                <w:rStyle w:val="InstructionsTabelleText"/>
                <w:rFonts w:ascii="Times New Roman" w:hAnsi="Times New Roman"/>
                <w:bCs w:val="0"/>
              </w:rPr>
              <w:t>6</w:t>
            </w:r>
            <w:r w:rsidRPr="00EA201D">
              <w:rPr>
                <w:rStyle w:val="InstructionsTabelleText"/>
                <w:rFonts w:ascii="Times New Roman" w:hAnsi="Times New Roman"/>
                <w:bCs w:val="0"/>
              </w:rPr>
              <w:t>0</w:t>
            </w:r>
          </w:p>
        </w:tc>
        <w:tc>
          <w:tcPr>
            <w:tcW w:w="1701" w:type="dxa"/>
          </w:tcPr>
          <w:p w14:paraId="46D70AF7"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Case weighted average default rate for calibration</w:t>
            </w:r>
          </w:p>
        </w:tc>
        <w:tc>
          <w:tcPr>
            <w:tcW w:w="1842" w:type="dxa"/>
          </w:tcPr>
          <w:p w14:paraId="42CC8603"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05EAE0B9" w14:textId="7EBE91E5" w:rsidR="004E7C96" w:rsidRDefault="008F7E3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w:t>
            </w:r>
            <w:r w:rsidR="00E847ED">
              <w:rPr>
                <w:rStyle w:val="InstructionsTabelleText"/>
                <w:rFonts w:ascii="Times New Roman" w:hAnsi="Times New Roman"/>
                <w:bCs w:val="0"/>
              </w:rPr>
              <w:t xml:space="preserve">simple </w:t>
            </w:r>
            <w:r w:rsidR="00131645" w:rsidRPr="00EA201D">
              <w:rPr>
                <w:rStyle w:val="InstructionsTabelleText"/>
                <w:rFonts w:ascii="Times New Roman" w:hAnsi="Times New Roman"/>
                <w:bCs w:val="0"/>
              </w:rPr>
              <w:t xml:space="preserve">average of the annual </w:t>
            </w:r>
            <w:r w:rsidR="00E847ED" w:rsidRPr="00EA201D">
              <w:rPr>
                <w:rStyle w:val="InstructionsTabelleText"/>
                <w:rFonts w:ascii="Times New Roman" w:hAnsi="Times New Roman"/>
                <w:bCs w:val="0"/>
              </w:rPr>
              <w:t>case</w:t>
            </w:r>
            <w:r w:rsidR="00E847ED">
              <w:rPr>
                <w:rStyle w:val="InstructionsTabelleText"/>
                <w:rFonts w:ascii="Times New Roman" w:hAnsi="Times New Roman"/>
                <w:bCs w:val="0"/>
              </w:rPr>
              <w:t>-</w:t>
            </w:r>
            <w:r w:rsidR="00E847ED" w:rsidRPr="00EA201D">
              <w:rPr>
                <w:rStyle w:val="InstructionsTabelleText"/>
                <w:rFonts w:ascii="Times New Roman" w:hAnsi="Times New Roman"/>
                <w:bCs w:val="0"/>
              </w:rPr>
              <w:t xml:space="preserve">weighted </w:t>
            </w:r>
            <w:r w:rsidR="00131645" w:rsidRPr="00EA201D">
              <w:rPr>
                <w:rStyle w:val="InstructionsTabelleText"/>
                <w:rFonts w:ascii="Times New Roman" w:hAnsi="Times New Roman"/>
                <w:bCs w:val="0"/>
              </w:rPr>
              <w:t>default rates used in the calibration of the PD models</w:t>
            </w:r>
            <w:r w:rsidR="00496342" w:rsidRPr="00EA201D">
              <w:rPr>
                <w:rStyle w:val="InstructionsTabelleText"/>
                <w:rFonts w:ascii="Times New Roman" w:hAnsi="Times New Roman"/>
                <w:bCs w:val="0"/>
              </w:rPr>
              <w:t xml:space="preserve"> shall be reported</w:t>
            </w:r>
            <w:r w:rsidRPr="00EA201D">
              <w:rPr>
                <w:rStyle w:val="InstructionsTabelleText"/>
                <w:rFonts w:ascii="Times New Roman" w:hAnsi="Times New Roman"/>
                <w:bCs w:val="0"/>
              </w:rPr>
              <w:t>.</w:t>
            </w:r>
            <w:r w:rsidR="00085F94">
              <w:rPr>
                <w:rStyle w:val="InstructionsTabelleText"/>
                <w:rFonts w:ascii="Times New Roman" w:hAnsi="Times New Roman"/>
                <w:bCs w:val="0"/>
              </w:rPr>
              <w:t xml:space="preserve"> </w:t>
            </w:r>
            <w:r w:rsidR="00085F94" w:rsidRPr="00085F94">
              <w:rPr>
                <w:rStyle w:val="InstructionsTabelleText"/>
                <w:rFonts w:ascii="Times New Roman" w:hAnsi="Times New Roman"/>
                <w:bCs w:val="0"/>
              </w:rPr>
              <w:t>This information shall be completed only for PD models.</w:t>
            </w:r>
            <w:r w:rsidR="004E7C96">
              <w:rPr>
                <w:rStyle w:val="InstructionsTabelleText"/>
                <w:rFonts w:ascii="Times New Roman" w:hAnsi="Times New Roman"/>
                <w:bCs w:val="0"/>
              </w:rPr>
              <w:t xml:space="preserve"> </w:t>
            </w:r>
          </w:p>
          <w:p w14:paraId="381669B9" w14:textId="77777777" w:rsidR="004E7C96" w:rsidRDefault="004E7C96" w:rsidP="00E847ED">
            <w:pPr>
              <w:pStyle w:val="InstructionsText"/>
              <w:rPr>
                <w:rStyle w:val="InstructionsTabelleText"/>
                <w:rFonts w:ascii="Times New Roman" w:hAnsi="Times New Roman"/>
                <w:bCs w:val="0"/>
              </w:rPr>
            </w:pPr>
          </w:p>
          <w:p w14:paraId="3B3E0A97" w14:textId="66DF44EA" w:rsidR="00131645" w:rsidRPr="00EA201D" w:rsidRDefault="005F6CAD" w:rsidP="00E847ED">
            <w:pPr>
              <w:pStyle w:val="InstructionsText"/>
              <w:rPr>
                <w:rStyle w:val="InstructionsTabelleText"/>
                <w:rFonts w:ascii="Times New Roman" w:hAnsi="Times New Roman"/>
                <w:bCs w:val="0"/>
              </w:rPr>
            </w:pPr>
            <w:r w:rsidRPr="005F6CAD">
              <w:rPr>
                <w:rStyle w:val="InstructionsTabelleText"/>
                <w:rFonts w:ascii="Times New Roman" w:hAnsi="Times New Roman"/>
                <w:bCs w:val="0"/>
              </w:rPr>
              <w:t xml:space="preserve">The data used in the calibration of the model parameters </w:t>
            </w:r>
            <w:r w:rsidR="001C31D1">
              <w:rPr>
                <w:rStyle w:val="InstructionsTabelleText"/>
                <w:rFonts w:ascii="Times New Roman" w:hAnsi="Times New Roman"/>
                <w:bCs w:val="0"/>
              </w:rPr>
              <w:t>shall</w:t>
            </w:r>
            <w:r w:rsidRPr="005F6CAD">
              <w:rPr>
                <w:rStyle w:val="InstructionsTabelleText"/>
                <w:rFonts w:ascii="Times New Roman" w:hAnsi="Times New Roman"/>
                <w:bCs w:val="0"/>
              </w:rPr>
              <w:t xml:space="preserve"> be used. If no internal data exists and the calibration is based on external data, then the external data </w:t>
            </w:r>
            <w:r w:rsidR="001C31D1">
              <w:rPr>
                <w:rStyle w:val="InstructionsTabelleText"/>
                <w:rFonts w:ascii="Times New Roman" w:hAnsi="Times New Roman"/>
                <w:bCs w:val="0"/>
              </w:rPr>
              <w:t xml:space="preserve">shall </w:t>
            </w:r>
            <w:r w:rsidRPr="005F6CAD">
              <w:rPr>
                <w:rStyle w:val="InstructionsTabelleText"/>
                <w:rFonts w:ascii="Times New Roman" w:hAnsi="Times New Roman"/>
                <w:bCs w:val="0"/>
              </w:rPr>
              <w:t>be reported</w:t>
            </w:r>
            <w:r>
              <w:rPr>
                <w:rStyle w:val="InstructionsTabelleText"/>
                <w:rFonts w:ascii="Times New Roman" w:hAnsi="Times New Roman"/>
                <w:bCs w:val="0"/>
              </w:rPr>
              <w:t>.</w:t>
            </w:r>
          </w:p>
        </w:tc>
      </w:tr>
      <w:tr w:rsidR="00131645" w:rsidRPr="00EA201D" w14:paraId="54120607" w14:textId="77777777" w:rsidTr="00585623">
        <w:tc>
          <w:tcPr>
            <w:tcW w:w="993" w:type="dxa"/>
          </w:tcPr>
          <w:p w14:paraId="00CEBAE5"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070</w:t>
            </w:r>
          </w:p>
        </w:tc>
        <w:tc>
          <w:tcPr>
            <w:tcW w:w="1701" w:type="dxa"/>
          </w:tcPr>
          <w:p w14:paraId="15E48CA1"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Long-run PD</w:t>
            </w:r>
          </w:p>
        </w:tc>
        <w:tc>
          <w:tcPr>
            <w:tcW w:w="1842" w:type="dxa"/>
          </w:tcPr>
          <w:p w14:paraId="7BF3C11F"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5144B64A" w14:textId="77777777" w:rsidR="00131645" w:rsidRPr="00EA201D" w:rsidRDefault="008F7E3B" w:rsidP="00E847ED">
            <w:pPr>
              <w:pStyle w:val="InstructionsText"/>
              <w:rPr>
                <w:rStyle w:val="InstructionsTabelleText"/>
                <w:rFonts w:ascii="Times New Roman" w:hAnsi="Times New Roman"/>
                <w:bCs w:val="0"/>
              </w:rPr>
            </w:pPr>
            <w:r w:rsidRPr="00EA201D">
              <w:t xml:space="preserve">The </w:t>
            </w:r>
            <w:r w:rsidR="00131645" w:rsidRPr="00EA201D">
              <w:t>central tendency used by the institution in the calibration of the models</w:t>
            </w:r>
            <w:r w:rsidR="00496342" w:rsidRPr="00EA201D">
              <w:t xml:space="preserve"> that</w:t>
            </w:r>
            <w:r w:rsidR="00131645" w:rsidRPr="00EA201D">
              <w:t xml:space="preserve"> incorporates any prudent adjustment to the simple case weighted average of the annual default rates used in the calibration of the PD models</w:t>
            </w:r>
            <w:r w:rsidR="00496342" w:rsidRPr="00EA201D">
              <w:t xml:space="preserve"> shall be reported</w:t>
            </w:r>
            <w:r w:rsidRPr="00EA201D">
              <w:t>.</w:t>
            </w:r>
            <w:r w:rsidR="00085F94">
              <w:t xml:space="preserve"> </w:t>
            </w:r>
            <w:r w:rsidR="00085F94" w:rsidRPr="00085F94">
              <w:t>This information shall be completed only for PD models.</w:t>
            </w:r>
          </w:p>
        </w:tc>
      </w:tr>
      <w:tr w:rsidR="00131645" w:rsidRPr="00EA201D" w14:paraId="4C5C1E80" w14:textId="77777777" w:rsidTr="00585623">
        <w:tc>
          <w:tcPr>
            <w:tcW w:w="993" w:type="dxa"/>
          </w:tcPr>
          <w:p w14:paraId="527E2FE1"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080</w:t>
            </w:r>
          </w:p>
        </w:tc>
        <w:tc>
          <w:tcPr>
            <w:tcW w:w="1701" w:type="dxa"/>
          </w:tcPr>
          <w:p w14:paraId="4DFFB5CF"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Cure rate defaulted asset</w:t>
            </w:r>
          </w:p>
        </w:tc>
        <w:tc>
          <w:tcPr>
            <w:tcW w:w="1842" w:type="dxa"/>
          </w:tcPr>
          <w:p w14:paraId="65EEB5B1"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1C75090C" w14:textId="77777777" w:rsidR="000553FC" w:rsidRPr="000553FC" w:rsidRDefault="000553FC" w:rsidP="000553FC">
            <w:pPr>
              <w:pStyle w:val="InstructionsText"/>
            </w:pPr>
            <w:r w:rsidRPr="000553FC">
              <w:t>The cure rate defaulted asset shall be the percentage of defaulted outstanding that returns in ‘non-defaulted’ status over a 12 months period.</w:t>
            </w:r>
          </w:p>
          <w:p w14:paraId="50E8CB6E" w14:textId="77777777" w:rsidR="000553FC" w:rsidRPr="000553FC" w:rsidRDefault="000553FC" w:rsidP="000553FC">
            <w:pPr>
              <w:pStyle w:val="InstructionsText"/>
            </w:pPr>
          </w:p>
          <w:p w14:paraId="5A42B665" w14:textId="498DF09C" w:rsidR="00131645" w:rsidRPr="00EA201D" w:rsidRDefault="000553FC">
            <w:pPr>
              <w:pStyle w:val="InstructionsText"/>
              <w:rPr>
                <w:rStyle w:val="InstructionsTabelleText"/>
                <w:rFonts w:ascii="Times New Roman" w:hAnsi="Times New Roman"/>
                <w:bCs w:val="0"/>
              </w:rPr>
            </w:pPr>
            <w:r w:rsidRPr="000553FC">
              <w:t>An institution that does not calculate cure rates for a given model shall calculate a proxy for cure rates, in accordance with the definition provided. The institution shall report the use of a proxy to the competent authority. This information shall be completed only for LGD models.</w:t>
            </w:r>
          </w:p>
        </w:tc>
      </w:tr>
      <w:tr w:rsidR="00131645" w:rsidRPr="00EA201D" w14:paraId="1FED1F7D" w14:textId="77777777" w:rsidTr="00585623">
        <w:tc>
          <w:tcPr>
            <w:tcW w:w="993" w:type="dxa"/>
          </w:tcPr>
          <w:p w14:paraId="050AFE3A"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090</w:t>
            </w:r>
          </w:p>
        </w:tc>
        <w:tc>
          <w:tcPr>
            <w:tcW w:w="1701" w:type="dxa"/>
          </w:tcPr>
          <w:p w14:paraId="11C7B5DD" w14:textId="5AB8BCE2" w:rsidR="00131645" w:rsidRPr="00EA201D" w:rsidRDefault="00E740BF" w:rsidP="00E847ED">
            <w:pPr>
              <w:pStyle w:val="InstructionsText"/>
              <w:rPr>
                <w:rStyle w:val="InstructionsTabelleText"/>
                <w:rFonts w:ascii="Times New Roman" w:hAnsi="Times New Roman"/>
                <w:bCs w:val="0"/>
              </w:rPr>
            </w:pPr>
            <w:r>
              <w:rPr>
                <w:color w:val="000000"/>
              </w:rPr>
              <w:t>Recovery rate not cured foreclosed assets</w:t>
            </w:r>
          </w:p>
        </w:tc>
        <w:tc>
          <w:tcPr>
            <w:tcW w:w="1842" w:type="dxa"/>
          </w:tcPr>
          <w:p w14:paraId="35989B01"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3A7F4649" w14:textId="1DD94FFC" w:rsidR="00852019" w:rsidRDefault="009F4B13" w:rsidP="00E847ED">
            <w:pPr>
              <w:pStyle w:val="InstructionsText"/>
            </w:pPr>
            <w:r w:rsidRPr="00EA201D">
              <w:t xml:space="preserve">The </w:t>
            </w:r>
            <w:r w:rsidR="006638CC" w:rsidRPr="00EA201D">
              <w:t>case-</w:t>
            </w:r>
            <w:r w:rsidR="00131645" w:rsidRPr="00EA201D">
              <w:t>weighted average recovery rate for no</w:t>
            </w:r>
            <w:r w:rsidR="009D09F2" w:rsidRPr="00EA201D">
              <w:t>t</w:t>
            </w:r>
            <w:r w:rsidR="00131645" w:rsidRPr="00EA201D">
              <w:t xml:space="preserve"> cured defaults included in the time series used by the institution for the calibration of the LGD models on non-defaulted assets</w:t>
            </w:r>
            <w:r w:rsidR="006638CC" w:rsidRPr="00EA201D">
              <w:t xml:space="preserve"> shall be reported</w:t>
            </w:r>
            <w:r w:rsidR="009D09F2" w:rsidRPr="00EA201D">
              <w:t>.</w:t>
            </w:r>
          </w:p>
          <w:p w14:paraId="34DE2827" w14:textId="6161D3B7" w:rsidR="005F6CAD" w:rsidRDefault="005F6CAD" w:rsidP="00E847ED">
            <w:pPr>
              <w:pStyle w:val="InstructionsText"/>
            </w:pPr>
          </w:p>
          <w:p w14:paraId="1A53E7B7" w14:textId="40ABA3C7" w:rsidR="00131645" w:rsidRPr="00EA201D" w:rsidRDefault="005F6CAD" w:rsidP="001C31D1">
            <w:pPr>
              <w:autoSpaceDE w:val="0"/>
              <w:autoSpaceDN w:val="0"/>
              <w:adjustRightInd w:val="0"/>
              <w:spacing w:after="0"/>
              <w:rPr>
                <w:rStyle w:val="InstructionsTabelleText"/>
                <w:rFonts w:ascii="Times New Roman" w:hAnsi="Times New Roman"/>
                <w:bCs/>
              </w:rPr>
            </w:pPr>
            <w:r w:rsidRPr="005F6CAD">
              <w:rPr>
                <w:rStyle w:val="InstructionsTabelleText"/>
                <w:rFonts w:ascii="Times New Roman" w:hAnsi="Times New Roman"/>
              </w:rPr>
              <w:lastRenderedPageBreak/>
              <w:t xml:space="preserve">The data used in the calibration of the model parameters </w:t>
            </w:r>
            <w:r w:rsidR="001C31D1">
              <w:rPr>
                <w:rStyle w:val="InstructionsTabelleText"/>
                <w:rFonts w:ascii="Times New Roman" w:hAnsi="Times New Roman"/>
              </w:rPr>
              <w:t>shall</w:t>
            </w:r>
            <w:r w:rsidRPr="005F6CAD">
              <w:rPr>
                <w:rStyle w:val="InstructionsTabelleText"/>
                <w:rFonts w:ascii="Times New Roman" w:hAnsi="Times New Roman"/>
              </w:rPr>
              <w:t xml:space="preserve"> be used. If no internal data exists and the calibration is based on external data, then the external data </w:t>
            </w:r>
            <w:r w:rsidR="001C31D1">
              <w:rPr>
                <w:rStyle w:val="InstructionsTabelleText"/>
                <w:rFonts w:ascii="Times New Roman" w:hAnsi="Times New Roman"/>
              </w:rPr>
              <w:t xml:space="preserve">shall </w:t>
            </w:r>
            <w:r w:rsidRPr="005F6CAD">
              <w:rPr>
                <w:rStyle w:val="InstructionsTabelleText"/>
                <w:rFonts w:ascii="Times New Roman" w:hAnsi="Times New Roman"/>
              </w:rPr>
              <w:t>be reported</w:t>
            </w:r>
            <w:r>
              <w:rPr>
                <w:rStyle w:val="InstructionsTabelleText"/>
                <w:rFonts w:ascii="Times New Roman" w:hAnsi="Times New Roman"/>
              </w:rPr>
              <w:t>.</w:t>
            </w:r>
            <w:r w:rsidR="002B5578">
              <w:rPr>
                <w:rStyle w:val="InstructionsTabelleText"/>
                <w:rFonts w:ascii="Times New Roman" w:hAnsi="Times New Roman"/>
              </w:rPr>
              <w:t xml:space="preserve"> </w:t>
            </w:r>
            <w:r w:rsidR="009F4B13" w:rsidRPr="00EA201D">
              <w:rPr>
                <w:rStyle w:val="InstructionsTabelleText"/>
                <w:rFonts w:ascii="Times New Roman" w:hAnsi="Times New Roman"/>
                <w:bCs/>
              </w:rPr>
              <w:t>A</w:t>
            </w:r>
            <w:r w:rsidR="00131645" w:rsidRPr="00EA201D">
              <w:rPr>
                <w:rStyle w:val="InstructionsTabelleText"/>
                <w:rFonts w:ascii="Times New Roman" w:hAnsi="Times New Roman"/>
                <w:bCs/>
              </w:rPr>
              <w:t>n institution</w:t>
            </w:r>
            <w:r w:rsidR="009F4B13" w:rsidRPr="00EA201D">
              <w:rPr>
                <w:rStyle w:val="InstructionsTabelleText"/>
                <w:rFonts w:ascii="Times New Roman" w:hAnsi="Times New Roman"/>
                <w:bCs/>
              </w:rPr>
              <w:t xml:space="preserve"> that</w:t>
            </w:r>
            <w:r w:rsidR="00131645" w:rsidRPr="00EA201D">
              <w:rPr>
                <w:rStyle w:val="InstructionsTabelleText"/>
                <w:rFonts w:ascii="Times New Roman" w:hAnsi="Times New Roman"/>
                <w:bCs/>
              </w:rPr>
              <w:t xml:space="preserve"> does not have </w:t>
            </w:r>
            <w:r w:rsidR="009F4B13" w:rsidRPr="00EA201D">
              <w:rPr>
                <w:rStyle w:val="InstructionsTabelleText"/>
                <w:rFonts w:ascii="Times New Roman" w:hAnsi="Times New Roman"/>
                <w:bCs/>
              </w:rPr>
              <w:t xml:space="preserve">a </w:t>
            </w:r>
            <w:r w:rsidR="00131645" w:rsidRPr="00EA201D">
              <w:rPr>
                <w:rStyle w:val="InstructionsTabelleText"/>
                <w:rFonts w:ascii="Times New Roman" w:hAnsi="Times New Roman"/>
                <w:bCs/>
              </w:rPr>
              <w:t>specific recovery rate for no</w:t>
            </w:r>
            <w:r w:rsidR="001C31D1">
              <w:rPr>
                <w:rStyle w:val="InstructionsTabelleText"/>
                <w:rFonts w:ascii="Times New Roman" w:hAnsi="Times New Roman"/>
                <w:bCs/>
              </w:rPr>
              <w:t>n-</w:t>
            </w:r>
            <w:r w:rsidR="00131645" w:rsidRPr="00EA201D">
              <w:rPr>
                <w:rStyle w:val="InstructionsTabelleText"/>
                <w:rFonts w:ascii="Times New Roman" w:hAnsi="Times New Roman"/>
                <w:bCs/>
              </w:rPr>
              <w:t>cured defaults</w:t>
            </w:r>
            <w:r w:rsidR="00A34733">
              <w:rPr>
                <w:rStyle w:val="InstructionsTabelleText"/>
                <w:rFonts w:ascii="Times New Roman" w:hAnsi="Times New Roman"/>
                <w:bCs/>
              </w:rPr>
              <w:t xml:space="preserve"> due to an incomplete recovery procedure,</w:t>
            </w:r>
            <w:r w:rsidR="00131645" w:rsidRPr="00EA201D">
              <w:rPr>
                <w:rStyle w:val="InstructionsTabelleText"/>
                <w:rFonts w:ascii="Times New Roman" w:hAnsi="Times New Roman"/>
                <w:bCs/>
              </w:rPr>
              <w:t xml:space="preserve"> shall calculate a proxy taking into account </w:t>
            </w:r>
            <w:r w:rsidR="00E36850" w:rsidRPr="00E36850">
              <w:rPr>
                <w:rStyle w:val="InstructionsTabelleText"/>
                <w:rFonts w:ascii="Times New Roman" w:hAnsi="Times New Roman"/>
                <w:bCs/>
              </w:rPr>
              <w:t xml:space="preserve">observed recoveries as well as the estimations of recoveries for incomplete workout </w:t>
            </w:r>
            <w:r w:rsidR="00131645" w:rsidRPr="00EA201D">
              <w:rPr>
                <w:rStyle w:val="InstructionsTabelleText"/>
                <w:rFonts w:ascii="Times New Roman" w:hAnsi="Times New Roman"/>
                <w:bCs/>
              </w:rPr>
              <w:t xml:space="preserve">. </w:t>
            </w:r>
            <w:r w:rsidR="009F4B13" w:rsidRPr="00EA201D">
              <w:rPr>
                <w:rStyle w:val="InstructionsTabelleText"/>
                <w:rFonts w:ascii="Times New Roman" w:hAnsi="Times New Roman"/>
                <w:bCs/>
              </w:rPr>
              <w:t>The institution shall report the use of a proxy to the competent authority.</w:t>
            </w:r>
            <w:r w:rsidR="00085F94">
              <w:rPr>
                <w:rStyle w:val="InstructionsTabelleText"/>
                <w:rFonts w:ascii="Times New Roman" w:hAnsi="Times New Roman"/>
                <w:bCs/>
              </w:rPr>
              <w:t xml:space="preserve"> </w:t>
            </w:r>
            <w:r w:rsidR="00085F94" w:rsidRPr="00085F94">
              <w:rPr>
                <w:rStyle w:val="InstructionsTabelleText"/>
                <w:rFonts w:ascii="Times New Roman" w:hAnsi="Times New Roman"/>
                <w:bCs/>
              </w:rPr>
              <w:t>This information shall be completed only for LGD models.</w:t>
            </w:r>
          </w:p>
        </w:tc>
      </w:tr>
      <w:tr w:rsidR="00131645" w:rsidRPr="00EA201D" w14:paraId="2D0AC36F" w14:textId="77777777" w:rsidTr="00585623">
        <w:tc>
          <w:tcPr>
            <w:tcW w:w="993" w:type="dxa"/>
          </w:tcPr>
          <w:p w14:paraId="66DDC73D"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lastRenderedPageBreak/>
              <w:t>100</w:t>
            </w:r>
          </w:p>
        </w:tc>
        <w:tc>
          <w:tcPr>
            <w:tcW w:w="1701" w:type="dxa"/>
          </w:tcPr>
          <w:p w14:paraId="65315E47" w14:textId="7C330AD5" w:rsidR="00131645" w:rsidRPr="00EA201D" w:rsidRDefault="00E740BF" w:rsidP="00E847ED">
            <w:pPr>
              <w:pStyle w:val="InstructionsText"/>
              <w:rPr>
                <w:rStyle w:val="InstructionsTabelleText"/>
                <w:rFonts w:ascii="Times New Roman" w:hAnsi="Times New Roman"/>
                <w:bCs w:val="0"/>
              </w:rPr>
            </w:pPr>
            <w:r>
              <w:rPr>
                <w:color w:val="000000"/>
              </w:rPr>
              <w:t>Recovery period length not cured foreclosed assets</w:t>
            </w:r>
          </w:p>
        </w:tc>
        <w:tc>
          <w:tcPr>
            <w:tcW w:w="1842" w:type="dxa"/>
          </w:tcPr>
          <w:p w14:paraId="31FAB1F2" w14:textId="77777777" w:rsidR="00131645" w:rsidRPr="00EA201D" w:rsidRDefault="00131645" w:rsidP="00E847ED">
            <w:pPr>
              <w:pStyle w:val="InstructionsText"/>
              <w:rPr>
                <w:rStyle w:val="InstructionsTabelleText"/>
                <w:rFonts w:ascii="Times New Roman" w:hAnsi="Times New Roman"/>
                <w:bCs w:val="0"/>
              </w:rPr>
            </w:pPr>
          </w:p>
        </w:tc>
        <w:tc>
          <w:tcPr>
            <w:tcW w:w="9781" w:type="dxa"/>
          </w:tcPr>
          <w:p w14:paraId="798956D2" w14:textId="7B257E85" w:rsidR="00131645" w:rsidRDefault="009F4B13" w:rsidP="00E847ED">
            <w:pPr>
              <w:pStyle w:val="InstructionsText"/>
            </w:pPr>
            <w:r w:rsidRPr="00EA201D">
              <w:t xml:space="preserve">The </w:t>
            </w:r>
            <w:r w:rsidR="00131645" w:rsidRPr="00EA201D">
              <w:t>case</w:t>
            </w:r>
            <w:r w:rsidR="00EA201D">
              <w:t>-</w:t>
            </w:r>
            <w:r w:rsidR="00131645" w:rsidRPr="00EA201D">
              <w:t>weighted average length of the recovery period (from the start of the default status to the completion date of the recovery procedures) for the no</w:t>
            </w:r>
            <w:r w:rsidR="00430FB0">
              <w:t xml:space="preserve">t </w:t>
            </w:r>
            <w:r w:rsidR="00131645" w:rsidRPr="00EA201D">
              <w:t>cured defaults included in the time series used by the institution for the calibration of the LGD models on non-defaulted assets</w:t>
            </w:r>
            <w:r w:rsidR="006638CC" w:rsidRPr="00EA201D">
              <w:t xml:space="preserve"> shall be reported</w:t>
            </w:r>
            <w:r w:rsidR="009D09F2" w:rsidRPr="00EA201D">
              <w:t>. It shall be expressed in number of days.</w:t>
            </w:r>
          </w:p>
          <w:p w14:paraId="6873A502" w14:textId="5E73441E" w:rsidR="005F6CAD" w:rsidRDefault="005F6CAD" w:rsidP="00E847ED">
            <w:pPr>
              <w:pStyle w:val="InstructionsText"/>
            </w:pPr>
          </w:p>
          <w:p w14:paraId="07090C84" w14:textId="68E6F006" w:rsidR="005F6CAD" w:rsidRPr="00EA201D" w:rsidRDefault="005F6CAD" w:rsidP="00E847ED">
            <w:pPr>
              <w:pStyle w:val="InstructionsText"/>
            </w:pPr>
            <w:r w:rsidRPr="005F6CAD">
              <w:rPr>
                <w:rStyle w:val="InstructionsTabelleText"/>
                <w:rFonts w:ascii="Times New Roman" w:hAnsi="Times New Roman"/>
                <w:bCs w:val="0"/>
              </w:rPr>
              <w:t xml:space="preserve">The data used in the calibration of the model parameters </w:t>
            </w:r>
            <w:r w:rsidR="001C31D1">
              <w:rPr>
                <w:rStyle w:val="InstructionsTabelleText"/>
                <w:rFonts w:ascii="Times New Roman" w:hAnsi="Times New Roman"/>
                <w:bCs w:val="0"/>
              </w:rPr>
              <w:t>shall</w:t>
            </w:r>
            <w:r w:rsidRPr="005F6CAD">
              <w:rPr>
                <w:rStyle w:val="InstructionsTabelleText"/>
                <w:rFonts w:ascii="Times New Roman" w:hAnsi="Times New Roman"/>
                <w:bCs w:val="0"/>
              </w:rPr>
              <w:t xml:space="preserve"> be used. If no internal data exists and the calibration is based on external data, then the external data </w:t>
            </w:r>
            <w:r w:rsidR="001C31D1">
              <w:rPr>
                <w:rStyle w:val="InstructionsTabelleText"/>
                <w:rFonts w:ascii="Times New Roman" w:hAnsi="Times New Roman"/>
                <w:bCs w:val="0"/>
              </w:rPr>
              <w:t xml:space="preserve">shall </w:t>
            </w:r>
            <w:r w:rsidRPr="005F6CAD">
              <w:rPr>
                <w:rStyle w:val="InstructionsTabelleText"/>
                <w:rFonts w:ascii="Times New Roman" w:hAnsi="Times New Roman"/>
                <w:bCs w:val="0"/>
              </w:rPr>
              <w:t>be reported</w:t>
            </w:r>
            <w:r>
              <w:rPr>
                <w:rStyle w:val="InstructionsTabelleText"/>
                <w:rFonts w:ascii="Times New Roman" w:hAnsi="Times New Roman"/>
                <w:bCs w:val="0"/>
              </w:rPr>
              <w:t>.</w:t>
            </w:r>
          </w:p>
          <w:p w14:paraId="24D4A230" w14:textId="77777777" w:rsidR="006638CC" w:rsidRPr="00EA201D" w:rsidRDefault="006638CC" w:rsidP="00E847ED">
            <w:pPr>
              <w:pStyle w:val="InstructionsText"/>
            </w:pPr>
          </w:p>
          <w:p w14:paraId="0C5ED47F" w14:textId="77777777" w:rsidR="00131645" w:rsidRPr="00EA201D" w:rsidRDefault="009F4B13"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w:t>
            </w:r>
            <w:r w:rsidR="00131645" w:rsidRPr="00EA201D">
              <w:rPr>
                <w:rStyle w:val="InstructionsTabelleText"/>
                <w:rFonts w:ascii="Times New Roman" w:hAnsi="Times New Roman"/>
                <w:bCs w:val="0"/>
              </w:rPr>
              <w:t xml:space="preserve">n institution </w:t>
            </w:r>
            <w:r w:rsidRPr="00EA201D">
              <w:rPr>
                <w:rStyle w:val="InstructionsTabelleText"/>
                <w:rFonts w:ascii="Times New Roman" w:hAnsi="Times New Roman"/>
                <w:bCs w:val="0"/>
              </w:rPr>
              <w:t xml:space="preserve">that </w:t>
            </w:r>
            <w:r w:rsidR="00131645" w:rsidRPr="00EA201D">
              <w:rPr>
                <w:rStyle w:val="InstructionsTabelleText"/>
                <w:rFonts w:ascii="Times New Roman" w:hAnsi="Times New Roman"/>
                <w:bCs w:val="0"/>
              </w:rPr>
              <w:t xml:space="preserve">does not have </w:t>
            </w:r>
            <w:r w:rsidRPr="00EA201D">
              <w:rPr>
                <w:rStyle w:val="InstructionsTabelleText"/>
                <w:rFonts w:ascii="Times New Roman" w:hAnsi="Times New Roman"/>
                <w:bCs w:val="0"/>
              </w:rPr>
              <w:t xml:space="preserve">a </w:t>
            </w:r>
            <w:r w:rsidR="00131645" w:rsidRPr="00EA201D">
              <w:rPr>
                <w:rStyle w:val="InstructionsTabelleText"/>
                <w:rFonts w:ascii="Times New Roman" w:hAnsi="Times New Roman"/>
                <w:bCs w:val="0"/>
              </w:rPr>
              <w:t>specific recovery period length for no</w:t>
            </w:r>
            <w:r w:rsidR="00A34733">
              <w:rPr>
                <w:rStyle w:val="InstructionsTabelleText"/>
                <w:rFonts w:ascii="Times New Roman" w:hAnsi="Times New Roman"/>
                <w:bCs w:val="0"/>
              </w:rPr>
              <w:t>t</w:t>
            </w:r>
            <w:r w:rsidR="00131645" w:rsidRPr="00EA201D">
              <w:rPr>
                <w:rStyle w:val="InstructionsTabelleText"/>
                <w:rFonts w:ascii="Times New Roman" w:hAnsi="Times New Roman"/>
                <w:bCs w:val="0"/>
              </w:rPr>
              <w:t xml:space="preserve"> cured defaults</w:t>
            </w:r>
            <w:r w:rsidR="00A34733">
              <w:rPr>
                <w:rStyle w:val="InstructionsTabelleText"/>
                <w:rFonts w:ascii="Times New Roman" w:hAnsi="Times New Roman"/>
                <w:bCs w:val="0"/>
              </w:rPr>
              <w:t>, due to an incomplete recovery procedure,</w:t>
            </w:r>
            <w:r w:rsidR="00131645" w:rsidRPr="00EA201D">
              <w:rPr>
                <w:rStyle w:val="InstructionsTabelleText"/>
                <w:rFonts w:ascii="Times New Roman" w:hAnsi="Times New Roman"/>
                <w:bCs w:val="0"/>
              </w:rPr>
              <w:t xml:space="preserve"> shall calculate a proxy taking into account the definition provided. </w:t>
            </w:r>
            <w:r w:rsidRPr="00EA201D">
              <w:rPr>
                <w:rStyle w:val="InstructionsTabelleText"/>
                <w:rFonts w:ascii="Times New Roman" w:hAnsi="Times New Roman"/>
                <w:bCs w:val="0"/>
              </w:rPr>
              <w:t>The institution shall report the use of a proxy to the competent authority.</w:t>
            </w:r>
            <w:r w:rsidR="00085F94">
              <w:rPr>
                <w:rStyle w:val="InstructionsTabelleText"/>
                <w:rFonts w:ascii="Times New Roman" w:hAnsi="Times New Roman"/>
                <w:bCs w:val="0"/>
              </w:rPr>
              <w:t xml:space="preserve"> </w:t>
            </w:r>
            <w:r w:rsidR="00085F94" w:rsidRPr="00085F94">
              <w:rPr>
                <w:rStyle w:val="InstructionsTabelleText"/>
                <w:rFonts w:ascii="Times New Roman" w:hAnsi="Times New Roman"/>
                <w:bCs w:val="0"/>
              </w:rPr>
              <w:t>This information shall be completed only for LGD models.</w:t>
            </w:r>
          </w:p>
        </w:tc>
      </w:tr>
      <w:tr w:rsidR="00131645" w:rsidRPr="00EA201D" w14:paraId="7B1BF994" w14:textId="77777777" w:rsidTr="00585623">
        <w:tc>
          <w:tcPr>
            <w:tcW w:w="993" w:type="dxa"/>
          </w:tcPr>
          <w:p w14:paraId="10F8551D" w14:textId="77777777" w:rsidR="00131645" w:rsidRPr="00EA201D" w:rsidRDefault="00131645" w:rsidP="00E847ED">
            <w:pPr>
              <w:pStyle w:val="InstructionsText"/>
              <w:rPr>
                <w:rStyle w:val="InstructionsTabelleText"/>
                <w:rFonts w:ascii="Times New Roman" w:hAnsi="Times New Roman"/>
                <w:bCs w:val="0"/>
              </w:rPr>
            </w:pPr>
            <w:r w:rsidRPr="00EA201D">
              <w:t>110</w:t>
            </w:r>
          </w:p>
        </w:tc>
        <w:tc>
          <w:tcPr>
            <w:tcW w:w="1701" w:type="dxa"/>
          </w:tcPr>
          <w:p w14:paraId="21E60092"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Joint decision</w:t>
            </w:r>
          </w:p>
        </w:tc>
        <w:tc>
          <w:tcPr>
            <w:tcW w:w="1842" w:type="dxa"/>
          </w:tcPr>
          <w:p w14:paraId="0FB09C03" w14:textId="6EE6F71A" w:rsidR="00131645" w:rsidRPr="00EA201D" w:rsidRDefault="00131645" w:rsidP="00E847ED">
            <w:pPr>
              <w:pStyle w:val="InstructionsText"/>
              <w:rPr>
                <w:rStyle w:val="InstructionsTabelleText"/>
                <w:rFonts w:ascii="Times New Roman" w:hAnsi="Times New Roman"/>
                <w:bCs w:val="0"/>
              </w:rPr>
            </w:pPr>
            <w:r w:rsidRPr="00EA201D">
              <w:t>Art</w:t>
            </w:r>
            <w:r w:rsidR="00A80BF9" w:rsidRPr="00EA201D">
              <w:t>icle</w:t>
            </w:r>
            <w:r w:rsidRPr="00EA201D">
              <w:t xml:space="preserve"> 20</w:t>
            </w:r>
            <w:r w:rsidR="007C5F44">
              <w:t>(2)</w:t>
            </w:r>
            <w:r w:rsidRPr="00EA201D">
              <w:t xml:space="preserve">(a) </w:t>
            </w:r>
            <w:r w:rsidR="009F4B13" w:rsidRPr="00EA201D">
              <w:t xml:space="preserve">of </w:t>
            </w:r>
            <w:r w:rsidRPr="00EA201D">
              <w:t>Regulation (EU) No 575/2013</w:t>
            </w:r>
          </w:p>
        </w:tc>
        <w:tc>
          <w:tcPr>
            <w:tcW w:w="9781" w:type="dxa"/>
          </w:tcPr>
          <w:p w14:paraId="055DD0B2" w14:textId="68A3E3BE" w:rsidR="00131645" w:rsidRPr="00EA201D" w:rsidRDefault="006638CC" w:rsidP="00E847ED">
            <w:pPr>
              <w:pStyle w:val="InstructionsText"/>
            </w:pPr>
            <w:r w:rsidRPr="00EA201D">
              <w:t>The i</w:t>
            </w:r>
            <w:r w:rsidR="00131645" w:rsidRPr="00EA201D">
              <w:t xml:space="preserve">nstitution shall report whether or not a joint decision on prudential requirements does exist between the consolidating and the host competent authority regarding the permission to use </w:t>
            </w:r>
            <w:r w:rsidRPr="00EA201D">
              <w:t xml:space="preserve">the </w:t>
            </w:r>
            <w:r w:rsidR="00131645" w:rsidRPr="00EA201D">
              <w:t>IRB</w:t>
            </w:r>
            <w:r w:rsidRPr="00EA201D">
              <w:t xml:space="preserve"> approach</w:t>
            </w:r>
            <w:r w:rsidR="00131645" w:rsidRPr="00EA201D">
              <w:t xml:space="preserve"> for the c</w:t>
            </w:r>
            <w:r w:rsidR="009F4B13" w:rsidRPr="00EA201D">
              <w:t>alculation</w:t>
            </w:r>
            <w:r w:rsidR="00131645" w:rsidRPr="00EA201D">
              <w:t xml:space="preserve"> of the prudential requirements for the exposures h</w:t>
            </w:r>
            <w:r w:rsidR="009F4B13" w:rsidRPr="00EA201D">
              <w:t>e</w:t>
            </w:r>
            <w:r w:rsidR="00131645" w:rsidRPr="00EA201D">
              <w:t>ld by the subsidiaries of the institutions in the reported benchmarking portfolios.</w:t>
            </w:r>
          </w:p>
        </w:tc>
      </w:tr>
      <w:tr w:rsidR="00131645" w:rsidRPr="00EA201D" w14:paraId="47A70E6F" w14:textId="77777777" w:rsidTr="00585623">
        <w:tc>
          <w:tcPr>
            <w:tcW w:w="993" w:type="dxa"/>
          </w:tcPr>
          <w:p w14:paraId="7B429674"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120</w:t>
            </w:r>
          </w:p>
        </w:tc>
        <w:tc>
          <w:tcPr>
            <w:tcW w:w="1701" w:type="dxa"/>
          </w:tcPr>
          <w:p w14:paraId="4492CB5D"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Consolidating supervisor</w:t>
            </w:r>
          </w:p>
        </w:tc>
        <w:tc>
          <w:tcPr>
            <w:tcW w:w="1842" w:type="dxa"/>
          </w:tcPr>
          <w:p w14:paraId="4E9085ED" w14:textId="77777777" w:rsidR="00131645" w:rsidRPr="00EA201D" w:rsidRDefault="00131645"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Art</w:t>
            </w:r>
            <w:r w:rsidR="00203D2B" w:rsidRPr="00EA201D">
              <w:rPr>
                <w:rStyle w:val="InstructionsTabelleText"/>
                <w:rFonts w:ascii="Times New Roman" w:hAnsi="Times New Roman"/>
                <w:bCs w:val="0"/>
              </w:rPr>
              <w:t>icle</w:t>
            </w:r>
            <w:r w:rsidRPr="00EA201D">
              <w:rPr>
                <w:rStyle w:val="InstructionsTabelleText"/>
                <w:rFonts w:ascii="Times New Roman" w:hAnsi="Times New Roman"/>
                <w:bCs w:val="0"/>
              </w:rPr>
              <w:t xml:space="preserve"> 20 </w:t>
            </w:r>
            <w:r w:rsidR="009F4B13"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Regulation (EU) No 575/2013</w:t>
            </w:r>
          </w:p>
        </w:tc>
        <w:tc>
          <w:tcPr>
            <w:tcW w:w="9781" w:type="dxa"/>
          </w:tcPr>
          <w:p w14:paraId="196EB875" w14:textId="7264D4A6" w:rsidR="00131645" w:rsidRPr="00EA201D" w:rsidRDefault="009F4B13" w:rsidP="00E847ED">
            <w:pPr>
              <w:pStyle w:val="InstructionsText"/>
            </w:pPr>
            <w:r w:rsidRPr="00EA201D">
              <w:t xml:space="preserve">The </w:t>
            </w:r>
            <w:r w:rsidR="00131645" w:rsidRPr="00EA201D">
              <w:t xml:space="preserve">country ISO code of the </w:t>
            </w:r>
            <w:r w:rsidR="006638CC" w:rsidRPr="00EA201D">
              <w:t xml:space="preserve">country of origin of the </w:t>
            </w:r>
            <w:r w:rsidR="00131645" w:rsidRPr="00EA201D">
              <w:t>competent authority</w:t>
            </w:r>
            <w:r w:rsidR="007C5F44">
              <w:t xml:space="preserve"> </w:t>
            </w:r>
            <w:r w:rsidR="002B5578">
              <w:t>responsible</w:t>
            </w:r>
            <w:r w:rsidR="00131645" w:rsidRPr="00EA201D">
              <w:t xml:space="preserve"> for the consolidated supervision of the institution</w:t>
            </w:r>
            <w:r w:rsidR="006638CC" w:rsidRPr="00EA201D">
              <w:t xml:space="preserve"> using an IRB approach shall be reported</w:t>
            </w:r>
            <w:r w:rsidRPr="00EA201D">
              <w:t>.</w:t>
            </w:r>
          </w:p>
        </w:tc>
      </w:tr>
      <w:tr w:rsidR="00F436D1" w:rsidRPr="00EA201D" w14:paraId="3606DB31" w14:textId="77777777" w:rsidTr="00585623">
        <w:tc>
          <w:tcPr>
            <w:tcW w:w="993" w:type="dxa"/>
          </w:tcPr>
          <w:p w14:paraId="6EE19F6C"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130</w:t>
            </w:r>
          </w:p>
        </w:tc>
        <w:tc>
          <w:tcPr>
            <w:tcW w:w="1701" w:type="dxa"/>
          </w:tcPr>
          <w:p w14:paraId="60ADF00A"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RWA</w:t>
            </w:r>
          </w:p>
        </w:tc>
        <w:tc>
          <w:tcPr>
            <w:tcW w:w="1842" w:type="dxa"/>
          </w:tcPr>
          <w:p w14:paraId="0BDE8894" w14:textId="393A0359" w:rsidR="00F436D1" w:rsidRPr="00EA201D" w:rsidRDefault="008515EE" w:rsidP="00E847ED">
            <w:pPr>
              <w:pStyle w:val="InstructionsText"/>
              <w:rPr>
                <w:rStyle w:val="InstructionsTabelleText"/>
                <w:rFonts w:ascii="Times New Roman" w:hAnsi="Times New Roman"/>
                <w:bCs w:val="0"/>
              </w:rPr>
            </w:pPr>
            <w:r w:rsidRPr="00EA201D">
              <w:t xml:space="preserve">Column 260 of template 8.1 of Annex </w:t>
            </w:r>
            <w:r w:rsidR="007C5F44">
              <w:t>I</w:t>
            </w:r>
            <w:r w:rsidRPr="00EA201D">
              <w:t xml:space="preserve"> </w:t>
            </w:r>
            <w:r w:rsidR="007C5F44">
              <w:t xml:space="preserve">to </w:t>
            </w:r>
            <w:r w:rsidRPr="00EA201D">
              <w:t xml:space="preserve"> Implementing Regulation (EU) No 680/2014</w:t>
            </w:r>
          </w:p>
        </w:tc>
        <w:tc>
          <w:tcPr>
            <w:tcW w:w="9781" w:type="dxa"/>
          </w:tcPr>
          <w:p w14:paraId="732A3A2E" w14:textId="77777777" w:rsidR="00F436D1" w:rsidRPr="00EA201D" w:rsidRDefault="00F436D1" w:rsidP="00E847ED">
            <w:pPr>
              <w:pStyle w:val="InstructionsText"/>
            </w:pPr>
            <w:r w:rsidRPr="00EA201D">
              <w:t xml:space="preserve">The risk-weighted exposure amount after applying the SME supporting factor </w:t>
            </w:r>
            <w:r>
              <w:t xml:space="preserve">for </w:t>
            </w:r>
            <w:r w:rsidR="009F72A6">
              <w:t>all transactions</w:t>
            </w:r>
            <w:r w:rsidR="00145378">
              <w:t xml:space="preserve"> in the scope of application of the</w:t>
            </w:r>
            <w:r>
              <w:t xml:space="preserve"> specific model </w:t>
            </w:r>
            <w:r w:rsidRPr="00EA201D">
              <w:t>shall be reported.</w:t>
            </w:r>
          </w:p>
        </w:tc>
      </w:tr>
    </w:tbl>
    <w:p w14:paraId="4013B09B" w14:textId="77777777" w:rsidR="007500FA" w:rsidRPr="00EA201D" w:rsidRDefault="007500FA" w:rsidP="007500FA">
      <w:pPr>
        <w:rPr>
          <w:rStyle w:val="InstructionsTabelleText"/>
          <w:rFonts w:ascii="Times New Roman" w:hAnsi="Times New Roman"/>
        </w:rPr>
      </w:pPr>
    </w:p>
    <w:p w14:paraId="4E6B00ED" w14:textId="77777777" w:rsidR="007500FA" w:rsidRPr="00EA201D" w:rsidRDefault="007500FA" w:rsidP="005464C0">
      <w:pPr>
        <w:pStyle w:val="Heading3"/>
        <w:rPr>
          <w:lang w:val="en-GB"/>
        </w:rPr>
      </w:pPr>
      <w:bookmarkStart w:id="19" w:name="_Toc5720722"/>
      <w:r w:rsidRPr="00EA201D">
        <w:rPr>
          <w:lang w:val="en-GB"/>
        </w:rPr>
        <w:t xml:space="preserve">C 105.02 – </w:t>
      </w:r>
      <w:r w:rsidR="00D91E06" w:rsidRPr="00EA201D">
        <w:rPr>
          <w:lang w:val="en-GB"/>
        </w:rPr>
        <w:t>Mapping of internal models to portfolios</w:t>
      </w:r>
      <w:bookmarkEnd w:id="19"/>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842"/>
        <w:gridCol w:w="9781"/>
      </w:tblGrid>
      <w:tr w:rsidR="00D91E06" w:rsidRPr="00EA201D" w14:paraId="38AE4AFD" w14:textId="77777777" w:rsidTr="00585623">
        <w:tc>
          <w:tcPr>
            <w:tcW w:w="993" w:type="dxa"/>
            <w:shd w:val="clear" w:color="auto" w:fill="D9D9D9"/>
          </w:tcPr>
          <w:p w14:paraId="7A0F5D09" w14:textId="77777777" w:rsidR="00D91E06" w:rsidRPr="00EA201D" w:rsidRDefault="00D91E06" w:rsidP="00E847ED">
            <w:pPr>
              <w:pStyle w:val="InstructionsText"/>
              <w:rPr>
                <w:rStyle w:val="InstructionsTabelleText"/>
                <w:rFonts w:ascii="Times New Roman" w:hAnsi="Times New Roman"/>
              </w:rPr>
            </w:pPr>
            <w:r w:rsidRPr="00EA201D">
              <w:rPr>
                <w:rStyle w:val="InstructionsTabelleText"/>
                <w:rFonts w:ascii="Times New Roman" w:hAnsi="Times New Roman"/>
              </w:rPr>
              <w:t>Column</w:t>
            </w:r>
          </w:p>
        </w:tc>
        <w:tc>
          <w:tcPr>
            <w:tcW w:w="1701" w:type="dxa"/>
            <w:shd w:val="clear" w:color="auto" w:fill="D9D9D9"/>
          </w:tcPr>
          <w:p w14:paraId="3A711369" w14:textId="77777777" w:rsidR="00D91E06" w:rsidRPr="00EA201D" w:rsidRDefault="00D91E06"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Label</w:t>
            </w:r>
          </w:p>
        </w:tc>
        <w:tc>
          <w:tcPr>
            <w:tcW w:w="1842" w:type="dxa"/>
            <w:shd w:val="clear" w:color="auto" w:fill="D9D9D9"/>
          </w:tcPr>
          <w:p w14:paraId="1F0287C7" w14:textId="77777777" w:rsidR="00D91E06" w:rsidRPr="00EA201D" w:rsidRDefault="00D91E06" w:rsidP="00E847ED">
            <w:pPr>
              <w:pStyle w:val="InstructionsText"/>
              <w:rPr>
                <w:rStyle w:val="InstructionsTabelleText"/>
                <w:rFonts w:ascii="Times New Roman" w:hAnsi="Times New Roman"/>
              </w:rPr>
            </w:pPr>
            <w:r w:rsidRPr="00EA201D">
              <w:rPr>
                <w:rStyle w:val="InstructionsTabelleText"/>
                <w:rFonts w:ascii="Times New Roman" w:hAnsi="Times New Roman"/>
              </w:rPr>
              <w:t>Legal reference</w:t>
            </w:r>
          </w:p>
        </w:tc>
        <w:tc>
          <w:tcPr>
            <w:tcW w:w="9781" w:type="dxa"/>
            <w:shd w:val="clear" w:color="auto" w:fill="D9D9D9"/>
          </w:tcPr>
          <w:p w14:paraId="3F1F8E99" w14:textId="77777777" w:rsidR="00D91E06" w:rsidRPr="00EA201D" w:rsidRDefault="00D91E06" w:rsidP="00E847ED">
            <w:pPr>
              <w:pStyle w:val="InstructionsText"/>
              <w:rPr>
                <w:rStyle w:val="InstructionsTabelleText"/>
                <w:rFonts w:ascii="Times New Roman" w:hAnsi="Times New Roman"/>
              </w:rPr>
            </w:pPr>
            <w:r w:rsidRPr="00EA201D">
              <w:rPr>
                <w:rStyle w:val="InstructionsTabelleText"/>
                <w:rFonts w:ascii="Times New Roman" w:hAnsi="Times New Roman"/>
              </w:rPr>
              <w:t>Instructions</w:t>
            </w:r>
          </w:p>
        </w:tc>
      </w:tr>
      <w:tr w:rsidR="00D91E06" w:rsidRPr="00EA201D" w14:paraId="3C877701" w14:textId="77777777" w:rsidTr="00585623">
        <w:tc>
          <w:tcPr>
            <w:tcW w:w="993" w:type="dxa"/>
          </w:tcPr>
          <w:p w14:paraId="117FA9B9" w14:textId="77777777" w:rsidR="00D91E06" w:rsidRPr="00EA201D" w:rsidRDefault="00D91E06"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010</w:t>
            </w:r>
          </w:p>
        </w:tc>
        <w:tc>
          <w:tcPr>
            <w:tcW w:w="1701" w:type="dxa"/>
          </w:tcPr>
          <w:p w14:paraId="699EE191" w14:textId="77777777" w:rsidR="00D91E06" w:rsidRPr="00EA201D" w:rsidRDefault="00D91E06"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Portfolio ID</w:t>
            </w:r>
          </w:p>
        </w:tc>
        <w:tc>
          <w:tcPr>
            <w:tcW w:w="1842" w:type="dxa"/>
          </w:tcPr>
          <w:p w14:paraId="0F405CD5" w14:textId="77777777" w:rsidR="00D91E06" w:rsidRPr="00EA201D" w:rsidRDefault="00203D2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010 </w:t>
            </w:r>
            <w:r w:rsidR="00D91E06"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 xml:space="preserve">templates </w:t>
            </w:r>
            <w:r w:rsidR="00D91E06" w:rsidRPr="00EA201D">
              <w:rPr>
                <w:rStyle w:val="InstructionsTabelleText"/>
                <w:rFonts w:ascii="Times New Roman" w:hAnsi="Times New Roman"/>
                <w:bCs w:val="0"/>
              </w:rPr>
              <w:t xml:space="preserve">102 </w:t>
            </w:r>
            <w:r w:rsidR="002E4EA1" w:rsidRPr="00EA201D">
              <w:rPr>
                <w:rStyle w:val="InstructionsTabelleText"/>
                <w:rFonts w:ascii="Times New Roman" w:hAnsi="Times New Roman"/>
                <w:bCs w:val="0"/>
              </w:rPr>
              <w:t>and</w:t>
            </w:r>
            <w:r w:rsidR="00D91E06" w:rsidRPr="00EA201D">
              <w:rPr>
                <w:rStyle w:val="InstructionsTabelleText"/>
                <w:rFonts w:ascii="Times New Roman" w:hAnsi="Times New Roman"/>
                <w:bCs w:val="0"/>
              </w:rPr>
              <w:t xml:space="preserve"> 10</w:t>
            </w:r>
            <w:r w:rsidR="002E4EA1" w:rsidRPr="00EA201D">
              <w:rPr>
                <w:rStyle w:val="InstructionsTabelleText"/>
                <w:rFonts w:ascii="Times New Roman" w:hAnsi="Times New Roman"/>
                <w:bCs w:val="0"/>
              </w:rPr>
              <w:t>3</w:t>
            </w:r>
            <w:r w:rsidR="00D91E06" w:rsidRPr="00EA201D">
              <w:rPr>
                <w:rStyle w:val="InstructionsTabelleText"/>
                <w:rFonts w:ascii="Times New Roman" w:hAnsi="Times New Roman"/>
                <w:bCs w:val="0"/>
              </w:rPr>
              <w:t xml:space="preserve"> </w:t>
            </w:r>
          </w:p>
        </w:tc>
        <w:tc>
          <w:tcPr>
            <w:tcW w:w="9781" w:type="dxa"/>
          </w:tcPr>
          <w:p w14:paraId="33361319" w14:textId="213EE256" w:rsidR="00D91E06" w:rsidRPr="00EA201D" w:rsidRDefault="009F4B13" w:rsidP="00E847ED">
            <w:pPr>
              <w:pStyle w:val="InstructionsText"/>
              <w:rPr>
                <w:rStyle w:val="InstructionsTabelleText"/>
                <w:rFonts w:ascii="Times New Roman" w:hAnsi="Times New Roman"/>
              </w:rPr>
            </w:pPr>
            <w:r w:rsidRPr="00EA201D">
              <w:rPr>
                <w:rStyle w:val="InstructionsTabelleText"/>
                <w:rFonts w:ascii="Times New Roman" w:hAnsi="Times New Roman"/>
                <w:bCs w:val="0"/>
              </w:rPr>
              <w:t xml:space="preserve">The </w:t>
            </w:r>
            <w:r w:rsidR="00D91E06" w:rsidRPr="00EA201D">
              <w:rPr>
                <w:rStyle w:val="InstructionsTabelleText"/>
                <w:rFonts w:ascii="Times New Roman" w:hAnsi="Times New Roman"/>
                <w:bCs w:val="0"/>
              </w:rPr>
              <w:t xml:space="preserve">code assigned to the portfolio </w:t>
            </w:r>
            <w:r w:rsidR="00E847ED">
              <w:rPr>
                <w:rStyle w:val="InstructionsTabelleText"/>
                <w:rFonts w:ascii="Times New Roman" w:hAnsi="Times New Roman"/>
                <w:bCs w:val="0"/>
              </w:rPr>
              <w:t xml:space="preserve">in accordance with annex II </w:t>
            </w:r>
            <w:r w:rsidR="00D91E06" w:rsidRPr="00EA201D">
              <w:rPr>
                <w:rStyle w:val="InstructionsTabelleText"/>
                <w:rFonts w:ascii="Times New Roman" w:hAnsi="Times New Roman"/>
                <w:bCs w:val="0"/>
              </w:rPr>
              <w:t xml:space="preserve">for which the institution reports </w:t>
            </w:r>
            <w:r w:rsidR="004B304D" w:rsidRPr="00EA201D">
              <w:rPr>
                <w:rStyle w:val="InstructionsTabelleText"/>
                <w:rFonts w:ascii="Times New Roman" w:hAnsi="Times New Roman"/>
                <w:bCs w:val="0"/>
              </w:rPr>
              <w:t>the results of the calculation</w:t>
            </w:r>
            <w:r w:rsidR="00122E4C" w:rsidRPr="00EA201D">
              <w:rPr>
                <w:rStyle w:val="InstructionsTabelleText"/>
                <w:rFonts w:ascii="Times New Roman" w:hAnsi="Times New Roman"/>
                <w:bCs w:val="0"/>
              </w:rPr>
              <w:t xml:space="preserve"> shall be reported</w:t>
            </w:r>
            <w:r w:rsidR="004B304D" w:rsidRPr="00EA201D">
              <w:rPr>
                <w:rStyle w:val="InstructionsTabelleText"/>
                <w:rFonts w:ascii="Times New Roman" w:hAnsi="Times New Roman"/>
                <w:bCs w:val="0"/>
              </w:rPr>
              <w:t>.</w:t>
            </w:r>
            <w:r w:rsidR="007C5F44">
              <w:rPr>
                <w:rStyle w:val="InstructionsTabelleText"/>
                <w:rFonts w:ascii="Times New Roman" w:hAnsi="Times New Roman"/>
                <w:bCs w:val="0"/>
              </w:rPr>
              <w:t xml:space="preserve"> </w:t>
            </w:r>
            <w:r w:rsidR="007C5F44" w:rsidRPr="00EA201D">
              <w:rPr>
                <w:rStyle w:val="InstructionsTabelleText"/>
                <w:rFonts w:ascii="Times New Roman" w:hAnsi="Times New Roman"/>
                <w:bCs w:val="0"/>
              </w:rPr>
              <w:t xml:space="preserve">Columns 010 and 020 are a composite row identifier and together </w:t>
            </w:r>
            <w:r w:rsidR="007C5F44">
              <w:rPr>
                <w:rStyle w:val="InstructionsTabelleText"/>
                <w:rFonts w:ascii="Times New Roman" w:hAnsi="Times New Roman"/>
                <w:bCs w:val="0"/>
              </w:rPr>
              <w:t>shall</w:t>
            </w:r>
            <w:r w:rsidR="007C5F44" w:rsidRPr="00EA201D">
              <w:rPr>
                <w:rStyle w:val="InstructionsTabelleText"/>
                <w:rFonts w:ascii="Times New Roman" w:hAnsi="Times New Roman"/>
                <w:bCs w:val="0"/>
              </w:rPr>
              <w:t xml:space="preserve"> be unique for each row in the table.</w:t>
            </w:r>
          </w:p>
        </w:tc>
      </w:tr>
      <w:tr w:rsidR="00D91E06" w:rsidRPr="00EA201D" w14:paraId="1F9D98A0" w14:textId="77777777" w:rsidTr="00585623">
        <w:tc>
          <w:tcPr>
            <w:tcW w:w="993" w:type="dxa"/>
          </w:tcPr>
          <w:p w14:paraId="33ED41CC" w14:textId="77777777" w:rsidR="00D91E06" w:rsidRPr="00EA201D" w:rsidRDefault="00D91E06"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020</w:t>
            </w:r>
          </w:p>
        </w:tc>
        <w:tc>
          <w:tcPr>
            <w:tcW w:w="1701" w:type="dxa"/>
          </w:tcPr>
          <w:p w14:paraId="3002002F" w14:textId="77777777" w:rsidR="00D91E06" w:rsidRPr="00EA201D" w:rsidRDefault="00D91E06"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Internal model ID</w:t>
            </w:r>
          </w:p>
        </w:tc>
        <w:tc>
          <w:tcPr>
            <w:tcW w:w="1842" w:type="dxa"/>
          </w:tcPr>
          <w:p w14:paraId="57CDD314" w14:textId="77777777" w:rsidR="00D91E06" w:rsidRPr="00EA201D" w:rsidRDefault="00203D2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010 </w:t>
            </w:r>
            <w:r w:rsidR="00D91E06"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template</w:t>
            </w:r>
            <w:r w:rsidR="00D91E06" w:rsidRPr="00EA201D">
              <w:rPr>
                <w:rStyle w:val="InstructionsTabelleText"/>
                <w:rFonts w:ascii="Times New Roman" w:hAnsi="Times New Roman"/>
                <w:bCs w:val="0"/>
              </w:rPr>
              <w:t xml:space="preserve"> 105.01</w:t>
            </w:r>
          </w:p>
        </w:tc>
        <w:tc>
          <w:tcPr>
            <w:tcW w:w="9781" w:type="dxa"/>
          </w:tcPr>
          <w:p w14:paraId="0E279576" w14:textId="77777777" w:rsidR="00D91E06" w:rsidRPr="00EA201D" w:rsidRDefault="009F4B13"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w:t>
            </w:r>
            <w:r w:rsidR="00D91E06" w:rsidRPr="00EA201D">
              <w:rPr>
                <w:rStyle w:val="InstructionsTabelleText"/>
                <w:rFonts w:ascii="Times New Roman" w:hAnsi="Times New Roman"/>
                <w:bCs w:val="0"/>
              </w:rPr>
              <w:t>internal model ID assigned by the reporting institution</w:t>
            </w:r>
            <w:r w:rsidR="00122E4C" w:rsidRPr="00EA201D">
              <w:rPr>
                <w:rStyle w:val="InstructionsTabelleText"/>
                <w:rFonts w:ascii="Times New Roman" w:hAnsi="Times New Roman"/>
                <w:bCs w:val="0"/>
              </w:rPr>
              <w:t xml:space="preserve"> shall be reported</w:t>
            </w:r>
            <w:r w:rsidRPr="00EA201D">
              <w:rPr>
                <w:rStyle w:val="InstructionsTabelleText"/>
                <w:rFonts w:ascii="Times New Roman" w:hAnsi="Times New Roman"/>
                <w:bCs w:val="0"/>
              </w:rPr>
              <w:t>.</w:t>
            </w:r>
          </w:p>
        </w:tc>
      </w:tr>
      <w:tr w:rsidR="00F436D1" w:rsidRPr="00EA201D" w14:paraId="2C2EB0AA" w14:textId="77777777" w:rsidTr="00585623">
        <w:tc>
          <w:tcPr>
            <w:tcW w:w="993" w:type="dxa"/>
          </w:tcPr>
          <w:p w14:paraId="7BF4F3E9"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lastRenderedPageBreak/>
              <w:t>030</w:t>
            </w:r>
          </w:p>
        </w:tc>
        <w:tc>
          <w:tcPr>
            <w:tcW w:w="1701" w:type="dxa"/>
          </w:tcPr>
          <w:p w14:paraId="7F3E1DEA"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EAD</w:t>
            </w:r>
          </w:p>
        </w:tc>
        <w:tc>
          <w:tcPr>
            <w:tcW w:w="1842" w:type="dxa"/>
          </w:tcPr>
          <w:p w14:paraId="0D0E85FC" w14:textId="1212E256" w:rsidR="00F436D1" w:rsidRPr="00EA201D" w:rsidRDefault="008515EE"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110 of </w:t>
            </w:r>
            <w:r w:rsidRPr="00EA201D">
              <w:t>template</w:t>
            </w:r>
            <w:r w:rsidRPr="00EA201D">
              <w:rPr>
                <w:rStyle w:val="InstructionsTabelleText"/>
                <w:rFonts w:ascii="Times New Roman" w:hAnsi="Times New Roman"/>
                <w:bCs w:val="0"/>
              </w:rPr>
              <w:t xml:space="preserve"> 8.1 of Annex </w:t>
            </w:r>
            <w:r w:rsidR="007C5F44">
              <w:rPr>
                <w:rStyle w:val="InstructionsTabelleText"/>
                <w:rFonts w:ascii="Times New Roman" w:hAnsi="Times New Roman"/>
                <w:bCs w:val="0"/>
              </w:rPr>
              <w:t>I</w:t>
            </w:r>
            <w:r w:rsidRPr="00EA201D">
              <w:rPr>
                <w:rStyle w:val="InstructionsTabelleText"/>
                <w:rFonts w:ascii="Times New Roman" w:hAnsi="Times New Roman"/>
                <w:bCs w:val="0"/>
              </w:rPr>
              <w:t xml:space="preserve"> </w:t>
            </w:r>
            <w:r w:rsidR="007C5F44">
              <w:rPr>
                <w:rStyle w:val="InstructionsTabelleText"/>
                <w:rFonts w:ascii="Times New Roman" w:hAnsi="Times New Roman"/>
                <w:bCs w:val="0"/>
              </w:rPr>
              <w:t xml:space="preserve">to </w:t>
            </w:r>
            <w:r w:rsidR="007C5F44" w:rsidRPr="00EA201D">
              <w:rPr>
                <w:rStyle w:val="InstructionsTabelleText"/>
                <w:rFonts w:ascii="Times New Roman" w:hAnsi="Times New Roman"/>
                <w:bCs w:val="0"/>
              </w:rPr>
              <w:t xml:space="preserve"> </w:t>
            </w:r>
            <w:r w:rsidRPr="00EA201D">
              <w:rPr>
                <w:rStyle w:val="InstructionsTabelleText"/>
                <w:rFonts w:ascii="Times New Roman" w:hAnsi="Times New Roman"/>
                <w:bCs w:val="0"/>
              </w:rPr>
              <w:t xml:space="preserve"> Implementing Regulation (EU) No 680/2014</w:t>
            </w:r>
          </w:p>
        </w:tc>
        <w:tc>
          <w:tcPr>
            <w:tcW w:w="9781" w:type="dxa"/>
          </w:tcPr>
          <w:p w14:paraId="0136BE49" w14:textId="5A3D6589"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 xml:space="preserve">The </w:t>
            </w:r>
            <w:r w:rsidRPr="00EA201D">
              <w:rPr>
                <w:rStyle w:val="InstructionsTabelleText"/>
                <w:rFonts w:ascii="Times New Roman" w:hAnsi="Times New Roman"/>
                <w:bCs w:val="0"/>
              </w:rPr>
              <w:t xml:space="preserve">exposure value of the transactions </w:t>
            </w:r>
            <w:r w:rsidR="00145378">
              <w:rPr>
                <w:rStyle w:val="InstructionsTabelleText"/>
                <w:rFonts w:ascii="Times New Roman" w:hAnsi="Times New Roman"/>
                <w:bCs w:val="0"/>
              </w:rPr>
              <w:t xml:space="preserve">in the scope of application of the specific model </w:t>
            </w:r>
            <w:r w:rsidR="00790066">
              <w:rPr>
                <w:rStyle w:val="InstructionsTabelleText"/>
                <w:rFonts w:ascii="Times New Roman" w:hAnsi="Times New Roman"/>
                <w:bCs w:val="0"/>
              </w:rPr>
              <w:t xml:space="preserve">in accordance with </w:t>
            </w:r>
            <w:r w:rsidR="00145378">
              <w:rPr>
                <w:rStyle w:val="InstructionsTabelleText"/>
                <w:rFonts w:ascii="Times New Roman" w:hAnsi="Times New Roman"/>
                <w:bCs w:val="0"/>
              </w:rPr>
              <w:t>column 020 for the</w:t>
            </w:r>
            <w:r>
              <w:rPr>
                <w:rStyle w:val="InstructionsTabelleText"/>
                <w:rFonts w:ascii="Times New Roman" w:hAnsi="Times New Roman"/>
                <w:bCs w:val="0"/>
              </w:rPr>
              <w:t xml:space="preserve"> specific</w:t>
            </w:r>
            <w:r w:rsidRPr="00EA201D">
              <w:rPr>
                <w:rStyle w:val="InstructionsTabelleText"/>
                <w:rFonts w:ascii="Times New Roman" w:hAnsi="Times New Roman"/>
                <w:bCs w:val="0"/>
              </w:rPr>
              <w:t xml:space="preserve"> portfolio</w:t>
            </w:r>
            <w:r w:rsidR="00790066">
              <w:rPr>
                <w:rStyle w:val="InstructionsTabelleText"/>
                <w:rFonts w:ascii="Times New Roman" w:hAnsi="Times New Roman"/>
                <w:bCs w:val="0"/>
              </w:rPr>
              <w:t xml:space="preserve"> in accordance with </w:t>
            </w:r>
            <w:r w:rsidRPr="00EA201D">
              <w:rPr>
                <w:rStyle w:val="InstructionsTabelleText"/>
                <w:rFonts w:ascii="Times New Roman" w:hAnsi="Times New Roman"/>
                <w:bCs w:val="0"/>
              </w:rPr>
              <w:t>column</w:t>
            </w:r>
            <w:r>
              <w:rPr>
                <w:rStyle w:val="InstructionsTabelleText"/>
                <w:rFonts w:ascii="Times New Roman" w:hAnsi="Times New Roman"/>
                <w:bCs w:val="0"/>
              </w:rPr>
              <w:t xml:space="preserve"> 01</w:t>
            </w:r>
            <w:r w:rsidR="00145378">
              <w:rPr>
                <w:rStyle w:val="InstructionsTabelleText"/>
                <w:rFonts w:ascii="Times New Roman" w:hAnsi="Times New Roman"/>
                <w:bCs w:val="0"/>
              </w:rPr>
              <w:t xml:space="preserve">0 </w:t>
            </w:r>
            <w:r w:rsidRPr="00EA201D">
              <w:rPr>
                <w:rStyle w:val="InstructionsTabelleText"/>
                <w:rFonts w:ascii="Times New Roman" w:hAnsi="Times New Roman"/>
                <w:bCs w:val="0"/>
              </w:rPr>
              <w:t>shall be reported.</w:t>
            </w:r>
            <w:r w:rsidR="009F72A6">
              <w:rPr>
                <w:rStyle w:val="InstructionsTabelleText"/>
                <w:rFonts w:ascii="Times New Roman" w:hAnsi="Times New Roman"/>
                <w:bCs w:val="0"/>
              </w:rPr>
              <w:t xml:space="preserve"> Where all transactions of </w:t>
            </w:r>
            <w:r w:rsidR="00145378">
              <w:rPr>
                <w:rStyle w:val="InstructionsTabelleText"/>
                <w:rFonts w:ascii="Times New Roman" w:hAnsi="Times New Roman"/>
                <w:bCs w:val="0"/>
              </w:rPr>
              <w:t>a</w:t>
            </w:r>
            <w:r w:rsidR="009F72A6">
              <w:rPr>
                <w:rStyle w:val="InstructionsTabelleText"/>
                <w:rFonts w:ascii="Times New Roman" w:hAnsi="Times New Roman"/>
                <w:bCs w:val="0"/>
              </w:rPr>
              <w:t xml:space="preserve"> given portfolio are treated with one specific model, the exposure value shall be identical to the amount reported for the same portfolio in column 110 of template 102 or 103</w:t>
            </w:r>
            <w:r w:rsidR="00790066">
              <w:rPr>
                <w:rStyle w:val="InstructionsTabelleText"/>
                <w:rFonts w:ascii="Times New Roman" w:hAnsi="Times New Roman"/>
                <w:bCs w:val="0"/>
              </w:rPr>
              <w:t>,</w:t>
            </w:r>
            <w:r w:rsidR="007C5F44">
              <w:rPr>
                <w:rStyle w:val="InstructionsTabelleText"/>
                <w:rFonts w:ascii="Times New Roman" w:hAnsi="Times New Roman"/>
                <w:bCs w:val="0"/>
              </w:rPr>
              <w:t xml:space="preserve"> as applicable.</w:t>
            </w:r>
          </w:p>
        </w:tc>
      </w:tr>
      <w:tr w:rsidR="00F436D1" w:rsidRPr="00EA201D" w14:paraId="3987F3D7" w14:textId="77777777" w:rsidTr="00585623">
        <w:tc>
          <w:tcPr>
            <w:tcW w:w="993" w:type="dxa"/>
          </w:tcPr>
          <w:p w14:paraId="163C41CD"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040</w:t>
            </w:r>
          </w:p>
        </w:tc>
        <w:tc>
          <w:tcPr>
            <w:tcW w:w="1701" w:type="dxa"/>
          </w:tcPr>
          <w:p w14:paraId="20B524DD" w14:textId="77777777"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RWA</w:t>
            </w:r>
          </w:p>
        </w:tc>
        <w:tc>
          <w:tcPr>
            <w:tcW w:w="1842" w:type="dxa"/>
          </w:tcPr>
          <w:p w14:paraId="6053E3C6" w14:textId="4E79A5D5" w:rsidR="00F436D1" w:rsidRPr="00EA201D" w:rsidRDefault="008515EE" w:rsidP="00E847ED">
            <w:pPr>
              <w:pStyle w:val="InstructionsText"/>
              <w:rPr>
                <w:rStyle w:val="InstructionsTabelleText"/>
                <w:rFonts w:ascii="Times New Roman" w:hAnsi="Times New Roman"/>
                <w:bCs w:val="0"/>
              </w:rPr>
            </w:pPr>
            <w:r w:rsidRPr="00EA201D">
              <w:t xml:space="preserve">Column 260 of template 8.1 of Annex </w:t>
            </w:r>
            <w:r w:rsidR="007C5F44">
              <w:t>I</w:t>
            </w:r>
            <w:r w:rsidRPr="00EA201D">
              <w:t xml:space="preserve"> </w:t>
            </w:r>
            <w:r w:rsidR="007C5F44">
              <w:t xml:space="preserve">to </w:t>
            </w:r>
            <w:r w:rsidRPr="00EA201D">
              <w:t xml:space="preserve"> Implementing Regulation (EU) No 680/2014</w:t>
            </w:r>
          </w:p>
        </w:tc>
        <w:tc>
          <w:tcPr>
            <w:tcW w:w="9781" w:type="dxa"/>
          </w:tcPr>
          <w:p w14:paraId="0D560EF1" w14:textId="6A318781" w:rsidR="00F436D1" w:rsidRPr="00EA201D" w:rsidRDefault="00F436D1" w:rsidP="00E847ED">
            <w:pPr>
              <w:pStyle w:val="InstructionsText"/>
              <w:rPr>
                <w:rStyle w:val="InstructionsTabelleText"/>
                <w:rFonts w:ascii="Times New Roman" w:hAnsi="Times New Roman"/>
                <w:bCs w:val="0"/>
              </w:rPr>
            </w:pPr>
            <w:r>
              <w:rPr>
                <w:rStyle w:val="InstructionsTabelleText"/>
                <w:rFonts w:ascii="Times New Roman" w:hAnsi="Times New Roman"/>
                <w:bCs w:val="0"/>
              </w:rPr>
              <w:t xml:space="preserve">The risk-weighted </w:t>
            </w:r>
            <w:r w:rsidRPr="00EA201D">
              <w:rPr>
                <w:rStyle w:val="InstructionsTabelleText"/>
                <w:rFonts w:ascii="Times New Roman" w:hAnsi="Times New Roman"/>
                <w:bCs w:val="0"/>
              </w:rPr>
              <w:t xml:space="preserve">exposure </w:t>
            </w:r>
            <w:r>
              <w:rPr>
                <w:rStyle w:val="InstructionsTabelleText"/>
                <w:rFonts w:ascii="Times New Roman" w:hAnsi="Times New Roman"/>
                <w:bCs w:val="0"/>
              </w:rPr>
              <w:t>amount</w:t>
            </w:r>
            <w:r w:rsidRPr="00EA201D">
              <w:rPr>
                <w:rStyle w:val="InstructionsTabelleText"/>
                <w:rFonts w:ascii="Times New Roman" w:hAnsi="Times New Roman"/>
                <w:bCs w:val="0"/>
              </w:rPr>
              <w:t xml:space="preserve"> </w:t>
            </w:r>
            <w:r>
              <w:rPr>
                <w:rStyle w:val="InstructionsTabelleText"/>
                <w:rFonts w:ascii="Times New Roman" w:hAnsi="Times New Roman"/>
                <w:bCs w:val="0"/>
              </w:rPr>
              <w:t xml:space="preserve">after applying the SME supporting factor for </w:t>
            </w:r>
            <w:r w:rsidRPr="00EA201D">
              <w:rPr>
                <w:rStyle w:val="InstructionsTabelleText"/>
                <w:rFonts w:ascii="Times New Roman" w:hAnsi="Times New Roman"/>
                <w:bCs w:val="0"/>
              </w:rPr>
              <w:t xml:space="preserve">the transactions </w:t>
            </w:r>
            <w:r w:rsidR="00145378">
              <w:rPr>
                <w:rStyle w:val="InstructionsTabelleText"/>
                <w:rFonts w:ascii="Times New Roman" w:hAnsi="Times New Roman"/>
                <w:bCs w:val="0"/>
              </w:rPr>
              <w:t>in the scope of application of the specific model</w:t>
            </w:r>
            <w:r w:rsidR="00790066">
              <w:rPr>
                <w:rStyle w:val="InstructionsTabelleText"/>
                <w:rFonts w:ascii="Times New Roman" w:hAnsi="Times New Roman"/>
                <w:bCs w:val="0"/>
              </w:rPr>
              <w:t>, in accordance with</w:t>
            </w:r>
            <w:r w:rsidR="00145378">
              <w:rPr>
                <w:rStyle w:val="InstructionsTabelleText"/>
                <w:rFonts w:ascii="Times New Roman" w:hAnsi="Times New Roman"/>
                <w:bCs w:val="0"/>
              </w:rPr>
              <w:t xml:space="preserve"> column 020</w:t>
            </w:r>
            <w:r w:rsidR="00790066">
              <w:rPr>
                <w:rStyle w:val="InstructionsTabelleText"/>
                <w:rFonts w:ascii="Times New Roman" w:hAnsi="Times New Roman"/>
                <w:bCs w:val="0"/>
              </w:rPr>
              <w:t>,</w:t>
            </w:r>
            <w:r w:rsidR="00145378">
              <w:rPr>
                <w:rStyle w:val="InstructionsTabelleText"/>
                <w:rFonts w:ascii="Times New Roman" w:hAnsi="Times New Roman"/>
                <w:bCs w:val="0"/>
              </w:rPr>
              <w:t xml:space="preserve"> for the</w:t>
            </w:r>
            <w:r>
              <w:rPr>
                <w:rStyle w:val="InstructionsTabelleText"/>
                <w:rFonts w:ascii="Times New Roman" w:hAnsi="Times New Roman"/>
                <w:bCs w:val="0"/>
              </w:rPr>
              <w:t xml:space="preserve"> specific</w:t>
            </w:r>
            <w:r w:rsidRPr="00EA201D">
              <w:rPr>
                <w:rStyle w:val="InstructionsTabelleText"/>
                <w:rFonts w:ascii="Times New Roman" w:hAnsi="Times New Roman"/>
                <w:bCs w:val="0"/>
              </w:rPr>
              <w:t xml:space="preserve"> portfolio </w:t>
            </w:r>
            <w:r w:rsidR="00790066">
              <w:rPr>
                <w:rStyle w:val="InstructionsTabelleText"/>
                <w:rFonts w:ascii="Times New Roman" w:hAnsi="Times New Roman"/>
                <w:bCs w:val="0"/>
              </w:rPr>
              <w:t xml:space="preserve">in accordance with </w:t>
            </w:r>
            <w:r w:rsidRPr="00EA201D">
              <w:rPr>
                <w:rStyle w:val="InstructionsTabelleText"/>
                <w:rFonts w:ascii="Times New Roman" w:hAnsi="Times New Roman"/>
                <w:bCs w:val="0"/>
              </w:rPr>
              <w:t>column</w:t>
            </w:r>
            <w:r>
              <w:rPr>
                <w:rStyle w:val="InstructionsTabelleText"/>
                <w:rFonts w:ascii="Times New Roman" w:hAnsi="Times New Roman"/>
                <w:bCs w:val="0"/>
              </w:rPr>
              <w:t xml:space="preserve"> 01</w:t>
            </w:r>
            <w:r w:rsidRPr="00EA201D">
              <w:rPr>
                <w:rStyle w:val="InstructionsTabelleText"/>
                <w:rFonts w:ascii="Times New Roman" w:hAnsi="Times New Roman"/>
                <w:bCs w:val="0"/>
              </w:rPr>
              <w:t>0</w:t>
            </w:r>
            <w:r w:rsidR="00790066">
              <w:rPr>
                <w:rStyle w:val="InstructionsTabelleText"/>
                <w:rFonts w:ascii="Times New Roman" w:hAnsi="Times New Roman"/>
                <w:bCs w:val="0"/>
              </w:rPr>
              <w:t>,</w:t>
            </w:r>
            <w:r w:rsidRPr="00EA201D">
              <w:rPr>
                <w:rStyle w:val="InstructionsTabelleText"/>
                <w:rFonts w:ascii="Times New Roman" w:hAnsi="Times New Roman"/>
                <w:bCs w:val="0"/>
              </w:rPr>
              <w:t xml:space="preserve"> shall be reported.</w:t>
            </w:r>
            <w:r w:rsidR="009F72A6">
              <w:rPr>
                <w:rStyle w:val="InstructionsTabelleText"/>
                <w:rFonts w:ascii="Times New Roman" w:hAnsi="Times New Roman"/>
                <w:bCs w:val="0"/>
              </w:rPr>
              <w:t xml:space="preserve"> Where all transactions of </w:t>
            </w:r>
            <w:r w:rsidR="00145378">
              <w:rPr>
                <w:rStyle w:val="InstructionsTabelleText"/>
                <w:rFonts w:ascii="Times New Roman" w:hAnsi="Times New Roman"/>
                <w:bCs w:val="0"/>
              </w:rPr>
              <w:t>a</w:t>
            </w:r>
            <w:r w:rsidR="009F72A6">
              <w:rPr>
                <w:rStyle w:val="InstructionsTabelleText"/>
                <w:rFonts w:ascii="Times New Roman" w:hAnsi="Times New Roman"/>
                <w:bCs w:val="0"/>
              </w:rPr>
              <w:t xml:space="preserve"> given portfolio are treated with one specific model, the amount shall be identical to the amount reported for the same portfolio in column 170 of template 102 or 103</w:t>
            </w:r>
            <w:r w:rsidR="007C5F44">
              <w:rPr>
                <w:rStyle w:val="InstructionsTabelleText"/>
                <w:rFonts w:ascii="Times New Roman" w:hAnsi="Times New Roman"/>
                <w:bCs w:val="0"/>
              </w:rPr>
              <w:t>, as applicable.</w:t>
            </w:r>
          </w:p>
        </w:tc>
      </w:tr>
    </w:tbl>
    <w:p w14:paraId="2FA2531A" w14:textId="77777777" w:rsidR="005464C0" w:rsidRPr="00EA201D" w:rsidRDefault="005464C0" w:rsidP="005464C0">
      <w:pPr>
        <w:rPr>
          <w:rStyle w:val="InstructionsTabelleText"/>
          <w:rFonts w:ascii="Times New Roman" w:hAnsi="Times New Roman"/>
        </w:rPr>
      </w:pPr>
    </w:p>
    <w:p w14:paraId="015AD7AD" w14:textId="77777777" w:rsidR="00084D20" w:rsidRPr="00EA201D" w:rsidRDefault="00084D20" w:rsidP="005464C0">
      <w:pPr>
        <w:pStyle w:val="Heading3"/>
        <w:rPr>
          <w:lang w:val="en-GB"/>
        </w:rPr>
      </w:pPr>
      <w:bookmarkStart w:id="20" w:name="_Toc5720723"/>
      <w:r w:rsidRPr="00EA201D">
        <w:rPr>
          <w:lang w:val="en-GB"/>
        </w:rPr>
        <w:t>C 105.0</w:t>
      </w:r>
      <w:r w:rsidR="005464C0" w:rsidRPr="00EA201D">
        <w:rPr>
          <w:lang w:val="en-GB"/>
        </w:rPr>
        <w:t>3</w:t>
      </w:r>
      <w:r w:rsidRPr="00EA201D">
        <w:rPr>
          <w:lang w:val="en-GB"/>
        </w:rPr>
        <w:t xml:space="preserve"> – Mapping of internal models to countries</w:t>
      </w:r>
      <w:bookmarkEnd w:id="20"/>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842"/>
        <w:gridCol w:w="9781"/>
      </w:tblGrid>
      <w:tr w:rsidR="00084D20" w:rsidRPr="00EA201D" w14:paraId="6793B9FB" w14:textId="77777777" w:rsidTr="00585623">
        <w:tc>
          <w:tcPr>
            <w:tcW w:w="993" w:type="dxa"/>
            <w:shd w:val="clear" w:color="auto" w:fill="D9D9D9"/>
          </w:tcPr>
          <w:p w14:paraId="1510C96A" w14:textId="77777777" w:rsidR="00084D20" w:rsidRPr="00EA201D" w:rsidRDefault="00084D20" w:rsidP="00E847ED">
            <w:pPr>
              <w:pStyle w:val="InstructionsText"/>
              <w:rPr>
                <w:rStyle w:val="InstructionsTabelleText"/>
                <w:rFonts w:ascii="Times New Roman" w:hAnsi="Times New Roman"/>
              </w:rPr>
            </w:pPr>
            <w:r w:rsidRPr="00EA201D">
              <w:rPr>
                <w:rStyle w:val="InstructionsTabelleText"/>
                <w:rFonts w:ascii="Times New Roman" w:hAnsi="Times New Roman"/>
              </w:rPr>
              <w:t>Column</w:t>
            </w:r>
          </w:p>
        </w:tc>
        <w:tc>
          <w:tcPr>
            <w:tcW w:w="1701" w:type="dxa"/>
            <w:shd w:val="clear" w:color="auto" w:fill="D9D9D9"/>
          </w:tcPr>
          <w:p w14:paraId="400B9883" w14:textId="77777777" w:rsidR="00084D20" w:rsidRPr="00EA201D" w:rsidRDefault="00084D20"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Label</w:t>
            </w:r>
          </w:p>
        </w:tc>
        <w:tc>
          <w:tcPr>
            <w:tcW w:w="1842" w:type="dxa"/>
            <w:shd w:val="clear" w:color="auto" w:fill="D9D9D9"/>
          </w:tcPr>
          <w:p w14:paraId="17E6B6FE" w14:textId="77777777" w:rsidR="00084D20" w:rsidRPr="00EA201D" w:rsidRDefault="00084D20" w:rsidP="00E847ED">
            <w:pPr>
              <w:pStyle w:val="InstructionsText"/>
              <w:rPr>
                <w:rStyle w:val="InstructionsTabelleText"/>
                <w:rFonts w:ascii="Times New Roman" w:hAnsi="Times New Roman"/>
              </w:rPr>
            </w:pPr>
            <w:r w:rsidRPr="00EA201D">
              <w:rPr>
                <w:rStyle w:val="InstructionsTabelleText"/>
                <w:rFonts w:ascii="Times New Roman" w:hAnsi="Times New Roman"/>
              </w:rPr>
              <w:t>Legal reference</w:t>
            </w:r>
          </w:p>
        </w:tc>
        <w:tc>
          <w:tcPr>
            <w:tcW w:w="9781" w:type="dxa"/>
            <w:shd w:val="clear" w:color="auto" w:fill="D9D9D9"/>
          </w:tcPr>
          <w:p w14:paraId="0906DE88" w14:textId="77777777" w:rsidR="00084D20" w:rsidRPr="00EA201D" w:rsidRDefault="00084D20" w:rsidP="00E847ED">
            <w:pPr>
              <w:pStyle w:val="InstructionsText"/>
              <w:rPr>
                <w:rStyle w:val="InstructionsTabelleText"/>
                <w:rFonts w:ascii="Times New Roman" w:hAnsi="Times New Roman"/>
              </w:rPr>
            </w:pPr>
            <w:r w:rsidRPr="00EA201D">
              <w:rPr>
                <w:rStyle w:val="InstructionsTabelleText"/>
                <w:rFonts w:ascii="Times New Roman" w:hAnsi="Times New Roman"/>
              </w:rPr>
              <w:t>Instructions</w:t>
            </w:r>
          </w:p>
        </w:tc>
      </w:tr>
      <w:tr w:rsidR="006F68DA" w:rsidRPr="00EA201D" w14:paraId="243EE81B" w14:textId="77777777" w:rsidTr="00585623">
        <w:tc>
          <w:tcPr>
            <w:tcW w:w="993" w:type="dxa"/>
          </w:tcPr>
          <w:p w14:paraId="554FB4FF" w14:textId="1C22E0F8" w:rsidR="006F68DA" w:rsidRPr="00EA201D" w:rsidRDefault="006F68DA" w:rsidP="00E847ED">
            <w:pPr>
              <w:pStyle w:val="InstructionsText"/>
              <w:rPr>
                <w:rStyle w:val="InstructionsTabelleText"/>
                <w:rFonts w:ascii="Times New Roman" w:hAnsi="Times New Roman"/>
                <w:bCs w:val="0"/>
              </w:rPr>
            </w:pPr>
            <w:r>
              <w:rPr>
                <w:rStyle w:val="InstructionsTabelleText"/>
                <w:rFonts w:ascii="Times New Roman" w:hAnsi="Times New Roman"/>
                <w:bCs w:val="0"/>
              </w:rPr>
              <w:t>005</w:t>
            </w:r>
          </w:p>
        </w:tc>
        <w:tc>
          <w:tcPr>
            <w:tcW w:w="1701" w:type="dxa"/>
          </w:tcPr>
          <w:p w14:paraId="6DDF6AF5" w14:textId="5BF0B7F0" w:rsidR="006F68DA" w:rsidRPr="00EA201D" w:rsidRDefault="006F68DA" w:rsidP="00E847ED">
            <w:pPr>
              <w:pStyle w:val="InstructionsText"/>
              <w:rPr>
                <w:rStyle w:val="InstructionsTabelleText"/>
                <w:rFonts w:ascii="Times New Roman" w:hAnsi="Times New Roman"/>
                <w:bCs w:val="0"/>
              </w:rPr>
            </w:pPr>
            <w:r>
              <w:rPr>
                <w:rStyle w:val="InstructionsTabelleText"/>
                <w:rFonts w:ascii="Times New Roman" w:hAnsi="Times New Roman"/>
                <w:bCs w:val="0"/>
              </w:rPr>
              <w:t>Row ID</w:t>
            </w:r>
          </w:p>
        </w:tc>
        <w:tc>
          <w:tcPr>
            <w:tcW w:w="1842" w:type="dxa"/>
          </w:tcPr>
          <w:p w14:paraId="2F172E6B" w14:textId="77777777" w:rsidR="006F68DA" w:rsidRPr="00EA201D" w:rsidRDefault="006F68DA" w:rsidP="00E847ED">
            <w:pPr>
              <w:pStyle w:val="InstructionsText"/>
              <w:rPr>
                <w:rStyle w:val="InstructionsTabelleText"/>
                <w:rFonts w:ascii="Times New Roman" w:hAnsi="Times New Roman"/>
                <w:bCs w:val="0"/>
              </w:rPr>
            </w:pPr>
          </w:p>
        </w:tc>
        <w:tc>
          <w:tcPr>
            <w:tcW w:w="9781" w:type="dxa"/>
          </w:tcPr>
          <w:p w14:paraId="275C8AA0" w14:textId="58546EF6" w:rsidR="006F68DA" w:rsidRPr="00EA201D" w:rsidRDefault="006F68DA" w:rsidP="00E847ED">
            <w:pPr>
              <w:pStyle w:val="InstructionsText"/>
              <w:rPr>
                <w:rStyle w:val="InstructionsTabelleText"/>
                <w:rFonts w:ascii="Times New Roman" w:hAnsi="Times New Roman"/>
                <w:bCs w:val="0"/>
              </w:rPr>
            </w:pPr>
            <w:r w:rsidRPr="00471A06">
              <w:rPr>
                <w:rStyle w:val="InstructionsTabelleText"/>
                <w:rFonts w:ascii="Times New Roman" w:hAnsi="Times New Roman"/>
                <w:bCs w:val="0"/>
              </w:rPr>
              <w:t>This code is a row identifier and shall be unique for each row in the t</w:t>
            </w:r>
            <w:r>
              <w:rPr>
                <w:rStyle w:val="InstructionsTabelleText"/>
                <w:rFonts w:ascii="Times New Roman" w:hAnsi="Times New Roman"/>
                <w:bCs w:val="0"/>
              </w:rPr>
              <w:t>emplate</w:t>
            </w:r>
            <w:r w:rsidRPr="00471A06">
              <w:rPr>
                <w:rStyle w:val="InstructionsTabelleText"/>
                <w:rFonts w:ascii="Times New Roman" w:hAnsi="Times New Roman"/>
                <w:bCs w:val="0"/>
              </w:rPr>
              <w:t>.</w:t>
            </w:r>
            <w:r>
              <w:rPr>
                <w:rStyle w:val="InstructionsTabelleText"/>
                <w:rFonts w:ascii="Times New Roman" w:hAnsi="Times New Roman"/>
                <w:bCs w:val="0"/>
              </w:rPr>
              <w:t xml:space="preserve"> </w:t>
            </w:r>
            <w:r w:rsidRPr="00471A06">
              <w:rPr>
                <w:rStyle w:val="InstructionsTabelleText"/>
                <w:rFonts w:ascii="Times New Roman" w:hAnsi="Times New Roman"/>
                <w:bCs w:val="0"/>
              </w:rPr>
              <w:t>It shall follow the numerical order 1, 2, 3, etc.</w:t>
            </w:r>
          </w:p>
        </w:tc>
      </w:tr>
      <w:tr w:rsidR="00084D20" w:rsidRPr="00EA201D" w14:paraId="412ECD5B" w14:textId="77777777" w:rsidTr="00585623">
        <w:tc>
          <w:tcPr>
            <w:tcW w:w="993" w:type="dxa"/>
          </w:tcPr>
          <w:p w14:paraId="2952C354" w14:textId="77777777" w:rsidR="00084D20" w:rsidRPr="00EA201D" w:rsidRDefault="00084D20"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010</w:t>
            </w:r>
          </w:p>
        </w:tc>
        <w:tc>
          <w:tcPr>
            <w:tcW w:w="1701" w:type="dxa"/>
          </w:tcPr>
          <w:p w14:paraId="671C2BA1" w14:textId="77777777" w:rsidR="00084D20" w:rsidRPr="00EA201D" w:rsidRDefault="00084D20"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Internal model ID</w:t>
            </w:r>
          </w:p>
        </w:tc>
        <w:tc>
          <w:tcPr>
            <w:tcW w:w="1842" w:type="dxa"/>
          </w:tcPr>
          <w:p w14:paraId="3EC2AF95" w14:textId="77777777" w:rsidR="00084D20" w:rsidRPr="00EA201D" w:rsidRDefault="00203D2B"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Column </w:t>
            </w:r>
            <w:r w:rsidR="00084D20" w:rsidRPr="00EA201D">
              <w:rPr>
                <w:rStyle w:val="InstructionsTabelleText"/>
                <w:rFonts w:ascii="Times New Roman" w:hAnsi="Times New Roman"/>
                <w:bCs w:val="0"/>
              </w:rPr>
              <w:t xml:space="preserve">010 of </w:t>
            </w:r>
            <w:r w:rsidRPr="00EA201D">
              <w:rPr>
                <w:rStyle w:val="InstructionsTabelleText"/>
                <w:rFonts w:ascii="Times New Roman" w:hAnsi="Times New Roman"/>
                <w:bCs w:val="0"/>
              </w:rPr>
              <w:t>template</w:t>
            </w:r>
            <w:r w:rsidR="00084D20" w:rsidRPr="00EA201D">
              <w:rPr>
                <w:rStyle w:val="InstructionsTabelleText"/>
                <w:rFonts w:ascii="Times New Roman" w:hAnsi="Times New Roman"/>
                <w:bCs w:val="0"/>
              </w:rPr>
              <w:t xml:space="preserve"> 105.01</w:t>
            </w:r>
          </w:p>
        </w:tc>
        <w:tc>
          <w:tcPr>
            <w:tcW w:w="9781" w:type="dxa"/>
          </w:tcPr>
          <w:p w14:paraId="4DD6B6C7" w14:textId="092845EB" w:rsidR="00084D20" w:rsidRPr="00EA201D" w:rsidRDefault="009F4B13"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 xml:space="preserve">The </w:t>
            </w:r>
            <w:r w:rsidR="00084D20" w:rsidRPr="00EA201D">
              <w:rPr>
                <w:rStyle w:val="InstructionsTabelleText"/>
                <w:rFonts w:ascii="Times New Roman" w:hAnsi="Times New Roman"/>
                <w:bCs w:val="0"/>
              </w:rPr>
              <w:t>internal model ID assigned by the reporting institution</w:t>
            </w:r>
            <w:r w:rsidR="00122E4C" w:rsidRPr="00EA201D">
              <w:rPr>
                <w:rStyle w:val="InstructionsTabelleText"/>
                <w:rFonts w:ascii="Times New Roman" w:hAnsi="Times New Roman"/>
                <w:bCs w:val="0"/>
              </w:rPr>
              <w:t xml:space="preserve"> shall be reported</w:t>
            </w:r>
            <w:r w:rsidR="004B304D" w:rsidRPr="00EA201D">
              <w:rPr>
                <w:rStyle w:val="InstructionsTabelleText"/>
                <w:rFonts w:ascii="Times New Roman" w:hAnsi="Times New Roman"/>
                <w:bCs w:val="0"/>
              </w:rPr>
              <w:t>. Where one internal model ID is associated with several countries, separate rows shall be reported for each combination of ‘Internal model ID’ and ‘</w:t>
            </w:r>
            <w:r w:rsidR="00713A9C">
              <w:rPr>
                <w:rStyle w:val="InstructionsTabelleText"/>
                <w:rFonts w:ascii="Times New Roman" w:hAnsi="Times New Roman"/>
                <w:bCs w:val="0"/>
              </w:rPr>
              <w:t>Location of institution</w:t>
            </w:r>
            <w:r w:rsidR="004B304D" w:rsidRPr="00EA201D">
              <w:rPr>
                <w:rStyle w:val="InstructionsTabelleText"/>
                <w:rFonts w:ascii="Times New Roman" w:hAnsi="Times New Roman"/>
                <w:bCs w:val="0"/>
              </w:rPr>
              <w:t>’.</w:t>
            </w:r>
            <w:r w:rsidR="009F074D" w:rsidRPr="00EA201D">
              <w:rPr>
                <w:rStyle w:val="InstructionsTabelleText"/>
                <w:rFonts w:ascii="Times New Roman" w:hAnsi="Times New Roman"/>
                <w:bCs w:val="0"/>
              </w:rPr>
              <w:t xml:space="preserve"> </w:t>
            </w:r>
            <w:r w:rsidR="000168F9" w:rsidRPr="00EA201D">
              <w:rPr>
                <w:rStyle w:val="InstructionsTabelleText"/>
                <w:rFonts w:ascii="Times New Roman" w:hAnsi="Times New Roman"/>
                <w:bCs w:val="0"/>
              </w:rPr>
              <w:t xml:space="preserve">Columns 010 and 020 are a composite row identifier and </w:t>
            </w:r>
            <w:r w:rsidR="00833876" w:rsidRPr="00833876">
              <w:t>their combination</w:t>
            </w:r>
            <w:r w:rsidR="000168F9" w:rsidRPr="00EA201D">
              <w:rPr>
                <w:rStyle w:val="InstructionsTabelleText"/>
                <w:rFonts w:ascii="Times New Roman" w:hAnsi="Times New Roman"/>
                <w:bCs w:val="0"/>
              </w:rPr>
              <w:t xml:space="preserve"> </w:t>
            </w:r>
            <w:r w:rsidR="00713A9C">
              <w:rPr>
                <w:rStyle w:val="InstructionsTabelleText"/>
                <w:rFonts w:ascii="Times New Roman" w:hAnsi="Times New Roman"/>
                <w:bCs w:val="0"/>
              </w:rPr>
              <w:t>shall</w:t>
            </w:r>
            <w:r w:rsidR="00713A9C" w:rsidRPr="00EA201D">
              <w:rPr>
                <w:rStyle w:val="InstructionsTabelleText"/>
                <w:rFonts w:ascii="Times New Roman" w:hAnsi="Times New Roman"/>
                <w:bCs w:val="0"/>
              </w:rPr>
              <w:t xml:space="preserve"> </w:t>
            </w:r>
            <w:r w:rsidR="000168F9" w:rsidRPr="00EA201D">
              <w:rPr>
                <w:rStyle w:val="InstructionsTabelleText"/>
                <w:rFonts w:ascii="Times New Roman" w:hAnsi="Times New Roman"/>
                <w:bCs w:val="0"/>
              </w:rPr>
              <w:t>be unique for each row in the table.</w:t>
            </w:r>
          </w:p>
        </w:tc>
      </w:tr>
      <w:tr w:rsidR="00084D20" w:rsidRPr="00EA201D" w14:paraId="40674B75" w14:textId="77777777" w:rsidTr="00585623">
        <w:tc>
          <w:tcPr>
            <w:tcW w:w="993" w:type="dxa"/>
          </w:tcPr>
          <w:p w14:paraId="3B88E677" w14:textId="77777777" w:rsidR="00084D20" w:rsidRPr="00EA201D" w:rsidRDefault="00084D20"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020</w:t>
            </w:r>
          </w:p>
        </w:tc>
        <w:tc>
          <w:tcPr>
            <w:tcW w:w="1701" w:type="dxa"/>
          </w:tcPr>
          <w:p w14:paraId="0DFE24DF" w14:textId="77777777" w:rsidR="00084D20" w:rsidRPr="00EA201D" w:rsidRDefault="009C4410" w:rsidP="00E847ED">
            <w:pPr>
              <w:pStyle w:val="InstructionsText"/>
              <w:rPr>
                <w:rStyle w:val="InstructionsTabelleText"/>
                <w:rFonts w:ascii="Times New Roman" w:hAnsi="Times New Roman"/>
                <w:bCs w:val="0"/>
              </w:rPr>
            </w:pPr>
            <w:r>
              <w:rPr>
                <w:rStyle w:val="InstructionsTabelleText"/>
                <w:rFonts w:ascii="Times New Roman" w:hAnsi="Times New Roman"/>
                <w:bCs w:val="0"/>
              </w:rPr>
              <w:t>Location of institution</w:t>
            </w:r>
          </w:p>
        </w:tc>
        <w:tc>
          <w:tcPr>
            <w:tcW w:w="1842" w:type="dxa"/>
          </w:tcPr>
          <w:p w14:paraId="69D936FB" w14:textId="77777777" w:rsidR="00084D20" w:rsidRPr="00EA201D" w:rsidRDefault="00084D20" w:rsidP="00E847ED">
            <w:pPr>
              <w:pStyle w:val="InstructionsText"/>
              <w:rPr>
                <w:rStyle w:val="InstructionsTabelleText"/>
                <w:rFonts w:ascii="Times New Roman" w:hAnsi="Times New Roman"/>
                <w:bCs w:val="0"/>
              </w:rPr>
            </w:pPr>
            <w:r w:rsidRPr="00EA201D">
              <w:rPr>
                <w:rStyle w:val="InstructionsTabelleText"/>
                <w:rFonts w:ascii="Times New Roman" w:hAnsi="Times New Roman"/>
                <w:bCs w:val="0"/>
              </w:rPr>
              <w:t>Art</w:t>
            </w:r>
            <w:r w:rsidR="00203D2B" w:rsidRPr="00EA201D">
              <w:rPr>
                <w:rStyle w:val="InstructionsTabelleText"/>
                <w:rFonts w:ascii="Times New Roman" w:hAnsi="Times New Roman"/>
                <w:bCs w:val="0"/>
              </w:rPr>
              <w:t>icle</w:t>
            </w:r>
            <w:r w:rsidRPr="00EA201D">
              <w:rPr>
                <w:rStyle w:val="InstructionsTabelleText"/>
                <w:rFonts w:ascii="Times New Roman" w:hAnsi="Times New Roman"/>
                <w:bCs w:val="0"/>
              </w:rPr>
              <w:t xml:space="preserve"> 20 </w:t>
            </w:r>
            <w:r w:rsidR="00203D2B" w:rsidRPr="00EA201D">
              <w:rPr>
                <w:rStyle w:val="InstructionsTabelleText"/>
                <w:rFonts w:ascii="Times New Roman" w:hAnsi="Times New Roman"/>
                <w:bCs w:val="0"/>
              </w:rPr>
              <w:t xml:space="preserve">of </w:t>
            </w:r>
            <w:r w:rsidRPr="00EA201D">
              <w:rPr>
                <w:rStyle w:val="InstructionsTabelleText"/>
                <w:rFonts w:ascii="Times New Roman" w:hAnsi="Times New Roman"/>
                <w:bCs w:val="0"/>
              </w:rPr>
              <w:t>Regulation (EU) No 575/2013</w:t>
            </w:r>
          </w:p>
        </w:tc>
        <w:tc>
          <w:tcPr>
            <w:tcW w:w="9781" w:type="dxa"/>
          </w:tcPr>
          <w:p w14:paraId="4D1F2F52" w14:textId="01252B62" w:rsidR="00084D20" w:rsidRPr="00EA201D" w:rsidRDefault="00122E4C" w:rsidP="00E847ED">
            <w:pPr>
              <w:pStyle w:val="InstructionsText"/>
            </w:pPr>
            <w:r w:rsidRPr="00EA201D">
              <w:t>T</w:t>
            </w:r>
            <w:r w:rsidR="00084D20" w:rsidRPr="00EA201D">
              <w:t xml:space="preserve">he country ISO code of the </w:t>
            </w:r>
            <w:r w:rsidR="009C4410">
              <w:t xml:space="preserve">legal residence </w:t>
            </w:r>
            <w:r w:rsidR="00084D20" w:rsidRPr="00EA201D">
              <w:t xml:space="preserve">of </w:t>
            </w:r>
            <w:r w:rsidR="005C3404">
              <w:t>each</w:t>
            </w:r>
            <w:r w:rsidR="005C3404" w:rsidRPr="00EA201D">
              <w:t xml:space="preserve"> </w:t>
            </w:r>
            <w:r w:rsidR="00084D20" w:rsidRPr="00EA201D">
              <w:t xml:space="preserve">subsidiary where the IRB exposures reported for each benchmarking portfolio are booked </w:t>
            </w:r>
            <w:r w:rsidRPr="00EA201D">
              <w:t>shall be reported</w:t>
            </w:r>
            <w:r w:rsidR="00790066">
              <w:t>,</w:t>
            </w:r>
            <w:r w:rsidRPr="00EA201D">
              <w:t xml:space="preserve"> </w:t>
            </w:r>
            <w:r w:rsidR="00084D20" w:rsidRPr="00EA201D">
              <w:t xml:space="preserve">irrespective </w:t>
            </w:r>
            <w:r w:rsidRPr="00EA201D">
              <w:t xml:space="preserve">of </w:t>
            </w:r>
            <w:r w:rsidR="00084D20" w:rsidRPr="00EA201D">
              <w:t xml:space="preserve">the existence of any permission granted by the host supervisor to apply </w:t>
            </w:r>
            <w:r w:rsidRPr="00EA201D">
              <w:t xml:space="preserve">an </w:t>
            </w:r>
            <w:r w:rsidR="00084D20" w:rsidRPr="00EA201D">
              <w:t>IRB</w:t>
            </w:r>
            <w:r w:rsidRPr="00EA201D">
              <w:t xml:space="preserve"> approach</w:t>
            </w:r>
            <w:r w:rsidR="00084D20" w:rsidRPr="00EA201D">
              <w:t>.</w:t>
            </w:r>
          </w:p>
        </w:tc>
      </w:tr>
    </w:tbl>
    <w:p w14:paraId="55C6AC35" w14:textId="77777777" w:rsidR="001F1AEB" w:rsidRPr="00EA201D" w:rsidRDefault="001F1AEB" w:rsidP="00E03A99">
      <w:pPr>
        <w:rPr>
          <w:rStyle w:val="InstructionsTabelleText"/>
          <w:rFonts w:ascii="Times New Roman" w:hAnsi="Times New Roman"/>
          <w:szCs w:val="20"/>
        </w:rPr>
      </w:pPr>
    </w:p>
    <w:sectPr w:rsidR="001F1AEB" w:rsidRPr="00EA201D" w:rsidSect="00A31834">
      <w:footerReference w:type="even" r:id="rId18"/>
      <w:footerReference w:type="default" r:id="rId19"/>
      <w:headerReference w:type="first" r:id="rId20"/>
      <w:endnotePr>
        <w:numFmt w:val="decimal"/>
      </w:endnotePr>
      <w:pgSz w:w="16838" w:h="11906" w:orient="landscape"/>
      <w:pgMar w:top="1417" w:right="1417"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4D8E5" w16cid:durableId="202CF6F8"/>
  <w16cid:commentId w16cid:paraId="33E4BF26" w16cid:durableId="202D0200"/>
  <w16cid:commentId w16cid:paraId="1BB2767E" w16cid:durableId="202CF7F7"/>
  <w16cid:commentId w16cid:paraId="6E6FB9A6" w16cid:durableId="202D0366"/>
  <w16cid:commentId w16cid:paraId="2D332321" w16cid:durableId="202CF91F"/>
  <w16cid:commentId w16cid:paraId="5DC71E8C" w16cid:durableId="202CFE40"/>
  <w16cid:commentId w16cid:paraId="335A9E1E" w16cid:durableId="202D0221"/>
  <w16cid:commentId w16cid:paraId="38EFE43A" w16cid:durableId="202D0646"/>
  <w16cid:commentId w16cid:paraId="03D26E32" w16cid:durableId="202D0804"/>
  <w16cid:commentId w16cid:paraId="6ECA7BC4" w16cid:durableId="202D08E5"/>
  <w16cid:commentId w16cid:paraId="4BF876A3" w16cid:durableId="202D0B46"/>
  <w16cid:commentId w16cid:paraId="3E90DE5E" w16cid:durableId="202D0B28"/>
  <w16cid:commentId w16cid:paraId="41DB48EB" w16cid:durableId="202D0B7D"/>
  <w16cid:commentId w16cid:paraId="7134EF64" w16cid:durableId="202D0D44"/>
  <w16cid:commentId w16cid:paraId="74928BD7" w16cid:durableId="202D0E64"/>
  <w16cid:commentId w16cid:paraId="2E247830" w16cid:durableId="202D117B"/>
  <w16cid:commentId w16cid:paraId="37E8E1C8" w16cid:durableId="202D14CE"/>
  <w16cid:commentId w16cid:paraId="3B57F0D9" w16cid:durableId="202D1583"/>
  <w16cid:commentId w16cid:paraId="3B676A6A" w16cid:durableId="202D19D2"/>
  <w16cid:commentId w16cid:paraId="0368D5E9" w16cid:durableId="202D16FB"/>
  <w16cid:commentId w16cid:paraId="704CF0BD" w16cid:durableId="202D173C"/>
  <w16cid:commentId w16cid:paraId="229E6ACF" w16cid:durableId="202D192B"/>
  <w16cid:commentId w16cid:paraId="4C150BC5" w16cid:durableId="202D199A"/>
  <w16cid:commentId w16cid:paraId="26C481C9" w16cid:durableId="202D1B45"/>
  <w16cid:commentId w16cid:paraId="6B9437F8" w16cid:durableId="202D1E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A326" w14:textId="77777777" w:rsidR="002A3CAA" w:rsidRDefault="002A3CAA" w:rsidP="00D946DB">
      <w:pPr>
        <w:spacing w:before="0" w:after="0"/>
      </w:pPr>
      <w:r>
        <w:separator/>
      </w:r>
    </w:p>
  </w:endnote>
  <w:endnote w:type="continuationSeparator" w:id="0">
    <w:p w14:paraId="471E384F" w14:textId="77777777" w:rsidR="002A3CAA" w:rsidRDefault="002A3CAA"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480F" w14:textId="77777777" w:rsidR="002A3CAA" w:rsidRDefault="002A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6055" w14:textId="42CA73C0" w:rsidR="002A3CAA" w:rsidRPr="00A772B4" w:rsidRDefault="002A3CAA">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8979F8">
      <w:rPr>
        <w:rFonts w:ascii="Times New Roman" w:hAnsi="Times New Roman"/>
        <w:noProof/>
      </w:rPr>
      <w:t>2</w:t>
    </w:r>
    <w:r w:rsidRPr="00A772B4">
      <w:rPr>
        <w:rFonts w:ascii="Times New Roman" w:hAnsi="Times New Roman"/>
      </w:rPr>
      <w:fldChar w:fldCharType="end"/>
    </w:r>
  </w:p>
  <w:p w14:paraId="6F7A6C4D" w14:textId="77777777" w:rsidR="002A3CAA" w:rsidRDefault="002A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35011"/>
      <w:docPartObj>
        <w:docPartGallery w:val="Page Numbers (Bottom of Page)"/>
        <w:docPartUnique/>
      </w:docPartObj>
    </w:sdtPr>
    <w:sdtEndPr>
      <w:rPr>
        <w:noProof/>
      </w:rPr>
    </w:sdtEndPr>
    <w:sdtContent>
      <w:p w14:paraId="11AE1C9E" w14:textId="1E315F53" w:rsidR="002A3CAA" w:rsidRDefault="002A3CAA">
        <w:pPr>
          <w:pStyle w:val="Footer"/>
          <w:jc w:val="right"/>
        </w:pPr>
        <w:r>
          <w:fldChar w:fldCharType="begin"/>
        </w:r>
        <w:r>
          <w:instrText xml:space="preserve"> PAGE   \* MERGEFORMAT </w:instrText>
        </w:r>
        <w:r>
          <w:fldChar w:fldCharType="separate"/>
        </w:r>
        <w:r w:rsidR="008979F8">
          <w:rPr>
            <w:noProof/>
          </w:rPr>
          <w:t>1</w:t>
        </w:r>
        <w:r>
          <w:rPr>
            <w:noProof/>
          </w:rPr>
          <w:fldChar w:fldCharType="end"/>
        </w:r>
      </w:p>
    </w:sdtContent>
  </w:sdt>
  <w:p w14:paraId="5F8CA0E1" w14:textId="77777777" w:rsidR="002A3CAA" w:rsidRDefault="002A3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F98F" w14:textId="77777777" w:rsidR="002A3CAA" w:rsidRDefault="002A3CAA">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end"/>
    </w:r>
  </w:p>
  <w:p w14:paraId="0F32A21E" w14:textId="77777777" w:rsidR="002A3CAA" w:rsidRDefault="002A3CA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A867" w14:textId="799C3B78" w:rsidR="002A3CAA" w:rsidRPr="00A772B4" w:rsidRDefault="002A3CAA">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8979F8">
      <w:rPr>
        <w:rFonts w:ascii="Times New Roman" w:hAnsi="Times New Roman"/>
        <w:noProof/>
      </w:rPr>
      <w:t>19</w:t>
    </w:r>
    <w:r w:rsidRPr="00A772B4">
      <w:rPr>
        <w:rFonts w:ascii="Times New Roman" w:hAnsi="Times New Roman"/>
      </w:rPr>
      <w:fldChar w:fldCharType="end"/>
    </w:r>
  </w:p>
  <w:p w14:paraId="4207335C" w14:textId="77777777" w:rsidR="002A3CAA" w:rsidRPr="00A772B4" w:rsidRDefault="002A3CAA"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4791" w14:textId="77777777" w:rsidR="002A3CAA" w:rsidRDefault="002A3CAA" w:rsidP="00D946DB">
      <w:pPr>
        <w:spacing w:before="0" w:after="0"/>
      </w:pPr>
      <w:r>
        <w:separator/>
      </w:r>
    </w:p>
  </w:footnote>
  <w:footnote w:type="continuationSeparator" w:id="0">
    <w:p w14:paraId="02F873D6" w14:textId="77777777" w:rsidR="002A3CAA" w:rsidRDefault="002A3CAA" w:rsidP="00D946DB">
      <w:pPr>
        <w:spacing w:before="0" w:after="0"/>
      </w:pPr>
      <w:r>
        <w:continuationSeparator/>
      </w:r>
    </w:p>
  </w:footnote>
  <w:footnote w:id="1">
    <w:p w14:paraId="5CF3E428" w14:textId="4B82F1F3" w:rsidR="002A3CAA" w:rsidRPr="00855207" w:rsidRDefault="002A3CAA">
      <w:pPr>
        <w:pStyle w:val="FootnoteText"/>
        <w:rPr>
          <w:lang w:val="en-GB"/>
        </w:rPr>
      </w:pPr>
      <w:r>
        <w:rPr>
          <w:rStyle w:val="FootnoteReference"/>
        </w:rPr>
        <w:footnoteRef/>
      </w:r>
      <w:r>
        <w:t xml:space="preserve"> </w:t>
      </w:r>
      <w:r>
        <w:rPr>
          <w:rStyle w:val="Strong"/>
          <w:rFonts w:ascii="Times New Roman" w:hAnsi="Times New Roman"/>
          <w:b w:val="0"/>
        </w:rPr>
        <w:t>Regulation (EU) No 575/2013 of the European Parliament and of the Council of 26 June 2013 on prudential requirements for credit institutions and investment firms and amending Regulation (EU) No 648/2012 (OJ L 176, 27.6.2013,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9353" w14:textId="77777777" w:rsidR="002A3CAA" w:rsidRDefault="002A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E115" w14:textId="77777777" w:rsidR="002A3CAA" w:rsidRPr="004D4419" w:rsidRDefault="002A3CAA" w:rsidP="004D4419">
    <w:pPr>
      <w:pStyle w:val="Header"/>
      <w:spacing w:before="0" w:after="0"/>
      <w:jc w:val="center"/>
      <w:rPr>
        <w:rFonts w:ascii="Times New Roman" w:hAnsi="Times New Roman"/>
      </w:rPr>
    </w:pPr>
    <w:r w:rsidRPr="004D4419">
      <w:rPr>
        <w:rFonts w:ascii="Times New Roman" w:hAnsi="Times New Roman"/>
      </w:rPr>
      <w:t>EN</w:t>
    </w:r>
  </w:p>
  <w:p w14:paraId="4D27A5B0" w14:textId="77777777" w:rsidR="002A3CAA" w:rsidRPr="00327E44" w:rsidRDefault="002A3CAA" w:rsidP="004D4419">
    <w:pPr>
      <w:pStyle w:val="Header"/>
      <w:spacing w:before="0" w:after="0"/>
      <w:jc w:val="center"/>
      <w:rPr>
        <w:rFonts w:ascii="Times New Roman" w:hAnsi="Times New Roman"/>
        <w:lang w:val="en-GB"/>
      </w:rPr>
    </w:pPr>
    <w:r>
      <w:rPr>
        <w:rFonts w:ascii="Times New Roman" w:hAnsi="Times New Roman"/>
      </w:rPr>
      <w:t xml:space="preserve">ANNEX </w:t>
    </w:r>
    <w:r w:rsidRPr="004D4419">
      <w:rPr>
        <w:rFonts w:ascii="Times New Roman" w:hAnsi="Times New Roman"/>
      </w:rPr>
      <w:t>I</w:t>
    </w:r>
    <w:r>
      <w:rPr>
        <w:rFonts w:ascii="Times New Roman" w:hAnsi="Times New Roman"/>
        <w:lang w:val="en-GB"/>
      </w:rPr>
      <w:t>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8DE4" w14:textId="77777777" w:rsidR="002A3CAA" w:rsidRDefault="002A3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0952" w14:textId="77777777" w:rsidR="002A3CAA" w:rsidRDefault="002A3CAA">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1470A"/>
    <w:multiLevelType w:val="hybridMultilevel"/>
    <w:tmpl w:val="F43C5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2593"/>
    <w:multiLevelType w:val="hybridMultilevel"/>
    <w:tmpl w:val="CC74F19C"/>
    <w:lvl w:ilvl="0" w:tplc="08090017">
      <w:start w:val="1"/>
      <w:numFmt w:val="lowerLetter"/>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15:restartNumberingAfterBreak="0">
    <w:nsid w:val="094B2E1D"/>
    <w:multiLevelType w:val="hybridMultilevel"/>
    <w:tmpl w:val="45B0F2BA"/>
    <w:lvl w:ilvl="0" w:tplc="C894690A">
      <w:numFmt w:val="bullet"/>
      <w:lvlText w:val="-"/>
      <w:lvlJc w:val="left"/>
      <w:pPr>
        <w:ind w:left="720" w:hanging="360"/>
      </w:pPr>
      <w:rPr>
        <w:rFonts w:ascii="Verdana" w:eastAsia="Arial"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66F9"/>
    <w:multiLevelType w:val="hybridMultilevel"/>
    <w:tmpl w:val="5240EE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6" w15:restartNumberingAfterBreak="0">
    <w:nsid w:val="17973E88"/>
    <w:multiLevelType w:val="hybridMultilevel"/>
    <w:tmpl w:val="4AE0030C"/>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7"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276E5608"/>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9" w15:restartNumberingAfterBreak="0">
    <w:nsid w:val="27AB786A"/>
    <w:multiLevelType w:val="hybridMultilevel"/>
    <w:tmpl w:val="0DE21D12"/>
    <w:lvl w:ilvl="0" w:tplc="63E81DF2">
      <w:start w:val="4"/>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D50CB"/>
    <w:multiLevelType w:val="hybridMultilevel"/>
    <w:tmpl w:val="CC74F19C"/>
    <w:lvl w:ilvl="0" w:tplc="08090017">
      <w:start w:val="1"/>
      <w:numFmt w:val="lowerLetter"/>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8CC49A3"/>
    <w:multiLevelType w:val="hybridMultilevel"/>
    <w:tmpl w:val="835273F4"/>
    <w:lvl w:ilvl="0" w:tplc="66FAF58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D3E43"/>
    <w:multiLevelType w:val="multilevel"/>
    <w:tmpl w:val="A5900CCC"/>
    <w:lvl w:ilvl="0">
      <w:start w:val="1"/>
      <w:numFmt w:val="decimal"/>
      <w:lvlText w:val="%1."/>
      <w:lvlJc w:val="left"/>
      <w:pPr>
        <w:ind w:left="357" w:hanging="357"/>
      </w:pPr>
      <w:rPr>
        <w:rFonts w:cs="Times New Roman" w:hint="default"/>
      </w:rPr>
    </w:lvl>
    <w:lvl w:ilvl="1">
      <w:start w:val="1"/>
      <w:numFmt w:val="lowerLetter"/>
      <w:lvlText w:val="%2)"/>
      <w:lvlJc w:val="left"/>
      <w:pPr>
        <w:ind w:left="357" w:hanging="357"/>
      </w:pPr>
      <w:rPr>
        <w:rFonts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3"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342CA5"/>
    <w:multiLevelType w:val="hybridMultilevel"/>
    <w:tmpl w:val="BFF839DE"/>
    <w:lvl w:ilvl="0" w:tplc="66FAF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C0C8D"/>
    <w:multiLevelType w:val="hybridMultilevel"/>
    <w:tmpl w:val="4CA6D86C"/>
    <w:lvl w:ilvl="0" w:tplc="2C4CB8C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2CA02067"/>
    <w:multiLevelType w:val="hybridMultilevel"/>
    <w:tmpl w:val="AA587F48"/>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7" w15:restartNumberingAfterBreak="0">
    <w:nsid w:val="2F7D7F02"/>
    <w:multiLevelType w:val="multilevel"/>
    <w:tmpl w:val="0407001D"/>
    <w:numStyleLink w:val="Formatvorlage3"/>
  </w:abstractNum>
  <w:abstractNum w:abstractNumId="18" w15:restartNumberingAfterBreak="0">
    <w:nsid w:val="33057CB8"/>
    <w:multiLevelType w:val="hybridMultilevel"/>
    <w:tmpl w:val="392CBE6E"/>
    <w:lvl w:ilvl="0" w:tplc="236EA62C">
      <w:start w:val="1"/>
      <w:numFmt w:val="decimal"/>
      <w:lvlText w:val="%1."/>
      <w:lvlJc w:val="left"/>
      <w:pPr>
        <w:ind w:left="1353" w:hanging="360"/>
      </w:pPr>
      <w:rPr>
        <w:rFonts w:cs="Times New Roman"/>
      </w:r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9"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0008A5"/>
    <w:multiLevelType w:val="hybridMultilevel"/>
    <w:tmpl w:val="BFF839DE"/>
    <w:lvl w:ilvl="0" w:tplc="66FAF58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64767"/>
    <w:multiLevelType w:val="hybridMultilevel"/>
    <w:tmpl w:val="F44A42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3C430B18"/>
    <w:multiLevelType w:val="hybridMultilevel"/>
    <w:tmpl w:val="8D44EFF6"/>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3"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3CB7EE6"/>
    <w:multiLevelType w:val="hybridMultilevel"/>
    <w:tmpl w:val="AE50AA58"/>
    <w:lvl w:ilvl="0" w:tplc="C292D84E">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63C44"/>
    <w:multiLevelType w:val="hybridMultilevel"/>
    <w:tmpl w:val="7220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07797A"/>
    <w:multiLevelType w:val="hybridMultilevel"/>
    <w:tmpl w:val="092E9204"/>
    <w:lvl w:ilvl="0" w:tplc="C292D84E">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42EB2"/>
    <w:multiLevelType w:val="hybridMultilevel"/>
    <w:tmpl w:val="CC74F19C"/>
    <w:lvl w:ilvl="0" w:tplc="08090017">
      <w:start w:val="1"/>
      <w:numFmt w:val="lowerLetter"/>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1" w15:restartNumberingAfterBreak="0">
    <w:nsid w:val="57646BD2"/>
    <w:multiLevelType w:val="hybridMultilevel"/>
    <w:tmpl w:val="49AA8AEE"/>
    <w:lvl w:ilvl="0" w:tplc="5676553C">
      <w:start w:val="4"/>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371AC"/>
    <w:multiLevelType w:val="hybridMultilevel"/>
    <w:tmpl w:val="31B2F768"/>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3" w15:restartNumberingAfterBreak="0">
    <w:nsid w:val="59E57A95"/>
    <w:multiLevelType w:val="hybridMultilevel"/>
    <w:tmpl w:val="F25A1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5" w15:restartNumberingAfterBreak="0">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56FFC"/>
    <w:multiLevelType w:val="hybridMultilevel"/>
    <w:tmpl w:val="CC74F19C"/>
    <w:lvl w:ilvl="0" w:tplc="08090017">
      <w:start w:val="1"/>
      <w:numFmt w:val="lowerLetter"/>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7" w15:restartNumberingAfterBreak="0">
    <w:nsid w:val="626C264B"/>
    <w:multiLevelType w:val="hybridMultilevel"/>
    <w:tmpl w:val="C2B89DAC"/>
    <w:lvl w:ilvl="0" w:tplc="1096A816">
      <w:start w:val="6"/>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BE2AA1"/>
    <w:multiLevelType w:val="hybridMultilevel"/>
    <w:tmpl w:val="B644E04E"/>
    <w:lvl w:ilvl="0" w:tplc="59E6358C">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1" w15:restartNumberingAfterBreak="0">
    <w:nsid w:val="66CA2C8C"/>
    <w:multiLevelType w:val="hybridMultilevel"/>
    <w:tmpl w:val="5BF2CFE0"/>
    <w:lvl w:ilvl="0" w:tplc="4BB6D85C">
      <w:start w:val="1"/>
      <w:numFmt w:val="decimal"/>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42" w15:restartNumberingAfterBreak="0">
    <w:nsid w:val="682E0314"/>
    <w:multiLevelType w:val="hybridMultilevel"/>
    <w:tmpl w:val="7C4E25F2"/>
    <w:lvl w:ilvl="0" w:tplc="66FAF58E">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5" w15:restartNumberingAfterBreak="0">
    <w:nsid w:val="6CF95179"/>
    <w:multiLevelType w:val="hybridMultilevel"/>
    <w:tmpl w:val="1786D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5B3A16"/>
    <w:multiLevelType w:val="hybridMultilevel"/>
    <w:tmpl w:val="F44A42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9" w15:restartNumberingAfterBreak="0">
    <w:nsid w:val="778D26D7"/>
    <w:multiLevelType w:val="hybridMultilevel"/>
    <w:tmpl w:val="37A4E1D8"/>
    <w:lvl w:ilvl="0" w:tplc="60B21FAA">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9946B98"/>
    <w:multiLevelType w:val="hybridMultilevel"/>
    <w:tmpl w:val="EA42A94A"/>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1" w15:restartNumberingAfterBreak="0">
    <w:nsid w:val="7C6A51DE"/>
    <w:multiLevelType w:val="hybridMultilevel"/>
    <w:tmpl w:val="D37A8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5"/>
  </w:num>
  <w:num w:numId="3">
    <w:abstractNumId w:val="47"/>
  </w:num>
  <w:num w:numId="4">
    <w:abstractNumId w:val="25"/>
  </w:num>
  <w:num w:numId="5">
    <w:abstractNumId w:val="43"/>
  </w:num>
  <w:num w:numId="6">
    <w:abstractNumId w:val="23"/>
  </w:num>
  <w:num w:numId="7">
    <w:abstractNumId w:val="46"/>
  </w:num>
  <w:num w:numId="8">
    <w:abstractNumId w:val="7"/>
  </w:num>
  <w:num w:numId="9">
    <w:abstractNumId w:val="39"/>
  </w:num>
  <w:num w:numId="10">
    <w:abstractNumId w:val="19"/>
  </w:num>
  <w:num w:numId="11">
    <w:abstractNumId w:val="28"/>
  </w:num>
  <w:num w:numId="12">
    <w:abstractNumId w:val="13"/>
  </w:num>
  <w:num w:numId="13">
    <w:abstractNumId w:val="41"/>
  </w:num>
  <w:num w:numId="14">
    <w:abstractNumId w:val="34"/>
  </w:num>
  <w:num w:numId="15">
    <w:abstractNumId w:val="18"/>
  </w:num>
  <w:num w:numId="16">
    <w:abstractNumId w:val="27"/>
  </w:num>
  <w:num w:numId="17">
    <w:abstractNumId w:val="17"/>
  </w:num>
  <w:num w:numId="18">
    <w:abstractNumId w:val="44"/>
  </w:num>
  <w:num w:numId="19">
    <w:abstractNumId w:val="5"/>
  </w:num>
  <w:num w:numId="20">
    <w:abstractNumId w:val="40"/>
  </w:num>
  <w:num w:numId="21">
    <w:abstractNumId w:val="12"/>
  </w:num>
  <w:num w:numId="22">
    <w:abstractNumId w:val="38"/>
  </w:num>
  <w:num w:numId="23">
    <w:abstractNumId w:val="36"/>
  </w:num>
  <w:num w:numId="24">
    <w:abstractNumId w:val="2"/>
  </w:num>
  <w:num w:numId="25">
    <w:abstractNumId w:val="24"/>
  </w:num>
  <w:num w:numId="26">
    <w:abstractNumId w:val="29"/>
  </w:num>
  <w:num w:numId="27">
    <w:abstractNumId w:val="30"/>
  </w:num>
  <w:num w:numId="28">
    <w:abstractNumId w:val="10"/>
  </w:num>
  <w:num w:numId="29">
    <w:abstractNumId w:val="26"/>
  </w:num>
  <w:num w:numId="30">
    <w:abstractNumId w:val="14"/>
  </w:num>
  <w:num w:numId="31">
    <w:abstractNumId w:val="11"/>
  </w:num>
  <w:num w:numId="32">
    <w:abstractNumId w:val="15"/>
  </w:num>
  <w:num w:numId="33">
    <w:abstractNumId w:val="16"/>
  </w:num>
  <w:num w:numId="34">
    <w:abstractNumId w:val="8"/>
  </w:num>
  <w:num w:numId="35">
    <w:abstractNumId w:val="50"/>
  </w:num>
  <w:num w:numId="36">
    <w:abstractNumId w:val="22"/>
  </w:num>
  <w:num w:numId="37">
    <w:abstractNumId w:val="20"/>
  </w:num>
  <w:num w:numId="38">
    <w:abstractNumId w:val="42"/>
  </w:num>
  <w:num w:numId="39">
    <w:abstractNumId w:val="49"/>
  </w:num>
  <w:num w:numId="40">
    <w:abstractNumId w:val="3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
  </w:num>
  <w:num w:numId="45">
    <w:abstractNumId w:val="37"/>
  </w:num>
  <w:num w:numId="46">
    <w:abstractNumId w:val="3"/>
  </w:num>
  <w:num w:numId="47">
    <w:abstractNumId w:val="31"/>
  </w:num>
  <w:num w:numId="48">
    <w:abstractNumId w:val="4"/>
  </w:num>
  <w:num w:numId="49">
    <w:abstractNumId w:val="51"/>
  </w:num>
  <w:num w:numId="50">
    <w:abstractNumId w:val="9"/>
  </w:num>
  <w:num w:numId="51">
    <w:abstractNumId w:val="6"/>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170"/>
  <w:drawingGridHorizontalSpacing w:val="100"/>
  <w:displayHorizontalDrawingGridEvery w:val="2"/>
  <w:characterSpacingControl w:val="doNotCompress"/>
  <w:hdrShapeDefaults>
    <o:shapedefaults v:ext="edit" spidmax="1075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84FEB"/>
    <w:rsid w:val="00000F70"/>
    <w:rsid w:val="000017F3"/>
    <w:rsid w:val="00001EA2"/>
    <w:rsid w:val="000020E5"/>
    <w:rsid w:val="00002933"/>
    <w:rsid w:val="00002DBA"/>
    <w:rsid w:val="00003411"/>
    <w:rsid w:val="00004FE8"/>
    <w:rsid w:val="00005765"/>
    <w:rsid w:val="00005FFC"/>
    <w:rsid w:val="000070AD"/>
    <w:rsid w:val="00007605"/>
    <w:rsid w:val="00007D0D"/>
    <w:rsid w:val="00011BD0"/>
    <w:rsid w:val="000120EB"/>
    <w:rsid w:val="00013A71"/>
    <w:rsid w:val="0001416D"/>
    <w:rsid w:val="00014890"/>
    <w:rsid w:val="00014DC3"/>
    <w:rsid w:val="00016323"/>
    <w:rsid w:val="000168F9"/>
    <w:rsid w:val="0001693F"/>
    <w:rsid w:val="00017183"/>
    <w:rsid w:val="00020200"/>
    <w:rsid w:val="00020516"/>
    <w:rsid w:val="00020AF9"/>
    <w:rsid w:val="000232E2"/>
    <w:rsid w:val="00023383"/>
    <w:rsid w:val="000243CE"/>
    <w:rsid w:val="0002657F"/>
    <w:rsid w:val="00027235"/>
    <w:rsid w:val="000326C1"/>
    <w:rsid w:val="00033C55"/>
    <w:rsid w:val="00034834"/>
    <w:rsid w:val="000359E1"/>
    <w:rsid w:val="00036C1A"/>
    <w:rsid w:val="00037093"/>
    <w:rsid w:val="000377CC"/>
    <w:rsid w:val="00037DC7"/>
    <w:rsid w:val="00041480"/>
    <w:rsid w:val="000433C4"/>
    <w:rsid w:val="00044249"/>
    <w:rsid w:val="00045036"/>
    <w:rsid w:val="00046597"/>
    <w:rsid w:val="000527C5"/>
    <w:rsid w:val="000530BC"/>
    <w:rsid w:val="0005400A"/>
    <w:rsid w:val="00054382"/>
    <w:rsid w:val="0005482E"/>
    <w:rsid w:val="000548A2"/>
    <w:rsid w:val="000553FC"/>
    <w:rsid w:val="0005609F"/>
    <w:rsid w:val="000565B6"/>
    <w:rsid w:val="00056C0F"/>
    <w:rsid w:val="00057362"/>
    <w:rsid w:val="0005746D"/>
    <w:rsid w:val="00060772"/>
    <w:rsid w:val="00061E48"/>
    <w:rsid w:val="00062A37"/>
    <w:rsid w:val="00063085"/>
    <w:rsid w:val="00063B3F"/>
    <w:rsid w:val="00067B24"/>
    <w:rsid w:val="00067EEA"/>
    <w:rsid w:val="000709D2"/>
    <w:rsid w:val="00070E18"/>
    <w:rsid w:val="00071341"/>
    <w:rsid w:val="000716F4"/>
    <w:rsid w:val="0007437A"/>
    <w:rsid w:val="000758FE"/>
    <w:rsid w:val="00076091"/>
    <w:rsid w:val="00076880"/>
    <w:rsid w:val="00077C5F"/>
    <w:rsid w:val="00080FB4"/>
    <w:rsid w:val="0008111C"/>
    <w:rsid w:val="000828C6"/>
    <w:rsid w:val="000843B3"/>
    <w:rsid w:val="00084A4D"/>
    <w:rsid w:val="00084D20"/>
    <w:rsid w:val="000858A9"/>
    <w:rsid w:val="00085F94"/>
    <w:rsid w:val="00086BB4"/>
    <w:rsid w:val="000903FA"/>
    <w:rsid w:val="00092F67"/>
    <w:rsid w:val="00093686"/>
    <w:rsid w:val="000946C4"/>
    <w:rsid w:val="00094D25"/>
    <w:rsid w:val="00095191"/>
    <w:rsid w:val="000A0AD0"/>
    <w:rsid w:val="000A3B1A"/>
    <w:rsid w:val="000A4B61"/>
    <w:rsid w:val="000A57BC"/>
    <w:rsid w:val="000B0B09"/>
    <w:rsid w:val="000B0E46"/>
    <w:rsid w:val="000B0EBE"/>
    <w:rsid w:val="000B13A1"/>
    <w:rsid w:val="000B2003"/>
    <w:rsid w:val="000B3138"/>
    <w:rsid w:val="000B3C33"/>
    <w:rsid w:val="000B50B6"/>
    <w:rsid w:val="000B5F8A"/>
    <w:rsid w:val="000B6A14"/>
    <w:rsid w:val="000B70E1"/>
    <w:rsid w:val="000C24B5"/>
    <w:rsid w:val="000C2AF8"/>
    <w:rsid w:val="000C30A6"/>
    <w:rsid w:val="000C3A8C"/>
    <w:rsid w:val="000C4A6C"/>
    <w:rsid w:val="000C4E97"/>
    <w:rsid w:val="000C5A1A"/>
    <w:rsid w:val="000C61AD"/>
    <w:rsid w:val="000C7632"/>
    <w:rsid w:val="000D163C"/>
    <w:rsid w:val="000D220D"/>
    <w:rsid w:val="000D4352"/>
    <w:rsid w:val="000D4918"/>
    <w:rsid w:val="000D4C3B"/>
    <w:rsid w:val="000D4F8F"/>
    <w:rsid w:val="000D5292"/>
    <w:rsid w:val="000D6B9B"/>
    <w:rsid w:val="000E0BCE"/>
    <w:rsid w:val="000E1572"/>
    <w:rsid w:val="000E29C9"/>
    <w:rsid w:val="000E4476"/>
    <w:rsid w:val="000E7BA8"/>
    <w:rsid w:val="000F13F9"/>
    <w:rsid w:val="000F2C51"/>
    <w:rsid w:val="000F2EC8"/>
    <w:rsid w:val="000F2F09"/>
    <w:rsid w:val="000F3293"/>
    <w:rsid w:val="000F33AF"/>
    <w:rsid w:val="000F46D5"/>
    <w:rsid w:val="000F4702"/>
    <w:rsid w:val="000F6A80"/>
    <w:rsid w:val="000F6B25"/>
    <w:rsid w:val="0010177C"/>
    <w:rsid w:val="00102C6F"/>
    <w:rsid w:val="00103E92"/>
    <w:rsid w:val="00104370"/>
    <w:rsid w:val="0010455D"/>
    <w:rsid w:val="00105504"/>
    <w:rsid w:val="0010559F"/>
    <w:rsid w:val="00106795"/>
    <w:rsid w:val="00111991"/>
    <w:rsid w:val="00111A18"/>
    <w:rsid w:val="00111A56"/>
    <w:rsid w:val="00113EA5"/>
    <w:rsid w:val="0011434F"/>
    <w:rsid w:val="0012049B"/>
    <w:rsid w:val="001219C2"/>
    <w:rsid w:val="00122E4C"/>
    <w:rsid w:val="00124A44"/>
    <w:rsid w:val="00124B85"/>
    <w:rsid w:val="001250CC"/>
    <w:rsid w:val="00125D44"/>
    <w:rsid w:val="00126276"/>
    <w:rsid w:val="0012648C"/>
    <w:rsid w:val="001273B5"/>
    <w:rsid w:val="00131645"/>
    <w:rsid w:val="001328E6"/>
    <w:rsid w:val="00133AC1"/>
    <w:rsid w:val="00136316"/>
    <w:rsid w:val="00137AC5"/>
    <w:rsid w:val="001402DB"/>
    <w:rsid w:val="00141692"/>
    <w:rsid w:val="00141DD1"/>
    <w:rsid w:val="001432EE"/>
    <w:rsid w:val="001435CD"/>
    <w:rsid w:val="00144F03"/>
    <w:rsid w:val="00145378"/>
    <w:rsid w:val="00145D1B"/>
    <w:rsid w:val="00146200"/>
    <w:rsid w:val="001474E0"/>
    <w:rsid w:val="00150437"/>
    <w:rsid w:val="00151071"/>
    <w:rsid w:val="00151D8A"/>
    <w:rsid w:val="001527D7"/>
    <w:rsid w:val="001535A4"/>
    <w:rsid w:val="00156555"/>
    <w:rsid w:val="001570C4"/>
    <w:rsid w:val="00157B19"/>
    <w:rsid w:val="00160518"/>
    <w:rsid w:val="0016072E"/>
    <w:rsid w:val="0016075E"/>
    <w:rsid w:val="001628F4"/>
    <w:rsid w:val="00162CCF"/>
    <w:rsid w:val="00163DBA"/>
    <w:rsid w:val="00164970"/>
    <w:rsid w:val="001668C3"/>
    <w:rsid w:val="00167E59"/>
    <w:rsid w:val="001716C4"/>
    <w:rsid w:val="001721BD"/>
    <w:rsid w:val="001734AB"/>
    <w:rsid w:val="0017440D"/>
    <w:rsid w:val="00175957"/>
    <w:rsid w:val="00181174"/>
    <w:rsid w:val="001822DF"/>
    <w:rsid w:val="00183B7A"/>
    <w:rsid w:val="00184ABA"/>
    <w:rsid w:val="00184E8A"/>
    <w:rsid w:val="0018533B"/>
    <w:rsid w:val="001854F6"/>
    <w:rsid w:val="00185877"/>
    <w:rsid w:val="00190FA3"/>
    <w:rsid w:val="001919E9"/>
    <w:rsid w:val="001A2115"/>
    <w:rsid w:val="001A44B3"/>
    <w:rsid w:val="001A523B"/>
    <w:rsid w:val="001B21AE"/>
    <w:rsid w:val="001B331C"/>
    <w:rsid w:val="001B4EA5"/>
    <w:rsid w:val="001B5499"/>
    <w:rsid w:val="001B7D0F"/>
    <w:rsid w:val="001B7EF2"/>
    <w:rsid w:val="001B7F1A"/>
    <w:rsid w:val="001C0C33"/>
    <w:rsid w:val="001C1392"/>
    <w:rsid w:val="001C2BA5"/>
    <w:rsid w:val="001C31D1"/>
    <w:rsid w:val="001C7897"/>
    <w:rsid w:val="001C7AB7"/>
    <w:rsid w:val="001D03C3"/>
    <w:rsid w:val="001D2FE6"/>
    <w:rsid w:val="001D3409"/>
    <w:rsid w:val="001D7382"/>
    <w:rsid w:val="001E01BA"/>
    <w:rsid w:val="001E0564"/>
    <w:rsid w:val="001E115F"/>
    <w:rsid w:val="001E38FD"/>
    <w:rsid w:val="001E39E5"/>
    <w:rsid w:val="001E428D"/>
    <w:rsid w:val="001E4B84"/>
    <w:rsid w:val="001E5A75"/>
    <w:rsid w:val="001E60B4"/>
    <w:rsid w:val="001E6B9D"/>
    <w:rsid w:val="001E7AE4"/>
    <w:rsid w:val="001E7EA7"/>
    <w:rsid w:val="001F0111"/>
    <w:rsid w:val="001F1AEB"/>
    <w:rsid w:val="001F2920"/>
    <w:rsid w:val="001F5AC3"/>
    <w:rsid w:val="00202198"/>
    <w:rsid w:val="0020282E"/>
    <w:rsid w:val="00203D2B"/>
    <w:rsid w:val="00206687"/>
    <w:rsid w:val="00206D7E"/>
    <w:rsid w:val="002115AA"/>
    <w:rsid w:val="0021389C"/>
    <w:rsid w:val="00213DC3"/>
    <w:rsid w:val="00215548"/>
    <w:rsid w:val="00215F3D"/>
    <w:rsid w:val="002161A4"/>
    <w:rsid w:val="0021767A"/>
    <w:rsid w:val="00221103"/>
    <w:rsid w:val="00221A8E"/>
    <w:rsid w:val="00221C2F"/>
    <w:rsid w:val="00222596"/>
    <w:rsid w:val="002229FF"/>
    <w:rsid w:val="00222AC6"/>
    <w:rsid w:val="00222CD3"/>
    <w:rsid w:val="0022371C"/>
    <w:rsid w:val="00224FE5"/>
    <w:rsid w:val="00225D42"/>
    <w:rsid w:val="00225F96"/>
    <w:rsid w:val="002301C6"/>
    <w:rsid w:val="002307AD"/>
    <w:rsid w:val="00230CCD"/>
    <w:rsid w:val="0023488F"/>
    <w:rsid w:val="00234ACE"/>
    <w:rsid w:val="002357EA"/>
    <w:rsid w:val="00235897"/>
    <w:rsid w:val="002367E6"/>
    <w:rsid w:val="00236D34"/>
    <w:rsid w:val="00237276"/>
    <w:rsid w:val="002373C9"/>
    <w:rsid w:val="00242338"/>
    <w:rsid w:val="002423CA"/>
    <w:rsid w:val="002450B6"/>
    <w:rsid w:val="00245325"/>
    <w:rsid w:val="00246893"/>
    <w:rsid w:val="00246BCA"/>
    <w:rsid w:val="00250176"/>
    <w:rsid w:val="002506A3"/>
    <w:rsid w:val="00251CF4"/>
    <w:rsid w:val="00251EE7"/>
    <w:rsid w:val="00251F24"/>
    <w:rsid w:val="002526CF"/>
    <w:rsid w:val="00253022"/>
    <w:rsid w:val="002547C1"/>
    <w:rsid w:val="00254B3E"/>
    <w:rsid w:val="00254DF6"/>
    <w:rsid w:val="00255A42"/>
    <w:rsid w:val="0025607F"/>
    <w:rsid w:val="002562F9"/>
    <w:rsid w:val="00256D3B"/>
    <w:rsid w:val="00257A77"/>
    <w:rsid w:val="00260AA2"/>
    <w:rsid w:val="002618F4"/>
    <w:rsid w:val="002628D9"/>
    <w:rsid w:val="00262C1B"/>
    <w:rsid w:val="002647D2"/>
    <w:rsid w:val="0026485D"/>
    <w:rsid w:val="002648B0"/>
    <w:rsid w:val="002664C7"/>
    <w:rsid w:val="00266951"/>
    <w:rsid w:val="002715F7"/>
    <w:rsid w:val="00271C8B"/>
    <w:rsid w:val="00272F65"/>
    <w:rsid w:val="002735FE"/>
    <w:rsid w:val="00273713"/>
    <w:rsid w:val="00276060"/>
    <w:rsid w:val="00276B41"/>
    <w:rsid w:val="0027740D"/>
    <w:rsid w:val="0027793D"/>
    <w:rsid w:val="00280079"/>
    <w:rsid w:val="002805FD"/>
    <w:rsid w:val="0028072E"/>
    <w:rsid w:val="00280B99"/>
    <w:rsid w:val="00283184"/>
    <w:rsid w:val="00284BD5"/>
    <w:rsid w:val="00285E2F"/>
    <w:rsid w:val="00290EE2"/>
    <w:rsid w:val="002920FF"/>
    <w:rsid w:val="00292409"/>
    <w:rsid w:val="00297074"/>
    <w:rsid w:val="002A04D3"/>
    <w:rsid w:val="002A3CAA"/>
    <w:rsid w:val="002A568B"/>
    <w:rsid w:val="002A5969"/>
    <w:rsid w:val="002A7C84"/>
    <w:rsid w:val="002B0661"/>
    <w:rsid w:val="002B15B5"/>
    <w:rsid w:val="002B1600"/>
    <w:rsid w:val="002B2B9C"/>
    <w:rsid w:val="002B2BA3"/>
    <w:rsid w:val="002B35F5"/>
    <w:rsid w:val="002B5403"/>
    <w:rsid w:val="002B5492"/>
    <w:rsid w:val="002B5578"/>
    <w:rsid w:val="002B5B50"/>
    <w:rsid w:val="002B6FE3"/>
    <w:rsid w:val="002C0206"/>
    <w:rsid w:val="002C053E"/>
    <w:rsid w:val="002C0B8F"/>
    <w:rsid w:val="002C1251"/>
    <w:rsid w:val="002C2EED"/>
    <w:rsid w:val="002C37D9"/>
    <w:rsid w:val="002C41F1"/>
    <w:rsid w:val="002C498D"/>
    <w:rsid w:val="002C6263"/>
    <w:rsid w:val="002D194B"/>
    <w:rsid w:val="002D3982"/>
    <w:rsid w:val="002D4561"/>
    <w:rsid w:val="002D4E10"/>
    <w:rsid w:val="002D4F6A"/>
    <w:rsid w:val="002D6B9E"/>
    <w:rsid w:val="002D7EDD"/>
    <w:rsid w:val="002E053A"/>
    <w:rsid w:val="002E0DDB"/>
    <w:rsid w:val="002E2061"/>
    <w:rsid w:val="002E2164"/>
    <w:rsid w:val="002E3720"/>
    <w:rsid w:val="002E4EA1"/>
    <w:rsid w:val="002E4EB7"/>
    <w:rsid w:val="002E587F"/>
    <w:rsid w:val="002E6765"/>
    <w:rsid w:val="002F07EA"/>
    <w:rsid w:val="002F170E"/>
    <w:rsid w:val="002F1920"/>
    <w:rsid w:val="002F1B82"/>
    <w:rsid w:val="002F1E8D"/>
    <w:rsid w:val="002F2663"/>
    <w:rsid w:val="002F3156"/>
    <w:rsid w:val="002F39A7"/>
    <w:rsid w:val="002F4A67"/>
    <w:rsid w:val="00300224"/>
    <w:rsid w:val="003006F3"/>
    <w:rsid w:val="003008BE"/>
    <w:rsid w:val="00303816"/>
    <w:rsid w:val="00306AD1"/>
    <w:rsid w:val="00306F71"/>
    <w:rsid w:val="003105C6"/>
    <w:rsid w:val="00310F05"/>
    <w:rsid w:val="00311119"/>
    <w:rsid w:val="00311B2D"/>
    <w:rsid w:val="00312BA3"/>
    <w:rsid w:val="003137B9"/>
    <w:rsid w:val="00315CFF"/>
    <w:rsid w:val="00320BB4"/>
    <w:rsid w:val="003220BD"/>
    <w:rsid w:val="00322346"/>
    <w:rsid w:val="0032457F"/>
    <w:rsid w:val="00325164"/>
    <w:rsid w:val="00325654"/>
    <w:rsid w:val="0032635E"/>
    <w:rsid w:val="00327E44"/>
    <w:rsid w:val="003300FF"/>
    <w:rsid w:val="00330199"/>
    <w:rsid w:val="00331BA0"/>
    <w:rsid w:val="00331FE6"/>
    <w:rsid w:val="00333A44"/>
    <w:rsid w:val="00334093"/>
    <w:rsid w:val="003374C1"/>
    <w:rsid w:val="00337849"/>
    <w:rsid w:val="00340094"/>
    <w:rsid w:val="003400BB"/>
    <w:rsid w:val="00341DD3"/>
    <w:rsid w:val="003438E8"/>
    <w:rsid w:val="003459F8"/>
    <w:rsid w:val="00345A82"/>
    <w:rsid w:val="00345E53"/>
    <w:rsid w:val="00346C65"/>
    <w:rsid w:val="00347FF9"/>
    <w:rsid w:val="00350DDB"/>
    <w:rsid w:val="00352C6E"/>
    <w:rsid w:val="00352F94"/>
    <w:rsid w:val="003530A7"/>
    <w:rsid w:val="00353D40"/>
    <w:rsid w:val="0035769E"/>
    <w:rsid w:val="00357B9A"/>
    <w:rsid w:val="00357F63"/>
    <w:rsid w:val="00361606"/>
    <w:rsid w:val="003616A1"/>
    <w:rsid w:val="00362C90"/>
    <w:rsid w:val="00363389"/>
    <w:rsid w:val="00371593"/>
    <w:rsid w:val="00371919"/>
    <w:rsid w:val="003733F2"/>
    <w:rsid w:val="00373E3E"/>
    <w:rsid w:val="00375C47"/>
    <w:rsid w:val="0037605C"/>
    <w:rsid w:val="00380D47"/>
    <w:rsid w:val="0038147E"/>
    <w:rsid w:val="00381DF5"/>
    <w:rsid w:val="003826D9"/>
    <w:rsid w:val="0038389D"/>
    <w:rsid w:val="00383FF2"/>
    <w:rsid w:val="00385449"/>
    <w:rsid w:val="00387480"/>
    <w:rsid w:val="00387E21"/>
    <w:rsid w:val="00387E40"/>
    <w:rsid w:val="00387EA9"/>
    <w:rsid w:val="00390DDA"/>
    <w:rsid w:val="0039151A"/>
    <w:rsid w:val="003928DF"/>
    <w:rsid w:val="00392C11"/>
    <w:rsid w:val="00393539"/>
    <w:rsid w:val="00394FF1"/>
    <w:rsid w:val="003953E6"/>
    <w:rsid w:val="00397314"/>
    <w:rsid w:val="00397A77"/>
    <w:rsid w:val="003A0C05"/>
    <w:rsid w:val="003A19A6"/>
    <w:rsid w:val="003A1B96"/>
    <w:rsid w:val="003A200A"/>
    <w:rsid w:val="003A3877"/>
    <w:rsid w:val="003A449C"/>
    <w:rsid w:val="003A497B"/>
    <w:rsid w:val="003A4C8B"/>
    <w:rsid w:val="003A4CE9"/>
    <w:rsid w:val="003A5743"/>
    <w:rsid w:val="003A5D8C"/>
    <w:rsid w:val="003A7214"/>
    <w:rsid w:val="003B1038"/>
    <w:rsid w:val="003B25F0"/>
    <w:rsid w:val="003B3112"/>
    <w:rsid w:val="003B3DBB"/>
    <w:rsid w:val="003B5EF6"/>
    <w:rsid w:val="003B7034"/>
    <w:rsid w:val="003B7060"/>
    <w:rsid w:val="003C050A"/>
    <w:rsid w:val="003C085E"/>
    <w:rsid w:val="003C0FB5"/>
    <w:rsid w:val="003C1FA8"/>
    <w:rsid w:val="003C2409"/>
    <w:rsid w:val="003C2566"/>
    <w:rsid w:val="003C3AAB"/>
    <w:rsid w:val="003C3B79"/>
    <w:rsid w:val="003C3FD5"/>
    <w:rsid w:val="003C4307"/>
    <w:rsid w:val="003C5C55"/>
    <w:rsid w:val="003C60B9"/>
    <w:rsid w:val="003C7853"/>
    <w:rsid w:val="003D10E9"/>
    <w:rsid w:val="003D1657"/>
    <w:rsid w:val="003D3CED"/>
    <w:rsid w:val="003D431C"/>
    <w:rsid w:val="003D56DE"/>
    <w:rsid w:val="003D7F50"/>
    <w:rsid w:val="003E4D9B"/>
    <w:rsid w:val="003E5145"/>
    <w:rsid w:val="003E6075"/>
    <w:rsid w:val="003E612E"/>
    <w:rsid w:val="003F0783"/>
    <w:rsid w:val="003F15BB"/>
    <w:rsid w:val="003F17BB"/>
    <w:rsid w:val="003F573B"/>
    <w:rsid w:val="003F613D"/>
    <w:rsid w:val="00401111"/>
    <w:rsid w:val="0040521E"/>
    <w:rsid w:val="00405C0A"/>
    <w:rsid w:val="00407110"/>
    <w:rsid w:val="00407936"/>
    <w:rsid w:val="00410796"/>
    <w:rsid w:val="004129D0"/>
    <w:rsid w:val="00412D44"/>
    <w:rsid w:val="004133D9"/>
    <w:rsid w:val="00415A1B"/>
    <w:rsid w:val="00421EAC"/>
    <w:rsid w:val="00424B48"/>
    <w:rsid w:val="00424E15"/>
    <w:rsid w:val="00426AF6"/>
    <w:rsid w:val="004271D4"/>
    <w:rsid w:val="0042766A"/>
    <w:rsid w:val="0043001B"/>
    <w:rsid w:val="004304C0"/>
    <w:rsid w:val="00430FB0"/>
    <w:rsid w:val="0043231D"/>
    <w:rsid w:val="004350F2"/>
    <w:rsid w:val="004357B9"/>
    <w:rsid w:val="00436204"/>
    <w:rsid w:val="00436490"/>
    <w:rsid w:val="004377DA"/>
    <w:rsid w:val="004377E2"/>
    <w:rsid w:val="00440881"/>
    <w:rsid w:val="004408E7"/>
    <w:rsid w:val="00440AE8"/>
    <w:rsid w:val="00441443"/>
    <w:rsid w:val="00442272"/>
    <w:rsid w:val="00443003"/>
    <w:rsid w:val="00443DD0"/>
    <w:rsid w:val="00445E06"/>
    <w:rsid w:val="00450A2E"/>
    <w:rsid w:val="00451B63"/>
    <w:rsid w:val="00452FEF"/>
    <w:rsid w:val="00454082"/>
    <w:rsid w:val="00454139"/>
    <w:rsid w:val="00455364"/>
    <w:rsid w:val="004600E4"/>
    <w:rsid w:val="004603C7"/>
    <w:rsid w:val="00461414"/>
    <w:rsid w:val="00461A5A"/>
    <w:rsid w:val="004629A2"/>
    <w:rsid w:val="00462BAB"/>
    <w:rsid w:val="00464170"/>
    <w:rsid w:val="00464F34"/>
    <w:rsid w:val="0046507C"/>
    <w:rsid w:val="00465B35"/>
    <w:rsid w:val="004665B5"/>
    <w:rsid w:val="00466D28"/>
    <w:rsid w:val="00467F08"/>
    <w:rsid w:val="00471A96"/>
    <w:rsid w:val="00471CDE"/>
    <w:rsid w:val="00472708"/>
    <w:rsid w:val="0047364E"/>
    <w:rsid w:val="00474C49"/>
    <w:rsid w:val="0047503C"/>
    <w:rsid w:val="0047563E"/>
    <w:rsid w:val="00475B6A"/>
    <w:rsid w:val="0047602E"/>
    <w:rsid w:val="00476566"/>
    <w:rsid w:val="00476942"/>
    <w:rsid w:val="00480A69"/>
    <w:rsid w:val="0048116C"/>
    <w:rsid w:val="0048143B"/>
    <w:rsid w:val="0048290C"/>
    <w:rsid w:val="0048306B"/>
    <w:rsid w:val="00483961"/>
    <w:rsid w:val="0048426D"/>
    <w:rsid w:val="00484DDA"/>
    <w:rsid w:val="00485F28"/>
    <w:rsid w:val="00486DA5"/>
    <w:rsid w:val="00487597"/>
    <w:rsid w:val="004901BE"/>
    <w:rsid w:val="00490212"/>
    <w:rsid w:val="00490788"/>
    <w:rsid w:val="00490AC9"/>
    <w:rsid w:val="00491072"/>
    <w:rsid w:val="004913CE"/>
    <w:rsid w:val="00492D77"/>
    <w:rsid w:val="00493D5E"/>
    <w:rsid w:val="00496342"/>
    <w:rsid w:val="00496C53"/>
    <w:rsid w:val="00496F5D"/>
    <w:rsid w:val="00497D60"/>
    <w:rsid w:val="004A01BF"/>
    <w:rsid w:val="004A0D4A"/>
    <w:rsid w:val="004A5880"/>
    <w:rsid w:val="004A6C52"/>
    <w:rsid w:val="004A7B60"/>
    <w:rsid w:val="004B135C"/>
    <w:rsid w:val="004B1AAC"/>
    <w:rsid w:val="004B2A17"/>
    <w:rsid w:val="004B304D"/>
    <w:rsid w:val="004B38D3"/>
    <w:rsid w:val="004B38D7"/>
    <w:rsid w:val="004B4DF9"/>
    <w:rsid w:val="004C15A0"/>
    <w:rsid w:val="004C1ACF"/>
    <w:rsid w:val="004C4478"/>
    <w:rsid w:val="004C6975"/>
    <w:rsid w:val="004C6E6F"/>
    <w:rsid w:val="004C74EC"/>
    <w:rsid w:val="004D0B54"/>
    <w:rsid w:val="004D0C15"/>
    <w:rsid w:val="004D0C86"/>
    <w:rsid w:val="004D2031"/>
    <w:rsid w:val="004D3BBE"/>
    <w:rsid w:val="004D4419"/>
    <w:rsid w:val="004D6C74"/>
    <w:rsid w:val="004E0244"/>
    <w:rsid w:val="004E04BF"/>
    <w:rsid w:val="004E1CAB"/>
    <w:rsid w:val="004E21C4"/>
    <w:rsid w:val="004E4C85"/>
    <w:rsid w:val="004E5B02"/>
    <w:rsid w:val="004E5BC8"/>
    <w:rsid w:val="004E76B1"/>
    <w:rsid w:val="004E7C96"/>
    <w:rsid w:val="004F0D16"/>
    <w:rsid w:val="004F3766"/>
    <w:rsid w:val="004F394D"/>
    <w:rsid w:val="004F458D"/>
    <w:rsid w:val="004F4BB8"/>
    <w:rsid w:val="004F50AF"/>
    <w:rsid w:val="005002A9"/>
    <w:rsid w:val="00502FC6"/>
    <w:rsid w:val="00503751"/>
    <w:rsid w:val="0050394C"/>
    <w:rsid w:val="0050399F"/>
    <w:rsid w:val="00503F93"/>
    <w:rsid w:val="00504A16"/>
    <w:rsid w:val="005050CE"/>
    <w:rsid w:val="00505B5C"/>
    <w:rsid w:val="005067A1"/>
    <w:rsid w:val="00507E20"/>
    <w:rsid w:val="00511D17"/>
    <w:rsid w:val="005130D9"/>
    <w:rsid w:val="005135D6"/>
    <w:rsid w:val="00513822"/>
    <w:rsid w:val="00521D56"/>
    <w:rsid w:val="0052367C"/>
    <w:rsid w:val="00523DD6"/>
    <w:rsid w:val="005240E8"/>
    <w:rsid w:val="005263B9"/>
    <w:rsid w:val="00527876"/>
    <w:rsid w:val="0053078D"/>
    <w:rsid w:val="00530FC7"/>
    <w:rsid w:val="00533226"/>
    <w:rsid w:val="0053327A"/>
    <w:rsid w:val="00533D6A"/>
    <w:rsid w:val="005342A5"/>
    <w:rsid w:val="00535350"/>
    <w:rsid w:val="0053702D"/>
    <w:rsid w:val="005376E7"/>
    <w:rsid w:val="005429A0"/>
    <w:rsid w:val="00542C33"/>
    <w:rsid w:val="005430E0"/>
    <w:rsid w:val="00544DA4"/>
    <w:rsid w:val="005464C0"/>
    <w:rsid w:val="00546871"/>
    <w:rsid w:val="00547047"/>
    <w:rsid w:val="005511AD"/>
    <w:rsid w:val="00552A30"/>
    <w:rsid w:val="00552A83"/>
    <w:rsid w:val="00552E3E"/>
    <w:rsid w:val="00554A32"/>
    <w:rsid w:val="0055657F"/>
    <w:rsid w:val="0055791B"/>
    <w:rsid w:val="00557D09"/>
    <w:rsid w:val="005617F7"/>
    <w:rsid w:val="00561B6A"/>
    <w:rsid w:val="00562181"/>
    <w:rsid w:val="00563313"/>
    <w:rsid w:val="005643EA"/>
    <w:rsid w:val="00564A89"/>
    <w:rsid w:val="00565031"/>
    <w:rsid w:val="00566508"/>
    <w:rsid w:val="005666F4"/>
    <w:rsid w:val="005678E6"/>
    <w:rsid w:val="005723E9"/>
    <w:rsid w:val="00572C82"/>
    <w:rsid w:val="00573DB4"/>
    <w:rsid w:val="005850B1"/>
    <w:rsid w:val="0058535A"/>
    <w:rsid w:val="00585466"/>
    <w:rsid w:val="00585623"/>
    <w:rsid w:val="005911AC"/>
    <w:rsid w:val="00593E1F"/>
    <w:rsid w:val="00595458"/>
    <w:rsid w:val="00597BBC"/>
    <w:rsid w:val="005A12E6"/>
    <w:rsid w:val="005A18FB"/>
    <w:rsid w:val="005A2363"/>
    <w:rsid w:val="005A2AE3"/>
    <w:rsid w:val="005A43B1"/>
    <w:rsid w:val="005A44FB"/>
    <w:rsid w:val="005A6305"/>
    <w:rsid w:val="005B02DE"/>
    <w:rsid w:val="005B0463"/>
    <w:rsid w:val="005B0C8D"/>
    <w:rsid w:val="005B13A0"/>
    <w:rsid w:val="005B321D"/>
    <w:rsid w:val="005B3B7C"/>
    <w:rsid w:val="005C1162"/>
    <w:rsid w:val="005C1712"/>
    <w:rsid w:val="005C19D1"/>
    <w:rsid w:val="005C1BC9"/>
    <w:rsid w:val="005C287F"/>
    <w:rsid w:val="005C3404"/>
    <w:rsid w:val="005C517E"/>
    <w:rsid w:val="005C5DA2"/>
    <w:rsid w:val="005C6DEB"/>
    <w:rsid w:val="005C7A91"/>
    <w:rsid w:val="005C7D59"/>
    <w:rsid w:val="005C7D84"/>
    <w:rsid w:val="005D026D"/>
    <w:rsid w:val="005D3318"/>
    <w:rsid w:val="005D35A0"/>
    <w:rsid w:val="005D3E00"/>
    <w:rsid w:val="005D3F8F"/>
    <w:rsid w:val="005D4156"/>
    <w:rsid w:val="005E03B8"/>
    <w:rsid w:val="005E0917"/>
    <w:rsid w:val="005E0AAC"/>
    <w:rsid w:val="005E5AD2"/>
    <w:rsid w:val="005E7DF2"/>
    <w:rsid w:val="005F05ED"/>
    <w:rsid w:val="005F1957"/>
    <w:rsid w:val="005F3345"/>
    <w:rsid w:val="005F5B6B"/>
    <w:rsid w:val="005F5DF8"/>
    <w:rsid w:val="005F6603"/>
    <w:rsid w:val="005F6CAD"/>
    <w:rsid w:val="005F6FB6"/>
    <w:rsid w:val="005F6FDF"/>
    <w:rsid w:val="00600733"/>
    <w:rsid w:val="00601450"/>
    <w:rsid w:val="006022CB"/>
    <w:rsid w:val="00604661"/>
    <w:rsid w:val="0060673F"/>
    <w:rsid w:val="00606885"/>
    <w:rsid w:val="0060723F"/>
    <w:rsid w:val="00607FD1"/>
    <w:rsid w:val="006108B8"/>
    <w:rsid w:val="00610920"/>
    <w:rsid w:val="00610FAF"/>
    <w:rsid w:val="00611073"/>
    <w:rsid w:val="0061222C"/>
    <w:rsid w:val="0061248F"/>
    <w:rsid w:val="00612780"/>
    <w:rsid w:val="006128D7"/>
    <w:rsid w:val="00612FA5"/>
    <w:rsid w:val="0061482E"/>
    <w:rsid w:val="0061552A"/>
    <w:rsid w:val="00616264"/>
    <w:rsid w:val="00616690"/>
    <w:rsid w:val="00616E90"/>
    <w:rsid w:val="00620AB3"/>
    <w:rsid w:val="00622A46"/>
    <w:rsid w:val="00623BD2"/>
    <w:rsid w:val="0062558D"/>
    <w:rsid w:val="00627143"/>
    <w:rsid w:val="00630711"/>
    <w:rsid w:val="006317A9"/>
    <w:rsid w:val="0063337F"/>
    <w:rsid w:val="00633D3C"/>
    <w:rsid w:val="00633DEB"/>
    <w:rsid w:val="006364E5"/>
    <w:rsid w:val="00643011"/>
    <w:rsid w:val="006455B0"/>
    <w:rsid w:val="00646CC9"/>
    <w:rsid w:val="00647C31"/>
    <w:rsid w:val="00647F9C"/>
    <w:rsid w:val="00650D5A"/>
    <w:rsid w:val="00650DB8"/>
    <w:rsid w:val="00651C18"/>
    <w:rsid w:val="00652DF7"/>
    <w:rsid w:val="00652F11"/>
    <w:rsid w:val="00653857"/>
    <w:rsid w:val="00656BF0"/>
    <w:rsid w:val="0066173C"/>
    <w:rsid w:val="00662545"/>
    <w:rsid w:val="006638CC"/>
    <w:rsid w:val="00666996"/>
    <w:rsid w:val="0066743F"/>
    <w:rsid w:val="006746DB"/>
    <w:rsid w:val="006750B8"/>
    <w:rsid w:val="00676B98"/>
    <w:rsid w:val="006771CE"/>
    <w:rsid w:val="006778A2"/>
    <w:rsid w:val="00680597"/>
    <w:rsid w:val="00681382"/>
    <w:rsid w:val="00683779"/>
    <w:rsid w:val="00684D9E"/>
    <w:rsid w:val="00685182"/>
    <w:rsid w:val="00686762"/>
    <w:rsid w:val="00690A82"/>
    <w:rsid w:val="006916DC"/>
    <w:rsid w:val="00691F9C"/>
    <w:rsid w:val="00692A55"/>
    <w:rsid w:val="0069463A"/>
    <w:rsid w:val="0069549F"/>
    <w:rsid w:val="006966FF"/>
    <w:rsid w:val="00696F12"/>
    <w:rsid w:val="006972E8"/>
    <w:rsid w:val="006A01F5"/>
    <w:rsid w:val="006A08E3"/>
    <w:rsid w:val="006A14F6"/>
    <w:rsid w:val="006A20A0"/>
    <w:rsid w:val="006A3201"/>
    <w:rsid w:val="006A4B1B"/>
    <w:rsid w:val="006A6CCF"/>
    <w:rsid w:val="006B19A0"/>
    <w:rsid w:val="006B2A31"/>
    <w:rsid w:val="006B36C2"/>
    <w:rsid w:val="006B55D6"/>
    <w:rsid w:val="006B5A2B"/>
    <w:rsid w:val="006B5BA8"/>
    <w:rsid w:val="006B6F18"/>
    <w:rsid w:val="006B7228"/>
    <w:rsid w:val="006B72F3"/>
    <w:rsid w:val="006C0915"/>
    <w:rsid w:val="006C11BB"/>
    <w:rsid w:val="006C163A"/>
    <w:rsid w:val="006C252F"/>
    <w:rsid w:val="006C3FF9"/>
    <w:rsid w:val="006C4136"/>
    <w:rsid w:val="006C4174"/>
    <w:rsid w:val="006C45C6"/>
    <w:rsid w:val="006C4D76"/>
    <w:rsid w:val="006C52E6"/>
    <w:rsid w:val="006C66DB"/>
    <w:rsid w:val="006C6D3F"/>
    <w:rsid w:val="006C6EE0"/>
    <w:rsid w:val="006C7201"/>
    <w:rsid w:val="006D49F3"/>
    <w:rsid w:val="006D656B"/>
    <w:rsid w:val="006D665A"/>
    <w:rsid w:val="006E0809"/>
    <w:rsid w:val="006E1897"/>
    <w:rsid w:val="006E52E7"/>
    <w:rsid w:val="006E6AEF"/>
    <w:rsid w:val="006E74FF"/>
    <w:rsid w:val="006F2637"/>
    <w:rsid w:val="006F53D7"/>
    <w:rsid w:val="006F603F"/>
    <w:rsid w:val="006F68DA"/>
    <w:rsid w:val="00700DFD"/>
    <w:rsid w:val="00704B20"/>
    <w:rsid w:val="00704F89"/>
    <w:rsid w:val="007065FE"/>
    <w:rsid w:val="00707C52"/>
    <w:rsid w:val="007111B3"/>
    <w:rsid w:val="00711F3A"/>
    <w:rsid w:val="007121C9"/>
    <w:rsid w:val="00712B6C"/>
    <w:rsid w:val="00713A05"/>
    <w:rsid w:val="00713A9C"/>
    <w:rsid w:val="00720ADC"/>
    <w:rsid w:val="00721A22"/>
    <w:rsid w:val="00721CEA"/>
    <w:rsid w:val="0072265E"/>
    <w:rsid w:val="00723062"/>
    <w:rsid w:val="007233B1"/>
    <w:rsid w:val="007247ED"/>
    <w:rsid w:val="007248BD"/>
    <w:rsid w:val="00726C0E"/>
    <w:rsid w:val="00727756"/>
    <w:rsid w:val="00727A7D"/>
    <w:rsid w:val="0073125C"/>
    <w:rsid w:val="007314B3"/>
    <w:rsid w:val="0073242B"/>
    <w:rsid w:val="0073581C"/>
    <w:rsid w:val="00736AD5"/>
    <w:rsid w:val="00736D27"/>
    <w:rsid w:val="007420C6"/>
    <w:rsid w:val="007434D0"/>
    <w:rsid w:val="00745369"/>
    <w:rsid w:val="0075007C"/>
    <w:rsid w:val="007500FA"/>
    <w:rsid w:val="007503D4"/>
    <w:rsid w:val="0075180A"/>
    <w:rsid w:val="0075517F"/>
    <w:rsid w:val="00755AC5"/>
    <w:rsid w:val="00756B60"/>
    <w:rsid w:val="0076018B"/>
    <w:rsid w:val="00761856"/>
    <w:rsid w:val="0076257F"/>
    <w:rsid w:val="00763A4B"/>
    <w:rsid w:val="00764E61"/>
    <w:rsid w:val="00765008"/>
    <w:rsid w:val="007679BF"/>
    <w:rsid w:val="00770830"/>
    <w:rsid w:val="00770EAF"/>
    <w:rsid w:val="007711E7"/>
    <w:rsid w:val="00771B5F"/>
    <w:rsid w:val="0077624D"/>
    <w:rsid w:val="0078015D"/>
    <w:rsid w:val="00780F26"/>
    <w:rsid w:val="00781160"/>
    <w:rsid w:val="007827A3"/>
    <w:rsid w:val="0078314B"/>
    <w:rsid w:val="00783881"/>
    <w:rsid w:val="00783DA7"/>
    <w:rsid w:val="00785885"/>
    <w:rsid w:val="00785E60"/>
    <w:rsid w:val="007864CA"/>
    <w:rsid w:val="00787028"/>
    <w:rsid w:val="00787CDE"/>
    <w:rsid w:val="00790066"/>
    <w:rsid w:val="007913A2"/>
    <w:rsid w:val="00793DAB"/>
    <w:rsid w:val="00797C89"/>
    <w:rsid w:val="007A1067"/>
    <w:rsid w:val="007A17B8"/>
    <w:rsid w:val="007A1D61"/>
    <w:rsid w:val="007A275E"/>
    <w:rsid w:val="007A40CB"/>
    <w:rsid w:val="007A47F4"/>
    <w:rsid w:val="007A4CFD"/>
    <w:rsid w:val="007B0068"/>
    <w:rsid w:val="007B025E"/>
    <w:rsid w:val="007B0AC3"/>
    <w:rsid w:val="007B16A3"/>
    <w:rsid w:val="007B5523"/>
    <w:rsid w:val="007C099C"/>
    <w:rsid w:val="007C3B71"/>
    <w:rsid w:val="007C4C33"/>
    <w:rsid w:val="007C5DF2"/>
    <w:rsid w:val="007C5F44"/>
    <w:rsid w:val="007C6D65"/>
    <w:rsid w:val="007D06BF"/>
    <w:rsid w:val="007D183F"/>
    <w:rsid w:val="007D2AEF"/>
    <w:rsid w:val="007D2CE6"/>
    <w:rsid w:val="007D3CCE"/>
    <w:rsid w:val="007D3F1E"/>
    <w:rsid w:val="007D5D49"/>
    <w:rsid w:val="007D63B3"/>
    <w:rsid w:val="007D7E62"/>
    <w:rsid w:val="007E0DFE"/>
    <w:rsid w:val="007E128E"/>
    <w:rsid w:val="007E16E5"/>
    <w:rsid w:val="007E18BB"/>
    <w:rsid w:val="007E33D4"/>
    <w:rsid w:val="007E475F"/>
    <w:rsid w:val="007E5B15"/>
    <w:rsid w:val="007E5D47"/>
    <w:rsid w:val="007E69CE"/>
    <w:rsid w:val="007E7340"/>
    <w:rsid w:val="007F0442"/>
    <w:rsid w:val="007F5225"/>
    <w:rsid w:val="007F5488"/>
    <w:rsid w:val="007F6D99"/>
    <w:rsid w:val="007F7A60"/>
    <w:rsid w:val="008004DF"/>
    <w:rsid w:val="008015A0"/>
    <w:rsid w:val="00802421"/>
    <w:rsid w:val="008024B2"/>
    <w:rsid w:val="008031A6"/>
    <w:rsid w:val="00805255"/>
    <w:rsid w:val="00806926"/>
    <w:rsid w:val="00807CFF"/>
    <w:rsid w:val="00810F87"/>
    <w:rsid w:val="008113A1"/>
    <w:rsid w:val="0081176B"/>
    <w:rsid w:val="00812582"/>
    <w:rsid w:val="00814E48"/>
    <w:rsid w:val="00815BC5"/>
    <w:rsid w:val="0081607E"/>
    <w:rsid w:val="00816B32"/>
    <w:rsid w:val="00816F2D"/>
    <w:rsid w:val="00820E23"/>
    <w:rsid w:val="0082105B"/>
    <w:rsid w:val="00821893"/>
    <w:rsid w:val="008248E0"/>
    <w:rsid w:val="00824D69"/>
    <w:rsid w:val="0082551C"/>
    <w:rsid w:val="00831757"/>
    <w:rsid w:val="008318D3"/>
    <w:rsid w:val="00833876"/>
    <w:rsid w:val="0083444D"/>
    <w:rsid w:val="00836845"/>
    <w:rsid w:val="00837CA9"/>
    <w:rsid w:val="00837D85"/>
    <w:rsid w:val="00841322"/>
    <w:rsid w:val="008420D9"/>
    <w:rsid w:val="008427C5"/>
    <w:rsid w:val="00844564"/>
    <w:rsid w:val="00844689"/>
    <w:rsid w:val="00845545"/>
    <w:rsid w:val="008468A4"/>
    <w:rsid w:val="008503E1"/>
    <w:rsid w:val="008515EE"/>
    <w:rsid w:val="00852019"/>
    <w:rsid w:val="008545B0"/>
    <w:rsid w:val="00854E5A"/>
    <w:rsid w:val="00855207"/>
    <w:rsid w:val="00855D5F"/>
    <w:rsid w:val="00856854"/>
    <w:rsid w:val="00856AC9"/>
    <w:rsid w:val="00856E42"/>
    <w:rsid w:val="00860CCF"/>
    <w:rsid w:val="00860FCB"/>
    <w:rsid w:val="0086119A"/>
    <w:rsid w:val="00862431"/>
    <w:rsid w:val="008659C8"/>
    <w:rsid w:val="0086634C"/>
    <w:rsid w:val="00867459"/>
    <w:rsid w:val="00867EDC"/>
    <w:rsid w:val="00870531"/>
    <w:rsid w:val="008714E3"/>
    <w:rsid w:val="008737EA"/>
    <w:rsid w:val="00873855"/>
    <w:rsid w:val="008739E3"/>
    <w:rsid w:val="00873BC6"/>
    <w:rsid w:val="008744A5"/>
    <w:rsid w:val="0087489F"/>
    <w:rsid w:val="00874F0C"/>
    <w:rsid w:val="00875044"/>
    <w:rsid w:val="00875C7F"/>
    <w:rsid w:val="008815DE"/>
    <w:rsid w:val="0088172D"/>
    <w:rsid w:val="00881A2A"/>
    <w:rsid w:val="008824B3"/>
    <w:rsid w:val="0088331E"/>
    <w:rsid w:val="00883C60"/>
    <w:rsid w:val="00884B2C"/>
    <w:rsid w:val="00884FEB"/>
    <w:rsid w:val="00885185"/>
    <w:rsid w:val="0088630E"/>
    <w:rsid w:val="00887637"/>
    <w:rsid w:val="00887A83"/>
    <w:rsid w:val="00887BC4"/>
    <w:rsid w:val="00894221"/>
    <w:rsid w:val="008962D5"/>
    <w:rsid w:val="0089649A"/>
    <w:rsid w:val="008968A4"/>
    <w:rsid w:val="008979F8"/>
    <w:rsid w:val="008A03C8"/>
    <w:rsid w:val="008A087D"/>
    <w:rsid w:val="008A1A1E"/>
    <w:rsid w:val="008A1C28"/>
    <w:rsid w:val="008A1C51"/>
    <w:rsid w:val="008A21B8"/>
    <w:rsid w:val="008A28BD"/>
    <w:rsid w:val="008A3152"/>
    <w:rsid w:val="008A49E8"/>
    <w:rsid w:val="008A509C"/>
    <w:rsid w:val="008A5DBC"/>
    <w:rsid w:val="008A6EB1"/>
    <w:rsid w:val="008A7A5D"/>
    <w:rsid w:val="008B2F5E"/>
    <w:rsid w:val="008B37B1"/>
    <w:rsid w:val="008B6066"/>
    <w:rsid w:val="008B7267"/>
    <w:rsid w:val="008B73EE"/>
    <w:rsid w:val="008C122C"/>
    <w:rsid w:val="008C28EF"/>
    <w:rsid w:val="008C43C1"/>
    <w:rsid w:val="008C624D"/>
    <w:rsid w:val="008C6A9B"/>
    <w:rsid w:val="008C6E0B"/>
    <w:rsid w:val="008D1C9E"/>
    <w:rsid w:val="008D2210"/>
    <w:rsid w:val="008D274F"/>
    <w:rsid w:val="008D4535"/>
    <w:rsid w:val="008D6256"/>
    <w:rsid w:val="008D6581"/>
    <w:rsid w:val="008D7D83"/>
    <w:rsid w:val="008E0E86"/>
    <w:rsid w:val="008E0F08"/>
    <w:rsid w:val="008E20BD"/>
    <w:rsid w:val="008E3CA9"/>
    <w:rsid w:val="008E47D2"/>
    <w:rsid w:val="008E5ADB"/>
    <w:rsid w:val="008F1D51"/>
    <w:rsid w:val="008F2D4E"/>
    <w:rsid w:val="008F3895"/>
    <w:rsid w:val="008F42E6"/>
    <w:rsid w:val="008F43EE"/>
    <w:rsid w:val="008F50DF"/>
    <w:rsid w:val="008F54B0"/>
    <w:rsid w:val="008F5BFE"/>
    <w:rsid w:val="008F7E3B"/>
    <w:rsid w:val="00900C1D"/>
    <w:rsid w:val="00901501"/>
    <w:rsid w:val="0090255D"/>
    <w:rsid w:val="0090626E"/>
    <w:rsid w:val="00907115"/>
    <w:rsid w:val="00907513"/>
    <w:rsid w:val="009078CB"/>
    <w:rsid w:val="00910210"/>
    <w:rsid w:val="0091066B"/>
    <w:rsid w:val="00912141"/>
    <w:rsid w:val="00920661"/>
    <w:rsid w:val="00924A88"/>
    <w:rsid w:val="00924EEF"/>
    <w:rsid w:val="00925F45"/>
    <w:rsid w:val="009270FE"/>
    <w:rsid w:val="00927A8B"/>
    <w:rsid w:val="00930F78"/>
    <w:rsid w:val="00931528"/>
    <w:rsid w:val="009328BB"/>
    <w:rsid w:val="009339C1"/>
    <w:rsid w:val="00934F04"/>
    <w:rsid w:val="009356CC"/>
    <w:rsid w:val="00935B3F"/>
    <w:rsid w:val="009371BA"/>
    <w:rsid w:val="0094162B"/>
    <w:rsid w:val="009420AD"/>
    <w:rsid w:val="00942368"/>
    <w:rsid w:val="00950950"/>
    <w:rsid w:val="009558DB"/>
    <w:rsid w:val="009559EF"/>
    <w:rsid w:val="00955C81"/>
    <w:rsid w:val="00955F25"/>
    <w:rsid w:val="009561D8"/>
    <w:rsid w:val="00960B47"/>
    <w:rsid w:val="00960CB4"/>
    <w:rsid w:val="00962416"/>
    <w:rsid w:val="0096378F"/>
    <w:rsid w:val="00964E1D"/>
    <w:rsid w:val="00965272"/>
    <w:rsid w:val="00967868"/>
    <w:rsid w:val="00971A2C"/>
    <w:rsid w:val="00971E59"/>
    <w:rsid w:val="009720F9"/>
    <w:rsid w:val="009723AC"/>
    <w:rsid w:val="00973B8E"/>
    <w:rsid w:val="00974150"/>
    <w:rsid w:val="00975CA2"/>
    <w:rsid w:val="00975F7F"/>
    <w:rsid w:val="009769DE"/>
    <w:rsid w:val="009800A7"/>
    <w:rsid w:val="00981540"/>
    <w:rsid w:val="00981CC3"/>
    <w:rsid w:val="00981F18"/>
    <w:rsid w:val="0098245F"/>
    <w:rsid w:val="00984A5C"/>
    <w:rsid w:val="00985397"/>
    <w:rsid w:val="0098541B"/>
    <w:rsid w:val="00985C80"/>
    <w:rsid w:val="00986FA9"/>
    <w:rsid w:val="0098778D"/>
    <w:rsid w:val="00990BDD"/>
    <w:rsid w:val="00991C37"/>
    <w:rsid w:val="00991D59"/>
    <w:rsid w:val="009921F0"/>
    <w:rsid w:val="0099270E"/>
    <w:rsid w:val="009939B7"/>
    <w:rsid w:val="009944F2"/>
    <w:rsid w:val="0099668F"/>
    <w:rsid w:val="0099694B"/>
    <w:rsid w:val="009A09F9"/>
    <w:rsid w:val="009A0C55"/>
    <w:rsid w:val="009A1317"/>
    <w:rsid w:val="009A1A73"/>
    <w:rsid w:val="009A2864"/>
    <w:rsid w:val="009A2E43"/>
    <w:rsid w:val="009A4B3E"/>
    <w:rsid w:val="009A6E08"/>
    <w:rsid w:val="009B09F5"/>
    <w:rsid w:val="009B0E38"/>
    <w:rsid w:val="009B11F1"/>
    <w:rsid w:val="009B2A8B"/>
    <w:rsid w:val="009B511B"/>
    <w:rsid w:val="009B6CE4"/>
    <w:rsid w:val="009B7565"/>
    <w:rsid w:val="009C001E"/>
    <w:rsid w:val="009C2C58"/>
    <w:rsid w:val="009C3310"/>
    <w:rsid w:val="009C3801"/>
    <w:rsid w:val="009C3905"/>
    <w:rsid w:val="009C3D16"/>
    <w:rsid w:val="009C3F82"/>
    <w:rsid w:val="009C4291"/>
    <w:rsid w:val="009C4410"/>
    <w:rsid w:val="009C44E7"/>
    <w:rsid w:val="009C589F"/>
    <w:rsid w:val="009C7899"/>
    <w:rsid w:val="009C7D6A"/>
    <w:rsid w:val="009D09F2"/>
    <w:rsid w:val="009D3244"/>
    <w:rsid w:val="009D5D1A"/>
    <w:rsid w:val="009D6F81"/>
    <w:rsid w:val="009D7A90"/>
    <w:rsid w:val="009E283E"/>
    <w:rsid w:val="009E4AF3"/>
    <w:rsid w:val="009E563E"/>
    <w:rsid w:val="009F074D"/>
    <w:rsid w:val="009F1026"/>
    <w:rsid w:val="009F1084"/>
    <w:rsid w:val="009F3AD0"/>
    <w:rsid w:val="009F4B13"/>
    <w:rsid w:val="009F72A6"/>
    <w:rsid w:val="009F7F4A"/>
    <w:rsid w:val="00A0107A"/>
    <w:rsid w:val="00A01C72"/>
    <w:rsid w:val="00A020E3"/>
    <w:rsid w:val="00A02850"/>
    <w:rsid w:val="00A0392D"/>
    <w:rsid w:val="00A03C89"/>
    <w:rsid w:val="00A03DC9"/>
    <w:rsid w:val="00A045D1"/>
    <w:rsid w:val="00A0483F"/>
    <w:rsid w:val="00A1075D"/>
    <w:rsid w:val="00A117FD"/>
    <w:rsid w:val="00A136CD"/>
    <w:rsid w:val="00A172B6"/>
    <w:rsid w:val="00A20B29"/>
    <w:rsid w:val="00A224EE"/>
    <w:rsid w:val="00A232F8"/>
    <w:rsid w:val="00A24751"/>
    <w:rsid w:val="00A248E2"/>
    <w:rsid w:val="00A2674E"/>
    <w:rsid w:val="00A275C2"/>
    <w:rsid w:val="00A31125"/>
    <w:rsid w:val="00A31834"/>
    <w:rsid w:val="00A320B1"/>
    <w:rsid w:val="00A325F5"/>
    <w:rsid w:val="00A33695"/>
    <w:rsid w:val="00A34026"/>
    <w:rsid w:val="00A34733"/>
    <w:rsid w:val="00A402A8"/>
    <w:rsid w:val="00A4309F"/>
    <w:rsid w:val="00A44155"/>
    <w:rsid w:val="00A51AA9"/>
    <w:rsid w:val="00A5221E"/>
    <w:rsid w:val="00A52C1E"/>
    <w:rsid w:val="00A53C11"/>
    <w:rsid w:val="00A557E6"/>
    <w:rsid w:val="00A60195"/>
    <w:rsid w:val="00A6169B"/>
    <w:rsid w:val="00A64421"/>
    <w:rsid w:val="00A66EC6"/>
    <w:rsid w:val="00A6706B"/>
    <w:rsid w:val="00A70159"/>
    <w:rsid w:val="00A70966"/>
    <w:rsid w:val="00A72DF3"/>
    <w:rsid w:val="00A72E85"/>
    <w:rsid w:val="00A73282"/>
    <w:rsid w:val="00A7376F"/>
    <w:rsid w:val="00A74D8D"/>
    <w:rsid w:val="00A772B4"/>
    <w:rsid w:val="00A774C1"/>
    <w:rsid w:val="00A801A9"/>
    <w:rsid w:val="00A80A02"/>
    <w:rsid w:val="00A80BF9"/>
    <w:rsid w:val="00A80C2E"/>
    <w:rsid w:val="00A80D31"/>
    <w:rsid w:val="00A840BE"/>
    <w:rsid w:val="00A85CE0"/>
    <w:rsid w:val="00A86139"/>
    <w:rsid w:val="00A86EB4"/>
    <w:rsid w:val="00A87BB4"/>
    <w:rsid w:val="00A87D68"/>
    <w:rsid w:val="00A90BDF"/>
    <w:rsid w:val="00A91C47"/>
    <w:rsid w:val="00A92DDE"/>
    <w:rsid w:val="00A94FBC"/>
    <w:rsid w:val="00A9559C"/>
    <w:rsid w:val="00A95FD0"/>
    <w:rsid w:val="00A961D2"/>
    <w:rsid w:val="00A96F7A"/>
    <w:rsid w:val="00AA02BE"/>
    <w:rsid w:val="00AA1B66"/>
    <w:rsid w:val="00AA3189"/>
    <w:rsid w:val="00AA629F"/>
    <w:rsid w:val="00AA6332"/>
    <w:rsid w:val="00AA70A1"/>
    <w:rsid w:val="00AA795A"/>
    <w:rsid w:val="00AB0412"/>
    <w:rsid w:val="00AB2F46"/>
    <w:rsid w:val="00AB393F"/>
    <w:rsid w:val="00AB4E51"/>
    <w:rsid w:val="00AB5F0D"/>
    <w:rsid w:val="00AB7B8D"/>
    <w:rsid w:val="00AB7EF6"/>
    <w:rsid w:val="00AC06B8"/>
    <w:rsid w:val="00AC0F2C"/>
    <w:rsid w:val="00AC14E2"/>
    <w:rsid w:val="00AC3FAB"/>
    <w:rsid w:val="00AC5975"/>
    <w:rsid w:val="00AC5F45"/>
    <w:rsid w:val="00AC6255"/>
    <w:rsid w:val="00AC654C"/>
    <w:rsid w:val="00AC6FED"/>
    <w:rsid w:val="00AC7107"/>
    <w:rsid w:val="00AD061B"/>
    <w:rsid w:val="00AD074F"/>
    <w:rsid w:val="00AD0C6F"/>
    <w:rsid w:val="00AD1A08"/>
    <w:rsid w:val="00AD2885"/>
    <w:rsid w:val="00AD38A7"/>
    <w:rsid w:val="00AD4571"/>
    <w:rsid w:val="00AD4BBB"/>
    <w:rsid w:val="00AD5A6C"/>
    <w:rsid w:val="00AD70F1"/>
    <w:rsid w:val="00AE0B99"/>
    <w:rsid w:val="00AE1CD7"/>
    <w:rsid w:val="00AE1E0D"/>
    <w:rsid w:val="00AE1F46"/>
    <w:rsid w:val="00AE28FE"/>
    <w:rsid w:val="00AE3D79"/>
    <w:rsid w:val="00AE6CD7"/>
    <w:rsid w:val="00AE7BEE"/>
    <w:rsid w:val="00AF003B"/>
    <w:rsid w:val="00AF1037"/>
    <w:rsid w:val="00AF1E50"/>
    <w:rsid w:val="00AF1F57"/>
    <w:rsid w:val="00AF2F56"/>
    <w:rsid w:val="00AF3C10"/>
    <w:rsid w:val="00AF62BC"/>
    <w:rsid w:val="00AF672F"/>
    <w:rsid w:val="00AF67FB"/>
    <w:rsid w:val="00AF7FA5"/>
    <w:rsid w:val="00B01163"/>
    <w:rsid w:val="00B024AD"/>
    <w:rsid w:val="00B032D5"/>
    <w:rsid w:val="00B048F1"/>
    <w:rsid w:val="00B049B4"/>
    <w:rsid w:val="00B04AD1"/>
    <w:rsid w:val="00B057CA"/>
    <w:rsid w:val="00B11D0D"/>
    <w:rsid w:val="00B12EA6"/>
    <w:rsid w:val="00B1366D"/>
    <w:rsid w:val="00B1419E"/>
    <w:rsid w:val="00B15280"/>
    <w:rsid w:val="00B17100"/>
    <w:rsid w:val="00B171C0"/>
    <w:rsid w:val="00B17999"/>
    <w:rsid w:val="00B20AC5"/>
    <w:rsid w:val="00B20E5D"/>
    <w:rsid w:val="00B22110"/>
    <w:rsid w:val="00B23005"/>
    <w:rsid w:val="00B26927"/>
    <w:rsid w:val="00B300B6"/>
    <w:rsid w:val="00B30BD0"/>
    <w:rsid w:val="00B31960"/>
    <w:rsid w:val="00B35F80"/>
    <w:rsid w:val="00B36890"/>
    <w:rsid w:val="00B36BA6"/>
    <w:rsid w:val="00B373EF"/>
    <w:rsid w:val="00B375BA"/>
    <w:rsid w:val="00B4177D"/>
    <w:rsid w:val="00B42AE6"/>
    <w:rsid w:val="00B439B1"/>
    <w:rsid w:val="00B4423C"/>
    <w:rsid w:val="00B442BD"/>
    <w:rsid w:val="00B4512A"/>
    <w:rsid w:val="00B47F20"/>
    <w:rsid w:val="00B50194"/>
    <w:rsid w:val="00B51CC6"/>
    <w:rsid w:val="00B51F42"/>
    <w:rsid w:val="00B522A4"/>
    <w:rsid w:val="00B52872"/>
    <w:rsid w:val="00B53030"/>
    <w:rsid w:val="00B542AB"/>
    <w:rsid w:val="00B550E4"/>
    <w:rsid w:val="00B5621B"/>
    <w:rsid w:val="00B62635"/>
    <w:rsid w:val="00B64E12"/>
    <w:rsid w:val="00B7099E"/>
    <w:rsid w:val="00B71DAC"/>
    <w:rsid w:val="00B72C74"/>
    <w:rsid w:val="00B72E87"/>
    <w:rsid w:val="00B730C7"/>
    <w:rsid w:val="00B7350E"/>
    <w:rsid w:val="00B74827"/>
    <w:rsid w:val="00B759BA"/>
    <w:rsid w:val="00B776EE"/>
    <w:rsid w:val="00B80EB1"/>
    <w:rsid w:val="00B811B0"/>
    <w:rsid w:val="00B818F8"/>
    <w:rsid w:val="00B81949"/>
    <w:rsid w:val="00B822A4"/>
    <w:rsid w:val="00B83834"/>
    <w:rsid w:val="00B846EC"/>
    <w:rsid w:val="00B8560C"/>
    <w:rsid w:val="00B91440"/>
    <w:rsid w:val="00B930D0"/>
    <w:rsid w:val="00B94E95"/>
    <w:rsid w:val="00B958B2"/>
    <w:rsid w:val="00B976CF"/>
    <w:rsid w:val="00BA1C6C"/>
    <w:rsid w:val="00BA1FC5"/>
    <w:rsid w:val="00BA43ED"/>
    <w:rsid w:val="00BA4656"/>
    <w:rsid w:val="00BA6384"/>
    <w:rsid w:val="00BA6E03"/>
    <w:rsid w:val="00BA7CE0"/>
    <w:rsid w:val="00BB0653"/>
    <w:rsid w:val="00BB169C"/>
    <w:rsid w:val="00BB2F5D"/>
    <w:rsid w:val="00BB3210"/>
    <w:rsid w:val="00BB50BB"/>
    <w:rsid w:val="00BB6397"/>
    <w:rsid w:val="00BB7790"/>
    <w:rsid w:val="00BB7E19"/>
    <w:rsid w:val="00BB7F97"/>
    <w:rsid w:val="00BC068F"/>
    <w:rsid w:val="00BC0A7F"/>
    <w:rsid w:val="00BC1D24"/>
    <w:rsid w:val="00BC2C58"/>
    <w:rsid w:val="00BD0482"/>
    <w:rsid w:val="00BD1379"/>
    <w:rsid w:val="00BD36DE"/>
    <w:rsid w:val="00BD4641"/>
    <w:rsid w:val="00BD687C"/>
    <w:rsid w:val="00BD7B04"/>
    <w:rsid w:val="00BE04D3"/>
    <w:rsid w:val="00BE0A45"/>
    <w:rsid w:val="00BE1311"/>
    <w:rsid w:val="00BE19C2"/>
    <w:rsid w:val="00BE211B"/>
    <w:rsid w:val="00BE358B"/>
    <w:rsid w:val="00BE447B"/>
    <w:rsid w:val="00BE483E"/>
    <w:rsid w:val="00BE6DFE"/>
    <w:rsid w:val="00BF00EC"/>
    <w:rsid w:val="00BF06A6"/>
    <w:rsid w:val="00BF2945"/>
    <w:rsid w:val="00BF40CD"/>
    <w:rsid w:val="00BF4973"/>
    <w:rsid w:val="00BF540A"/>
    <w:rsid w:val="00BF6EC1"/>
    <w:rsid w:val="00BF7257"/>
    <w:rsid w:val="00BF7AB9"/>
    <w:rsid w:val="00C016DD"/>
    <w:rsid w:val="00C017D1"/>
    <w:rsid w:val="00C029BC"/>
    <w:rsid w:val="00C03DAD"/>
    <w:rsid w:val="00C04D37"/>
    <w:rsid w:val="00C05BCA"/>
    <w:rsid w:val="00C074C4"/>
    <w:rsid w:val="00C1064F"/>
    <w:rsid w:val="00C10CD4"/>
    <w:rsid w:val="00C1130F"/>
    <w:rsid w:val="00C12AE0"/>
    <w:rsid w:val="00C12FEB"/>
    <w:rsid w:val="00C140C6"/>
    <w:rsid w:val="00C144EF"/>
    <w:rsid w:val="00C160B0"/>
    <w:rsid w:val="00C2185D"/>
    <w:rsid w:val="00C23D4E"/>
    <w:rsid w:val="00C247CD"/>
    <w:rsid w:val="00C25670"/>
    <w:rsid w:val="00C2636B"/>
    <w:rsid w:val="00C277FB"/>
    <w:rsid w:val="00C30639"/>
    <w:rsid w:val="00C306B3"/>
    <w:rsid w:val="00C306F6"/>
    <w:rsid w:val="00C3194E"/>
    <w:rsid w:val="00C33346"/>
    <w:rsid w:val="00C34837"/>
    <w:rsid w:val="00C356C8"/>
    <w:rsid w:val="00C367B4"/>
    <w:rsid w:val="00C36B2D"/>
    <w:rsid w:val="00C40D60"/>
    <w:rsid w:val="00C43A7D"/>
    <w:rsid w:val="00C43DCF"/>
    <w:rsid w:val="00C44DE0"/>
    <w:rsid w:val="00C45FCF"/>
    <w:rsid w:val="00C46DB1"/>
    <w:rsid w:val="00C4706F"/>
    <w:rsid w:val="00C47ACD"/>
    <w:rsid w:val="00C47BD3"/>
    <w:rsid w:val="00C53B22"/>
    <w:rsid w:val="00C542A9"/>
    <w:rsid w:val="00C54763"/>
    <w:rsid w:val="00C55649"/>
    <w:rsid w:val="00C55B1B"/>
    <w:rsid w:val="00C563A1"/>
    <w:rsid w:val="00C57F07"/>
    <w:rsid w:val="00C61FF5"/>
    <w:rsid w:val="00C62CD3"/>
    <w:rsid w:val="00C635CF"/>
    <w:rsid w:val="00C6398B"/>
    <w:rsid w:val="00C65C45"/>
    <w:rsid w:val="00C67804"/>
    <w:rsid w:val="00C707EE"/>
    <w:rsid w:val="00C717C8"/>
    <w:rsid w:val="00C7187C"/>
    <w:rsid w:val="00C71D3E"/>
    <w:rsid w:val="00C723EA"/>
    <w:rsid w:val="00C7419A"/>
    <w:rsid w:val="00C766E7"/>
    <w:rsid w:val="00C80731"/>
    <w:rsid w:val="00C84BAF"/>
    <w:rsid w:val="00C84C64"/>
    <w:rsid w:val="00C8571F"/>
    <w:rsid w:val="00C87CEE"/>
    <w:rsid w:val="00C90176"/>
    <w:rsid w:val="00C917B0"/>
    <w:rsid w:val="00C93697"/>
    <w:rsid w:val="00C941FF"/>
    <w:rsid w:val="00C9489E"/>
    <w:rsid w:val="00C94AFD"/>
    <w:rsid w:val="00C95414"/>
    <w:rsid w:val="00C954AD"/>
    <w:rsid w:val="00C960CE"/>
    <w:rsid w:val="00C973FB"/>
    <w:rsid w:val="00CA0798"/>
    <w:rsid w:val="00CA0C40"/>
    <w:rsid w:val="00CA126C"/>
    <w:rsid w:val="00CA1B9B"/>
    <w:rsid w:val="00CA2E80"/>
    <w:rsid w:val="00CA61EE"/>
    <w:rsid w:val="00CA6F54"/>
    <w:rsid w:val="00CA7704"/>
    <w:rsid w:val="00CB0237"/>
    <w:rsid w:val="00CB1CD8"/>
    <w:rsid w:val="00CB1EE2"/>
    <w:rsid w:val="00CB1F27"/>
    <w:rsid w:val="00CB484B"/>
    <w:rsid w:val="00CB4E0C"/>
    <w:rsid w:val="00CB5059"/>
    <w:rsid w:val="00CB6C8D"/>
    <w:rsid w:val="00CB7340"/>
    <w:rsid w:val="00CB751E"/>
    <w:rsid w:val="00CC2508"/>
    <w:rsid w:val="00CC3DC9"/>
    <w:rsid w:val="00CC4F4F"/>
    <w:rsid w:val="00CC6811"/>
    <w:rsid w:val="00CD1DF3"/>
    <w:rsid w:val="00CD385E"/>
    <w:rsid w:val="00CD7239"/>
    <w:rsid w:val="00CD7D5B"/>
    <w:rsid w:val="00CD7ED8"/>
    <w:rsid w:val="00CE0365"/>
    <w:rsid w:val="00CE2B78"/>
    <w:rsid w:val="00CE31F7"/>
    <w:rsid w:val="00CE3819"/>
    <w:rsid w:val="00CE5ACF"/>
    <w:rsid w:val="00CE7F91"/>
    <w:rsid w:val="00CF095A"/>
    <w:rsid w:val="00CF3A9B"/>
    <w:rsid w:val="00CF5951"/>
    <w:rsid w:val="00CF6D85"/>
    <w:rsid w:val="00CF7AFE"/>
    <w:rsid w:val="00D024BD"/>
    <w:rsid w:val="00D02647"/>
    <w:rsid w:val="00D02770"/>
    <w:rsid w:val="00D02E89"/>
    <w:rsid w:val="00D03ADF"/>
    <w:rsid w:val="00D054C0"/>
    <w:rsid w:val="00D06F70"/>
    <w:rsid w:val="00D10700"/>
    <w:rsid w:val="00D1112F"/>
    <w:rsid w:val="00D11D41"/>
    <w:rsid w:val="00D1223C"/>
    <w:rsid w:val="00D14A32"/>
    <w:rsid w:val="00D14EE0"/>
    <w:rsid w:val="00D15808"/>
    <w:rsid w:val="00D168C3"/>
    <w:rsid w:val="00D16FBF"/>
    <w:rsid w:val="00D2018B"/>
    <w:rsid w:val="00D20799"/>
    <w:rsid w:val="00D209AF"/>
    <w:rsid w:val="00D20C67"/>
    <w:rsid w:val="00D212FE"/>
    <w:rsid w:val="00D22842"/>
    <w:rsid w:val="00D2506C"/>
    <w:rsid w:val="00D27F99"/>
    <w:rsid w:val="00D300D9"/>
    <w:rsid w:val="00D30A8E"/>
    <w:rsid w:val="00D30BE6"/>
    <w:rsid w:val="00D31C7A"/>
    <w:rsid w:val="00D32447"/>
    <w:rsid w:val="00D32EC2"/>
    <w:rsid w:val="00D33AA1"/>
    <w:rsid w:val="00D33EDF"/>
    <w:rsid w:val="00D34F75"/>
    <w:rsid w:val="00D35BD5"/>
    <w:rsid w:val="00D35C30"/>
    <w:rsid w:val="00D36501"/>
    <w:rsid w:val="00D36C81"/>
    <w:rsid w:val="00D4194D"/>
    <w:rsid w:val="00D4457C"/>
    <w:rsid w:val="00D459F5"/>
    <w:rsid w:val="00D45B15"/>
    <w:rsid w:val="00D47551"/>
    <w:rsid w:val="00D5285D"/>
    <w:rsid w:val="00D52FEA"/>
    <w:rsid w:val="00D533DD"/>
    <w:rsid w:val="00D5433B"/>
    <w:rsid w:val="00D54C42"/>
    <w:rsid w:val="00D56AF5"/>
    <w:rsid w:val="00D5745C"/>
    <w:rsid w:val="00D60795"/>
    <w:rsid w:val="00D60F96"/>
    <w:rsid w:val="00D61651"/>
    <w:rsid w:val="00D62054"/>
    <w:rsid w:val="00D62F43"/>
    <w:rsid w:val="00D63C97"/>
    <w:rsid w:val="00D6494A"/>
    <w:rsid w:val="00D64B66"/>
    <w:rsid w:val="00D6607A"/>
    <w:rsid w:val="00D66CAA"/>
    <w:rsid w:val="00D67483"/>
    <w:rsid w:val="00D70F07"/>
    <w:rsid w:val="00D72132"/>
    <w:rsid w:val="00D7242F"/>
    <w:rsid w:val="00D736C1"/>
    <w:rsid w:val="00D742A8"/>
    <w:rsid w:val="00D743BA"/>
    <w:rsid w:val="00D77799"/>
    <w:rsid w:val="00D8096D"/>
    <w:rsid w:val="00D81422"/>
    <w:rsid w:val="00D81C35"/>
    <w:rsid w:val="00D82913"/>
    <w:rsid w:val="00D8369E"/>
    <w:rsid w:val="00D8416E"/>
    <w:rsid w:val="00D84BB7"/>
    <w:rsid w:val="00D84EB7"/>
    <w:rsid w:val="00D8545A"/>
    <w:rsid w:val="00D87BAB"/>
    <w:rsid w:val="00D90BFF"/>
    <w:rsid w:val="00D91E06"/>
    <w:rsid w:val="00D92396"/>
    <w:rsid w:val="00D92A98"/>
    <w:rsid w:val="00D946DB"/>
    <w:rsid w:val="00DA2441"/>
    <w:rsid w:val="00DA3B36"/>
    <w:rsid w:val="00DA4727"/>
    <w:rsid w:val="00DA4AAA"/>
    <w:rsid w:val="00DA77E1"/>
    <w:rsid w:val="00DB0274"/>
    <w:rsid w:val="00DB0F07"/>
    <w:rsid w:val="00DB2981"/>
    <w:rsid w:val="00DB2DD0"/>
    <w:rsid w:val="00DB3B2C"/>
    <w:rsid w:val="00DB3B68"/>
    <w:rsid w:val="00DB3EEA"/>
    <w:rsid w:val="00DB40CA"/>
    <w:rsid w:val="00DC03E0"/>
    <w:rsid w:val="00DC2849"/>
    <w:rsid w:val="00DC2D05"/>
    <w:rsid w:val="00DC3B38"/>
    <w:rsid w:val="00DC40DA"/>
    <w:rsid w:val="00DC4CE4"/>
    <w:rsid w:val="00DC657B"/>
    <w:rsid w:val="00DC7453"/>
    <w:rsid w:val="00DD07FF"/>
    <w:rsid w:val="00DD092D"/>
    <w:rsid w:val="00DD156E"/>
    <w:rsid w:val="00DD1906"/>
    <w:rsid w:val="00DD3C4A"/>
    <w:rsid w:val="00DD5B15"/>
    <w:rsid w:val="00DD5B2E"/>
    <w:rsid w:val="00DD5F87"/>
    <w:rsid w:val="00DD60DF"/>
    <w:rsid w:val="00DD6D54"/>
    <w:rsid w:val="00DD72AA"/>
    <w:rsid w:val="00DD7D24"/>
    <w:rsid w:val="00DE0157"/>
    <w:rsid w:val="00DE0962"/>
    <w:rsid w:val="00DE1809"/>
    <w:rsid w:val="00DE230A"/>
    <w:rsid w:val="00DE26F2"/>
    <w:rsid w:val="00DE4001"/>
    <w:rsid w:val="00DE4EF2"/>
    <w:rsid w:val="00DE5A31"/>
    <w:rsid w:val="00DF297D"/>
    <w:rsid w:val="00DF423A"/>
    <w:rsid w:val="00DF70AE"/>
    <w:rsid w:val="00DF7FEE"/>
    <w:rsid w:val="00E0175F"/>
    <w:rsid w:val="00E02F76"/>
    <w:rsid w:val="00E03A99"/>
    <w:rsid w:val="00E04782"/>
    <w:rsid w:val="00E050F3"/>
    <w:rsid w:val="00E052A9"/>
    <w:rsid w:val="00E0639C"/>
    <w:rsid w:val="00E06628"/>
    <w:rsid w:val="00E067D9"/>
    <w:rsid w:val="00E06841"/>
    <w:rsid w:val="00E0757F"/>
    <w:rsid w:val="00E07C8E"/>
    <w:rsid w:val="00E10A4E"/>
    <w:rsid w:val="00E11F7B"/>
    <w:rsid w:val="00E142F1"/>
    <w:rsid w:val="00E143FD"/>
    <w:rsid w:val="00E14C4D"/>
    <w:rsid w:val="00E15866"/>
    <w:rsid w:val="00E1696D"/>
    <w:rsid w:val="00E1750A"/>
    <w:rsid w:val="00E22083"/>
    <w:rsid w:val="00E23272"/>
    <w:rsid w:val="00E25862"/>
    <w:rsid w:val="00E26CB6"/>
    <w:rsid w:val="00E270E5"/>
    <w:rsid w:val="00E272C5"/>
    <w:rsid w:val="00E27969"/>
    <w:rsid w:val="00E32DA2"/>
    <w:rsid w:val="00E33BF7"/>
    <w:rsid w:val="00E36850"/>
    <w:rsid w:val="00E40518"/>
    <w:rsid w:val="00E40CAE"/>
    <w:rsid w:val="00E41A58"/>
    <w:rsid w:val="00E41E4F"/>
    <w:rsid w:val="00E42A4D"/>
    <w:rsid w:val="00E42C2F"/>
    <w:rsid w:val="00E431AC"/>
    <w:rsid w:val="00E43CD2"/>
    <w:rsid w:val="00E46936"/>
    <w:rsid w:val="00E47B54"/>
    <w:rsid w:val="00E47CCD"/>
    <w:rsid w:val="00E50017"/>
    <w:rsid w:val="00E509EA"/>
    <w:rsid w:val="00E53E55"/>
    <w:rsid w:val="00E543B2"/>
    <w:rsid w:val="00E54B05"/>
    <w:rsid w:val="00E60C82"/>
    <w:rsid w:val="00E61840"/>
    <w:rsid w:val="00E637EC"/>
    <w:rsid w:val="00E63DC8"/>
    <w:rsid w:val="00E66040"/>
    <w:rsid w:val="00E6616A"/>
    <w:rsid w:val="00E662B7"/>
    <w:rsid w:val="00E67F16"/>
    <w:rsid w:val="00E721D9"/>
    <w:rsid w:val="00E73F4B"/>
    <w:rsid w:val="00E740BF"/>
    <w:rsid w:val="00E748B9"/>
    <w:rsid w:val="00E74C2C"/>
    <w:rsid w:val="00E75993"/>
    <w:rsid w:val="00E80172"/>
    <w:rsid w:val="00E804CC"/>
    <w:rsid w:val="00E81DB9"/>
    <w:rsid w:val="00E81F69"/>
    <w:rsid w:val="00E82285"/>
    <w:rsid w:val="00E822F7"/>
    <w:rsid w:val="00E8262F"/>
    <w:rsid w:val="00E82A32"/>
    <w:rsid w:val="00E847ED"/>
    <w:rsid w:val="00E84C8E"/>
    <w:rsid w:val="00E86638"/>
    <w:rsid w:val="00E87B6C"/>
    <w:rsid w:val="00E91245"/>
    <w:rsid w:val="00E92C04"/>
    <w:rsid w:val="00E92E77"/>
    <w:rsid w:val="00E93AB5"/>
    <w:rsid w:val="00E96A85"/>
    <w:rsid w:val="00E9758A"/>
    <w:rsid w:val="00EA050A"/>
    <w:rsid w:val="00EA0BAB"/>
    <w:rsid w:val="00EA11F0"/>
    <w:rsid w:val="00EA1EF3"/>
    <w:rsid w:val="00EA201D"/>
    <w:rsid w:val="00EA3FEF"/>
    <w:rsid w:val="00EA4108"/>
    <w:rsid w:val="00EA419C"/>
    <w:rsid w:val="00EB012E"/>
    <w:rsid w:val="00EB0FF2"/>
    <w:rsid w:val="00EB154B"/>
    <w:rsid w:val="00EB3B6C"/>
    <w:rsid w:val="00EB5013"/>
    <w:rsid w:val="00EB5804"/>
    <w:rsid w:val="00EB5C2F"/>
    <w:rsid w:val="00EB5C9A"/>
    <w:rsid w:val="00EB6DEA"/>
    <w:rsid w:val="00EC1715"/>
    <w:rsid w:val="00EC19AE"/>
    <w:rsid w:val="00EC5046"/>
    <w:rsid w:val="00EC53E0"/>
    <w:rsid w:val="00EC57C6"/>
    <w:rsid w:val="00EC5FA2"/>
    <w:rsid w:val="00EC7018"/>
    <w:rsid w:val="00ED52BC"/>
    <w:rsid w:val="00ED55F7"/>
    <w:rsid w:val="00ED66A4"/>
    <w:rsid w:val="00ED73D7"/>
    <w:rsid w:val="00ED7576"/>
    <w:rsid w:val="00ED7C8E"/>
    <w:rsid w:val="00EE2205"/>
    <w:rsid w:val="00EE2BDA"/>
    <w:rsid w:val="00EE3FB8"/>
    <w:rsid w:val="00EE4A0E"/>
    <w:rsid w:val="00EE5691"/>
    <w:rsid w:val="00EE63B4"/>
    <w:rsid w:val="00EF0DA4"/>
    <w:rsid w:val="00EF31CC"/>
    <w:rsid w:val="00EF4BA7"/>
    <w:rsid w:val="00F006CF"/>
    <w:rsid w:val="00F015E6"/>
    <w:rsid w:val="00F0322C"/>
    <w:rsid w:val="00F052D1"/>
    <w:rsid w:val="00F05648"/>
    <w:rsid w:val="00F0593B"/>
    <w:rsid w:val="00F05DEF"/>
    <w:rsid w:val="00F1041F"/>
    <w:rsid w:val="00F10B96"/>
    <w:rsid w:val="00F11185"/>
    <w:rsid w:val="00F12EA3"/>
    <w:rsid w:val="00F13FB3"/>
    <w:rsid w:val="00F1455C"/>
    <w:rsid w:val="00F14B07"/>
    <w:rsid w:val="00F177C6"/>
    <w:rsid w:val="00F2228C"/>
    <w:rsid w:val="00F224CA"/>
    <w:rsid w:val="00F22648"/>
    <w:rsid w:val="00F249CD"/>
    <w:rsid w:val="00F2543D"/>
    <w:rsid w:val="00F26B14"/>
    <w:rsid w:val="00F271B3"/>
    <w:rsid w:val="00F30076"/>
    <w:rsid w:val="00F315FD"/>
    <w:rsid w:val="00F325B9"/>
    <w:rsid w:val="00F356CE"/>
    <w:rsid w:val="00F358AF"/>
    <w:rsid w:val="00F36161"/>
    <w:rsid w:val="00F423F0"/>
    <w:rsid w:val="00F436D1"/>
    <w:rsid w:val="00F45359"/>
    <w:rsid w:val="00F463F5"/>
    <w:rsid w:val="00F47628"/>
    <w:rsid w:val="00F50709"/>
    <w:rsid w:val="00F519AA"/>
    <w:rsid w:val="00F52DF6"/>
    <w:rsid w:val="00F52E59"/>
    <w:rsid w:val="00F53094"/>
    <w:rsid w:val="00F5381F"/>
    <w:rsid w:val="00F5524C"/>
    <w:rsid w:val="00F55349"/>
    <w:rsid w:val="00F56546"/>
    <w:rsid w:val="00F57838"/>
    <w:rsid w:val="00F57ED1"/>
    <w:rsid w:val="00F60F37"/>
    <w:rsid w:val="00F61095"/>
    <w:rsid w:val="00F61687"/>
    <w:rsid w:val="00F620A2"/>
    <w:rsid w:val="00F63080"/>
    <w:rsid w:val="00F63BA7"/>
    <w:rsid w:val="00F65D49"/>
    <w:rsid w:val="00F65DB2"/>
    <w:rsid w:val="00F66830"/>
    <w:rsid w:val="00F67634"/>
    <w:rsid w:val="00F74B0F"/>
    <w:rsid w:val="00F777C7"/>
    <w:rsid w:val="00F800B6"/>
    <w:rsid w:val="00F84B2D"/>
    <w:rsid w:val="00F87E46"/>
    <w:rsid w:val="00F904FA"/>
    <w:rsid w:val="00F913DC"/>
    <w:rsid w:val="00F91DBA"/>
    <w:rsid w:val="00F92CD7"/>
    <w:rsid w:val="00F93B5F"/>
    <w:rsid w:val="00F9591C"/>
    <w:rsid w:val="00F97CA1"/>
    <w:rsid w:val="00FA37B6"/>
    <w:rsid w:val="00FA3865"/>
    <w:rsid w:val="00FA46C8"/>
    <w:rsid w:val="00FA610E"/>
    <w:rsid w:val="00FA6CBF"/>
    <w:rsid w:val="00FA6E69"/>
    <w:rsid w:val="00FA6FEC"/>
    <w:rsid w:val="00FA77E4"/>
    <w:rsid w:val="00FA7A7D"/>
    <w:rsid w:val="00FB1578"/>
    <w:rsid w:val="00FB199D"/>
    <w:rsid w:val="00FB1C26"/>
    <w:rsid w:val="00FB1D44"/>
    <w:rsid w:val="00FB25EE"/>
    <w:rsid w:val="00FB2779"/>
    <w:rsid w:val="00FB2E7B"/>
    <w:rsid w:val="00FB3DA7"/>
    <w:rsid w:val="00FB4960"/>
    <w:rsid w:val="00FB5258"/>
    <w:rsid w:val="00FB550D"/>
    <w:rsid w:val="00FB5985"/>
    <w:rsid w:val="00FB5B0F"/>
    <w:rsid w:val="00FB6F03"/>
    <w:rsid w:val="00FC1030"/>
    <w:rsid w:val="00FC20DD"/>
    <w:rsid w:val="00FC262E"/>
    <w:rsid w:val="00FC371D"/>
    <w:rsid w:val="00FC3B6F"/>
    <w:rsid w:val="00FC41EC"/>
    <w:rsid w:val="00FC4D06"/>
    <w:rsid w:val="00FC6D77"/>
    <w:rsid w:val="00FC6D7A"/>
    <w:rsid w:val="00FD0193"/>
    <w:rsid w:val="00FD0FAA"/>
    <w:rsid w:val="00FD16F5"/>
    <w:rsid w:val="00FD344F"/>
    <w:rsid w:val="00FD5526"/>
    <w:rsid w:val="00FD5ABD"/>
    <w:rsid w:val="00FD6CCB"/>
    <w:rsid w:val="00FD7524"/>
    <w:rsid w:val="00FD7960"/>
    <w:rsid w:val="00FD7E66"/>
    <w:rsid w:val="00FE052A"/>
    <w:rsid w:val="00FE14E7"/>
    <w:rsid w:val="00FE21F5"/>
    <w:rsid w:val="00FE30C1"/>
    <w:rsid w:val="00FE43D5"/>
    <w:rsid w:val="00FE4AE0"/>
    <w:rsid w:val="00FE4D22"/>
    <w:rsid w:val="00FE69AC"/>
    <w:rsid w:val="00FE6CFB"/>
    <w:rsid w:val="00FF0040"/>
    <w:rsid w:val="00FF208F"/>
    <w:rsid w:val="00FF2658"/>
    <w:rsid w:val="00FF5182"/>
    <w:rsid w:val="00FF5CCA"/>
    <w:rsid w:val="00FF75CC"/>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0A821A11"/>
  <w15:docId w15:val="{0D2A3D48-09D6-4D31-B519-D921D463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E847ED"/>
    <w:pPr>
      <w:spacing w:before="0" w:after="0"/>
      <w:ind w:left="34"/>
    </w:pPr>
    <w:rPr>
      <w:rFonts w:ascii="Times New Roman" w:hAnsi="Times New Roman"/>
      <w:bCs/>
      <w:szCs w:val="20"/>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E847ED"/>
    <w:rPr>
      <w:rFonts w:ascii="Times New Roman" w:eastAsia="Times New Roman" w:hAnsi="Times New Roman"/>
      <w:bCs/>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spacing w:after="240"/>
      <w:ind w:left="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B550E4"/>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locked/>
    <w:rsid w:val="00855207"/>
    <w:rPr>
      <w:b/>
      <w:bCs/>
    </w:rPr>
  </w:style>
  <w:style w:type="character" w:styleId="BookTitle">
    <w:name w:val="Book Title"/>
    <w:basedOn w:val="DefaultParagraphFont"/>
    <w:uiPriority w:val="33"/>
    <w:qFormat/>
    <w:rsid w:val="0083387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2677">
      <w:bodyDiv w:val="1"/>
      <w:marLeft w:val="0"/>
      <w:marRight w:val="0"/>
      <w:marTop w:val="0"/>
      <w:marBottom w:val="0"/>
      <w:divBdr>
        <w:top w:val="none" w:sz="0" w:space="0" w:color="auto"/>
        <w:left w:val="none" w:sz="0" w:space="0" w:color="auto"/>
        <w:bottom w:val="none" w:sz="0" w:space="0" w:color="auto"/>
        <w:right w:val="none" w:sz="0" w:space="0" w:color="auto"/>
      </w:divBdr>
    </w:div>
    <w:div w:id="119151901">
      <w:bodyDiv w:val="1"/>
      <w:marLeft w:val="0"/>
      <w:marRight w:val="0"/>
      <w:marTop w:val="0"/>
      <w:marBottom w:val="0"/>
      <w:divBdr>
        <w:top w:val="none" w:sz="0" w:space="0" w:color="auto"/>
        <w:left w:val="none" w:sz="0" w:space="0" w:color="auto"/>
        <w:bottom w:val="none" w:sz="0" w:space="0" w:color="auto"/>
        <w:right w:val="none" w:sz="0" w:space="0" w:color="auto"/>
      </w:divBdr>
    </w:div>
    <w:div w:id="165944937">
      <w:bodyDiv w:val="1"/>
      <w:marLeft w:val="0"/>
      <w:marRight w:val="0"/>
      <w:marTop w:val="0"/>
      <w:marBottom w:val="0"/>
      <w:divBdr>
        <w:top w:val="none" w:sz="0" w:space="0" w:color="auto"/>
        <w:left w:val="none" w:sz="0" w:space="0" w:color="auto"/>
        <w:bottom w:val="none" w:sz="0" w:space="0" w:color="auto"/>
        <w:right w:val="none" w:sz="0" w:space="0" w:color="auto"/>
      </w:divBdr>
    </w:div>
    <w:div w:id="231353045">
      <w:bodyDiv w:val="1"/>
      <w:marLeft w:val="0"/>
      <w:marRight w:val="0"/>
      <w:marTop w:val="0"/>
      <w:marBottom w:val="0"/>
      <w:divBdr>
        <w:top w:val="none" w:sz="0" w:space="0" w:color="auto"/>
        <w:left w:val="none" w:sz="0" w:space="0" w:color="auto"/>
        <w:bottom w:val="none" w:sz="0" w:space="0" w:color="auto"/>
        <w:right w:val="none" w:sz="0" w:space="0" w:color="auto"/>
      </w:divBdr>
    </w:div>
    <w:div w:id="295449107">
      <w:bodyDiv w:val="1"/>
      <w:marLeft w:val="0"/>
      <w:marRight w:val="0"/>
      <w:marTop w:val="0"/>
      <w:marBottom w:val="0"/>
      <w:divBdr>
        <w:top w:val="none" w:sz="0" w:space="0" w:color="auto"/>
        <w:left w:val="none" w:sz="0" w:space="0" w:color="auto"/>
        <w:bottom w:val="none" w:sz="0" w:space="0" w:color="auto"/>
        <w:right w:val="none" w:sz="0" w:space="0" w:color="auto"/>
      </w:divBdr>
    </w:div>
    <w:div w:id="411317577">
      <w:bodyDiv w:val="1"/>
      <w:marLeft w:val="0"/>
      <w:marRight w:val="0"/>
      <w:marTop w:val="0"/>
      <w:marBottom w:val="0"/>
      <w:divBdr>
        <w:top w:val="none" w:sz="0" w:space="0" w:color="auto"/>
        <w:left w:val="none" w:sz="0" w:space="0" w:color="auto"/>
        <w:bottom w:val="none" w:sz="0" w:space="0" w:color="auto"/>
        <w:right w:val="none" w:sz="0" w:space="0" w:color="auto"/>
      </w:divBdr>
    </w:div>
    <w:div w:id="444812936">
      <w:bodyDiv w:val="1"/>
      <w:marLeft w:val="0"/>
      <w:marRight w:val="0"/>
      <w:marTop w:val="0"/>
      <w:marBottom w:val="0"/>
      <w:divBdr>
        <w:top w:val="none" w:sz="0" w:space="0" w:color="auto"/>
        <w:left w:val="none" w:sz="0" w:space="0" w:color="auto"/>
        <w:bottom w:val="none" w:sz="0" w:space="0" w:color="auto"/>
        <w:right w:val="none" w:sz="0" w:space="0" w:color="auto"/>
      </w:divBdr>
    </w:div>
    <w:div w:id="549608316">
      <w:bodyDiv w:val="1"/>
      <w:marLeft w:val="0"/>
      <w:marRight w:val="0"/>
      <w:marTop w:val="0"/>
      <w:marBottom w:val="0"/>
      <w:divBdr>
        <w:top w:val="none" w:sz="0" w:space="0" w:color="auto"/>
        <w:left w:val="none" w:sz="0" w:space="0" w:color="auto"/>
        <w:bottom w:val="none" w:sz="0" w:space="0" w:color="auto"/>
        <w:right w:val="none" w:sz="0" w:space="0" w:color="auto"/>
      </w:divBdr>
    </w:div>
    <w:div w:id="636380516">
      <w:bodyDiv w:val="1"/>
      <w:marLeft w:val="0"/>
      <w:marRight w:val="0"/>
      <w:marTop w:val="0"/>
      <w:marBottom w:val="0"/>
      <w:divBdr>
        <w:top w:val="none" w:sz="0" w:space="0" w:color="auto"/>
        <w:left w:val="none" w:sz="0" w:space="0" w:color="auto"/>
        <w:bottom w:val="none" w:sz="0" w:space="0" w:color="auto"/>
        <w:right w:val="none" w:sz="0" w:space="0" w:color="auto"/>
      </w:divBdr>
    </w:div>
    <w:div w:id="674114868">
      <w:bodyDiv w:val="1"/>
      <w:marLeft w:val="0"/>
      <w:marRight w:val="0"/>
      <w:marTop w:val="0"/>
      <w:marBottom w:val="0"/>
      <w:divBdr>
        <w:top w:val="none" w:sz="0" w:space="0" w:color="auto"/>
        <w:left w:val="none" w:sz="0" w:space="0" w:color="auto"/>
        <w:bottom w:val="none" w:sz="0" w:space="0" w:color="auto"/>
        <w:right w:val="none" w:sz="0" w:space="0" w:color="auto"/>
      </w:divBdr>
    </w:div>
    <w:div w:id="674260958">
      <w:bodyDiv w:val="1"/>
      <w:marLeft w:val="0"/>
      <w:marRight w:val="0"/>
      <w:marTop w:val="0"/>
      <w:marBottom w:val="0"/>
      <w:divBdr>
        <w:top w:val="none" w:sz="0" w:space="0" w:color="auto"/>
        <w:left w:val="none" w:sz="0" w:space="0" w:color="auto"/>
        <w:bottom w:val="none" w:sz="0" w:space="0" w:color="auto"/>
        <w:right w:val="none" w:sz="0" w:space="0" w:color="auto"/>
      </w:divBdr>
    </w:div>
    <w:div w:id="739212230">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794905185">
      <w:bodyDiv w:val="1"/>
      <w:marLeft w:val="0"/>
      <w:marRight w:val="0"/>
      <w:marTop w:val="0"/>
      <w:marBottom w:val="0"/>
      <w:divBdr>
        <w:top w:val="none" w:sz="0" w:space="0" w:color="auto"/>
        <w:left w:val="none" w:sz="0" w:space="0" w:color="auto"/>
        <w:bottom w:val="none" w:sz="0" w:space="0" w:color="auto"/>
        <w:right w:val="none" w:sz="0" w:space="0" w:color="auto"/>
      </w:divBdr>
    </w:div>
    <w:div w:id="913203164">
      <w:bodyDiv w:val="1"/>
      <w:marLeft w:val="0"/>
      <w:marRight w:val="0"/>
      <w:marTop w:val="0"/>
      <w:marBottom w:val="0"/>
      <w:divBdr>
        <w:top w:val="none" w:sz="0" w:space="0" w:color="auto"/>
        <w:left w:val="none" w:sz="0" w:space="0" w:color="auto"/>
        <w:bottom w:val="none" w:sz="0" w:space="0" w:color="auto"/>
        <w:right w:val="none" w:sz="0" w:space="0" w:color="auto"/>
      </w:divBdr>
    </w:div>
    <w:div w:id="987785978">
      <w:bodyDiv w:val="1"/>
      <w:marLeft w:val="0"/>
      <w:marRight w:val="0"/>
      <w:marTop w:val="0"/>
      <w:marBottom w:val="0"/>
      <w:divBdr>
        <w:top w:val="none" w:sz="0" w:space="0" w:color="auto"/>
        <w:left w:val="none" w:sz="0" w:space="0" w:color="auto"/>
        <w:bottom w:val="none" w:sz="0" w:space="0" w:color="auto"/>
        <w:right w:val="none" w:sz="0" w:space="0" w:color="auto"/>
      </w:divBdr>
    </w:div>
    <w:div w:id="1056271967">
      <w:bodyDiv w:val="1"/>
      <w:marLeft w:val="0"/>
      <w:marRight w:val="0"/>
      <w:marTop w:val="0"/>
      <w:marBottom w:val="0"/>
      <w:divBdr>
        <w:top w:val="none" w:sz="0" w:space="0" w:color="auto"/>
        <w:left w:val="none" w:sz="0" w:space="0" w:color="auto"/>
        <w:bottom w:val="none" w:sz="0" w:space="0" w:color="auto"/>
        <w:right w:val="none" w:sz="0" w:space="0" w:color="auto"/>
      </w:divBdr>
    </w:div>
    <w:div w:id="1063140696">
      <w:bodyDiv w:val="1"/>
      <w:marLeft w:val="0"/>
      <w:marRight w:val="0"/>
      <w:marTop w:val="0"/>
      <w:marBottom w:val="0"/>
      <w:divBdr>
        <w:top w:val="none" w:sz="0" w:space="0" w:color="auto"/>
        <w:left w:val="none" w:sz="0" w:space="0" w:color="auto"/>
        <w:bottom w:val="none" w:sz="0" w:space="0" w:color="auto"/>
        <w:right w:val="none" w:sz="0" w:space="0" w:color="auto"/>
      </w:divBdr>
    </w:div>
    <w:div w:id="1277324753">
      <w:bodyDiv w:val="1"/>
      <w:marLeft w:val="0"/>
      <w:marRight w:val="0"/>
      <w:marTop w:val="0"/>
      <w:marBottom w:val="0"/>
      <w:divBdr>
        <w:top w:val="none" w:sz="0" w:space="0" w:color="auto"/>
        <w:left w:val="none" w:sz="0" w:space="0" w:color="auto"/>
        <w:bottom w:val="none" w:sz="0" w:space="0" w:color="auto"/>
        <w:right w:val="none" w:sz="0" w:space="0" w:color="auto"/>
      </w:divBdr>
    </w:div>
    <w:div w:id="1412502855">
      <w:bodyDiv w:val="1"/>
      <w:marLeft w:val="0"/>
      <w:marRight w:val="0"/>
      <w:marTop w:val="0"/>
      <w:marBottom w:val="0"/>
      <w:divBdr>
        <w:top w:val="none" w:sz="0" w:space="0" w:color="auto"/>
        <w:left w:val="none" w:sz="0" w:space="0" w:color="auto"/>
        <w:bottom w:val="none" w:sz="0" w:space="0" w:color="auto"/>
        <w:right w:val="none" w:sz="0" w:space="0" w:color="auto"/>
      </w:divBdr>
    </w:div>
    <w:div w:id="1413965264">
      <w:bodyDiv w:val="1"/>
      <w:marLeft w:val="0"/>
      <w:marRight w:val="0"/>
      <w:marTop w:val="0"/>
      <w:marBottom w:val="0"/>
      <w:divBdr>
        <w:top w:val="none" w:sz="0" w:space="0" w:color="auto"/>
        <w:left w:val="none" w:sz="0" w:space="0" w:color="auto"/>
        <w:bottom w:val="none" w:sz="0" w:space="0" w:color="auto"/>
        <w:right w:val="none" w:sz="0" w:space="0" w:color="auto"/>
      </w:divBdr>
    </w:div>
    <w:div w:id="1427387231">
      <w:bodyDiv w:val="1"/>
      <w:marLeft w:val="0"/>
      <w:marRight w:val="0"/>
      <w:marTop w:val="0"/>
      <w:marBottom w:val="0"/>
      <w:divBdr>
        <w:top w:val="none" w:sz="0" w:space="0" w:color="auto"/>
        <w:left w:val="none" w:sz="0" w:space="0" w:color="auto"/>
        <w:bottom w:val="none" w:sz="0" w:space="0" w:color="auto"/>
        <w:right w:val="none" w:sz="0" w:space="0" w:color="auto"/>
      </w:divBdr>
    </w:div>
    <w:div w:id="1651211568">
      <w:bodyDiv w:val="1"/>
      <w:marLeft w:val="0"/>
      <w:marRight w:val="0"/>
      <w:marTop w:val="0"/>
      <w:marBottom w:val="0"/>
      <w:divBdr>
        <w:top w:val="none" w:sz="0" w:space="0" w:color="auto"/>
        <w:left w:val="none" w:sz="0" w:space="0" w:color="auto"/>
        <w:bottom w:val="none" w:sz="0" w:space="0" w:color="auto"/>
        <w:right w:val="none" w:sz="0" w:space="0" w:color="auto"/>
      </w:divBdr>
    </w:div>
    <w:div w:id="1671520675">
      <w:bodyDiv w:val="1"/>
      <w:marLeft w:val="0"/>
      <w:marRight w:val="0"/>
      <w:marTop w:val="0"/>
      <w:marBottom w:val="0"/>
      <w:divBdr>
        <w:top w:val="none" w:sz="0" w:space="0" w:color="auto"/>
        <w:left w:val="none" w:sz="0" w:space="0" w:color="auto"/>
        <w:bottom w:val="none" w:sz="0" w:space="0" w:color="auto"/>
        <w:right w:val="none" w:sz="0" w:space="0" w:color="auto"/>
      </w:divBdr>
    </w:div>
    <w:div w:id="1745252824">
      <w:bodyDiv w:val="1"/>
      <w:marLeft w:val="0"/>
      <w:marRight w:val="0"/>
      <w:marTop w:val="0"/>
      <w:marBottom w:val="0"/>
      <w:divBdr>
        <w:top w:val="none" w:sz="0" w:space="0" w:color="auto"/>
        <w:left w:val="none" w:sz="0" w:space="0" w:color="auto"/>
        <w:bottom w:val="none" w:sz="0" w:space="0" w:color="auto"/>
        <w:right w:val="none" w:sz="0" w:space="0" w:color="auto"/>
      </w:divBdr>
    </w:div>
    <w:div w:id="1867863645">
      <w:bodyDiv w:val="1"/>
      <w:marLeft w:val="0"/>
      <w:marRight w:val="0"/>
      <w:marTop w:val="0"/>
      <w:marBottom w:val="0"/>
      <w:divBdr>
        <w:top w:val="none" w:sz="0" w:space="0" w:color="auto"/>
        <w:left w:val="none" w:sz="0" w:space="0" w:color="auto"/>
        <w:bottom w:val="none" w:sz="0" w:space="0" w:color="auto"/>
        <w:right w:val="none" w:sz="0" w:space="0" w:color="auto"/>
      </w:divBdr>
    </w:div>
    <w:div w:id="1931036546">
      <w:bodyDiv w:val="1"/>
      <w:marLeft w:val="0"/>
      <w:marRight w:val="0"/>
      <w:marTop w:val="0"/>
      <w:marBottom w:val="0"/>
      <w:divBdr>
        <w:top w:val="none" w:sz="0" w:space="0" w:color="auto"/>
        <w:left w:val="none" w:sz="0" w:space="0" w:color="auto"/>
        <w:bottom w:val="none" w:sz="0" w:space="0" w:color="auto"/>
        <w:right w:val="none" w:sz="0" w:space="0" w:color="auto"/>
      </w:divBdr>
    </w:div>
    <w:div w:id="2046246183">
      <w:bodyDiv w:val="1"/>
      <w:marLeft w:val="0"/>
      <w:marRight w:val="0"/>
      <w:marTop w:val="0"/>
      <w:marBottom w:val="0"/>
      <w:divBdr>
        <w:top w:val="none" w:sz="0" w:space="0" w:color="auto"/>
        <w:left w:val="none" w:sz="0" w:space="0" w:color="auto"/>
        <w:bottom w:val="none" w:sz="0" w:space="0" w:color="auto"/>
        <w:right w:val="none" w:sz="0" w:space="0" w:color="auto"/>
      </w:divBdr>
    </w:div>
    <w:div w:id="2106143175">
      <w:bodyDiv w:val="1"/>
      <w:marLeft w:val="0"/>
      <w:marRight w:val="0"/>
      <w:marTop w:val="0"/>
      <w:marBottom w:val="0"/>
      <w:divBdr>
        <w:top w:val="none" w:sz="0" w:space="0" w:color="auto"/>
        <w:left w:val="none" w:sz="0" w:space="0" w:color="auto"/>
        <w:bottom w:val="none" w:sz="0" w:space="0" w:color="auto"/>
        <w:right w:val="none" w:sz="0" w:space="0" w:color="auto"/>
      </w:divBdr>
    </w:div>
    <w:div w:id="21348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8DBCE-97FF-42C9-B66F-BF4B4452A859}">
  <ds:schemaRefs>
    <ds:schemaRef ds:uri="http://schemas.openxmlformats.org/officeDocument/2006/bibliography"/>
  </ds:schemaRefs>
</ds:datastoreItem>
</file>

<file path=customXml/itemProps2.xml><?xml version="1.0" encoding="utf-8"?>
<ds:datastoreItem xmlns:ds="http://schemas.openxmlformats.org/officeDocument/2006/customXml" ds:itemID="{41102E75-65C6-4650-8087-A6C70CFFB053}">
  <ds:schemaRefs>
    <ds:schemaRef ds:uri="http://schemas.openxmlformats.org/officeDocument/2006/bibliography"/>
  </ds:schemaRefs>
</ds:datastoreItem>
</file>

<file path=customXml/itemProps3.xml><?xml version="1.0" encoding="utf-8"?>
<ds:datastoreItem xmlns:ds="http://schemas.openxmlformats.org/officeDocument/2006/customXml" ds:itemID="{1AFEB7E0-F251-437C-97B0-8D8573C5D3A3}">
  <ds:schemaRefs>
    <ds:schemaRef ds:uri="http://schemas.openxmlformats.org/officeDocument/2006/bibliography"/>
  </ds:schemaRefs>
</ds:datastoreItem>
</file>

<file path=customXml/itemProps4.xml><?xml version="1.0" encoding="utf-8"?>
<ds:datastoreItem xmlns:ds="http://schemas.openxmlformats.org/officeDocument/2006/customXml" ds:itemID="{DA266054-0E73-4B21-B5FA-325A63B9CCED}">
  <ds:schemaRefs>
    <ds:schemaRef ds:uri="http://schemas.openxmlformats.org/officeDocument/2006/bibliography"/>
  </ds:schemaRefs>
</ds:datastoreItem>
</file>

<file path=customXml/itemProps5.xml><?xml version="1.0" encoding="utf-8"?>
<ds:datastoreItem xmlns:ds="http://schemas.openxmlformats.org/officeDocument/2006/customXml" ds:itemID="{8088B744-C095-445B-B544-14DAE738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5859</Words>
  <Characters>31588</Characters>
  <Application>Microsoft Office Word</Application>
  <DocSecurity>0</DocSecurity>
  <Lines>263</Lines>
  <Paragraphs>74</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ANNEX IV</vt:lpstr>
      <vt:lpstr>ANNEX IV</vt:lpstr>
      <vt:lpstr>ANNEX II</vt:lpstr>
    </vt:vector>
  </TitlesOfParts>
  <Company>Deutsche Bundesbank</Company>
  <LinksUpToDate>false</LinksUpToDate>
  <CharactersWithSpaces>37373</CharactersWithSpaces>
  <SharedDoc>false</SharedDoc>
  <HLinks>
    <vt:vector size="36" baseType="variant">
      <vt:variant>
        <vt:i4>1572919</vt:i4>
      </vt:variant>
      <vt:variant>
        <vt:i4>32</vt:i4>
      </vt:variant>
      <vt:variant>
        <vt:i4>0</vt:i4>
      </vt:variant>
      <vt:variant>
        <vt:i4>5</vt:i4>
      </vt:variant>
      <vt:variant>
        <vt:lpwstr/>
      </vt:variant>
      <vt:variant>
        <vt:lpwstr>_Toc382576147</vt:lpwstr>
      </vt:variant>
      <vt:variant>
        <vt:i4>1572919</vt:i4>
      </vt:variant>
      <vt:variant>
        <vt:i4>26</vt:i4>
      </vt:variant>
      <vt:variant>
        <vt:i4>0</vt:i4>
      </vt:variant>
      <vt:variant>
        <vt:i4>5</vt:i4>
      </vt:variant>
      <vt:variant>
        <vt:lpwstr/>
      </vt:variant>
      <vt:variant>
        <vt:lpwstr>_Toc382576146</vt:lpwstr>
      </vt:variant>
      <vt:variant>
        <vt:i4>1572919</vt:i4>
      </vt:variant>
      <vt:variant>
        <vt:i4>20</vt:i4>
      </vt:variant>
      <vt:variant>
        <vt:i4>0</vt:i4>
      </vt:variant>
      <vt:variant>
        <vt:i4>5</vt:i4>
      </vt:variant>
      <vt:variant>
        <vt:lpwstr/>
      </vt:variant>
      <vt:variant>
        <vt:lpwstr>_Toc382576145</vt:lpwstr>
      </vt:variant>
      <vt:variant>
        <vt:i4>1572919</vt:i4>
      </vt:variant>
      <vt:variant>
        <vt:i4>14</vt:i4>
      </vt:variant>
      <vt:variant>
        <vt:i4>0</vt:i4>
      </vt:variant>
      <vt:variant>
        <vt:i4>5</vt:i4>
      </vt:variant>
      <vt:variant>
        <vt:lpwstr/>
      </vt:variant>
      <vt:variant>
        <vt:lpwstr>_Toc382576144</vt:lpwstr>
      </vt:variant>
      <vt:variant>
        <vt:i4>1572919</vt:i4>
      </vt:variant>
      <vt:variant>
        <vt:i4>8</vt:i4>
      </vt:variant>
      <vt:variant>
        <vt:i4>0</vt:i4>
      </vt:variant>
      <vt:variant>
        <vt:i4>5</vt:i4>
      </vt:variant>
      <vt:variant>
        <vt:lpwstr/>
      </vt:variant>
      <vt:variant>
        <vt:lpwstr>_Toc382576143</vt:lpwstr>
      </vt:variant>
      <vt:variant>
        <vt:i4>1572919</vt:i4>
      </vt:variant>
      <vt:variant>
        <vt:i4>2</vt:i4>
      </vt:variant>
      <vt:variant>
        <vt:i4>0</vt:i4>
      </vt:variant>
      <vt:variant>
        <vt:i4>5</vt:i4>
      </vt:variant>
      <vt:variant>
        <vt:lpwstr/>
      </vt:variant>
      <vt:variant>
        <vt:lpwstr>_Toc382576142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wstrohbach</dc:creator>
  <cp:lastModifiedBy>Guillaume Olivier</cp:lastModifiedBy>
  <cp:revision>5</cp:revision>
  <cp:lastPrinted>2019-04-09T12:19:00Z</cp:lastPrinted>
  <dcterms:created xsi:type="dcterms:W3CDTF">2019-07-03T16:55:00Z</dcterms:created>
  <dcterms:modified xsi:type="dcterms:W3CDTF">2019-07-04T07:16:00Z</dcterms:modified>
</cp:coreProperties>
</file>