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D3CA" w14:textId="43D694CE" w:rsidR="00943C1C" w:rsidRPr="00A40E95" w:rsidRDefault="00A40E95" w:rsidP="00A40E95">
      <w:pPr>
        <w:pStyle w:val="Annexetitre"/>
      </w:pPr>
      <w:bookmarkStart w:id="0" w:name="_Toc298787969"/>
      <w:bookmarkStart w:id="1" w:name="_Toc298788158"/>
      <w:bookmarkStart w:id="2" w:name="_Toc298788641"/>
      <w:bookmarkStart w:id="3" w:name="_Toc305686691"/>
      <w:bookmarkStart w:id="4" w:name="_Toc306350093"/>
      <w:bookmarkStart w:id="5" w:name="_Toc306350113"/>
      <w:bookmarkStart w:id="6" w:name="_Toc331517265"/>
      <w:bookmarkStart w:id="7" w:name="_Toc245891774"/>
      <w:bookmarkStart w:id="8" w:name="_Toc238803087"/>
      <w:bookmarkStart w:id="9" w:name="_Toc238803888"/>
      <w:r>
        <w:t xml:space="preserve">ANNEX 28 - </w:t>
      </w:r>
      <w:r w:rsidRPr="003B6A5A">
        <w:t xml:space="preserve">Disclosure of </w:t>
      </w:r>
      <w:r w:rsidRPr="00EB5D28">
        <w:t>specialised lending</w:t>
      </w:r>
      <w:r>
        <w:t xml:space="preserve"> and equity exposures u</w:t>
      </w:r>
      <w:r w:rsidRPr="00EB5D28">
        <w:t>nder the simple risk weight approach</w:t>
      </w:r>
    </w:p>
    <w:p w14:paraId="34D4DB6D" w14:textId="77777777" w:rsidR="00192421" w:rsidRPr="00203DC6" w:rsidRDefault="00192421" w:rsidP="003D3350">
      <w:pPr>
        <w:rPr>
          <w:rFonts w:ascii="Times New Roman" w:hAnsi="Times New Roman" w:cs="Times New Roman"/>
          <w:noProof/>
          <w:sz w:val="24"/>
        </w:rPr>
      </w:pPr>
    </w:p>
    <w:p w14:paraId="64F2C5C7" w14:textId="0856B28C" w:rsidR="00DE5C30" w:rsidRPr="0040650B" w:rsidRDefault="004E5C74" w:rsidP="0040650B">
      <w:pPr>
        <w:spacing w:before="120" w:after="120"/>
        <w:ind w:left="3"/>
        <w:rPr>
          <w:rFonts w:ascii="Times New Roman" w:hAnsi="Times New Roman"/>
          <w:sz w:val="24"/>
        </w:rPr>
      </w:pPr>
      <w:r w:rsidRPr="0040650B">
        <w:rPr>
          <w:rFonts w:ascii="Times New Roman" w:hAnsi="Times New Roman"/>
          <w:b/>
          <w:noProof/>
          <w:sz w:val="24"/>
        </w:rPr>
        <w:t>Template EU CR10</w:t>
      </w:r>
      <w:r w:rsidR="00DE5C30" w:rsidRPr="0040650B">
        <w:rPr>
          <w:rFonts w:ascii="Times New Roman" w:hAnsi="Times New Roman"/>
          <w:b/>
          <w:noProof/>
          <w:sz w:val="24"/>
        </w:rPr>
        <w:t xml:space="preserve"> – </w:t>
      </w:r>
      <w:r w:rsidR="003D3350" w:rsidRPr="0040650B">
        <w:rPr>
          <w:rFonts w:ascii="Times New Roman" w:hAnsi="Times New Roman"/>
          <w:b/>
          <w:noProof/>
          <w:sz w:val="24"/>
        </w:rPr>
        <w:t>Specialised lending and equit</w:t>
      </w:r>
      <w:r w:rsidR="00C8011D" w:rsidRPr="0040650B">
        <w:rPr>
          <w:rFonts w:ascii="Times New Roman" w:hAnsi="Times New Roman"/>
          <w:b/>
          <w:noProof/>
          <w:sz w:val="24"/>
        </w:rPr>
        <w:t>y exposures</w:t>
      </w:r>
      <w:r w:rsidR="003D3350" w:rsidRPr="0040650B">
        <w:rPr>
          <w:rFonts w:ascii="Times New Roman" w:hAnsi="Times New Roman"/>
          <w:b/>
          <w:noProof/>
          <w:sz w:val="24"/>
        </w:rPr>
        <w:t xml:space="preserve"> under the simple risk</w:t>
      </w:r>
      <w:r w:rsidR="00E3266A" w:rsidRPr="0040650B">
        <w:rPr>
          <w:rFonts w:ascii="Times New Roman" w:hAnsi="Times New Roman"/>
          <w:b/>
          <w:noProof/>
          <w:sz w:val="24"/>
        </w:rPr>
        <w:t>-</w:t>
      </w:r>
      <w:r w:rsidR="003D3350" w:rsidRPr="0040650B">
        <w:rPr>
          <w:rFonts w:ascii="Times New Roman" w:hAnsi="Times New Roman"/>
          <w:b/>
          <w:noProof/>
          <w:sz w:val="24"/>
        </w:rPr>
        <w:t>weighted approach</w:t>
      </w:r>
      <w:r w:rsidR="0080027F" w:rsidRPr="0040650B">
        <w:rPr>
          <w:rFonts w:ascii="Times New Roman" w:hAnsi="Times New Roman"/>
          <w:b/>
          <w:noProof/>
          <w:sz w:val="24"/>
        </w:rPr>
        <w:t>.</w:t>
      </w:r>
      <w:r w:rsidR="0080027F" w:rsidRPr="0040650B">
        <w:rPr>
          <w:rFonts w:ascii="Times New Roman" w:hAnsi="Times New Roman"/>
          <w:noProof/>
          <w:sz w:val="24"/>
        </w:rPr>
        <w:t xml:space="preserve"> Fixed template.</w:t>
      </w:r>
    </w:p>
    <w:p w14:paraId="7DB897DF" w14:textId="7DA37A9F" w:rsidR="00517915" w:rsidRPr="00EC5D8B" w:rsidRDefault="0095046E" w:rsidP="00EC5D8B">
      <w:pPr>
        <w:pStyle w:val="ListParagraph"/>
        <w:numPr>
          <w:ilvl w:val="0"/>
          <w:numId w:val="55"/>
        </w:numPr>
        <w:spacing w:before="120" w:after="120"/>
        <w:ind w:hanging="357"/>
        <w:rPr>
          <w:rFonts w:ascii="Times New Roman" w:hAnsi="Times New Roman"/>
          <w:noProof/>
          <w:sz w:val="24"/>
        </w:rPr>
      </w:pPr>
      <w:r w:rsidRPr="00EC5D8B">
        <w:rPr>
          <w:rFonts w:ascii="Times New Roman" w:hAnsi="Times New Roman"/>
          <w:noProof/>
          <w:sz w:val="24"/>
        </w:rPr>
        <w:t xml:space="preserve">Institutions shall </w:t>
      </w:r>
      <w:r w:rsidR="00A40E95" w:rsidRPr="00EC5D8B">
        <w:rPr>
          <w:rFonts w:ascii="Times New Roman" w:hAnsi="Times New Roman"/>
          <w:noProof/>
          <w:sz w:val="24"/>
        </w:rPr>
        <w:t>apply the instructions provided below in this Annex in order to complete t</w:t>
      </w:r>
      <w:bookmarkStart w:id="10" w:name="_GoBack"/>
      <w:bookmarkEnd w:id="10"/>
      <w:r w:rsidR="00A40E95" w:rsidRPr="00EC5D8B">
        <w:rPr>
          <w:rFonts w:ascii="Times New Roman" w:hAnsi="Times New Roman"/>
          <w:noProof/>
          <w:sz w:val="24"/>
        </w:rPr>
        <w:t>emp</w:t>
      </w:r>
      <w:r w:rsidR="004E5C74" w:rsidRPr="00EC5D8B">
        <w:rPr>
          <w:rFonts w:ascii="Times New Roman" w:hAnsi="Times New Roman"/>
          <w:noProof/>
          <w:sz w:val="24"/>
        </w:rPr>
        <w:t>l</w:t>
      </w:r>
      <w:r w:rsidR="00A40E95" w:rsidRPr="00EC5D8B">
        <w:rPr>
          <w:rFonts w:ascii="Times New Roman" w:hAnsi="Times New Roman"/>
          <w:noProof/>
          <w:sz w:val="24"/>
        </w:rPr>
        <w:t>ate</w:t>
      </w:r>
      <w:r w:rsidR="00835DE2" w:rsidRPr="00EC5D8B">
        <w:rPr>
          <w:rFonts w:ascii="Times New Roman" w:hAnsi="Times New Roman"/>
          <w:noProof/>
          <w:sz w:val="24"/>
        </w:rPr>
        <w:t>s EU CR10</w:t>
      </w:r>
      <w:r w:rsidR="00A40E95" w:rsidRPr="00EC5D8B">
        <w:rPr>
          <w:rFonts w:ascii="Times New Roman" w:hAnsi="Times New Roman"/>
          <w:noProof/>
          <w:sz w:val="24"/>
        </w:rPr>
        <w:t xml:space="preserve"> as presented in Annex 27,</w:t>
      </w:r>
      <w:r w:rsidRPr="00EC5D8B">
        <w:rPr>
          <w:rFonts w:ascii="Times New Roman" w:hAnsi="Times New Roman"/>
          <w:noProof/>
          <w:sz w:val="24"/>
        </w:rPr>
        <w:t xml:space="preserve"> in application </w:t>
      </w:r>
      <w:r w:rsidR="00E3266A" w:rsidRPr="00EC5D8B">
        <w:rPr>
          <w:rFonts w:ascii="Times New Roman" w:hAnsi="Times New Roman"/>
          <w:noProof/>
          <w:sz w:val="24"/>
        </w:rPr>
        <w:t xml:space="preserve">of </w:t>
      </w:r>
      <w:r w:rsidRPr="00EC5D8B">
        <w:rPr>
          <w:rFonts w:ascii="Times New Roman" w:hAnsi="Times New Roman"/>
          <w:noProof/>
          <w:sz w:val="24"/>
        </w:rPr>
        <w:t>Article 438(e)</w:t>
      </w:r>
      <w:r w:rsidR="00DA707E" w:rsidRPr="00EC5D8B">
        <w:rPr>
          <w:rFonts w:ascii="Times New Roman" w:hAnsi="Times New Roman"/>
          <w:noProof/>
          <w:sz w:val="24"/>
        </w:rPr>
        <w:t xml:space="preserve"> of CRR</w:t>
      </w:r>
      <w:r w:rsidR="00447FA7" w:rsidRPr="00EC5D8B">
        <w:rPr>
          <w:rFonts w:ascii="Times New Roman" w:hAnsi="Times New Roman"/>
          <w:noProof/>
          <w:sz w:val="24"/>
        </w:rPr>
        <w:t>.</w:t>
      </w:r>
      <w:r w:rsidR="00AB5E47" w:rsidRPr="00EC5D8B">
        <w:rPr>
          <w:rFonts w:ascii="Times New Roman" w:hAnsi="Times New Roman"/>
          <w:noProof/>
          <w:sz w:val="24"/>
        </w:rPr>
        <w:t xml:space="preserve"> Institutions shall dis</w:t>
      </w:r>
      <w:r w:rsidR="00517915" w:rsidRPr="00EC5D8B">
        <w:rPr>
          <w:rFonts w:ascii="Times New Roman" w:hAnsi="Times New Roman"/>
          <w:noProof/>
          <w:sz w:val="24"/>
        </w:rPr>
        <w:t>c</w:t>
      </w:r>
      <w:r w:rsidR="00AB5E47" w:rsidRPr="00EC5D8B">
        <w:rPr>
          <w:rFonts w:ascii="Times New Roman" w:hAnsi="Times New Roman"/>
          <w:noProof/>
          <w:sz w:val="24"/>
        </w:rPr>
        <w:t>lo</w:t>
      </w:r>
      <w:r w:rsidR="00517915" w:rsidRPr="00EC5D8B">
        <w:rPr>
          <w:rFonts w:ascii="Times New Roman" w:hAnsi="Times New Roman"/>
          <w:noProof/>
          <w:sz w:val="24"/>
        </w:rPr>
        <w:t>s</w:t>
      </w:r>
      <w:r w:rsidR="00AB5E47" w:rsidRPr="00EC5D8B">
        <w:rPr>
          <w:rFonts w:ascii="Times New Roman" w:hAnsi="Times New Roman"/>
          <w:noProof/>
          <w:sz w:val="24"/>
        </w:rPr>
        <w:t>e</w:t>
      </w:r>
      <w:r w:rsidR="00517915" w:rsidRPr="00EC5D8B">
        <w:rPr>
          <w:rFonts w:ascii="Times New Roman" w:hAnsi="Times New Roman"/>
          <w:noProof/>
          <w:sz w:val="24"/>
        </w:rPr>
        <w:t xml:space="preserve"> </w:t>
      </w:r>
    </w:p>
    <w:p w14:paraId="4B894C19" w14:textId="5F83EB31" w:rsidR="0095046E" w:rsidRPr="00203DC6" w:rsidRDefault="00517915" w:rsidP="00EC5D8B">
      <w:pPr>
        <w:pStyle w:val="ListParagraph"/>
        <w:numPr>
          <w:ilvl w:val="1"/>
          <w:numId w:val="55"/>
        </w:numPr>
        <w:spacing w:before="120" w:after="120"/>
        <w:ind w:hanging="357"/>
        <w:rPr>
          <w:rFonts w:ascii="Times New Roman" w:hAnsi="Times New Roman"/>
          <w:noProof/>
          <w:sz w:val="24"/>
          <w:szCs w:val="24"/>
        </w:rPr>
      </w:pPr>
      <w:r w:rsidRPr="00203DC6">
        <w:rPr>
          <w:rFonts w:ascii="Times New Roman" w:hAnsi="Times New Roman"/>
          <w:noProof/>
          <w:sz w:val="24"/>
          <w:szCs w:val="24"/>
        </w:rPr>
        <w:t>information on the following types of specialised lending exposures</w:t>
      </w:r>
      <w:r w:rsidR="00AB5E47" w:rsidRPr="00203DC6">
        <w:rPr>
          <w:rFonts w:ascii="Times New Roman" w:hAnsi="Times New Roman"/>
          <w:noProof/>
          <w:sz w:val="24"/>
          <w:szCs w:val="24"/>
        </w:rPr>
        <w:t>:</w:t>
      </w:r>
    </w:p>
    <w:p w14:paraId="6F2B7691" w14:textId="61C7ADFB" w:rsidR="00AB5E47" w:rsidRPr="00203DC6" w:rsidRDefault="00AB5E47" w:rsidP="00EC5D8B">
      <w:pPr>
        <w:pStyle w:val="ListParagraph"/>
        <w:numPr>
          <w:ilvl w:val="0"/>
          <w:numId w:val="51"/>
        </w:numPr>
        <w:spacing w:before="120" w:after="120"/>
        <w:ind w:hanging="357"/>
        <w:rPr>
          <w:rFonts w:ascii="Times New Roman" w:hAnsi="Times New Roman"/>
          <w:noProof/>
          <w:sz w:val="24"/>
          <w:szCs w:val="24"/>
        </w:rPr>
      </w:pPr>
      <w:r w:rsidRPr="00203DC6">
        <w:rPr>
          <w:rFonts w:ascii="Times New Roman" w:hAnsi="Times New Roman"/>
          <w:noProof/>
          <w:sz w:val="24"/>
          <w:szCs w:val="24"/>
        </w:rPr>
        <w:t>“Project finance” in template EU CR10.1</w:t>
      </w:r>
    </w:p>
    <w:p w14:paraId="4197ECB4" w14:textId="5A2A5CC2" w:rsidR="00AB5E47" w:rsidRPr="00203DC6" w:rsidRDefault="00AB5E47" w:rsidP="00EC5D8B">
      <w:pPr>
        <w:pStyle w:val="ListParagraph"/>
        <w:numPr>
          <w:ilvl w:val="0"/>
          <w:numId w:val="51"/>
        </w:numPr>
        <w:spacing w:before="120" w:after="120"/>
        <w:ind w:hanging="357"/>
        <w:rPr>
          <w:rFonts w:ascii="Times New Roman" w:hAnsi="Times New Roman"/>
          <w:noProof/>
          <w:sz w:val="24"/>
          <w:szCs w:val="24"/>
        </w:rPr>
      </w:pPr>
      <w:r w:rsidRPr="00203DC6">
        <w:rPr>
          <w:rFonts w:ascii="Times New Roman" w:hAnsi="Times New Roman"/>
          <w:noProof/>
          <w:sz w:val="24"/>
          <w:szCs w:val="24"/>
        </w:rPr>
        <w:t>“Income-producing real estate and  high volatility commercial real estate” in tem</w:t>
      </w:r>
      <w:r w:rsidR="00517915" w:rsidRPr="00203DC6">
        <w:rPr>
          <w:rFonts w:ascii="Times New Roman" w:hAnsi="Times New Roman"/>
          <w:noProof/>
          <w:sz w:val="24"/>
          <w:szCs w:val="24"/>
        </w:rPr>
        <w:t>p</w:t>
      </w:r>
      <w:r w:rsidRPr="00203DC6">
        <w:rPr>
          <w:rFonts w:ascii="Times New Roman" w:hAnsi="Times New Roman"/>
          <w:noProof/>
          <w:sz w:val="24"/>
          <w:szCs w:val="24"/>
        </w:rPr>
        <w:t>late EU CR10.2</w:t>
      </w:r>
    </w:p>
    <w:p w14:paraId="6C2F7685" w14:textId="51E8B0C2" w:rsidR="00AB5E47" w:rsidRPr="00203DC6" w:rsidRDefault="00AB5E47" w:rsidP="00EC5D8B">
      <w:pPr>
        <w:pStyle w:val="ListParagraph"/>
        <w:numPr>
          <w:ilvl w:val="0"/>
          <w:numId w:val="51"/>
        </w:numPr>
        <w:spacing w:before="120" w:after="120"/>
        <w:ind w:hanging="357"/>
        <w:rPr>
          <w:rFonts w:ascii="Times New Roman" w:hAnsi="Times New Roman"/>
          <w:noProof/>
          <w:sz w:val="24"/>
          <w:szCs w:val="24"/>
        </w:rPr>
      </w:pPr>
      <w:r w:rsidRPr="00203DC6">
        <w:rPr>
          <w:rFonts w:ascii="Times New Roman" w:hAnsi="Times New Roman"/>
          <w:noProof/>
          <w:sz w:val="24"/>
          <w:szCs w:val="24"/>
        </w:rPr>
        <w:t>“Object finance” in template EU CR10.3</w:t>
      </w:r>
    </w:p>
    <w:p w14:paraId="19DE9639" w14:textId="34E87609" w:rsidR="00517915" w:rsidRPr="00203DC6" w:rsidRDefault="00517915" w:rsidP="00EC5D8B">
      <w:pPr>
        <w:pStyle w:val="ListParagraph"/>
        <w:numPr>
          <w:ilvl w:val="0"/>
          <w:numId w:val="51"/>
        </w:numPr>
        <w:spacing w:before="120" w:after="120"/>
        <w:ind w:hanging="357"/>
        <w:rPr>
          <w:rFonts w:ascii="Times New Roman" w:hAnsi="Times New Roman"/>
          <w:noProof/>
          <w:sz w:val="24"/>
          <w:szCs w:val="24"/>
        </w:rPr>
      </w:pPr>
      <w:r w:rsidRPr="00203DC6">
        <w:rPr>
          <w:rFonts w:ascii="Times New Roman" w:hAnsi="Times New Roman"/>
          <w:noProof/>
          <w:sz w:val="24"/>
          <w:szCs w:val="24"/>
        </w:rPr>
        <w:t>“Commodities finance” in template EU CR 10.4</w:t>
      </w:r>
    </w:p>
    <w:p w14:paraId="633864F4" w14:textId="3163F538" w:rsidR="00AB5E47" w:rsidRPr="00203DC6" w:rsidRDefault="00517915" w:rsidP="00EC5D8B">
      <w:pPr>
        <w:pStyle w:val="ListParagraph"/>
        <w:numPr>
          <w:ilvl w:val="1"/>
          <w:numId w:val="55"/>
        </w:numPr>
        <w:spacing w:before="120" w:after="120"/>
        <w:ind w:hanging="357"/>
        <w:rPr>
          <w:rFonts w:ascii="Times New Roman" w:hAnsi="Times New Roman"/>
          <w:noProof/>
          <w:sz w:val="24"/>
          <w:szCs w:val="24"/>
        </w:rPr>
      </w:pPr>
      <w:r w:rsidRPr="00203DC6">
        <w:rPr>
          <w:rFonts w:ascii="Times New Roman" w:hAnsi="Times New Roman"/>
          <w:noProof/>
          <w:sz w:val="24"/>
          <w:szCs w:val="24"/>
        </w:rPr>
        <w:t>i</w:t>
      </w:r>
      <w:r w:rsidR="00AB5E47" w:rsidRPr="00203DC6">
        <w:rPr>
          <w:rFonts w:ascii="Times New Roman" w:hAnsi="Times New Roman"/>
          <w:noProof/>
          <w:sz w:val="24"/>
          <w:szCs w:val="24"/>
        </w:rPr>
        <w:t xml:space="preserve">nformation on </w:t>
      </w:r>
      <w:r w:rsidRPr="00203DC6">
        <w:rPr>
          <w:rFonts w:ascii="Times New Roman" w:hAnsi="Times New Roman"/>
          <w:noProof/>
          <w:sz w:val="24"/>
          <w:szCs w:val="24"/>
        </w:rPr>
        <w:t>e</w:t>
      </w:r>
      <w:r w:rsidR="00AB5E47" w:rsidRPr="00203DC6">
        <w:rPr>
          <w:rFonts w:ascii="Times New Roman" w:hAnsi="Times New Roman"/>
          <w:noProof/>
          <w:sz w:val="24"/>
          <w:szCs w:val="24"/>
        </w:rPr>
        <w:t>quit</w:t>
      </w:r>
      <w:r w:rsidRPr="00203DC6">
        <w:rPr>
          <w:rFonts w:ascii="Times New Roman" w:hAnsi="Times New Roman"/>
          <w:noProof/>
          <w:sz w:val="24"/>
          <w:szCs w:val="24"/>
        </w:rPr>
        <w:t>y exposures</w:t>
      </w:r>
      <w:r w:rsidR="00AB5E47" w:rsidRPr="00203DC6">
        <w:rPr>
          <w:rFonts w:ascii="Times New Roman" w:hAnsi="Times New Roman"/>
          <w:noProof/>
          <w:sz w:val="24"/>
          <w:szCs w:val="24"/>
        </w:rPr>
        <w:t xml:space="preserve"> under the simple risk-weighted approach in template EU CR10.</w:t>
      </w:r>
      <w:r w:rsidRPr="00203DC6">
        <w:rPr>
          <w:rFonts w:ascii="Times New Roman" w:hAnsi="Times New Roman"/>
          <w:noProof/>
          <w:sz w:val="24"/>
          <w:szCs w:val="24"/>
        </w:rPr>
        <w:t>5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654"/>
      </w:tblGrid>
      <w:tr w:rsidR="000329C7" w:rsidRPr="00203DC6" w14:paraId="7808FD95" w14:textId="77777777" w:rsidTr="008667ED">
        <w:trPr>
          <w:trHeight w:val="9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E1891" w14:textId="77777777" w:rsidR="000329C7" w:rsidRPr="00203DC6" w:rsidRDefault="000329C7" w:rsidP="0086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203DC6">
              <w:rPr>
                <w:rFonts w:ascii="Times New Roman" w:hAnsi="Times New Roman" w:cs="Times New Roman"/>
                <w:b/>
                <w:sz w:val="24"/>
                <w:lang w:val="en-GB"/>
              </w:rPr>
              <w:t>Column reference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1355D" w14:textId="77777777" w:rsidR="000329C7" w:rsidRPr="00203DC6" w:rsidRDefault="000329C7" w:rsidP="008667ED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203DC6">
              <w:rPr>
                <w:rFonts w:ascii="Times New Roman" w:hAnsi="Times New Roman" w:cs="Times New Roman"/>
                <w:b/>
                <w:sz w:val="24"/>
                <w:lang w:val="en-GB"/>
              </w:rPr>
              <w:t>Legal references and instructions</w:t>
            </w:r>
          </w:p>
        </w:tc>
      </w:tr>
      <w:tr w:rsidR="000329C7" w:rsidRPr="00203DC6" w14:paraId="42A8ED72" w14:textId="77777777" w:rsidTr="008667ED">
        <w:trPr>
          <w:trHeight w:val="35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5444E" w14:textId="77777777" w:rsidR="000329C7" w:rsidRPr="00203DC6" w:rsidRDefault="000329C7" w:rsidP="0086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B4A0B86" w14:textId="77777777" w:rsidR="000329C7" w:rsidRPr="00203DC6" w:rsidRDefault="000329C7" w:rsidP="0086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lang w:val="en-GB"/>
              </w:rPr>
            </w:pPr>
            <w:r w:rsidRPr="00203DC6">
              <w:rPr>
                <w:rFonts w:ascii="Times New Roman" w:hAnsi="Times New Roman" w:cs="Times New Roman"/>
                <w:b/>
                <w:sz w:val="24"/>
                <w:lang w:val="en-GB"/>
              </w:rPr>
              <w:t>Explanation</w:t>
            </w:r>
          </w:p>
        </w:tc>
      </w:tr>
      <w:tr w:rsidR="000329C7" w:rsidRPr="00203DC6" w14:paraId="56528A14" w14:textId="77777777" w:rsidTr="008667ED">
        <w:trPr>
          <w:trHeight w:val="316"/>
        </w:trPr>
        <w:tc>
          <w:tcPr>
            <w:tcW w:w="1413" w:type="dxa"/>
          </w:tcPr>
          <w:p w14:paraId="65A9F91E" w14:textId="00013477" w:rsidR="000329C7" w:rsidRPr="00203DC6" w:rsidRDefault="007D2F06" w:rsidP="008667E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a</w:t>
            </w:r>
          </w:p>
        </w:tc>
        <w:tc>
          <w:tcPr>
            <w:tcW w:w="7654" w:type="dxa"/>
          </w:tcPr>
          <w:p w14:paraId="44C6D169" w14:textId="77777777" w:rsidR="000329C7" w:rsidRPr="00203DC6" w:rsidRDefault="000329C7" w:rsidP="008667ED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  <w:p w14:paraId="5FE9F2CA" w14:textId="77777777" w:rsidR="004E5C74" w:rsidRDefault="004E5C74" w:rsidP="004E5C74">
            <w:pPr>
              <w:jc w:val="both"/>
              <w:rPr>
                <w:rFonts w:ascii="Times New Roman" w:eastAsiaTheme="minorHAnsi" w:hAnsi="Times New Roman" w:cs="Times New Roman"/>
                <w:sz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GB"/>
              </w:rPr>
              <w:t>On-balance-sheet exposures</w:t>
            </w:r>
            <w:r>
              <w:rPr>
                <w:rFonts w:ascii="Times New Roman" w:eastAsiaTheme="minorHAnsi" w:hAnsi="Times New Roman" w:cs="Times New Roman"/>
                <w:sz w:val="24"/>
                <w:lang w:val="en-GB"/>
              </w:rPr>
              <w:t>:</w:t>
            </w:r>
          </w:p>
          <w:p w14:paraId="684DE3E9" w14:textId="77777777" w:rsidR="000329C7" w:rsidRPr="00203DC6" w:rsidRDefault="000329C7" w:rsidP="008667ED">
            <w:pPr>
              <w:jc w:val="both"/>
              <w:rPr>
                <w:rFonts w:ascii="Times New Roman" w:eastAsiaTheme="minorHAnsi" w:hAnsi="Times New Roman" w:cs="Times New Roman"/>
                <w:sz w:val="24"/>
                <w:lang w:val="en-GB"/>
              </w:rPr>
            </w:pPr>
          </w:p>
          <w:p w14:paraId="0F2D423B" w14:textId="6FC48337" w:rsidR="000329C7" w:rsidRPr="00203DC6" w:rsidRDefault="000329C7" w:rsidP="00DA707E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 xml:space="preserve">Institutions shall disclose the exposure </w:t>
            </w:r>
            <w:r w:rsidR="001171EA"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>value of on-balance sheet exposure</w:t>
            </w:r>
            <w:r w:rsidR="0080027F"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>s</w:t>
            </w:r>
            <w:r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 xml:space="preserve"> in accordance with Article</w:t>
            </w:r>
            <w:r w:rsidR="00DA707E"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 xml:space="preserve"> 166</w:t>
            </w:r>
            <w:r w:rsidR="001171EA"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>(1) to (7)</w:t>
            </w:r>
            <w:r w:rsidR="00DA707E"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 xml:space="preserve"> and</w:t>
            </w:r>
            <w:r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 xml:space="preserve"> </w:t>
            </w:r>
            <w:r w:rsidR="001171EA"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 xml:space="preserve">Article </w:t>
            </w:r>
            <w:r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>167</w:t>
            </w:r>
            <w:r w:rsidR="001171EA"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>(1)</w:t>
            </w:r>
            <w:r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 xml:space="preserve"> of </w:t>
            </w:r>
            <w:r w:rsidR="00A1176E"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>CRR</w:t>
            </w:r>
            <w:r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>.</w:t>
            </w:r>
          </w:p>
        </w:tc>
      </w:tr>
      <w:tr w:rsidR="000329C7" w:rsidRPr="00203DC6" w14:paraId="00269C76" w14:textId="77777777" w:rsidTr="008667ED">
        <w:trPr>
          <w:trHeight w:val="316"/>
        </w:trPr>
        <w:tc>
          <w:tcPr>
            <w:tcW w:w="1413" w:type="dxa"/>
          </w:tcPr>
          <w:p w14:paraId="37880765" w14:textId="77777777" w:rsidR="000329C7" w:rsidRPr="00203DC6" w:rsidRDefault="000329C7" w:rsidP="008667E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b</w:t>
            </w:r>
          </w:p>
        </w:tc>
        <w:tc>
          <w:tcPr>
            <w:tcW w:w="7654" w:type="dxa"/>
          </w:tcPr>
          <w:p w14:paraId="78907745" w14:textId="13B070B1" w:rsidR="000329C7" w:rsidRPr="00203DC6" w:rsidRDefault="000329C7" w:rsidP="008667E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Off-balance-sheet </w:t>
            </w:r>
            <w:r w:rsidR="00C73602"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exposure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  <w:p w14:paraId="4AAD0CB8" w14:textId="1B545F90" w:rsidR="001171EA" w:rsidRPr="00203DC6" w:rsidRDefault="000329C7" w:rsidP="001171E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Institutions shall disclose the exposure value </w:t>
            </w:r>
            <w:r w:rsidR="001171EA" w:rsidRPr="00203DC6">
              <w:rPr>
                <w:rFonts w:ascii="Times New Roman" w:hAnsi="Times New Roman" w:cs="Times New Roman"/>
                <w:sz w:val="24"/>
                <w:lang w:val="en-GB"/>
              </w:rPr>
              <w:t>of off-balance sheet exposures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 in accordance with Article</w:t>
            </w:r>
            <w:r w:rsidR="00DA707E" w:rsidRPr="00203DC6">
              <w:rPr>
                <w:rFonts w:ascii="Times New Roman" w:hAnsi="Times New Roman" w:cs="Times New Roman"/>
                <w:sz w:val="24"/>
                <w:lang w:val="en-GB"/>
              </w:rPr>
              <w:t>s 166 and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 167</w:t>
            </w:r>
            <w:r w:rsidR="004E5C74">
              <w:rPr>
                <w:rFonts w:ascii="Times New Roman" w:hAnsi="Times New Roman" w:cs="Times New Roman"/>
                <w:sz w:val="24"/>
                <w:lang w:val="en-GB"/>
              </w:rPr>
              <w:t xml:space="preserve"> (2)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 of </w:t>
            </w:r>
            <w:r w:rsidR="00556D6C" w:rsidRPr="00203DC6">
              <w:rPr>
                <w:rFonts w:ascii="Times New Roman" w:hAnsi="Times New Roman" w:cs="Times New Roman"/>
                <w:sz w:val="24"/>
                <w:lang w:val="en-GB"/>
              </w:rPr>
              <w:t>CRR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 without taking into account </w:t>
            </w:r>
            <w:r w:rsidR="001171EA"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any 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>conversion factors</w:t>
            </w:r>
            <w:r w:rsidR="001171EA"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 specified in Article 166(8) </w:t>
            </w:r>
            <w:r w:rsidR="004E5C74">
              <w:rPr>
                <w:rFonts w:ascii="Times New Roman" w:hAnsi="Times New Roman" w:cs="Times New Roman"/>
                <w:sz w:val="24"/>
                <w:lang w:val="en-GB"/>
              </w:rPr>
              <w:t xml:space="preserve">or (9) </w:t>
            </w:r>
            <w:r w:rsidR="001171EA" w:rsidRPr="00203DC6">
              <w:rPr>
                <w:rFonts w:ascii="Times New Roman" w:hAnsi="Times New Roman" w:cs="Times New Roman"/>
                <w:sz w:val="24"/>
                <w:lang w:val="en-GB"/>
              </w:rPr>
              <w:t>of CRR, or any percentages specified in Article 166(10) of CRR.</w:t>
            </w:r>
          </w:p>
          <w:p w14:paraId="6BCDCFF3" w14:textId="77777777" w:rsidR="001171EA" w:rsidRPr="00203DC6" w:rsidRDefault="001171EA" w:rsidP="001171E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Off balance sheet </w:t>
            </w:r>
            <w:proofErr w:type="gramStart"/>
            <w:r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exposures</w:t>
            </w:r>
            <w:proofErr w:type="gramEnd"/>
            <w:r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comprise all committed but undrawn amounts and all off-balance sheet items, as listed in Annex I of CRR.</w:t>
            </w:r>
          </w:p>
          <w:p w14:paraId="593C7A24" w14:textId="27E3ED0A" w:rsidR="000329C7" w:rsidRPr="00203DC6" w:rsidRDefault="000329C7" w:rsidP="008667E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0329C7" w:rsidRPr="00203DC6" w14:paraId="5DE8A1B2" w14:textId="77777777" w:rsidTr="008667ED">
        <w:trPr>
          <w:trHeight w:val="316"/>
        </w:trPr>
        <w:tc>
          <w:tcPr>
            <w:tcW w:w="1413" w:type="dxa"/>
          </w:tcPr>
          <w:p w14:paraId="644D0520" w14:textId="129F0E4A" w:rsidR="000329C7" w:rsidRPr="00203DC6" w:rsidRDefault="0017541E" w:rsidP="008667E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c</w:t>
            </w:r>
          </w:p>
        </w:tc>
        <w:tc>
          <w:tcPr>
            <w:tcW w:w="7654" w:type="dxa"/>
          </w:tcPr>
          <w:p w14:paraId="79CA878C" w14:textId="3617162D" w:rsidR="000329C7" w:rsidRPr="00203DC6" w:rsidRDefault="000329C7" w:rsidP="008667E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Risk weight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  <w:p w14:paraId="476AE6A2" w14:textId="77777777" w:rsidR="002042FE" w:rsidRPr="00203DC6" w:rsidRDefault="000329C7" w:rsidP="002042F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This is a fixed column. It </w:t>
            </w:r>
            <w:proofErr w:type="gramStart"/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>shall not be altered</w:t>
            </w:r>
            <w:proofErr w:type="gramEnd"/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  <w:r w:rsidR="002042FE"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  <w:p w14:paraId="69BEF5CD" w14:textId="77777777" w:rsidR="000329C7" w:rsidRPr="00203DC6" w:rsidRDefault="002042FE" w:rsidP="008667E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This column </w:t>
            </w:r>
            <w:proofErr w:type="gramStart"/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>has been specified</w:t>
            </w:r>
            <w:proofErr w:type="gramEnd"/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 in accordance with Article 153(5) of CRR for templates </w:t>
            </w:r>
            <w:r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CR10.1 to CR10.4 and in accordance with Article 155(2) of CRR for template CR10.5.</w:t>
            </w:r>
          </w:p>
        </w:tc>
      </w:tr>
      <w:tr w:rsidR="000329C7" w:rsidRPr="00203DC6" w14:paraId="691B49DB" w14:textId="77777777" w:rsidTr="008667ED">
        <w:trPr>
          <w:trHeight w:val="316"/>
        </w:trPr>
        <w:tc>
          <w:tcPr>
            <w:tcW w:w="1413" w:type="dxa"/>
          </w:tcPr>
          <w:p w14:paraId="40901CE7" w14:textId="7AF3D9C3" w:rsidR="000329C7" w:rsidRPr="00203DC6" w:rsidRDefault="0017541E" w:rsidP="008667E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d</w:t>
            </w:r>
          </w:p>
        </w:tc>
        <w:tc>
          <w:tcPr>
            <w:tcW w:w="7654" w:type="dxa"/>
          </w:tcPr>
          <w:p w14:paraId="73B1B1B1" w14:textId="34633AE1" w:rsidR="000329C7" w:rsidRPr="00203DC6" w:rsidRDefault="000329C7" w:rsidP="008667E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Exposure </w:t>
            </w:r>
            <w:r w:rsidR="0017541E"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v</w:t>
            </w:r>
            <w:r w:rsidR="00C73602"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alue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  <w:p w14:paraId="49A879D4" w14:textId="6BBFEED1" w:rsidR="00580A47" w:rsidRPr="00203DC6" w:rsidRDefault="00580A47" w:rsidP="00580A4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 xml:space="preserve">Exposure value in accordance with Article 166 or Article 167 of CRR. </w:t>
            </w:r>
          </w:p>
          <w:p w14:paraId="02FAC319" w14:textId="4184BB1A" w:rsidR="000329C7" w:rsidRPr="004E5C74" w:rsidRDefault="00580A47" w:rsidP="004E5C74">
            <w:pPr>
              <w:rPr>
                <w:rFonts w:ascii="Times New Roman" w:hAnsi="Times New Roman" w:cs="Times New Roman"/>
                <w:sz w:val="24"/>
              </w:rPr>
            </w:pP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This column includes the sum of exposure value of on-balance sheet exposures and exposure value of off-balance sheet exposures </w:t>
            </w:r>
            <w:r w:rsidR="004E5C74">
              <w:rPr>
                <w:rFonts w:ascii="Times New Roman" w:hAnsi="Times New Roman" w:cs="Times New Roman"/>
                <w:sz w:val="24"/>
                <w:lang w:val="en-GB"/>
              </w:rPr>
              <w:t xml:space="preserve"> post conversion factors and percentages 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in accordance with Article 166(8) to (10) of CRR. </w:t>
            </w:r>
          </w:p>
        </w:tc>
      </w:tr>
      <w:tr w:rsidR="000329C7" w:rsidRPr="00203DC6" w14:paraId="24883F5B" w14:textId="77777777" w:rsidTr="00D50F79">
        <w:trPr>
          <w:trHeight w:val="316"/>
        </w:trPr>
        <w:tc>
          <w:tcPr>
            <w:tcW w:w="1413" w:type="dxa"/>
            <w:tcBorders>
              <w:bottom w:val="single" w:sz="4" w:space="0" w:color="auto"/>
            </w:tcBorders>
          </w:tcPr>
          <w:p w14:paraId="56ED441B" w14:textId="7526A293" w:rsidR="000329C7" w:rsidRPr="00203DC6" w:rsidRDefault="00580A47" w:rsidP="00CC071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lastRenderedPageBreak/>
              <w:t>e (templates CR10.1 to CR10.4)</w:t>
            </w:r>
          </w:p>
        </w:tc>
        <w:tc>
          <w:tcPr>
            <w:tcW w:w="7654" w:type="dxa"/>
          </w:tcPr>
          <w:p w14:paraId="675A9FB7" w14:textId="6637E4E6" w:rsidR="000329C7" w:rsidRPr="00203DC6" w:rsidRDefault="000329C7" w:rsidP="00CC071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>Risk-weighted exposure amount</w:t>
            </w:r>
            <w:r w:rsidR="002042FE"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 (specialised lending exposures)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  <w:p w14:paraId="1AAE1C81" w14:textId="0C5E4CF7" w:rsidR="000329C7" w:rsidRPr="00203DC6" w:rsidRDefault="000329C7" w:rsidP="004E5C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The risk-weighted exposure amount </w:t>
            </w:r>
            <w:r w:rsidR="00580A47" w:rsidRPr="00203DC6">
              <w:rPr>
                <w:rFonts w:ascii="Times New Roman" w:hAnsi="Times New Roman" w:cs="Times New Roman"/>
                <w:sz w:val="24"/>
                <w:lang w:val="en-GB"/>
              </w:rPr>
              <w:t>calculated in accordance with Article 153 (5) of CRR,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after supporting factor</w:t>
            </w:r>
            <w:r w:rsidR="009325D8"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s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580A47"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in accordance with Article 501 </w:t>
            </w:r>
            <w:r w:rsidR="009325D8"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and 501a </w:t>
            </w:r>
            <w:r w:rsidR="00580A47" w:rsidRPr="00203DC6">
              <w:rPr>
                <w:rFonts w:ascii="Times New Roman" w:hAnsi="Times New Roman" w:cs="Times New Roman"/>
                <w:sz w:val="24"/>
                <w:lang w:val="en-GB"/>
              </w:rPr>
              <w:t>of CRR, where relevant</w:t>
            </w:r>
            <w:r w:rsidR="00447FA7" w:rsidRPr="00203DC6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</w:tc>
      </w:tr>
      <w:tr w:rsidR="00580A47" w:rsidRPr="00203DC6" w14:paraId="1427EFF0" w14:textId="77777777" w:rsidTr="00005E8C">
        <w:trPr>
          <w:trHeight w:val="316"/>
        </w:trPr>
        <w:tc>
          <w:tcPr>
            <w:tcW w:w="1413" w:type="dxa"/>
            <w:tcBorders>
              <w:bottom w:val="single" w:sz="4" w:space="0" w:color="auto"/>
            </w:tcBorders>
          </w:tcPr>
          <w:p w14:paraId="4AFA3FE4" w14:textId="79F750CC" w:rsidR="00580A47" w:rsidRPr="00203DC6" w:rsidRDefault="00580A47" w:rsidP="00CC071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e (template CR10.5)</w:t>
            </w:r>
          </w:p>
        </w:tc>
        <w:tc>
          <w:tcPr>
            <w:tcW w:w="7654" w:type="dxa"/>
          </w:tcPr>
          <w:p w14:paraId="42A193A4" w14:textId="4B576758" w:rsidR="00580A47" w:rsidRPr="00203DC6" w:rsidRDefault="00580A47" w:rsidP="00580A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>Risk-weighted exposure amount</w:t>
            </w:r>
            <w:r w:rsidR="002042FE"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 (equity exposures)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  <w:p w14:paraId="7D71DC93" w14:textId="2BF97CC6" w:rsidR="00580A47" w:rsidRPr="00203DC6" w:rsidRDefault="00580A47" w:rsidP="002042F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>The risk-weighted exposure amount calculated in accordance with Article 15</w:t>
            </w:r>
            <w:r w:rsidR="002042FE" w:rsidRPr="00203DC6"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r w:rsidR="002042FE" w:rsidRPr="00203DC6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>) of CRR.</w:t>
            </w:r>
          </w:p>
        </w:tc>
      </w:tr>
      <w:tr w:rsidR="000329C7" w:rsidRPr="00203DC6" w14:paraId="6D51B5F7" w14:textId="77777777" w:rsidTr="00D50F79">
        <w:trPr>
          <w:trHeight w:val="316"/>
        </w:trPr>
        <w:tc>
          <w:tcPr>
            <w:tcW w:w="1413" w:type="dxa"/>
            <w:tcBorders>
              <w:bottom w:val="nil"/>
            </w:tcBorders>
          </w:tcPr>
          <w:p w14:paraId="19F34C45" w14:textId="33AAEE71" w:rsidR="000329C7" w:rsidRPr="00203DC6" w:rsidRDefault="00AB5E47" w:rsidP="008667E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f (templates CR10.1 to CR10.</w:t>
            </w:r>
            <w:r w:rsidR="00580A47"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4</w:t>
            </w:r>
            <w:r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7654" w:type="dxa"/>
          </w:tcPr>
          <w:p w14:paraId="25C1AE1D" w14:textId="32BE4242" w:rsidR="000329C7" w:rsidRPr="00203DC6" w:rsidRDefault="000329C7" w:rsidP="008667E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>Expected loss</w:t>
            </w:r>
            <w:r w:rsidR="00DA707E"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580A47" w:rsidRPr="00203DC6">
              <w:rPr>
                <w:rFonts w:ascii="Times New Roman" w:hAnsi="Times New Roman" w:cs="Times New Roman"/>
                <w:sz w:val="24"/>
                <w:lang w:val="en-GB"/>
              </w:rPr>
              <w:t>amount</w:t>
            </w:r>
            <w:r w:rsidR="00DA707E"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 (specialised lending exposures</w:t>
            </w:r>
            <w:r w:rsidR="002042FE"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 under the slotting approach</w:t>
            </w:r>
            <w:r w:rsidR="00DA707E" w:rsidRPr="00203DC6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  <w:p w14:paraId="1241471C" w14:textId="1380DDF3" w:rsidR="000329C7" w:rsidRPr="00203DC6" w:rsidRDefault="000329C7" w:rsidP="004E5C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Amount of expected loss calculated </w:t>
            </w:r>
            <w:r w:rsidR="00580A47"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in 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>accord</w:t>
            </w:r>
            <w:r w:rsidR="00580A47" w:rsidRPr="00203DC6">
              <w:rPr>
                <w:rFonts w:ascii="Times New Roman" w:hAnsi="Times New Roman" w:cs="Times New Roman"/>
                <w:sz w:val="24"/>
                <w:lang w:val="en-GB"/>
              </w:rPr>
              <w:t>ance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580A47" w:rsidRPr="00203DC6">
              <w:rPr>
                <w:rFonts w:ascii="Times New Roman" w:hAnsi="Times New Roman" w:cs="Times New Roman"/>
                <w:sz w:val="24"/>
                <w:lang w:val="en-GB"/>
              </w:rPr>
              <w:t>with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 Article 158 (6) of </w:t>
            </w:r>
            <w:r w:rsidR="00556D6C" w:rsidRPr="00203DC6">
              <w:rPr>
                <w:rFonts w:ascii="Times New Roman" w:hAnsi="Times New Roman" w:cs="Times New Roman"/>
                <w:sz w:val="24"/>
                <w:lang w:val="en-GB"/>
              </w:rPr>
              <w:t>CRR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</w:tc>
      </w:tr>
      <w:tr w:rsidR="00AB5E47" w:rsidRPr="00203DC6" w14:paraId="6880CB09" w14:textId="77777777" w:rsidTr="00D50F79">
        <w:trPr>
          <w:trHeight w:val="316"/>
        </w:trPr>
        <w:tc>
          <w:tcPr>
            <w:tcW w:w="1413" w:type="dxa"/>
            <w:tcBorders>
              <w:top w:val="nil"/>
            </w:tcBorders>
          </w:tcPr>
          <w:p w14:paraId="12FC19DB" w14:textId="6ACF6477" w:rsidR="00AB5E47" w:rsidRPr="00203DC6" w:rsidRDefault="00AB5E47" w:rsidP="00B952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f (template CR10.</w:t>
            </w:r>
            <w:r w:rsidR="00580A47"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5</w:t>
            </w:r>
            <w:r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7654" w:type="dxa"/>
          </w:tcPr>
          <w:p w14:paraId="0500FEBE" w14:textId="4C9659D7" w:rsidR="00AB5E47" w:rsidRPr="00203DC6" w:rsidRDefault="002042FE" w:rsidP="00AB5E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203DC6" w:rsidDel="002042FE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>Expected loss amount (e</w:t>
            </w:r>
            <w:r w:rsidR="00AB5E47" w:rsidRPr="00203DC6">
              <w:rPr>
                <w:rFonts w:ascii="Times New Roman" w:hAnsi="Times New Roman" w:cs="Times New Roman"/>
                <w:sz w:val="24"/>
                <w:lang w:val="en-GB"/>
              </w:rPr>
              <w:t>quit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>y exposures</w:t>
            </w:r>
            <w:r w:rsidR="00AB5E47"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 under the 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simple </w:t>
            </w:r>
            <w:r w:rsidR="00AB5E47" w:rsidRPr="00203DC6">
              <w:rPr>
                <w:rFonts w:ascii="Times New Roman" w:hAnsi="Times New Roman" w:cs="Times New Roman"/>
                <w:sz w:val="24"/>
                <w:lang w:val="en-GB"/>
              </w:rPr>
              <w:t>risk</w:t>
            </w: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AB5E47" w:rsidRPr="00203DC6">
              <w:rPr>
                <w:rFonts w:ascii="Times New Roman" w:hAnsi="Times New Roman" w:cs="Times New Roman"/>
                <w:sz w:val="24"/>
                <w:lang w:val="en-GB"/>
              </w:rPr>
              <w:t>weight approach)</w:t>
            </w:r>
          </w:p>
          <w:p w14:paraId="6C7891DD" w14:textId="3F015F74" w:rsidR="00AB5E47" w:rsidRPr="00203DC6" w:rsidRDefault="002042FE" w:rsidP="00AB5E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hAnsi="Times New Roman" w:cs="Times New Roman"/>
                <w:sz w:val="24"/>
                <w:lang w:val="en-GB"/>
              </w:rPr>
              <w:t>Amount of expected loss calculated in accordance with Article 158(7) of CRR.</w:t>
            </w:r>
          </w:p>
        </w:tc>
      </w:tr>
    </w:tbl>
    <w:p w14:paraId="68DD5F4E" w14:textId="77777777" w:rsidR="000329C7" w:rsidRPr="00203DC6" w:rsidRDefault="000329C7" w:rsidP="0095046E">
      <w:pPr>
        <w:rPr>
          <w:rFonts w:ascii="Times New Roman" w:hAnsi="Times New Roman" w:cs="Times New Roman"/>
          <w:noProof/>
          <w:sz w:val="24"/>
        </w:rPr>
      </w:pPr>
    </w:p>
    <w:p w14:paraId="6D3927A8" w14:textId="77777777" w:rsidR="0095046E" w:rsidRPr="00203DC6" w:rsidRDefault="0095046E" w:rsidP="00DE5C30">
      <w:pPr>
        <w:rPr>
          <w:rFonts w:ascii="Times New Roman" w:hAnsi="Times New Roman" w:cs="Times New Roman"/>
          <w:noProof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654"/>
      </w:tblGrid>
      <w:tr w:rsidR="00E63D31" w:rsidRPr="00203DC6" w14:paraId="10671032" w14:textId="77777777" w:rsidTr="00435DE5">
        <w:trPr>
          <w:trHeight w:val="9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34A4C" w14:textId="77777777" w:rsidR="00E63D31" w:rsidRPr="00203DC6" w:rsidRDefault="00E63D31" w:rsidP="00E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203DC6">
              <w:rPr>
                <w:rFonts w:ascii="Times New Roman" w:hAnsi="Times New Roman" w:cs="Times New Roman"/>
                <w:b/>
                <w:sz w:val="24"/>
                <w:lang w:val="en-GB"/>
              </w:rPr>
              <w:t>Row number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61F9A" w14:textId="77777777" w:rsidR="00E63D31" w:rsidRPr="00203DC6" w:rsidRDefault="00E63D31" w:rsidP="00E63D31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203DC6">
              <w:rPr>
                <w:rFonts w:ascii="Times New Roman" w:hAnsi="Times New Roman" w:cs="Times New Roman"/>
                <w:b/>
                <w:sz w:val="24"/>
                <w:lang w:val="en-GB"/>
              </w:rPr>
              <w:t>Legal references and instructions</w:t>
            </w:r>
          </w:p>
        </w:tc>
      </w:tr>
      <w:tr w:rsidR="00E63D31" w:rsidRPr="00203DC6" w14:paraId="4D4CEF52" w14:textId="77777777" w:rsidTr="00191579">
        <w:trPr>
          <w:trHeight w:val="40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4F8F2" w14:textId="77777777" w:rsidR="00E63D31" w:rsidRPr="00203DC6" w:rsidRDefault="00E63D31" w:rsidP="00E6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2F5140" w14:textId="77777777" w:rsidR="00E63D31" w:rsidRPr="00203DC6" w:rsidRDefault="00E63D31" w:rsidP="0097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lang w:val="en-GB"/>
              </w:rPr>
            </w:pPr>
            <w:r w:rsidRPr="00203DC6">
              <w:rPr>
                <w:rFonts w:ascii="Times New Roman" w:hAnsi="Times New Roman" w:cs="Times New Roman"/>
                <w:b/>
                <w:sz w:val="24"/>
                <w:lang w:val="en-GB"/>
              </w:rPr>
              <w:t>Explanation</w:t>
            </w:r>
          </w:p>
        </w:tc>
      </w:tr>
      <w:tr w:rsidR="00DE5C30" w:rsidRPr="00203DC6" w14:paraId="14525F59" w14:textId="77777777" w:rsidTr="009765E0">
        <w:trPr>
          <w:trHeight w:val="316"/>
        </w:trPr>
        <w:tc>
          <w:tcPr>
            <w:tcW w:w="1413" w:type="dxa"/>
          </w:tcPr>
          <w:p w14:paraId="1B860C49" w14:textId="77777777" w:rsidR="00DE5C30" w:rsidRPr="00203DC6" w:rsidRDefault="00E63D31" w:rsidP="009765E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Regulatory c</w:t>
            </w:r>
            <w:r w:rsidR="00DE5C30"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ategory</w:t>
            </w:r>
          </w:p>
        </w:tc>
        <w:tc>
          <w:tcPr>
            <w:tcW w:w="7654" w:type="dxa"/>
          </w:tcPr>
          <w:p w14:paraId="408D98F8" w14:textId="7AEA5A6E" w:rsidR="004E5C74" w:rsidRPr="004E5C74" w:rsidRDefault="004E5C74" w:rsidP="009765E0">
            <w:pPr>
              <w:jc w:val="both"/>
              <w:rPr>
                <w:rFonts w:ascii="Times New Roman" w:eastAsiaTheme="minorHAnsi" w:hAnsi="Times New Roman" w:cs="Times New Roman"/>
                <w:sz w:val="24"/>
                <w:lang w:val="fr-FR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val="fr-FR"/>
              </w:rPr>
              <w:t>Templates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val="fr-FR"/>
              </w:rPr>
              <w:t xml:space="preserve"> EU CR10.1 - EU CR10.4</w:t>
            </w:r>
          </w:p>
          <w:p w14:paraId="00920ACA" w14:textId="097AA160" w:rsidR="00E63D31" w:rsidRPr="00203DC6" w:rsidRDefault="00E63D31" w:rsidP="009765E0">
            <w:pPr>
              <w:jc w:val="both"/>
              <w:rPr>
                <w:rFonts w:ascii="Times New Roman" w:eastAsiaTheme="minorHAnsi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>Regulatory c</w:t>
            </w:r>
            <w:r w:rsidR="00DE5C30"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>ategor</w:t>
            </w:r>
            <w:r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>ies</w:t>
            </w:r>
            <w:r w:rsidR="00DE5C30"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 xml:space="preserve"> </w:t>
            </w:r>
            <w:r w:rsidR="00005E8C"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 xml:space="preserve">applicable to specialised lending for </w:t>
            </w:r>
            <w:r w:rsidR="00005E8C" w:rsidRPr="00203DC6">
              <w:rPr>
                <w:rFonts w:ascii="Times New Roman" w:hAnsi="Times New Roman" w:cs="Times New Roman"/>
                <w:iCs/>
                <w:sz w:val="24"/>
              </w:rPr>
              <w:t xml:space="preserve">each class of </w:t>
            </w:r>
            <w:proofErr w:type="spellStart"/>
            <w:r w:rsidR="00005E8C" w:rsidRPr="00203DC6">
              <w:rPr>
                <w:rFonts w:ascii="Times New Roman" w:hAnsi="Times New Roman" w:cs="Times New Roman"/>
                <w:iCs/>
                <w:sz w:val="24"/>
              </w:rPr>
              <w:t>specialised</w:t>
            </w:r>
            <w:proofErr w:type="spellEnd"/>
            <w:r w:rsidR="00005E8C" w:rsidRPr="00203DC6">
              <w:rPr>
                <w:rFonts w:ascii="Times New Roman" w:hAnsi="Times New Roman" w:cs="Times New Roman"/>
                <w:iCs/>
                <w:sz w:val="24"/>
              </w:rPr>
              <w:t xml:space="preserve"> lending exposures.</w:t>
            </w:r>
          </w:p>
          <w:p w14:paraId="7DB498AF" w14:textId="2ECA995F" w:rsidR="00DE5C30" w:rsidRPr="004E5C74" w:rsidRDefault="00E63D31" w:rsidP="004E5C74">
            <w:pPr>
              <w:rPr>
                <w:rFonts w:ascii="Times New Roman" w:hAnsi="Times New Roman" w:cs="Times New Roman"/>
                <w:sz w:val="24"/>
              </w:rPr>
            </w:pPr>
            <w:r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 xml:space="preserve">As </w:t>
            </w:r>
            <w:r w:rsidR="00DE5C30"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 xml:space="preserve">specified in Article 153(5) of </w:t>
            </w:r>
            <w:r w:rsidR="00A1176E"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>CRR</w:t>
            </w:r>
            <w:r w:rsidR="002042FE"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 xml:space="preserve"> and in the </w:t>
            </w:r>
            <w:r w:rsidR="004E5C74">
              <w:rPr>
                <w:rFonts w:ascii="Times New Roman" w:eastAsiaTheme="minorHAnsi" w:hAnsi="Times New Roman" w:cs="Times New Roman"/>
                <w:sz w:val="24"/>
                <w:lang w:val="en-GB"/>
              </w:rPr>
              <w:t>final draft RTS on slotting approach</w:t>
            </w:r>
            <w:r w:rsidR="00DE5C30"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>.</w:t>
            </w:r>
          </w:p>
        </w:tc>
      </w:tr>
      <w:tr w:rsidR="00005E8C" w:rsidRPr="00203DC6" w14:paraId="59443113" w14:textId="77777777" w:rsidTr="009765E0">
        <w:trPr>
          <w:trHeight w:val="316"/>
        </w:trPr>
        <w:tc>
          <w:tcPr>
            <w:tcW w:w="1413" w:type="dxa"/>
          </w:tcPr>
          <w:p w14:paraId="525F619E" w14:textId="52915CB8" w:rsidR="00005E8C" w:rsidRPr="00203DC6" w:rsidRDefault="00005E8C" w:rsidP="009765E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eastAsia="Times New Roman" w:hAnsi="Times New Roman" w:cs="Times New Roman"/>
                <w:sz w:val="24"/>
                <w:lang w:val="en-GB"/>
              </w:rPr>
              <w:t>Categories</w:t>
            </w:r>
          </w:p>
        </w:tc>
        <w:tc>
          <w:tcPr>
            <w:tcW w:w="7654" w:type="dxa"/>
          </w:tcPr>
          <w:p w14:paraId="76452AF8" w14:textId="77777777" w:rsidR="004E5C74" w:rsidRDefault="004E5C74" w:rsidP="004E5C74">
            <w:pPr>
              <w:jc w:val="both"/>
              <w:rPr>
                <w:rFonts w:ascii="Times New Roman" w:eastAsiaTheme="minorHAnsi" w:hAnsi="Times New Roman" w:cs="Times New Roman"/>
                <w:sz w:val="24"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GB"/>
              </w:rPr>
              <w:t>Template EU CR10.5</w:t>
            </w:r>
          </w:p>
          <w:p w14:paraId="3030C00B" w14:textId="1CBA05CC" w:rsidR="00005E8C" w:rsidRPr="00203DC6" w:rsidRDefault="00005E8C" w:rsidP="00B952F3">
            <w:pPr>
              <w:jc w:val="both"/>
              <w:rPr>
                <w:rFonts w:ascii="Times New Roman" w:eastAsiaTheme="minorHAnsi" w:hAnsi="Times New Roman" w:cs="Times New Roman"/>
                <w:sz w:val="24"/>
                <w:lang w:val="en-GB"/>
              </w:rPr>
            </w:pPr>
            <w:r w:rsidRPr="00203DC6">
              <w:rPr>
                <w:rFonts w:ascii="Times New Roman" w:eastAsiaTheme="minorHAnsi" w:hAnsi="Times New Roman" w:cs="Times New Roman"/>
                <w:sz w:val="24"/>
                <w:lang w:val="en-GB"/>
              </w:rPr>
              <w:t>Regulatory categories applicable to equities under the simple risk-weight approach in accordance with Article 155(2) of CRR.</w:t>
            </w:r>
          </w:p>
        </w:tc>
      </w:tr>
    </w:tbl>
    <w:p w14:paraId="516E58BF" w14:textId="77777777" w:rsidR="00851866" w:rsidRPr="00203DC6" w:rsidRDefault="00851866" w:rsidP="002E4106">
      <w:pPr>
        <w:rPr>
          <w:rFonts w:ascii="Times New Roman" w:hAnsi="Times New Roman" w:cs="Times New Roman"/>
          <w:noProof/>
          <w:sz w:val="24"/>
        </w:rPr>
      </w:pPr>
    </w:p>
    <w:p w14:paraId="114F677D" w14:textId="77777777" w:rsidR="00851866" w:rsidRPr="00203DC6" w:rsidRDefault="00851866" w:rsidP="002E4106">
      <w:pPr>
        <w:rPr>
          <w:rFonts w:ascii="Times New Roman" w:hAnsi="Times New Roman" w:cs="Times New Roman"/>
          <w:noProof/>
          <w:sz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2E41E08E" w14:textId="77777777" w:rsidR="00851866" w:rsidRPr="00203DC6" w:rsidRDefault="00851866" w:rsidP="002E4106">
      <w:pPr>
        <w:rPr>
          <w:rFonts w:ascii="Times New Roman" w:hAnsi="Times New Roman" w:cs="Times New Roman"/>
          <w:noProof/>
          <w:sz w:val="24"/>
        </w:rPr>
      </w:pPr>
    </w:p>
    <w:sectPr w:rsidR="00851866" w:rsidRPr="00203DC6" w:rsidSect="000F33D3">
      <w:headerReference w:type="default" r:id="rId8"/>
      <w:footerReference w:type="default" r:id="rId9"/>
      <w:pgSz w:w="11900" w:h="16840"/>
      <w:pgMar w:top="2268" w:right="1418" w:bottom="1134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00784" w14:textId="77777777" w:rsidR="001E0570" w:rsidRDefault="001E0570" w:rsidP="00A00E34">
      <w:r>
        <w:separator/>
      </w:r>
    </w:p>
    <w:p w14:paraId="580D279F" w14:textId="77777777" w:rsidR="001E0570" w:rsidRDefault="001E0570"/>
  </w:endnote>
  <w:endnote w:type="continuationSeparator" w:id="0">
    <w:p w14:paraId="5BB90CCE" w14:textId="77777777" w:rsidR="001E0570" w:rsidRDefault="001E0570" w:rsidP="00A00E34">
      <w:r>
        <w:continuationSeparator/>
      </w:r>
    </w:p>
    <w:p w14:paraId="652D1592" w14:textId="77777777" w:rsidR="001E0570" w:rsidRDefault="001E0570"/>
  </w:endnote>
  <w:endnote w:type="continuationNotice" w:id="1">
    <w:p w14:paraId="07DD7866" w14:textId="77777777" w:rsidR="001E0570" w:rsidRDefault="001E0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430D" w14:textId="77777777" w:rsidR="001E0570" w:rsidRDefault="001E0570" w:rsidP="00D50F79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1312" behindDoc="1" locked="1" layoutInCell="1" allowOverlap="1" wp14:anchorId="53393073" wp14:editId="540486BD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12700" cmpd="sng"/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07FDE5" id="Straight Connector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5.6pt,785.3pt" to="445.1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dKNAIAAIoEAAAOAAAAZHJzL2Uyb0RvYy54bWysVNuOmzAQfa/Uf7B4J1yWhASFrFgQfVm1&#10;0ab9AMeYgAq2ZbuBqOq/d2wCvUorVX2xsGfOmTlnbPaPY9+hK5Wq5Sx1gpXvIMoIr1p2SZ1PH0t3&#10;6yClMatwxxlNnRtVzuPh7Zv9IBIa8oZ3FZUISJhKBpE6jdYi8TxFGtpjteKCMgjWXPZYw1ZevEri&#10;Adj7zgt9f+MNXFZCckKVgtNiCjoHy1/XlOgPda2oRl3qQG/artKuZ7N6hz1OLhKLpiX3NvA/dNHj&#10;lkHRharAGqMvsv2Dqm+J5IrXekV47/G6bgm1GkBN4P+m5tRgQa0WMEeJxSb1/2jJ++tRoraC2YE9&#10;DPcwo5OWuL00GuWcMXCQSwRBcGoQKgFAzo7SaCUjO4lnTj4riHm/BM1GiSltrGVv0kEsGq3zt8V5&#10;OmpE4HAdhw/bHXRA5piHkxkopNLvKO+R+UidrmXGFJzg67PSpjRO5hRz3DE0gJww9g1fL0CbYpdp&#10;0tReiQmGE6gOnwZj+rDj+lpmWbgpHgq32O5iNzrT0N2WfuQ+ZdE6yOO4DIr4251sAeXQfxavd+4m&#10;WwduFPhbN8v80C3KzM/8qMx30ZMFQatzUWvY5JF1S986OrX/QmuYCLgSWpn2LdC8k+iK4RZjQijT&#10;gWkB2DoG2QZWt123AP3Xgfd8K96asoCD18GTjXNlzvQC7lvG5d8I9Di3XE/59yujJt3GgjOvbkc5&#10;3yW48Fbh/XGaF/Xz3sJ//EIO3wEAAP//AwBQSwMEFAAGAAgAAAAhAIaTG/zcAAAADQEAAA8AAABk&#10;cnMvZG93bnJldi54bWxMj8FugzAQRO+V+g/WRuotsUFqmlJMhCql94ZecjOwAQJeI2wS8vfdHqr2&#10;uDNPszPpfrGDuOLkO0caoo0CgVS5uqNGw1dxWO9A+GCoNoMj1HBHD/vs8SE1Se1u9InXY2gEh5BP&#10;jIY2hDGR0lctWuM3bkRi7+wmawKfUyPrydw43A4yVmorremIP7RmxPcWq/44Ww0q7+I7lec874vL&#10;oTh92Nn2Vuun1ZK/gQi4hD8Yfupzdci4U+lmqr0YNKyjKGaUjecXtQXByO5VsVT+SjJL5f8V2TcA&#10;AAD//wMAUEsBAi0AFAAGAAgAAAAhALaDOJL+AAAA4QEAABMAAAAAAAAAAAAAAAAAAAAAAFtDb250&#10;ZW50X1R5cGVzXS54bWxQSwECLQAUAAYACAAAACEAOP0h/9YAAACUAQAACwAAAAAAAAAAAAAAAAAv&#10;AQAAX3JlbHMvLnJlbHNQSwECLQAUAAYACAAAACEAT+m3SjQCAACKBAAADgAAAAAAAAAAAAAAAAAu&#10;AgAAZHJzL2Uyb0RvYy54bWxQSwECLQAUAAYACAAAACEAhpMb/NwAAAANAQAADwAAAAAAAAAAAAAA&#10;AACOBAAAZHJzL2Rvd25yZXYueG1sUEsFBgAAAAAEAAQA8wAAAJcFAAAAAA==&#10;" strokecolor="#2f5773 [3204]" strokeweight="1pt">
              <o:lock v:ext="edit" shapetype="f"/>
              <w10:wrap anchory="page"/>
              <w10:anchorlock/>
            </v:line>
          </w:pict>
        </mc:Fallback>
      </mc:AlternateContent>
    </w:r>
  </w:p>
  <w:p w14:paraId="706A1DE1" w14:textId="2435A476" w:rsidR="001E0570" w:rsidRDefault="001E0570" w:rsidP="00D50F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5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A4995F" w14:textId="77777777" w:rsidR="001E0570" w:rsidRDefault="001E0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0A836" w14:textId="77777777" w:rsidR="001E0570" w:rsidRPr="00DB5E8F" w:rsidRDefault="001E0570">
      <w:pPr>
        <w:rPr>
          <w:sz w:val="12"/>
          <w:szCs w:val="12"/>
        </w:rPr>
      </w:pPr>
      <w:r w:rsidRPr="00DB5E8F">
        <w:rPr>
          <w:sz w:val="12"/>
          <w:szCs w:val="12"/>
        </w:rPr>
        <w:separator/>
      </w:r>
    </w:p>
  </w:footnote>
  <w:footnote w:type="continuationSeparator" w:id="0">
    <w:p w14:paraId="552A7F66" w14:textId="77777777" w:rsidR="001E0570" w:rsidRDefault="001E0570" w:rsidP="00A00E34">
      <w:r>
        <w:continuationSeparator/>
      </w:r>
    </w:p>
    <w:p w14:paraId="5A664166" w14:textId="77777777" w:rsidR="001E0570" w:rsidRDefault="001E0570"/>
  </w:footnote>
  <w:footnote w:type="continuationNotice" w:id="1">
    <w:p w14:paraId="1815AD3D" w14:textId="77777777" w:rsidR="001E0570" w:rsidRDefault="001E05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F3D35" w14:textId="77777777" w:rsidR="001E0570" w:rsidRPr="00F9452C" w:rsidRDefault="001E0570" w:rsidP="00D50F79">
    <w:pPr>
      <w:pStyle w:val="Runningtitle"/>
    </w:pPr>
    <w:r w:rsidRPr="00A27B9D">
      <w:rPr>
        <w:highlight w:val="yellow"/>
      </w:rPr>
      <w:t>CONSULTATION PAPER / FINAL REPORT</w:t>
    </w:r>
    <w:r>
      <w:t xml:space="preserve"> ON </w:t>
    </w:r>
    <w:r w:rsidRPr="00254CA9">
      <w:rPr>
        <w:highlight w:val="yellow"/>
      </w:rPr>
      <w:t>[</w:t>
    </w:r>
    <w:r w:rsidRPr="00254CA9">
      <w:rPr>
        <w:highlight w:val="yellow"/>
      </w:rPr>
      <w:tab/>
      <w:t>]</w:t>
    </w:r>
  </w:p>
  <w:p w14:paraId="669C270B" w14:textId="77777777" w:rsidR="001E0570" w:rsidRDefault="001E0570" w:rsidP="00D50F7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F92B687" wp14:editId="0A71113E">
          <wp:simplePos x="0" y="0"/>
          <wp:positionH relativeFrom="column">
            <wp:posOffset>4368165</wp:posOffset>
          </wp:positionH>
          <wp:positionV relativeFrom="page">
            <wp:posOffset>737870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  <w:p w14:paraId="51D4DAB7" w14:textId="77777777" w:rsidR="001E0570" w:rsidRDefault="001E0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B786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5078C"/>
    <w:multiLevelType w:val="hybridMultilevel"/>
    <w:tmpl w:val="D53853DA"/>
    <w:lvl w:ilvl="0" w:tplc="AFE0D250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13DF"/>
    <w:multiLevelType w:val="hybridMultilevel"/>
    <w:tmpl w:val="A8C659F6"/>
    <w:lvl w:ilvl="0" w:tplc="9174AD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447F"/>
    <w:multiLevelType w:val="hybridMultilevel"/>
    <w:tmpl w:val="66F88FEE"/>
    <w:lvl w:ilvl="0" w:tplc="1F58E3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148C"/>
    <w:multiLevelType w:val="hybridMultilevel"/>
    <w:tmpl w:val="271A5E36"/>
    <w:lvl w:ilvl="0" w:tplc="9B42E0A2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5773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9134A45"/>
    <w:multiLevelType w:val="hybridMultilevel"/>
    <w:tmpl w:val="D67031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B4168"/>
    <w:multiLevelType w:val="multilevel"/>
    <w:tmpl w:val="AD9E13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16E6367A"/>
    <w:multiLevelType w:val="hybridMultilevel"/>
    <w:tmpl w:val="2B98C612"/>
    <w:lvl w:ilvl="0" w:tplc="4C245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4A11E">
      <w:start w:val="13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80EB8"/>
    <w:multiLevelType w:val="singleLevel"/>
    <w:tmpl w:val="CB4A6434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9" w15:restartNumberingAfterBreak="0">
    <w:nsid w:val="1E3333AC"/>
    <w:multiLevelType w:val="multilevel"/>
    <w:tmpl w:val="CBCABA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0" w15:restartNumberingAfterBreak="0">
    <w:nsid w:val="21503BE3"/>
    <w:multiLevelType w:val="hybridMultilevel"/>
    <w:tmpl w:val="5DC8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432A7"/>
    <w:multiLevelType w:val="hybridMultilevel"/>
    <w:tmpl w:val="BC4E7152"/>
    <w:lvl w:ilvl="0" w:tplc="1F58E3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0760A"/>
    <w:multiLevelType w:val="multilevel"/>
    <w:tmpl w:val="C95A32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 w15:restartNumberingAfterBreak="0">
    <w:nsid w:val="253F2921"/>
    <w:multiLevelType w:val="hybridMultilevel"/>
    <w:tmpl w:val="43CEB604"/>
    <w:lvl w:ilvl="0" w:tplc="CF06A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B3A92"/>
    <w:multiLevelType w:val="singleLevel"/>
    <w:tmpl w:val="73D64A0E"/>
    <w:name w:val="Considérant__1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5" w15:restartNumberingAfterBreak="0">
    <w:nsid w:val="2D0B464E"/>
    <w:multiLevelType w:val="multilevel"/>
    <w:tmpl w:val="D26C2E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16" w15:restartNumberingAfterBreak="0">
    <w:nsid w:val="2E3C6E12"/>
    <w:multiLevelType w:val="hybridMultilevel"/>
    <w:tmpl w:val="A0DCC94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3B256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032129"/>
    <w:multiLevelType w:val="hybridMultilevel"/>
    <w:tmpl w:val="19309CE2"/>
    <w:lvl w:ilvl="0" w:tplc="32068306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13D51"/>
    <w:multiLevelType w:val="hybridMultilevel"/>
    <w:tmpl w:val="11C8A094"/>
    <w:lvl w:ilvl="0" w:tplc="1F58E3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333F1"/>
    <w:multiLevelType w:val="hybridMultilevel"/>
    <w:tmpl w:val="8B967D4E"/>
    <w:lvl w:ilvl="0" w:tplc="963C153A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26823"/>
    <w:multiLevelType w:val="hybridMultilevel"/>
    <w:tmpl w:val="A994030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27D48"/>
    <w:multiLevelType w:val="hybridMultilevel"/>
    <w:tmpl w:val="B15CC8FC"/>
    <w:lvl w:ilvl="0" w:tplc="090C4D3E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FB7BE8"/>
    <w:multiLevelType w:val="hybridMultilevel"/>
    <w:tmpl w:val="DA2A1476"/>
    <w:lvl w:ilvl="0" w:tplc="3F82BFBA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9D2440"/>
    <w:multiLevelType w:val="hybridMultilevel"/>
    <w:tmpl w:val="DFF8DDD2"/>
    <w:lvl w:ilvl="0" w:tplc="615C70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C6495"/>
    <w:multiLevelType w:val="hybridMultilevel"/>
    <w:tmpl w:val="AA96C210"/>
    <w:lvl w:ilvl="0" w:tplc="63344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27369"/>
    <w:multiLevelType w:val="hybridMultilevel"/>
    <w:tmpl w:val="C2D88122"/>
    <w:lvl w:ilvl="0" w:tplc="4A2A8390">
      <w:start w:val="1"/>
      <w:numFmt w:val="decimal"/>
      <w:pStyle w:val="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319DB"/>
    <w:multiLevelType w:val="multilevel"/>
    <w:tmpl w:val="BEAAFA4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55D16E58"/>
    <w:multiLevelType w:val="hybridMultilevel"/>
    <w:tmpl w:val="A26EC02C"/>
    <w:lvl w:ilvl="0" w:tplc="16C85DB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D727D"/>
    <w:multiLevelType w:val="hybridMultilevel"/>
    <w:tmpl w:val="A352F802"/>
    <w:lvl w:ilvl="0" w:tplc="42DA02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9683C"/>
    <w:multiLevelType w:val="hybridMultilevel"/>
    <w:tmpl w:val="BB1CA9DA"/>
    <w:lvl w:ilvl="0" w:tplc="FBA230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F4975"/>
    <w:multiLevelType w:val="hybridMultilevel"/>
    <w:tmpl w:val="11C8A094"/>
    <w:lvl w:ilvl="0" w:tplc="1F58E3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47495"/>
    <w:multiLevelType w:val="hybridMultilevel"/>
    <w:tmpl w:val="90B6FDA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60A99"/>
    <w:multiLevelType w:val="hybridMultilevel"/>
    <w:tmpl w:val="6D688978"/>
    <w:lvl w:ilvl="0" w:tplc="1F58E3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C1613A"/>
    <w:multiLevelType w:val="hybridMultilevel"/>
    <w:tmpl w:val="8C7041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0E5E13"/>
    <w:multiLevelType w:val="hybridMultilevel"/>
    <w:tmpl w:val="37763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D57BB"/>
    <w:multiLevelType w:val="multilevel"/>
    <w:tmpl w:val="5AD2A3CC"/>
    <w:lvl w:ilvl="0">
      <w:start w:val="1"/>
      <w:numFmt w:val="decimal"/>
      <w:pStyle w:val="Numberedtilelevel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titlele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itlelevel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6" w15:restartNumberingAfterBreak="0">
    <w:nsid w:val="71064D88"/>
    <w:multiLevelType w:val="hybridMultilevel"/>
    <w:tmpl w:val="DACEA436"/>
    <w:lvl w:ilvl="0" w:tplc="3502039C">
      <w:start w:val="1"/>
      <w:numFmt w:val="bullet"/>
      <w:pStyle w:val="List1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F4E5C"/>
    <w:multiLevelType w:val="multilevel"/>
    <w:tmpl w:val="7C929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8" w15:restartNumberingAfterBreak="0">
    <w:nsid w:val="7A0A1380"/>
    <w:multiLevelType w:val="hybridMultilevel"/>
    <w:tmpl w:val="9D64AE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5B6DB2"/>
    <w:multiLevelType w:val="hybridMultilevel"/>
    <w:tmpl w:val="38F22D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19"/>
  </w:num>
  <w:num w:numId="5">
    <w:abstractNumId w:val="36"/>
  </w:num>
  <w:num w:numId="6">
    <w:abstractNumId w:val="1"/>
  </w:num>
  <w:num w:numId="7">
    <w:abstractNumId w:val="35"/>
  </w:num>
  <w:num w:numId="8">
    <w:abstractNumId w:val="25"/>
  </w:num>
  <w:num w:numId="9">
    <w:abstractNumId w:val="25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0"/>
  </w:num>
  <w:num w:numId="16">
    <w:abstractNumId w:val="4"/>
  </w:num>
  <w:num w:numId="17">
    <w:abstractNumId w:val="12"/>
  </w:num>
  <w:num w:numId="18">
    <w:abstractNumId w:val="37"/>
  </w:num>
  <w:num w:numId="19">
    <w:abstractNumId w:val="6"/>
  </w:num>
  <w:num w:numId="20">
    <w:abstractNumId w:val="9"/>
  </w:num>
  <w:num w:numId="21">
    <w:abstractNumId w:val="35"/>
  </w:num>
  <w:num w:numId="22">
    <w:abstractNumId w:val="35"/>
  </w:num>
  <w:num w:numId="23">
    <w:abstractNumId w:val="35"/>
  </w:num>
  <w:num w:numId="24">
    <w:abstractNumId w:val="35"/>
  </w:num>
  <w:num w:numId="25">
    <w:abstractNumId w:val="35"/>
  </w:num>
  <w:num w:numId="26">
    <w:abstractNumId w:val="35"/>
  </w:num>
  <w:num w:numId="27">
    <w:abstractNumId w:val="35"/>
  </w:num>
  <w:num w:numId="28">
    <w:abstractNumId w:val="38"/>
  </w:num>
  <w:num w:numId="29">
    <w:abstractNumId w:val="14"/>
  </w:num>
  <w:num w:numId="30">
    <w:abstractNumId w:val="8"/>
  </w:num>
  <w:num w:numId="31">
    <w:abstractNumId w:val="10"/>
  </w:num>
  <w:num w:numId="3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4"/>
  </w:num>
  <w:num w:numId="37">
    <w:abstractNumId w:val="18"/>
  </w:num>
  <w:num w:numId="38">
    <w:abstractNumId w:val="30"/>
  </w:num>
  <w:num w:numId="39">
    <w:abstractNumId w:val="3"/>
  </w:num>
  <w:num w:numId="40">
    <w:abstractNumId w:val="7"/>
  </w:num>
  <w:num w:numId="41">
    <w:abstractNumId w:val="13"/>
  </w:num>
  <w:num w:numId="42">
    <w:abstractNumId w:val="11"/>
  </w:num>
  <w:num w:numId="43">
    <w:abstractNumId w:val="23"/>
  </w:num>
  <w:num w:numId="44">
    <w:abstractNumId w:val="32"/>
  </w:num>
  <w:num w:numId="45">
    <w:abstractNumId w:val="26"/>
  </w:num>
  <w:num w:numId="46">
    <w:abstractNumId w:val="29"/>
  </w:num>
  <w:num w:numId="47">
    <w:abstractNumId w:val="16"/>
  </w:num>
  <w:num w:numId="48">
    <w:abstractNumId w:val="33"/>
  </w:num>
  <w:num w:numId="49">
    <w:abstractNumId w:val="28"/>
  </w:num>
  <w:num w:numId="50">
    <w:abstractNumId w:val="17"/>
  </w:num>
  <w:num w:numId="51">
    <w:abstractNumId w:val="22"/>
  </w:num>
  <w:num w:numId="52">
    <w:abstractNumId w:val="31"/>
  </w:num>
  <w:num w:numId="53">
    <w:abstractNumId w:val="20"/>
  </w:num>
  <w:num w:numId="54">
    <w:abstractNumId w:val="5"/>
  </w:num>
  <w:num w:numId="55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048334f0-b5dc-4c02-8a48-a01624502e04"/>
    <w:docVar w:name="LW_DocType" w:val="EBA GL-REC 20XX XX (FINAL GLS-REC ON"/>
  </w:docVars>
  <w:rsids>
    <w:rsidRoot w:val="006307A5"/>
    <w:rsid w:val="00000E83"/>
    <w:rsid w:val="00001873"/>
    <w:rsid w:val="00002ECD"/>
    <w:rsid w:val="0000357D"/>
    <w:rsid w:val="00003F50"/>
    <w:rsid w:val="00005E8C"/>
    <w:rsid w:val="000074CA"/>
    <w:rsid w:val="00013281"/>
    <w:rsid w:val="00015DE4"/>
    <w:rsid w:val="00016E0D"/>
    <w:rsid w:val="00017DB6"/>
    <w:rsid w:val="000231B7"/>
    <w:rsid w:val="00027CA0"/>
    <w:rsid w:val="00030D65"/>
    <w:rsid w:val="000329C7"/>
    <w:rsid w:val="00036762"/>
    <w:rsid w:val="00037EAE"/>
    <w:rsid w:val="00040129"/>
    <w:rsid w:val="00042150"/>
    <w:rsid w:val="00046ABC"/>
    <w:rsid w:val="00055CF9"/>
    <w:rsid w:val="00060F40"/>
    <w:rsid w:val="00062830"/>
    <w:rsid w:val="00062937"/>
    <w:rsid w:val="00063AA9"/>
    <w:rsid w:val="00066A9A"/>
    <w:rsid w:val="00073BFA"/>
    <w:rsid w:val="000774B3"/>
    <w:rsid w:val="0008096D"/>
    <w:rsid w:val="00080CCA"/>
    <w:rsid w:val="0008189F"/>
    <w:rsid w:val="00081A0C"/>
    <w:rsid w:val="00083C33"/>
    <w:rsid w:val="000843CD"/>
    <w:rsid w:val="000862C3"/>
    <w:rsid w:val="00092FC2"/>
    <w:rsid w:val="00093162"/>
    <w:rsid w:val="00095CFB"/>
    <w:rsid w:val="00096389"/>
    <w:rsid w:val="000A04DE"/>
    <w:rsid w:val="000A1C81"/>
    <w:rsid w:val="000A2565"/>
    <w:rsid w:val="000A2ADA"/>
    <w:rsid w:val="000A3851"/>
    <w:rsid w:val="000A3A15"/>
    <w:rsid w:val="000A46BA"/>
    <w:rsid w:val="000A4E5B"/>
    <w:rsid w:val="000A5B1B"/>
    <w:rsid w:val="000A73CD"/>
    <w:rsid w:val="000A7CCA"/>
    <w:rsid w:val="000B054F"/>
    <w:rsid w:val="000B1645"/>
    <w:rsid w:val="000B16EC"/>
    <w:rsid w:val="000B4507"/>
    <w:rsid w:val="000B77BE"/>
    <w:rsid w:val="000C15F7"/>
    <w:rsid w:val="000C3124"/>
    <w:rsid w:val="000C3FF9"/>
    <w:rsid w:val="000C5A8A"/>
    <w:rsid w:val="000C7FD8"/>
    <w:rsid w:val="000D1A6E"/>
    <w:rsid w:val="000D1FC3"/>
    <w:rsid w:val="000D4679"/>
    <w:rsid w:val="000D7A44"/>
    <w:rsid w:val="000E0C27"/>
    <w:rsid w:val="000E1DD3"/>
    <w:rsid w:val="000E2E5F"/>
    <w:rsid w:val="000E6D15"/>
    <w:rsid w:val="000F22F5"/>
    <w:rsid w:val="000F33D3"/>
    <w:rsid w:val="000F3E72"/>
    <w:rsid w:val="000F505C"/>
    <w:rsid w:val="000F5F81"/>
    <w:rsid w:val="000F607B"/>
    <w:rsid w:val="000F6495"/>
    <w:rsid w:val="000F6FD8"/>
    <w:rsid w:val="00103AB2"/>
    <w:rsid w:val="001061FA"/>
    <w:rsid w:val="0010670B"/>
    <w:rsid w:val="00107658"/>
    <w:rsid w:val="00110BE4"/>
    <w:rsid w:val="0011517F"/>
    <w:rsid w:val="00116509"/>
    <w:rsid w:val="001167D5"/>
    <w:rsid w:val="001171EA"/>
    <w:rsid w:val="001202E1"/>
    <w:rsid w:val="00121BB0"/>
    <w:rsid w:val="00121E46"/>
    <w:rsid w:val="00126783"/>
    <w:rsid w:val="0012686C"/>
    <w:rsid w:val="00130804"/>
    <w:rsid w:val="0013090C"/>
    <w:rsid w:val="00131C5D"/>
    <w:rsid w:val="00135822"/>
    <w:rsid w:val="001415C8"/>
    <w:rsid w:val="00142DF6"/>
    <w:rsid w:val="00145D24"/>
    <w:rsid w:val="00147142"/>
    <w:rsid w:val="00147449"/>
    <w:rsid w:val="00152832"/>
    <w:rsid w:val="00153DAA"/>
    <w:rsid w:val="00154596"/>
    <w:rsid w:val="00155278"/>
    <w:rsid w:val="001561B9"/>
    <w:rsid w:val="001575E1"/>
    <w:rsid w:val="001600FC"/>
    <w:rsid w:val="00160D08"/>
    <w:rsid w:val="0016737A"/>
    <w:rsid w:val="00170CF2"/>
    <w:rsid w:val="00172007"/>
    <w:rsid w:val="0017446F"/>
    <w:rsid w:val="0017541E"/>
    <w:rsid w:val="001777A5"/>
    <w:rsid w:val="00177CB9"/>
    <w:rsid w:val="0018026D"/>
    <w:rsid w:val="00180540"/>
    <w:rsid w:val="001834D4"/>
    <w:rsid w:val="00183758"/>
    <w:rsid w:val="001865A0"/>
    <w:rsid w:val="00190259"/>
    <w:rsid w:val="00190643"/>
    <w:rsid w:val="00191579"/>
    <w:rsid w:val="00192287"/>
    <w:rsid w:val="00192421"/>
    <w:rsid w:val="00192B8E"/>
    <w:rsid w:val="00196896"/>
    <w:rsid w:val="00196E64"/>
    <w:rsid w:val="001A016C"/>
    <w:rsid w:val="001A0376"/>
    <w:rsid w:val="001A0943"/>
    <w:rsid w:val="001A0BCF"/>
    <w:rsid w:val="001A2A81"/>
    <w:rsid w:val="001A5BD4"/>
    <w:rsid w:val="001A70A8"/>
    <w:rsid w:val="001B1DB0"/>
    <w:rsid w:val="001B2C0D"/>
    <w:rsid w:val="001B3E4D"/>
    <w:rsid w:val="001B452F"/>
    <w:rsid w:val="001B4D3D"/>
    <w:rsid w:val="001B5AFD"/>
    <w:rsid w:val="001B6017"/>
    <w:rsid w:val="001B77E8"/>
    <w:rsid w:val="001B7A0B"/>
    <w:rsid w:val="001B7EB3"/>
    <w:rsid w:val="001C1FD9"/>
    <w:rsid w:val="001C5137"/>
    <w:rsid w:val="001C5BC2"/>
    <w:rsid w:val="001D0179"/>
    <w:rsid w:val="001D0CB9"/>
    <w:rsid w:val="001D4347"/>
    <w:rsid w:val="001E0570"/>
    <w:rsid w:val="001E1188"/>
    <w:rsid w:val="001E2779"/>
    <w:rsid w:val="001E3599"/>
    <w:rsid w:val="001E3BFE"/>
    <w:rsid w:val="001F1CB9"/>
    <w:rsid w:val="001F2ADD"/>
    <w:rsid w:val="001F3255"/>
    <w:rsid w:val="001F3C3A"/>
    <w:rsid w:val="001F5619"/>
    <w:rsid w:val="001F7501"/>
    <w:rsid w:val="00203DC6"/>
    <w:rsid w:val="002042FE"/>
    <w:rsid w:val="00205878"/>
    <w:rsid w:val="00210112"/>
    <w:rsid w:val="0021112F"/>
    <w:rsid w:val="00213D7B"/>
    <w:rsid w:val="00214DEC"/>
    <w:rsid w:val="00215D50"/>
    <w:rsid w:val="00216948"/>
    <w:rsid w:val="00223CF0"/>
    <w:rsid w:val="00224761"/>
    <w:rsid w:val="00224A3F"/>
    <w:rsid w:val="00224D96"/>
    <w:rsid w:val="00225EA2"/>
    <w:rsid w:val="002302AC"/>
    <w:rsid w:val="002306C7"/>
    <w:rsid w:val="00230BC7"/>
    <w:rsid w:val="00231B5D"/>
    <w:rsid w:val="0023788A"/>
    <w:rsid w:val="00240F1A"/>
    <w:rsid w:val="00241BD8"/>
    <w:rsid w:val="002434B0"/>
    <w:rsid w:val="00247148"/>
    <w:rsid w:val="00247E1D"/>
    <w:rsid w:val="0025017D"/>
    <w:rsid w:val="00252398"/>
    <w:rsid w:val="00254CA9"/>
    <w:rsid w:val="00254F9D"/>
    <w:rsid w:val="00255F5B"/>
    <w:rsid w:val="00256EF8"/>
    <w:rsid w:val="002572A1"/>
    <w:rsid w:val="00257D1F"/>
    <w:rsid w:val="00261678"/>
    <w:rsid w:val="00263B67"/>
    <w:rsid w:val="002666F9"/>
    <w:rsid w:val="00266F94"/>
    <w:rsid w:val="00271093"/>
    <w:rsid w:val="0027418E"/>
    <w:rsid w:val="002767AA"/>
    <w:rsid w:val="00290DA3"/>
    <w:rsid w:val="002949E7"/>
    <w:rsid w:val="00294FC0"/>
    <w:rsid w:val="002A01A5"/>
    <w:rsid w:val="002A0AD5"/>
    <w:rsid w:val="002A0FF0"/>
    <w:rsid w:val="002A112D"/>
    <w:rsid w:val="002A3A19"/>
    <w:rsid w:val="002A7748"/>
    <w:rsid w:val="002B0E2C"/>
    <w:rsid w:val="002B0F08"/>
    <w:rsid w:val="002B74E5"/>
    <w:rsid w:val="002C0DCF"/>
    <w:rsid w:val="002D1867"/>
    <w:rsid w:val="002D325A"/>
    <w:rsid w:val="002D5A9E"/>
    <w:rsid w:val="002D780D"/>
    <w:rsid w:val="002E4106"/>
    <w:rsid w:val="002F2009"/>
    <w:rsid w:val="002F557E"/>
    <w:rsid w:val="002F6D57"/>
    <w:rsid w:val="00300924"/>
    <w:rsid w:val="003025A8"/>
    <w:rsid w:val="003129B6"/>
    <w:rsid w:val="00314D6E"/>
    <w:rsid w:val="00316409"/>
    <w:rsid w:val="00320E57"/>
    <w:rsid w:val="003219E8"/>
    <w:rsid w:val="003221EF"/>
    <w:rsid w:val="00322C23"/>
    <w:rsid w:val="003248A2"/>
    <w:rsid w:val="00324E95"/>
    <w:rsid w:val="003278FD"/>
    <w:rsid w:val="00337A62"/>
    <w:rsid w:val="003461F7"/>
    <w:rsid w:val="00347BC6"/>
    <w:rsid w:val="00350D0D"/>
    <w:rsid w:val="0035170A"/>
    <w:rsid w:val="00353794"/>
    <w:rsid w:val="0035477B"/>
    <w:rsid w:val="0035599C"/>
    <w:rsid w:val="00356C9A"/>
    <w:rsid w:val="003604AA"/>
    <w:rsid w:val="0036082E"/>
    <w:rsid w:val="003616E2"/>
    <w:rsid w:val="003632C6"/>
    <w:rsid w:val="00363A99"/>
    <w:rsid w:val="00372BEC"/>
    <w:rsid w:val="0037659E"/>
    <w:rsid w:val="0038020E"/>
    <w:rsid w:val="00385B55"/>
    <w:rsid w:val="003913C0"/>
    <w:rsid w:val="003919BE"/>
    <w:rsid w:val="00392385"/>
    <w:rsid w:val="00393AF3"/>
    <w:rsid w:val="003A4578"/>
    <w:rsid w:val="003B3E6C"/>
    <w:rsid w:val="003B503D"/>
    <w:rsid w:val="003B6A5A"/>
    <w:rsid w:val="003B7EA0"/>
    <w:rsid w:val="003C1860"/>
    <w:rsid w:val="003C1AC0"/>
    <w:rsid w:val="003D01F8"/>
    <w:rsid w:val="003D3350"/>
    <w:rsid w:val="003D7823"/>
    <w:rsid w:val="003D7A72"/>
    <w:rsid w:val="003E086E"/>
    <w:rsid w:val="003E318D"/>
    <w:rsid w:val="003E40BA"/>
    <w:rsid w:val="003E5EDA"/>
    <w:rsid w:val="003E6056"/>
    <w:rsid w:val="003E6D6A"/>
    <w:rsid w:val="00402D92"/>
    <w:rsid w:val="0040650B"/>
    <w:rsid w:val="00406ABD"/>
    <w:rsid w:val="00411BE8"/>
    <w:rsid w:val="00412567"/>
    <w:rsid w:val="0041462B"/>
    <w:rsid w:val="004172D1"/>
    <w:rsid w:val="00421427"/>
    <w:rsid w:val="00422886"/>
    <w:rsid w:val="0042345D"/>
    <w:rsid w:val="00423E6F"/>
    <w:rsid w:val="00424530"/>
    <w:rsid w:val="00427E35"/>
    <w:rsid w:val="0043420F"/>
    <w:rsid w:val="00434E03"/>
    <w:rsid w:val="0043577F"/>
    <w:rsid w:val="00435DE5"/>
    <w:rsid w:val="004363CC"/>
    <w:rsid w:val="0043675A"/>
    <w:rsid w:val="004373E9"/>
    <w:rsid w:val="0044119A"/>
    <w:rsid w:val="00441A72"/>
    <w:rsid w:val="00441F85"/>
    <w:rsid w:val="004436D6"/>
    <w:rsid w:val="00447FA7"/>
    <w:rsid w:val="00450052"/>
    <w:rsid w:val="00451372"/>
    <w:rsid w:val="00452468"/>
    <w:rsid w:val="0045301B"/>
    <w:rsid w:val="004541F3"/>
    <w:rsid w:val="00455E0E"/>
    <w:rsid w:val="00462F45"/>
    <w:rsid w:val="00463F2C"/>
    <w:rsid w:val="004717B5"/>
    <w:rsid w:val="004719B4"/>
    <w:rsid w:val="00471CA1"/>
    <w:rsid w:val="00471CCE"/>
    <w:rsid w:val="00472661"/>
    <w:rsid w:val="0047318B"/>
    <w:rsid w:val="0047368B"/>
    <w:rsid w:val="00474CC2"/>
    <w:rsid w:val="0047543E"/>
    <w:rsid w:val="00481AC4"/>
    <w:rsid w:val="00482FB6"/>
    <w:rsid w:val="00484609"/>
    <w:rsid w:val="00490AF9"/>
    <w:rsid w:val="00491D7C"/>
    <w:rsid w:val="00492B4D"/>
    <w:rsid w:val="004955E7"/>
    <w:rsid w:val="00497791"/>
    <w:rsid w:val="0049781D"/>
    <w:rsid w:val="004A1033"/>
    <w:rsid w:val="004A5D8B"/>
    <w:rsid w:val="004A69B7"/>
    <w:rsid w:val="004B1E20"/>
    <w:rsid w:val="004B24E0"/>
    <w:rsid w:val="004B2FC0"/>
    <w:rsid w:val="004B7623"/>
    <w:rsid w:val="004B7784"/>
    <w:rsid w:val="004B7965"/>
    <w:rsid w:val="004C1B19"/>
    <w:rsid w:val="004C320A"/>
    <w:rsid w:val="004C392C"/>
    <w:rsid w:val="004C5115"/>
    <w:rsid w:val="004C6392"/>
    <w:rsid w:val="004D0817"/>
    <w:rsid w:val="004D1184"/>
    <w:rsid w:val="004D18C8"/>
    <w:rsid w:val="004D3523"/>
    <w:rsid w:val="004D6B38"/>
    <w:rsid w:val="004D6CC6"/>
    <w:rsid w:val="004D7668"/>
    <w:rsid w:val="004E0FEF"/>
    <w:rsid w:val="004E27EE"/>
    <w:rsid w:val="004E405B"/>
    <w:rsid w:val="004E526A"/>
    <w:rsid w:val="004E5C74"/>
    <w:rsid w:val="004E68A9"/>
    <w:rsid w:val="004E6C6B"/>
    <w:rsid w:val="004E6EF4"/>
    <w:rsid w:val="004F0AB6"/>
    <w:rsid w:val="004F1C9B"/>
    <w:rsid w:val="004F29FF"/>
    <w:rsid w:val="004F5434"/>
    <w:rsid w:val="004F6371"/>
    <w:rsid w:val="004F63DB"/>
    <w:rsid w:val="004F7817"/>
    <w:rsid w:val="0050144F"/>
    <w:rsid w:val="00505C64"/>
    <w:rsid w:val="00506265"/>
    <w:rsid w:val="00507387"/>
    <w:rsid w:val="005105EF"/>
    <w:rsid w:val="00510A14"/>
    <w:rsid w:val="00514AB6"/>
    <w:rsid w:val="00517915"/>
    <w:rsid w:val="00520FD0"/>
    <w:rsid w:val="00522208"/>
    <w:rsid w:val="00523895"/>
    <w:rsid w:val="00523B71"/>
    <w:rsid w:val="00530F57"/>
    <w:rsid w:val="00531783"/>
    <w:rsid w:val="0053178E"/>
    <w:rsid w:val="005326AB"/>
    <w:rsid w:val="005410AB"/>
    <w:rsid w:val="005424D3"/>
    <w:rsid w:val="00543A44"/>
    <w:rsid w:val="00545E67"/>
    <w:rsid w:val="00546D72"/>
    <w:rsid w:val="005470B6"/>
    <w:rsid w:val="00556D6C"/>
    <w:rsid w:val="00557555"/>
    <w:rsid w:val="00565691"/>
    <w:rsid w:val="005673AC"/>
    <w:rsid w:val="00571BB6"/>
    <w:rsid w:val="005755F6"/>
    <w:rsid w:val="00575BA7"/>
    <w:rsid w:val="0058010A"/>
    <w:rsid w:val="00580A47"/>
    <w:rsid w:val="00582AA7"/>
    <w:rsid w:val="0058477C"/>
    <w:rsid w:val="00584C72"/>
    <w:rsid w:val="0058568F"/>
    <w:rsid w:val="005862BF"/>
    <w:rsid w:val="0058688B"/>
    <w:rsid w:val="00587B08"/>
    <w:rsid w:val="00590E93"/>
    <w:rsid w:val="00593D83"/>
    <w:rsid w:val="00593DDE"/>
    <w:rsid w:val="00595589"/>
    <w:rsid w:val="005A2ED8"/>
    <w:rsid w:val="005A4E72"/>
    <w:rsid w:val="005A502A"/>
    <w:rsid w:val="005A6911"/>
    <w:rsid w:val="005A7F9A"/>
    <w:rsid w:val="005B49BB"/>
    <w:rsid w:val="005B5C09"/>
    <w:rsid w:val="005B7D63"/>
    <w:rsid w:val="005C2344"/>
    <w:rsid w:val="005C3DFF"/>
    <w:rsid w:val="005C498B"/>
    <w:rsid w:val="005C590A"/>
    <w:rsid w:val="005C7FBA"/>
    <w:rsid w:val="005D2406"/>
    <w:rsid w:val="005D3611"/>
    <w:rsid w:val="005D4005"/>
    <w:rsid w:val="005D40D1"/>
    <w:rsid w:val="005D46E5"/>
    <w:rsid w:val="005D7532"/>
    <w:rsid w:val="005E5ADF"/>
    <w:rsid w:val="005E6DD6"/>
    <w:rsid w:val="005F3895"/>
    <w:rsid w:val="005F7B1D"/>
    <w:rsid w:val="006017FA"/>
    <w:rsid w:val="00605635"/>
    <w:rsid w:val="006059B2"/>
    <w:rsid w:val="00610305"/>
    <w:rsid w:val="00610419"/>
    <w:rsid w:val="00611DDB"/>
    <w:rsid w:val="00612AD3"/>
    <w:rsid w:val="00612C7B"/>
    <w:rsid w:val="00612DA9"/>
    <w:rsid w:val="00615CA4"/>
    <w:rsid w:val="00616F8F"/>
    <w:rsid w:val="0062061A"/>
    <w:rsid w:val="006209BD"/>
    <w:rsid w:val="006224C1"/>
    <w:rsid w:val="00622726"/>
    <w:rsid w:val="00622D58"/>
    <w:rsid w:val="006269B7"/>
    <w:rsid w:val="00627EA5"/>
    <w:rsid w:val="006307A5"/>
    <w:rsid w:val="006323FC"/>
    <w:rsid w:val="00633DC7"/>
    <w:rsid w:val="00634A62"/>
    <w:rsid w:val="00635A91"/>
    <w:rsid w:val="00635C58"/>
    <w:rsid w:val="00636E1D"/>
    <w:rsid w:val="006416A3"/>
    <w:rsid w:val="00642DCD"/>
    <w:rsid w:val="0064385D"/>
    <w:rsid w:val="0065105C"/>
    <w:rsid w:val="0065120C"/>
    <w:rsid w:val="0065487C"/>
    <w:rsid w:val="00654B72"/>
    <w:rsid w:val="00655112"/>
    <w:rsid w:val="00655986"/>
    <w:rsid w:val="00663344"/>
    <w:rsid w:val="00663B0A"/>
    <w:rsid w:val="006641F8"/>
    <w:rsid w:val="0066476D"/>
    <w:rsid w:val="0066649B"/>
    <w:rsid w:val="006671A5"/>
    <w:rsid w:val="00670254"/>
    <w:rsid w:val="006712B1"/>
    <w:rsid w:val="006759C3"/>
    <w:rsid w:val="006766E1"/>
    <w:rsid w:val="00676739"/>
    <w:rsid w:val="0067683F"/>
    <w:rsid w:val="006778D2"/>
    <w:rsid w:val="00680AAB"/>
    <w:rsid w:val="00680E3F"/>
    <w:rsid w:val="0068357C"/>
    <w:rsid w:val="00693E8D"/>
    <w:rsid w:val="0069432F"/>
    <w:rsid w:val="00695CBA"/>
    <w:rsid w:val="006973AC"/>
    <w:rsid w:val="006A0D6A"/>
    <w:rsid w:val="006A11CC"/>
    <w:rsid w:val="006A47ED"/>
    <w:rsid w:val="006B2411"/>
    <w:rsid w:val="006B4294"/>
    <w:rsid w:val="006B692A"/>
    <w:rsid w:val="006B7125"/>
    <w:rsid w:val="006C186D"/>
    <w:rsid w:val="006C2FC8"/>
    <w:rsid w:val="006C68FB"/>
    <w:rsid w:val="006D092D"/>
    <w:rsid w:val="006D5AFF"/>
    <w:rsid w:val="006D6958"/>
    <w:rsid w:val="006D6E9A"/>
    <w:rsid w:val="006D7393"/>
    <w:rsid w:val="006D77DC"/>
    <w:rsid w:val="006D7AB9"/>
    <w:rsid w:val="006E55E1"/>
    <w:rsid w:val="006F23A8"/>
    <w:rsid w:val="006F2E13"/>
    <w:rsid w:val="006F445D"/>
    <w:rsid w:val="006F72C6"/>
    <w:rsid w:val="00703E4E"/>
    <w:rsid w:val="0070415A"/>
    <w:rsid w:val="007071C6"/>
    <w:rsid w:val="00707A72"/>
    <w:rsid w:val="00711E1C"/>
    <w:rsid w:val="00712D2C"/>
    <w:rsid w:val="007131B8"/>
    <w:rsid w:val="00721969"/>
    <w:rsid w:val="00721FBA"/>
    <w:rsid w:val="00723B1A"/>
    <w:rsid w:val="00725C83"/>
    <w:rsid w:val="00727173"/>
    <w:rsid w:val="00730352"/>
    <w:rsid w:val="00731FDF"/>
    <w:rsid w:val="00736584"/>
    <w:rsid w:val="00737968"/>
    <w:rsid w:val="007416F5"/>
    <w:rsid w:val="00742839"/>
    <w:rsid w:val="00745E9A"/>
    <w:rsid w:val="00752710"/>
    <w:rsid w:val="00755505"/>
    <w:rsid w:val="00756616"/>
    <w:rsid w:val="00762CFA"/>
    <w:rsid w:val="00762FD5"/>
    <w:rsid w:val="0076316D"/>
    <w:rsid w:val="00763B2D"/>
    <w:rsid w:val="00763EBC"/>
    <w:rsid w:val="00764D8B"/>
    <w:rsid w:val="00765E5F"/>
    <w:rsid w:val="00766094"/>
    <w:rsid w:val="0076722E"/>
    <w:rsid w:val="00772993"/>
    <w:rsid w:val="007741C1"/>
    <w:rsid w:val="007758A7"/>
    <w:rsid w:val="00775C96"/>
    <w:rsid w:val="00775FF0"/>
    <w:rsid w:val="00777FE2"/>
    <w:rsid w:val="007804DE"/>
    <w:rsid w:val="0078107C"/>
    <w:rsid w:val="007815FB"/>
    <w:rsid w:val="00781D80"/>
    <w:rsid w:val="007849A5"/>
    <w:rsid w:val="00784B83"/>
    <w:rsid w:val="00785483"/>
    <w:rsid w:val="00785F76"/>
    <w:rsid w:val="0078667F"/>
    <w:rsid w:val="00787550"/>
    <w:rsid w:val="00791DE5"/>
    <w:rsid w:val="007952E9"/>
    <w:rsid w:val="00797067"/>
    <w:rsid w:val="007974C0"/>
    <w:rsid w:val="007A0054"/>
    <w:rsid w:val="007A011F"/>
    <w:rsid w:val="007A2A87"/>
    <w:rsid w:val="007A38F2"/>
    <w:rsid w:val="007A3F43"/>
    <w:rsid w:val="007A44A6"/>
    <w:rsid w:val="007A5353"/>
    <w:rsid w:val="007B367E"/>
    <w:rsid w:val="007B3D63"/>
    <w:rsid w:val="007B3D92"/>
    <w:rsid w:val="007B69D6"/>
    <w:rsid w:val="007C16A3"/>
    <w:rsid w:val="007C55D0"/>
    <w:rsid w:val="007C6863"/>
    <w:rsid w:val="007D2F06"/>
    <w:rsid w:val="007D423D"/>
    <w:rsid w:val="007D4405"/>
    <w:rsid w:val="007E17FF"/>
    <w:rsid w:val="007E30B7"/>
    <w:rsid w:val="007E57CE"/>
    <w:rsid w:val="007E6E43"/>
    <w:rsid w:val="007F352E"/>
    <w:rsid w:val="0080027F"/>
    <w:rsid w:val="00800A3F"/>
    <w:rsid w:val="008024A6"/>
    <w:rsid w:val="008123E1"/>
    <w:rsid w:val="00813BAC"/>
    <w:rsid w:val="00813CD4"/>
    <w:rsid w:val="00816161"/>
    <w:rsid w:val="00821B9D"/>
    <w:rsid w:val="00822A99"/>
    <w:rsid w:val="008232A1"/>
    <w:rsid w:val="00823FF9"/>
    <w:rsid w:val="00830265"/>
    <w:rsid w:val="008339CE"/>
    <w:rsid w:val="00835BE0"/>
    <w:rsid w:val="00835DE2"/>
    <w:rsid w:val="0084468C"/>
    <w:rsid w:val="00844EE2"/>
    <w:rsid w:val="0085041F"/>
    <w:rsid w:val="00850A8A"/>
    <w:rsid w:val="00851866"/>
    <w:rsid w:val="00851DC4"/>
    <w:rsid w:val="00852EB4"/>
    <w:rsid w:val="008535E4"/>
    <w:rsid w:val="008552A0"/>
    <w:rsid w:val="0085684B"/>
    <w:rsid w:val="00861A4D"/>
    <w:rsid w:val="00861D83"/>
    <w:rsid w:val="00862D23"/>
    <w:rsid w:val="0086479E"/>
    <w:rsid w:val="00864D44"/>
    <w:rsid w:val="00865492"/>
    <w:rsid w:val="008667ED"/>
    <w:rsid w:val="00867CB4"/>
    <w:rsid w:val="008708AB"/>
    <w:rsid w:val="0087160D"/>
    <w:rsid w:val="008717FE"/>
    <w:rsid w:val="00871C0D"/>
    <w:rsid w:val="00871CEA"/>
    <w:rsid w:val="00874ED5"/>
    <w:rsid w:val="0087530F"/>
    <w:rsid w:val="008776ED"/>
    <w:rsid w:val="008810BC"/>
    <w:rsid w:val="00883B8B"/>
    <w:rsid w:val="00890656"/>
    <w:rsid w:val="00892227"/>
    <w:rsid w:val="00892748"/>
    <w:rsid w:val="0089430C"/>
    <w:rsid w:val="00895FCA"/>
    <w:rsid w:val="00896A2F"/>
    <w:rsid w:val="00897F43"/>
    <w:rsid w:val="008A0FBE"/>
    <w:rsid w:val="008A2445"/>
    <w:rsid w:val="008A5C54"/>
    <w:rsid w:val="008A6B10"/>
    <w:rsid w:val="008B016C"/>
    <w:rsid w:val="008B0845"/>
    <w:rsid w:val="008B28A6"/>
    <w:rsid w:val="008C0A06"/>
    <w:rsid w:val="008C0E53"/>
    <w:rsid w:val="008C1A94"/>
    <w:rsid w:val="008C32B8"/>
    <w:rsid w:val="008C5B82"/>
    <w:rsid w:val="008C5E65"/>
    <w:rsid w:val="008C7180"/>
    <w:rsid w:val="008D1FF6"/>
    <w:rsid w:val="008E2A6D"/>
    <w:rsid w:val="008E3217"/>
    <w:rsid w:val="008E44BC"/>
    <w:rsid w:val="008E54BB"/>
    <w:rsid w:val="008F37A4"/>
    <w:rsid w:val="008F3908"/>
    <w:rsid w:val="008F3F42"/>
    <w:rsid w:val="008F6727"/>
    <w:rsid w:val="008F778C"/>
    <w:rsid w:val="0090038A"/>
    <w:rsid w:val="009014B6"/>
    <w:rsid w:val="00903928"/>
    <w:rsid w:val="009040A4"/>
    <w:rsid w:val="00905F23"/>
    <w:rsid w:val="00906161"/>
    <w:rsid w:val="00907369"/>
    <w:rsid w:val="00912882"/>
    <w:rsid w:val="00912895"/>
    <w:rsid w:val="0092072B"/>
    <w:rsid w:val="009210DE"/>
    <w:rsid w:val="0092311E"/>
    <w:rsid w:val="009325D8"/>
    <w:rsid w:val="00935E39"/>
    <w:rsid w:val="00942EBC"/>
    <w:rsid w:val="00943B87"/>
    <w:rsid w:val="00943C1C"/>
    <w:rsid w:val="00943C57"/>
    <w:rsid w:val="00944480"/>
    <w:rsid w:val="00944C21"/>
    <w:rsid w:val="00950374"/>
    <w:rsid w:val="0095046E"/>
    <w:rsid w:val="00951E9B"/>
    <w:rsid w:val="009531CB"/>
    <w:rsid w:val="0096160F"/>
    <w:rsid w:val="00963FE3"/>
    <w:rsid w:val="009644C6"/>
    <w:rsid w:val="00965B80"/>
    <w:rsid w:val="00966DA9"/>
    <w:rsid w:val="009765E0"/>
    <w:rsid w:val="009836E9"/>
    <w:rsid w:val="00984294"/>
    <w:rsid w:val="00985D1E"/>
    <w:rsid w:val="00993A06"/>
    <w:rsid w:val="00993B1E"/>
    <w:rsid w:val="00994F87"/>
    <w:rsid w:val="009A6594"/>
    <w:rsid w:val="009B1722"/>
    <w:rsid w:val="009B3412"/>
    <w:rsid w:val="009B6E3C"/>
    <w:rsid w:val="009B7766"/>
    <w:rsid w:val="009C12C9"/>
    <w:rsid w:val="009C1CE7"/>
    <w:rsid w:val="009D55F7"/>
    <w:rsid w:val="009D5DC4"/>
    <w:rsid w:val="009D5DEE"/>
    <w:rsid w:val="009E38A2"/>
    <w:rsid w:val="009E3994"/>
    <w:rsid w:val="009E4107"/>
    <w:rsid w:val="009E4468"/>
    <w:rsid w:val="009E50E7"/>
    <w:rsid w:val="009E7094"/>
    <w:rsid w:val="009E76BE"/>
    <w:rsid w:val="009E79BF"/>
    <w:rsid w:val="009F12DA"/>
    <w:rsid w:val="009F13EF"/>
    <w:rsid w:val="009F2985"/>
    <w:rsid w:val="009F3FE6"/>
    <w:rsid w:val="009F53AF"/>
    <w:rsid w:val="00A00793"/>
    <w:rsid w:val="00A00C54"/>
    <w:rsid w:val="00A00E34"/>
    <w:rsid w:val="00A01888"/>
    <w:rsid w:val="00A0200A"/>
    <w:rsid w:val="00A04069"/>
    <w:rsid w:val="00A062C7"/>
    <w:rsid w:val="00A064FC"/>
    <w:rsid w:val="00A10257"/>
    <w:rsid w:val="00A1176E"/>
    <w:rsid w:val="00A14123"/>
    <w:rsid w:val="00A14332"/>
    <w:rsid w:val="00A15CF5"/>
    <w:rsid w:val="00A161F2"/>
    <w:rsid w:val="00A16984"/>
    <w:rsid w:val="00A16E35"/>
    <w:rsid w:val="00A17252"/>
    <w:rsid w:val="00A20C0B"/>
    <w:rsid w:val="00A22696"/>
    <w:rsid w:val="00A23608"/>
    <w:rsid w:val="00A27B9D"/>
    <w:rsid w:val="00A27D88"/>
    <w:rsid w:val="00A304D0"/>
    <w:rsid w:val="00A3395F"/>
    <w:rsid w:val="00A3448B"/>
    <w:rsid w:val="00A37FED"/>
    <w:rsid w:val="00A40E95"/>
    <w:rsid w:val="00A43D59"/>
    <w:rsid w:val="00A4607D"/>
    <w:rsid w:val="00A51300"/>
    <w:rsid w:val="00A53EC9"/>
    <w:rsid w:val="00A5508B"/>
    <w:rsid w:val="00A567C2"/>
    <w:rsid w:val="00A57C40"/>
    <w:rsid w:val="00A62647"/>
    <w:rsid w:val="00A62919"/>
    <w:rsid w:val="00A629DF"/>
    <w:rsid w:val="00A63654"/>
    <w:rsid w:val="00A725D6"/>
    <w:rsid w:val="00A72C7D"/>
    <w:rsid w:val="00A76FCA"/>
    <w:rsid w:val="00A81586"/>
    <w:rsid w:val="00A831D1"/>
    <w:rsid w:val="00A835AB"/>
    <w:rsid w:val="00A86EC6"/>
    <w:rsid w:val="00A92440"/>
    <w:rsid w:val="00A9316D"/>
    <w:rsid w:val="00A96D80"/>
    <w:rsid w:val="00A979BD"/>
    <w:rsid w:val="00A97A78"/>
    <w:rsid w:val="00AA0913"/>
    <w:rsid w:val="00AA36AA"/>
    <w:rsid w:val="00AA5954"/>
    <w:rsid w:val="00AA722E"/>
    <w:rsid w:val="00AB104D"/>
    <w:rsid w:val="00AB1974"/>
    <w:rsid w:val="00AB22C8"/>
    <w:rsid w:val="00AB2476"/>
    <w:rsid w:val="00AB5E47"/>
    <w:rsid w:val="00AC390C"/>
    <w:rsid w:val="00AC7DE3"/>
    <w:rsid w:val="00AD0C73"/>
    <w:rsid w:val="00AD2E63"/>
    <w:rsid w:val="00AD72FD"/>
    <w:rsid w:val="00AD7837"/>
    <w:rsid w:val="00AD794D"/>
    <w:rsid w:val="00AE023E"/>
    <w:rsid w:val="00AE1A2D"/>
    <w:rsid w:val="00AE1CB9"/>
    <w:rsid w:val="00AE531A"/>
    <w:rsid w:val="00AE5347"/>
    <w:rsid w:val="00AE55F6"/>
    <w:rsid w:val="00AE56BB"/>
    <w:rsid w:val="00AE56DB"/>
    <w:rsid w:val="00AE5F3C"/>
    <w:rsid w:val="00AE6FEE"/>
    <w:rsid w:val="00AE7B5C"/>
    <w:rsid w:val="00AE7D68"/>
    <w:rsid w:val="00AF24BE"/>
    <w:rsid w:val="00AF39CB"/>
    <w:rsid w:val="00AF4A8F"/>
    <w:rsid w:val="00AF6428"/>
    <w:rsid w:val="00AF7442"/>
    <w:rsid w:val="00AF7643"/>
    <w:rsid w:val="00B00704"/>
    <w:rsid w:val="00B0628E"/>
    <w:rsid w:val="00B1144E"/>
    <w:rsid w:val="00B11D05"/>
    <w:rsid w:val="00B13C87"/>
    <w:rsid w:val="00B16AC9"/>
    <w:rsid w:val="00B1710D"/>
    <w:rsid w:val="00B23E5B"/>
    <w:rsid w:val="00B31B48"/>
    <w:rsid w:val="00B32510"/>
    <w:rsid w:val="00B32BAC"/>
    <w:rsid w:val="00B3385E"/>
    <w:rsid w:val="00B33A76"/>
    <w:rsid w:val="00B3595C"/>
    <w:rsid w:val="00B36D5E"/>
    <w:rsid w:val="00B430EF"/>
    <w:rsid w:val="00B43B8F"/>
    <w:rsid w:val="00B43E07"/>
    <w:rsid w:val="00B444F8"/>
    <w:rsid w:val="00B4463A"/>
    <w:rsid w:val="00B47ABF"/>
    <w:rsid w:val="00B526A8"/>
    <w:rsid w:val="00B55FAB"/>
    <w:rsid w:val="00B6074E"/>
    <w:rsid w:val="00B6734E"/>
    <w:rsid w:val="00B74223"/>
    <w:rsid w:val="00B74B03"/>
    <w:rsid w:val="00B76198"/>
    <w:rsid w:val="00B83D9D"/>
    <w:rsid w:val="00B84529"/>
    <w:rsid w:val="00B920FF"/>
    <w:rsid w:val="00B95198"/>
    <w:rsid w:val="00B952F3"/>
    <w:rsid w:val="00B9583A"/>
    <w:rsid w:val="00B95CFF"/>
    <w:rsid w:val="00B96289"/>
    <w:rsid w:val="00B96F7F"/>
    <w:rsid w:val="00BA071B"/>
    <w:rsid w:val="00BA4076"/>
    <w:rsid w:val="00BA414B"/>
    <w:rsid w:val="00BA52B5"/>
    <w:rsid w:val="00BA5D61"/>
    <w:rsid w:val="00BA6836"/>
    <w:rsid w:val="00BA6F3F"/>
    <w:rsid w:val="00BA7BA3"/>
    <w:rsid w:val="00BA7BE7"/>
    <w:rsid w:val="00BB2111"/>
    <w:rsid w:val="00BB488F"/>
    <w:rsid w:val="00BB680D"/>
    <w:rsid w:val="00BC20B2"/>
    <w:rsid w:val="00BC2901"/>
    <w:rsid w:val="00BC542D"/>
    <w:rsid w:val="00BC70D3"/>
    <w:rsid w:val="00BC7FD2"/>
    <w:rsid w:val="00BD7D59"/>
    <w:rsid w:val="00BE6B21"/>
    <w:rsid w:val="00BF2087"/>
    <w:rsid w:val="00BF7AE0"/>
    <w:rsid w:val="00C03AE7"/>
    <w:rsid w:val="00C05D9D"/>
    <w:rsid w:val="00C12E96"/>
    <w:rsid w:val="00C12FA8"/>
    <w:rsid w:val="00C17951"/>
    <w:rsid w:val="00C25338"/>
    <w:rsid w:val="00C261D1"/>
    <w:rsid w:val="00C27C24"/>
    <w:rsid w:val="00C27E7D"/>
    <w:rsid w:val="00C3254B"/>
    <w:rsid w:val="00C35592"/>
    <w:rsid w:val="00C356AF"/>
    <w:rsid w:val="00C401E9"/>
    <w:rsid w:val="00C41927"/>
    <w:rsid w:val="00C439D6"/>
    <w:rsid w:val="00C43FD9"/>
    <w:rsid w:val="00C44EB2"/>
    <w:rsid w:val="00C47BD1"/>
    <w:rsid w:val="00C47E8F"/>
    <w:rsid w:val="00C53AAB"/>
    <w:rsid w:val="00C54CC8"/>
    <w:rsid w:val="00C57BC4"/>
    <w:rsid w:val="00C60915"/>
    <w:rsid w:val="00C61085"/>
    <w:rsid w:val="00C629D6"/>
    <w:rsid w:val="00C643A0"/>
    <w:rsid w:val="00C64F14"/>
    <w:rsid w:val="00C6786E"/>
    <w:rsid w:val="00C71EBA"/>
    <w:rsid w:val="00C73602"/>
    <w:rsid w:val="00C7383C"/>
    <w:rsid w:val="00C74AA6"/>
    <w:rsid w:val="00C8011D"/>
    <w:rsid w:val="00C84E7D"/>
    <w:rsid w:val="00C85B32"/>
    <w:rsid w:val="00C940EB"/>
    <w:rsid w:val="00C95D98"/>
    <w:rsid w:val="00C964B8"/>
    <w:rsid w:val="00C97BCB"/>
    <w:rsid w:val="00CA241D"/>
    <w:rsid w:val="00CA3773"/>
    <w:rsid w:val="00CA5219"/>
    <w:rsid w:val="00CA606F"/>
    <w:rsid w:val="00CA6BC2"/>
    <w:rsid w:val="00CA77F1"/>
    <w:rsid w:val="00CB0EC8"/>
    <w:rsid w:val="00CB2C3C"/>
    <w:rsid w:val="00CB4710"/>
    <w:rsid w:val="00CB7D4F"/>
    <w:rsid w:val="00CC0714"/>
    <w:rsid w:val="00CD3A3F"/>
    <w:rsid w:val="00CD4AF7"/>
    <w:rsid w:val="00CD4C1C"/>
    <w:rsid w:val="00CE018C"/>
    <w:rsid w:val="00CE1171"/>
    <w:rsid w:val="00CE1291"/>
    <w:rsid w:val="00CE2504"/>
    <w:rsid w:val="00CE3517"/>
    <w:rsid w:val="00CE4A0E"/>
    <w:rsid w:val="00CE59AE"/>
    <w:rsid w:val="00CE6791"/>
    <w:rsid w:val="00CE7636"/>
    <w:rsid w:val="00CE76CC"/>
    <w:rsid w:val="00CF11DB"/>
    <w:rsid w:val="00CF1207"/>
    <w:rsid w:val="00CF5650"/>
    <w:rsid w:val="00D01670"/>
    <w:rsid w:val="00D05C26"/>
    <w:rsid w:val="00D062AC"/>
    <w:rsid w:val="00D10263"/>
    <w:rsid w:val="00D120EF"/>
    <w:rsid w:val="00D1323E"/>
    <w:rsid w:val="00D152E7"/>
    <w:rsid w:val="00D170C5"/>
    <w:rsid w:val="00D17BC6"/>
    <w:rsid w:val="00D21F91"/>
    <w:rsid w:val="00D23371"/>
    <w:rsid w:val="00D25BFE"/>
    <w:rsid w:val="00D3022B"/>
    <w:rsid w:val="00D30873"/>
    <w:rsid w:val="00D311C6"/>
    <w:rsid w:val="00D33027"/>
    <w:rsid w:val="00D3796C"/>
    <w:rsid w:val="00D41169"/>
    <w:rsid w:val="00D42797"/>
    <w:rsid w:val="00D44360"/>
    <w:rsid w:val="00D50F79"/>
    <w:rsid w:val="00D53948"/>
    <w:rsid w:val="00D549B9"/>
    <w:rsid w:val="00D557EE"/>
    <w:rsid w:val="00D56058"/>
    <w:rsid w:val="00D57F4B"/>
    <w:rsid w:val="00D61B33"/>
    <w:rsid w:val="00D6451F"/>
    <w:rsid w:val="00D656AD"/>
    <w:rsid w:val="00D679D7"/>
    <w:rsid w:val="00D74E7B"/>
    <w:rsid w:val="00D75D40"/>
    <w:rsid w:val="00D76E91"/>
    <w:rsid w:val="00D77CAB"/>
    <w:rsid w:val="00D849AA"/>
    <w:rsid w:val="00D872D1"/>
    <w:rsid w:val="00D9308E"/>
    <w:rsid w:val="00D97A6C"/>
    <w:rsid w:val="00DA5BEA"/>
    <w:rsid w:val="00DA5D59"/>
    <w:rsid w:val="00DA6122"/>
    <w:rsid w:val="00DA707E"/>
    <w:rsid w:val="00DB4809"/>
    <w:rsid w:val="00DB4B7D"/>
    <w:rsid w:val="00DB5668"/>
    <w:rsid w:val="00DB5E8F"/>
    <w:rsid w:val="00DB6A82"/>
    <w:rsid w:val="00DC3E99"/>
    <w:rsid w:val="00DC7C3E"/>
    <w:rsid w:val="00DE0A41"/>
    <w:rsid w:val="00DE307B"/>
    <w:rsid w:val="00DE30E0"/>
    <w:rsid w:val="00DE51AF"/>
    <w:rsid w:val="00DE5C30"/>
    <w:rsid w:val="00DF0A15"/>
    <w:rsid w:val="00DF16A1"/>
    <w:rsid w:val="00DF35D8"/>
    <w:rsid w:val="00DF4EA4"/>
    <w:rsid w:val="00E02490"/>
    <w:rsid w:val="00E02D7C"/>
    <w:rsid w:val="00E07415"/>
    <w:rsid w:val="00E07623"/>
    <w:rsid w:val="00E110C1"/>
    <w:rsid w:val="00E12B3C"/>
    <w:rsid w:val="00E139F2"/>
    <w:rsid w:val="00E14AA0"/>
    <w:rsid w:val="00E17ECA"/>
    <w:rsid w:val="00E209C3"/>
    <w:rsid w:val="00E20C3A"/>
    <w:rsid w:val="00E22BCE"/>
    <w:rsid w:val="00E245F4"/>
    <w:rsid w:val="00E250D2"/>
    <w:rsid w:val="00E258D8"/>
    <w:rsid w:val="00E303A1"/>
    <w:rsid w:val="00E3266A"/>
    <w:rsid w:val="00E326FF"/>
    <w:rsid w:val="00E34985"/>
    <w:rsid w:val="00E34B8E"/>
    <w:rsid w:val="00E361B0"/>
    <w:rsid w:val="00E3757C"/>
    <w:rsid w:val="00E41563"/>
    <w:rsid w:val="00E423E6"/>
    <w:rsid w:val="00E4412E"/>
    <w:rsid w:val="00E4521B"/>
    <w:rsid w:val="00E46B8A"/>
    <w:rsid w:val="00E5181A"/>
    <w:rsid w:val="00E52BE2"/>
    <w:rsid w:val="00E56FB5"/>
    <w:rsid w:val="00E574A1"/>
    <w:rsid w:val="00E62DB8"/>
    <w:rsid w:val="00E63010"/>
    <w:rsid w:val="00E63D31"/>
    <w:rsid w:val="00E677EF"/>
    <w:rsid w:val="00E7159B"/>
    <w:rsid w:val="00E833E1"/>
    <w:rsid w:val="00E859DF"/>
    <w:rsid w:val="00E86A9F"/>
    <w:rsid w:val="00E87041"/>
    <w:rsid w:val="00E91B90"/>
    <w:rsid w:val="00E92B6D"/>
    <w:rsid w:val="00E95201"/>
    <w:rsid w:val="00E9522F"/>
    <w:rsid w:val="00EA1807"/>
    <w:rsid w:val="00EA4947"/>
    <w:rsid w:val="00EB007D"/>
    <w:rsid w:val="00EC0C41"/>
    <w:rsid w:val="00EC11F0"/>
    <w:rsid w:val="00EC1594"/>
    <w:rsid w:val="00EC1C8C"/>
    <w:rsid w:val="00EC5D8B"/>
    <w:rsid w:val="00ED1810"/>
    <w:rsid w:val="00ED22B6"/>
    <w:rsid w:val="00ED2521"/>
    <w:rsid w:val="00ED2FB9"/>
    <w:rsid w:val="00ED3B0E"/>
    <w:rsid w:val="00ED4154"/>
    <w:rsid w:val="00EE0C7D"/>
    <w:rsid w:val="00EE189B"/>
    <w:rsid w:val="00EE456B"/>
    <w:rsid w:val="00EE5476"/>
    <w:rsid w:val="00EF35BF"/>
    <w:rsid w:val="00EF36F4"/>
    <w:rsid w:val="00EF381C"/>
    <w:rsid w:val="00EF4272"/>
    <w:rsid w:val="00EF488C"/>
    <w:rsid w:val="00EF48B9"/>
    <w:rsid w:val="00F004E6"/>
    <w:rsid w:val="00F00C37"/>
    <w:rsid w:val="00F01063"/>
    <w:rsid w:val="00F034AC"/>
    <w:rsid w:val="00F079B2"/>
    <w:rsid w:val="00F10F5C"/>
    <w:rsid w:val="00F15CBD"/>
    <w:rsid w:val="00F160D2"/>
    <w:rsid w:val="00F175CD"/>
    <w:rsid w:val="00F178D9"/>
    <w:rsid w:val="00F21A9F"/>
    <w:rsid w:val="00F22F28"/>
    <w:rsid w:val="00F24A82"/>
    <w:rsid w:val="00F264A2"/>
    <w:rsid w:val="00F34074"/>
    <w:rsid w:val="00F352CC"/>
    <w:rsid w:val="00F4106E"/>
    <w:rsid w:val="00F41AA2"/>
    <w:rsid w:val="00F430E7"/>
    <w:rsid w:val="00F44C49"/>
    <w:rsid w:val="00F44D95"/>
    <w:rsid w:val="00F4748D"/>
    <w:rsid w:val="00F509EA"/>
    <w:rsid w:val="00F53841"/>
    <w:rsid w:val="00F53B21"/>
    <w:rsid w:val="00F53F10"/>
    <w:rsid w:val="00F563C4"/>
    <w:rsid w:val="00F578B0"/>
    <w:rsid w:val="00F612B3"/>
    <w:rsid w:val="00F61BB7"/>
    <w:rsid w:val="00F62313"/>
    <w:rsid w:val="00F653FF"/>
    <w:rsid w:val="00F7064A"/>
    <w:rsid w:val="00F71353"/>
    <w:rsid w:val="00F747AD"/>
    <w:rsid w:val="00F754DE"/>
    <w:rsid w:val="00F75853"/>
    <w:rsid w:val="00F773E0"/>
    <w:rsid w:val="00F77B1F"/>
    <w:rsid w:val="00F8337D"/>
    <w:rsid w:val="00F835AF"/>
    <w:rsid w:val="00F8457D"/>
    <w:rsid w:val="00F8512D"/>
    <w:rsid w:val="00F86F1F"/>
    <w:rsid w:val="00F87F11"/>
    <w:rsid w:val="00F90DAC"/>
    <w:rsid w:val="00F942CA"/>
    <w:rsid w:val="00F9452C"/>
    <w:rsid w:val="00F9550D"/>
    <w:rsid w:val="00F96C5B"/>
    <w:rsid w:val="00F9723B"/>
    <w:rsid w:val="00FA11C1"/>
    <w:rsid w:val="00FA1B27"/>
    <w:rsid w:val="00FA1CD4"/>
    <w:rsid w:val="00FA55F1"/>
    <w:rsid w:val="00FA7331"/>
    <w:rsid w:val="00FB017B"/>
    <w:rsid w:val="00FB12D4"/>
    <w:rsid w:val="00FB2EF6"/>
    <w:rsid w:val="00FB7206"/>
    <w:rsid w:val="00FC1D72"/>
    <w:rsid w:val="00FD7E5F"/>
    <w:rsid w:val="00FE0C92"/>
    <w:rsid w:val="00FE10A7"/>
    <w:rsid w:val="00FE1E8E"/>
    <w:rsid w:val="00FE28A4"/>
    <w:rsid w:val="00FE5577"/>
    <w:rsid w:val="00FF34CA"/>
    <w:rsid w:val="00FF3C50"/>
    <w:rsid w:val="00FF61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750E1EAA"/>
  <w15:docId w15:val="{0BBD1DE3-2DBC-4E02-B6DF-5E1BDB6D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uiPriority="0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C30"/>
    <w:rPr>
      <w:sz w:val="22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CD4AF7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3221EF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val="en-GB" w:eastAsia="en-GB"/>
    </w:rPr>
  </w:style>
  <w:style w:type="table" w:customStyle="1" w:styleId="EBAtable">
    <w:name w:val="EBA table"/>
    <w:basedOn w:val="TableNormal"/>
    <w:uiPriority w:val="99"/>
    <w:rsid w:val="002434B0"/>
    <w:tblPr>
      <w:tblBorders>
        <w:bottom w:val="single" w:sz="2" w:space="0" w:color="000000" w:themeColor="text1"/>
        <w:insideH w:val="single" w:sz="2" w:space="0" w:color="000000" w:themeColor="text1"/>
      </w:tblBorders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autoRedefine/>
    <w:qFormat/>
    <w:rsid w:val="00DB5E8F"/>
    <w:pPr>
      <w:spacing w:before="80" w:after="0" w:line="200" w:lineRule="exac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582AA7"/>
    <w:rPr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DefaultParagraphFont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Borders>
        <w:top w:val="single" w:sz="8" w:space="0" w:color="2F5773" w:themeColor="accent1"/>
        <w:bottom w:val="single" w:sz="8" w:space="0" w:color="2F57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val="en-GB"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15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paragraph" w:customStyle="1" w:styleId="Default">
    <w:name w:val="Default"/>
    <w:rsid w:val="000C7FD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  <w:style w:type="paragraph" w:styleId="TOCHeading">
    <w:name w:val="TOC Heading"/>
    <w:basedOn w:val="Heading1"/>
    <w:next w:val="Normal"/>
    <w:uiPriority w:val="39"/>
    <w:semiHidden/>
    <w:qFormat/>
    <w:rsid w:val="00B43E07"/>
    <w:pPr>
      <w:spacing w:before="480"/>
      <w:outlineLvl w:val="9"/>
    </w:pPr>
    <w:rPr>
      <w:caps w:val="0"/>
      <w:color w:val="234156" w:themeColor="accent1" w:themeShade="BF"/>
      <w:sz w:val="28"/>
      <w:szCs w:val="28"/>
    </w:rPr>
  </w:style>
  <w:style w:type="character" w:customStyle="1" w:styleId="Marker">
    <w:name w:val="Marker"/>
    <w:rsid w:val="00B43E07"/>
    <w:rPr>
      <w:color w:val="0000FF"/>
      <w:shd w:val="clear" w:color="auto" w:fill="auto"/>
    </w:rPr>
  </w:style>
  <w:style w:type="character" w:customStyle="1" w:styleId="Marker2">
    <w:name w:val="Marker2"/>
    <w:rsid w:val="00B43E07"/>
    <w:rPr>
      <w:color w:val="FF0000"/>
      <w:shd w:val="clear" w:color="auto" w:fill="auto"/>
    </w:rPr>
  </w:style>
  <w:style w:type="paragraph" w:customStyle="1" w:styleId="Annexetitre">
    <w:name w:val="Annexe titre"/>
    <w:basedOn w:val="Normal"/>
    <w:next w:val="Normal"/>
    <w:rsid w:val="00B43E07"/>
    <w:pPr>
      <w:spacing w:before="120" w:after="120"/>
      <w:jc w:val="center"/>
    </w:pPr>
    <w:rPr>
      <w:rFonts w:ascii="Times New Roman" w:eastAsia="Times New Roman" w:hAnsi="Times New Roman" w:cs="Times New Roman"/>
      <w:b/>
      <w:sz w:val="24"/>
      <w:u w:val="single"/>
      <w:lang w:val="en-GB"/>
    </w:rPr>
  </w:style>
  <w:style w:type="paragraph" w:customStyle="1" w:styleId="Applicationdirecte">
    <w:name w:val="Application directe"/>
    <w:basedOn w:val="Normal"/>
    <w:next w:val="Fait"/>
    <w:rsid w:val="00B43E07"/>
    <w:pPr>
      <w:spacing w:before="480" w:after="120"/>
      <w:jc w:val="both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Considrant">
    <w:name w:val="Considérant"/>
    <w:basedOn w:val="Normal"/>
    <w:rsid w:val="00B43E07"/>
    <w:pPr>
      <w:numPr>
        <w:numId w:val="29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Datedadoption">
    <w:name w:val="Date d'adoption"/>
    <w:basedOn w:val="Normal"/>
    <w:next w:val="Titreobjet"/>
    <w:rsid w:val="00B43E07"/>
    <w:pPr>
      <w:spacing w:before="360"/>
      <w:jc w:val="center"/>
    </w:pPr>
    <w:rPr>
      <w:rFonts w:ascii="Times New Roman" w:eastAsia="Times New Roman" w:hAnsi="Times New Roman" w:cs="Times New Roman"/>
      <w:b/>
      <w:sz w:val="24"/>
      <w:lang w:val="en-GB"/>
    </w:rPr>
  </w:style>
  <w:style w:type="paragraph" w:customStyle="1" w:styleId="Fait">
    <w:name w:val="Fait à"/>
    <w:basedOn w:val="Normal"/>
    <w:next w:val="Institutionquisigne"/>
    <w:rsid w:val="00B43E07"/>
    <w:pPr>
      <w:keepNext/>
      <w:spacing w:before="120"/>
      <w:jc w:val="both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Formuledadoption">
    <w:name w:val="Formule d'adoption"/>
    <w:basedOn w:val="Normal"/>
    <w:next w:val="Titrearticle"/>
    <w:rsid w:val="00B43E07"/>
    <w:pPr>
      <w:keepNext/>
      <w:spacing w:before="120" w:after="120"/>
      <w:jc w:val="both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Institutionquisigne">
    <w:name w:val="Institution qui signe"/>
    <w:basedOn w:val="Normal"/>
    <w:next w:val="Personnequisigne"/>
    <w:rsid w:val="00B43E07"/>
    <w:pPr>
      <w:keepNext/>
      <w:tabs>
        <w:tab w:val="left" w:pos="4252"/>
      </w:tabs>
      <w:spacing w:before="720"/>
      <w:jc w:val="both"/>
    </w:pPr>
    <w:rPr>
      <w:rFonts w:ascii="Times New Roman" w:eastAsia="Times New Roman" w:hAnsi="Times New Roman" w:cs="Times New Roman"/>
      <w:i/>
      <w:sz w:val="24"/>
      <w:lang w:val="en-GB"/>
    </w:rPr>
  </w:style>
  <w:style w:type="paragraph" w:customStyle="1" w:styleId="Personnequisigne">
    <w:name w:val="Personne qui signe"/>
    <w:basedOn w:val="Normal"/>
    <w:next w:val="Institutionquisigne"/>
    <w:rsid w:val="00B43E07"/>
    <w:pPr>
      <w:tabs>
        <w:tab w:val="left" w:pos="4252"/>
      </w:tabs>
    </w:pPr>
    <w:rPr>
      <w:rFonts w:ascii="Times New Roman" w:eastAsia="Times New Roman" w:hAnsi="Times New Roman" w:cs="Times New Roman"/>
      <w:i/>
      <w:sz w:val="24"/>
      <w:lang w:val="en-GB"/>
    </w:rPr>
  </w:style>
  <w:style w:type="paragraph" w:customStyle="1" w:styleId="Titrearticle">
    <w:name w:val="Titre article"/>
    <w:basedOn w:val="Normal"/>
    <w:next w:val="Normal"/>
    <w:rsid w:val="00B43E07"/>
    <w:pPr>
      <w:keepNext/>
      <w:spacing w:before="360" w:after="120"/>
      <w:jc w:val="center"/>
    </w:pPr>
    <w:rPr>
      <w:rFonts w:ascii="Times New Roman" w:eastAsia="Times New Roman" w:hAnsi="Times New Roman" w:cs="Times New Roman"/>
      <w:i/>
      <w:sz w:val="24"/>
      <w:lang w:val="en-GB"/>
    </w:rPr>
  </w:style>
  <w:style w:type="paragraph" w:customStyle="1" w:styleId="Titreobjet">
    <w:name w:val="Titre objet"/>
    <w:basedOn w:val="Normal"/>
    <w:next w:val="Normal"/>
    <w:rsid w:val="00B43E07"/>
    <w:pPr>
      <w:spacing w:before="360" w:after="360"/>
      <w:jc w:val="center"/>
    </w:pPr>
    <w:rPr>
      <w:rFonts w:ascii="Times New Roman" w:eastAsia="Times New Roman" w:hAnsi="Times New Roman" w:cs="Times New Roman"/>
      <w:b/>
      <w:sz w:val="24"/>
      <w:lang w:val="en-GB"/>
    </w:rPr>
  </w:style>
  <w:style w:type="paragraph" w:customStyle="1" w:styleId="Typedudocument">
    <w:name w:val="Type du document"/>
    <w:basedOn w:val="Normal"/>
    <w:next w:val="Titreobjet"/>
    <w:rsid w:val="00B43E07"/>
    <w:pPr>
      <w:spacing w:before="360"/>
      <w:jc w:val="center"/>
    </w:pPr>
    <w:rPr>
      <w:rFonts w:ascii="Times New Roman" w:eastAsia="Times New Roman" w:hAnsi="Times New Roman" w:cs="Times New Roman"/>
      <w:b/>
      <w:sz w:val="24"/>
      <w:lang w:val="en-GB"/>
    </w:rPr>
  </w:style>
  <w:style w:type="paragraph" w:customStyle="1" w:styleId="Pagedecouverture">
    <w:name w:val="Page de couverture"/>
    <w:basedOn w:val="Normal"/>
    <w:next w:val="Normal"/>
    <w:rsid w:val="00B43E07"/>
    <w:pPr>
      <w:spacing w:before="120" w:after="120"/>
      <w:jc w:val="both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Institutionquiagit">
    <w:name w:val="Institution qui agit"/>
    <w:basedOn w:val="Normal"/>
    <w:next w:val="Normal"/>
    <w:rsid w:val="00B43E07"/>
    <w:pPr>
      <w:keepNext/>
      <w:spacing w:before="600" w:after="120"/>
      <w:jc w:val="both"/>
    </w:pPr>
    <w:rPr>
      <w:rFonts w:ascii="Times New Roman" w:eastAsia="Times New Roman" w:hAnsi="Times New Roman" w:cs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9F12DA"/>
    <w:pPr>
      <w:ind w:left="720"/>
    </w:pPr>
    <w:rPr>
      <w:rFonts w:ascii="Calibri" w:eastAsia="Calibri" w:hAnsi="Calibri" w:cs="Times New Roman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1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9B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120EF"/>
    <w:pPr>
      <w:spacing w:after="200"/>
    </w:pPr>
    <w:rPr>
      <w:b/>
      <w:bCs/>
      <w:color w:val="2F5773" w:themeColor="accent1"/>
      <w:sz w:val="18"/>
      <w:szCs w:val="18"/>
    </w:rPr>
  </w:style>
  <w:style w:type="paragraph" w:styleId="Revision">
    <w:name w:val="Revision"/>
    <w:hidden/>
    <w:uiPriority w:val="99"/>
    <w:semiHidden/>
    <w:rsid w:val="00E4521B"/>
    <w:rPr>
      <w:sz w:val="22"/>
    </w:rPr>
  </w:style>
  <w:style w:type="character" w:customStyle="1" w:styleId="InstructionsTabelleText">
    <w:name w:val="Instructions Tabelle Text"/>
    <w:rsid w:val="00B1144E"/>
    <w:rPr>
      <w:rFonts w:ascii="Verdana" w:hAnsi="Verdana" w:cs="Times New Roman"/>
      <w:sz w:val="20"/>
    </w:rPr>
  </w:style>
  <w:style w:type="paragraph" w:customStyle="1" w:styleId="CM11">
    <w:name w:val="CM1+1"/>
    <w:basedOn w:val="Default"/>
    <w:next w:val="Default"/>
    <w:uiPriority w:val="99"/>
    <w:rsid w:val="00B952F3"/>
    <w:rPr>
      <w:rFonts w:ascii="EUAlbertina" w:eastAsiaTheme="minorEastAsia" w:hAnsi="EUAlbertina" w:cstheme="minorBidi"/>
      <w:color w:val="auto"/>
    </w:rPr>
  </w:style>
  <w:style w:type="paragraph" w:customStyle="1" w:styleId="CM31">
    <w:name w:val="CM3+1"/>
    <w:basedOn w:val="Default"/>
    <w:next w:val="Default"/>
    <w:uiPriority w:val="99"/>
    <w:rsid w:val="00B952F3"/>
    <w:rPr>
      <w:rFonts w:ascii="EUAlbertina" w:eastAsiaTheme="minorEastAsia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BA template">
  <a:themeElements>
    <a:clrScheme name="EBA theme 2">
      <a:dk1>
        <a:srgbClr val="000000"/>
      </a:dk1>
      <a:lt1>
        <a:sysClr val="window" lastClr="FFFFFF"/>
      </a:lt1>
      <a:dk2>
        <a:srgbClr val="2F5773"/>
      </a:dk2>
      <a:lt2>
        <a:srgbClr val="E98E31"/>
      </a:lt2>
      <a:accent1>
        <a:srgbClr val="2F5773"/>
      </a:accent1>
      <a:accent2>
        <a:srgbClr val="EA933B"/>
      </a:accent2>
      <a:accent3>
        <a:srgbClr val="D44D2A"/>
      </a:accent3>
      <a:accent4>
        <a:srgbClr val="49AB74"/>
      </a:accent4>
      <a:accent5>
        <a:srgbClr val="52666E"/>
      </a:accent5>
      <a:accent6>
        <a:srgbClr val="163A5A"/>
      </a:accent6>
      <a:hlink>
        <a:srgbClr val="2F5773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D4F723-D0C8-4E82-B6A7-11D77179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OP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Pilar</dc:creator>
  <cp:lastModifiedBy>Pilar Gutierrez</cp:lastModifiedBy>
  <cp:revision>26</cp:revision>
  <cp:lastPrinted>2018-12-13T07:34:00Z</cp:lastPrinted>
  <dcterms:created xsi:type="dcterms:W3CDTF">2019-06-07T14:38:00Z</dcterms:created>
  <dcterms:modified xsi:type="dcterms:W3CDTF">2019-09-18T14:19:00Z</dcterms:modified>
</cp:coreProperties>
</file>