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BD204" w14:textId="3E380E9C" w:rsidR="00E10F1A" w:rsidRPr="00A66401" w:rsidRDefault="00A15D28" w:rsidP="00904CD8">
      <w:pPr>
        <w:spacing w:before="720" w:after="720"/>
        <w:jc w:val="center"/>
        <w:rPr>
          <w:rFonts w:ascii="Times New Roman" w:hAnsi="Times New Roman"/>
          <w:b/>
          <w:sz w:val="24"/>
          <w:lang w:val="en-US" w:eastAsia="de-DE"/>
        </w:rPr>
      </w:pPr>
      <w:r w:rsidRPr="00A66401">
        <w:rPr>
          <w:rFonts w:ascii="Times New Roman" w:hAnsi="Times New Roman"/>
          <w:b/>
          <w:color w:val="auto"/>
          <w:sz w:val="24"/>
          <w:szCs w:val="24"/>
          <w:u w:val="single"/>
          <w:lang w:val="en-US"/>
        </w:rPr>
        <w:t>ANNEX X</w:t>
      </w:r>
      <w:r w:rsidR="003A5275" w:rsidRPr="00A66401">
        <w:rPr>
          <w:rFonts w:ascii="Times New Roman" w:hAnsi="Times New Roman"/>
          <w:b/>
          <w:color w:val="auto"/>
          <w:sz w:val="24"/>
          <w:szCs w:val="24"/>
          <w:u w:val="single"/>
          <w:lang w:val="en-US"/>
        </w:rPr>
        <w:t>X</w:t>
      </w:r>
      <w:r w:rsidR="004A5973" w:rsidRPr="00A66401">
        <w:rPr>
          <w:rFonts w:ascii="Times New Roman" w:hAnsi="Times New Roman"/>
          <w:b/>
          <w:color w:val="auto"/>
          <w:sz w:val="24"/>
          <w:szCs w:val="24"/>
          <w:u w:val="single"/>
          <w:lang w:val="en-US"/>
        </w:rPr>
        <w:t>VI</w:t>
      </w:r>
      <w:r w:rsidR="00436BCA">
        <w:rPr>
          <w:rFonts w:ascii="Times New Roman" w:hAnsi="Times New Roman"/>
          <w:b/>
          <w:color w:val="auto"/>
          <w:sz w:val="24"/>
          <w:szCs w:val="24"/>
          <w:u w:val="single"/>
          <w:lang w:val="en-US"/>
        </w:rPr>
        <w:t>I</w:t>
      </w:r>
    </w:p>
    <w:p w14:paraId="3CE6DE80" w14:textId="24880713" w:rsidR="009112BB" w:rsidRDefault="003A5275" w:rsidP="00904CD8">
      <w:pPr>
        <w:spacing w:before="720" w:after="720"/>
        <w:jc w:val="center"/>
        <w:rPr>
          <w:rFonts w:ascii="Times New Roman" w:hAnsi="Times New Roman"/>
          <w:b/>
          <w:sz w:val="24"/>
          <w:lang w:val="en-US" w:eastAsia="de-DE"/>
        </w:rPr>
      </w:pPr>
      <w:r w:rsidRPr="00A66401">
        <w:rPr>
          <w:rFonts w:ascii="Times New Roman" w:hAnsi="Times New Roman"/>
          <w:b/>
          <w:sz w:val="24"/>
          <w:lang w:val="en-US" w:eastAsia="de-DE"/>
        </w:rPr>
        <w:t xml:space="preserve">INSTRUCTIONS FOR COMPLETING THE </w:t>
      </w:r>
      <w:r w:rsidR="004A5973" w:rsidRPr="00A66401">
        <w:rPr>
          <w:rFonts w:ascii="Times New Roman" w:hAnsi="Times New Roman"/>
          <w:b/>
          <w:sz w:val="24"/>
          <w:lang w:val="en-US" w:eastAsia="de-DE"/>
        </w:rPr>
        <w:t>NET STABLE FUNDING RATIO</w:t>
      </w:r>
      <w:r w:rsidRPr="00A66401">
        <w:rPr>
          <w:rFonts w:ascii="Times New Roman" w:hAnsi="Times New Roman"/>
          <w:b/>
          <w:sz w:val="24"/>
          <w:lang w:val="en-US" w:eastAsia="de-DE"/>
        </w:rPr>
        <w:t xml:space="preserve"> TEMPLATE OF ANNEX XX</w:t>
      </w:r>
      <w:r w:rsidR="004A5973" w:rsidRPr="00A66401">
        <w:rPr>
          <w:rFonts w:ascii="Times New Roman" w:hAnsi="Times New Roman"/>
          <w:b/>
          <w:sz w:val="24"/>
          <w:lang w:val="en-US" w:eastAsia="de-DE"/>
        </w:rPr>
        <w:t>V</w:t>
      </w:r>
      <w:r w:rsidR="003754F2" w:rsidRPr="00A66401">
        <w:rPr>
          <w:rFonts w:ascii="Times New Roman" w:hAnsi="Times New Roman"/>
          <w:b/>
          <w:sz w:val="24"/>
          <w:lang w:val="en-US" w:eastAsia="de-DE"/>
        </w:rPr>
        <w:t>I</w:t>
      </w:r>
    </w:p>
    <w:p w14:paraId="5E90187E" w14:textId="77777777" w:rsidR="00B46B08" w:rsidRPr="00A66401" w:rsidRDefault="00B46B08" w:rsidP="00904CD8">
      <w:pPr>
        <w:spacing w:before="720" w:after="720"/>
        <w:jc w:val="center"/>
        <w:rPr>
          <w:lang w:val="en-US"/>
        </w:rPr>
      </w:pPr>
      <w:bookmarkStart w:id="0" w:name="_GoBack"/>
      <w:bookmarkEnd w:id="0"/>
    </w:p>
    <w:p w14:paraId="462C612B" w14:textId="3D346DC6" w:rsidR="00F12D29" w:rsidRDefault="00391EF9">
      <w:pPr>
        <w:pStyle w:val="TOC1"/>
        <w:rPr>
          <w:rFonts w:asciiTheme="minorHAnsi" w:eastAsiaTheme="minorEastAsia" w:hAnsiTheme="minorHAnsi" w:cstheme="minorBidi"/>
          <w:color w:val="auto"/>
          <w:sz w:val="22"/>
          <w:szCs w:val="22"/>
          <w:lang w:eastAsia="en-GB"/>
        </w:rPr>
      </w:pPr>
      <w:r w:rsidRPr="00A66401">
        <w:rPr>
          <w:rFonts w:ascii="Times New Roman" w:hAnsi="Times New Roman"/>
          <w:b/>
          <w:lang w:val="en-US"/>
        </w:rPr>
        <w:fldChar w:fldCharType="begin"/>
      </w:r>
      <w:r w:rsidR="00F4754B" w:rsidRPr="00A66401">
        <w:rPr>
          <w:rFonts w:ascii="Times New Roman" w:hAnsi="Times New Roman"/>
          <w:b/>
          <w:lang w:val="en-US"/>
        </w:rPr>
        <w:instrText xml:space="preserve"> TOC \o "1-3" \h \z \u </w:instrText>
      </w:r>
      <w:r w:rsidRPr="00A66401">
        <w:rPr>
          <w:rFonts w:ascii="Times New Roman" w:hAnsi="Times New Roman"/>
          <w:b/>
          <w:lang w:val="en-US"/>
        </w:rPr>
        <w:fldChar w:fldCharType="separate"/>
      </w:r>
      <w:hyperlink w:anchor="_Toc7641917" w:history="1">
        <w:r w:rsidR="00F12D29" w:rsidRPr="00487277">
          <w:rPr>
            <w:rStyle w:val="Hyperlink"/>
            <w:rFonts w:ascii="Times New Roman" w:hAnsi="Times New Roman"/>
            <w:b/>
            <w:lang w:val="en-US"/>
          </w:rPr>
          <w:t>PART I: GENERAL INSTRUCTIONS</w:t>
        </w:r>
        <w:r w:rsidR="00F12D29">
          <w:rPr>
            <w:webHidden/>
          </w:rPr>
          <w:tab/>
        </w:r>
        <w:r w:rsidR="00F12D29">
          <w:rPr>
            <w:webHidden/>
          </w:rPr>
          <w:fldChar w:fldCharType="begin"/>
        </w:r>
        <w:r w:rsidR="00F12D29">
          <w:rPr>
            <w:webHidden/>
          </w:rPr>
          <w:instrText xml:space="preserve"> PAGEREF _Toc7641917 \h </w:instrText>
        </w:r>
        <w:r w:rsidR="00F12D29">
          <w:rPr>
            <w:webHidden/>
          </w:rPr>
        </w:r>
        <w:r w:rsidR="00F12D29">
          <w:rPr>
            <w:webHidden/>
          </w:rPr>
          <w:fldChar w:fldCharType="separate"/>
        </w:r>
        <w:r w:rsidR="00F12D29">
          <w:rPr>
            <w:webHidden/>
          </w:rPr>
          <w:t>2</w:t>
        </w:r>
        <w:r w:rsidR="00F12D29">
          <w:rPr>
            <w:webHidden/>
          </w:rPr>
          <w:fldChar w:fldCharType="end"/>
        </w:r>
      </w:hyperlink>
    </w:p>
    <w:p w14:paraId="2F988DDB" w14:textId="254DC43B" w:rsidR="00F12D29" w:rsidRDefault="00077AAA">
      <w:pPr>
        <w:pStyle w:val="TOC1"/>
        <w:rPr>
          <w:rFonts w:asciiTheme="minorHAnsi" w:eastAsiaTheme="minorEastAsia" w:hAnsiTheme="minorHAnsi" w:cstheme="minorBidi"/>
          <w:color w:val="auto"/>
          <w:sz w:val="22"/>
          <w:szCs w:val="22"/>
          <w:lang w:eastAsia="en-GB"/>
        </w:rPr>
      </w:pPr>
      <w:hyperlink w:anchor="_Toc7641918" w:history="1">
        <w:r w:rsidR="00F12D29" w:rsidRPr="00487277">
          <w:rPr>
            <w:rStyle w:val="Hyperlink"/>
            <w:rFonts w:ascii="Times New Roman" w:hAnsi="Times New Roman"/>
            <w:b/>
            <w:lang w:val="en-US"/>
          </w:rPr>
          <w:t>PART II: REQUIRED STABLE FUNDING</w:t>
        </w:r>
        <w:r w:rsidR="00F12D29">
          <w:rPr>
            <w:webHidden/>
          </w:rPr>
          <w:tab/>
        </w:r>
        <w:r w:rsidR="00F12D29">
          <w:rPr>
            <w:webHidden/>
          </w:rPr>
          <w:fldChar w:fldCharType="begin"/>
        </w:r>
        <w:r w:rsidR="00F12D29">
          <w:rPr>
            <w:webHidden/>
          </w:rPr>
          <w:instrText xml:space="preserve"> PAGEREF _Toc7641918 \h </w:instrText>
        </w:r>
        <w:r w:rsidR="00F12D29">
          <w:rPr>
            <w:webHidden/>
          </w:rPr>
        </w:r>
        <w:r w:rsidR="00F12D29">
          <w:rPr>
            <w:webHidden/>
          </w:rPr>
          <w:fldChar w:fldCharType="separate"/>
        </w:r>
        <w:r w:rsidR="00F12D29">
          <w:rPr>
            <w:webHidden/>
          </w:rPr>
          <w:t>3</w:t>
        </w:r>
        <w:r w:rsidR="00F12D29">
          <w:rPr>
            <w:webHidden/>
          </w:rPr>
          <w:fldChar w:fldCharType="end"/>
        </w:r>
      </w:hyperlink>
    </w:p>
    <w:p w14:paraId="0A86DF3B" w14:textId="15D51FD5" w:rsidR="00F12D29" w:rsidRDefault="00077AAA">
      <w:pPr>
        <w:pStyle w:val="TOC1"/>
        <w:rPr>
          <w:rFonts w:asciiTheme="minorHAnsi" w:eastAsiaTheme="minorEastAsia" w:hAnsiTheme="minorHAnsi" w:cstheme="minorBidi"/>
          <w:color w:val="auto"/>
          <w:sz w:val="22"/>
          <w:szCs w:val="22"/>
          <w:lang w:eastAsia="en-GB"/>
        </w:rPr>
      </w:pPr>
      <w:hyperlink w:anchor="_Toc7641919" w:history="1">
        <w:r w:rsidR="00F12D29" w:rsidRPr="00487277">
          <w:rPr>
            <w:rStyle w:val="Hyperlink"/>
            <w:rFonts w:ascii="Times New Roman" w:hAnsi="Times New Roman"/>
            <w:b/>
            <w:lang w:val="en-US"/>
          </w:rPr>
          <w:t>1.</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Specific remarks</w:t>
        </w:r>
        <w:r w:rsidR="00F12D29">
          <w:rPr>
            <w:webHidden/>
          </w:rPr>
          <w:tab/>
        </w:r>
        <w:r w:rsidR="00F12D29">
          <w:rPr>
            <w:webHidden/>
          </w:rPr>
          <w:fldChar w:fldCharType="begin"/>
        </w:r>
        <w:r w:rsidR="00F12D29">
          <w:rPr>
            <w:webHidden/>
          </w:rPr>
          <w:instrText xml:space="preserve"> PAGEREF _Toc7641919 \h </w:instrText>
        </w:r>
        <w:r w:rsidR="00F12D29">
          <w:rPr>
            <w:webHidden/>
          </w:rPr>
        </w:r>
        <w:r w:rsidR="00F12D29">
          <w:rPr>
            <w:webHidden/>
          </w:rPr>
          <w:fldChar w:fldCharType="separate"/>
        </w:r>
        <w:r w:rsidR="00F12D29">
          <w:rPr>
            <w:webHidden/>
          </w:rPr>
          <w:t>3</w:t>
        </w:r>
        <w:r w:rsidR="00F12D29">
          <w:rPr>
            <w:webHidden/>
          </w:rPr>
          <w:fldChar w:fldCharType="end"/>
        </w:r>
      </w:hyperlink>
    </w:p>
    <w:p w14:paraId="732E97A6" w14:textId="7FE06D87" w:rsidR="00F12D29" w:rsidRDefault="00077AAA">
      <w:pPr>
        <w:pStyle w:val="TOC1"/>
        <w:rPr>
          <w:rFonts w:asciiTheme="minorHAnsi" w:eastAsiaTheme="minorEastAsia" w:hAnsiTheme="minorHAnsi" w:cstheme="minorBidi"/>
          <w:color w:val="auto"/>
          <w:sz w:val="22"/>
          <w:szCs w:val="22"/>
          <w:lang w:eastAsia="en-GB"/>
        </w:rPr>
      </w:pPr>
      <w:hyperlink w:anchor="_Toc7641920" w:history="1">
        <w:r w:rsidR="00F12D29" w:rsidRPr="00487277">
          <w:rPr>
            <w:rStyle w:val="Hyperlink"/>
            <w:rFonts w:ascii="Times New Roman" w:hAnsi="Times New Roman"/>
            <w:b/>
            <w:lang w:val="en-US"/>
          </w:rPr>
          <w:t>2.</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columns</w:t>
        </w:r>
        <w:r w:rsidR="00F12D29">
          <w:rPr>
            <w:webHidden/>
          </w:rPr>
          <w:tab/>
        </w:r>
        <w:r w:rsidR="00F12D29">
          <w:rPr>
            <w:webHidden/>
          </w:rPr>
          <w:fldChar w:fldCharType="begin"/>
        </w:r>
        <w:r w:rsidR="00F12D29">
          <w:rPr>
            <w:webHidden/>
          </w:rPr>
          <w:instrText xml:space="preserve"> PAGEREF _Toc7641920 \h </w:instrText>
        </w:r>
        <w:r w:rsidR="00F12D29">
          <w:rPr>
            <w:webHidden/>
          </w:rPr>
        </w:r>
        <w:r w:rsidR="00F12D29">
          <w:rPr>
            <w:webHidden/>
          </w:rPr>
          <w:fldChar w:fldCharType="separate"/>
        </w:r>
        <w:r w:rsidR="00F12D29">
          <w:rPr>
            <w:webHidden/>
          </w:rPr>
          <w:t>4</w:t>
        </w:r>
        <w:r w:rsidR="00F12D29">
          <w:rPr>
            <w:webHidden/>
          </w:rPr>
          <w:fldChar w:fldCharType="end"/>
        </w:r>
      </w:hyperlink>
    </w:p>
    <w:p w14:paraId="5D7CA481" w14:textId="4BB84C0B" w:rsidR="00F12D29" w:rsidRDefault="00077AAA">
      <w:pPr>
        <w:pStyle w:val="TOC1"/>
        <w:rPr>
          <w:rFonts w:asciiTheme="minorHAnsi" w:eastAsiaTheme="minorEastAsia" w:hAnsiTheme="minorHAnsi" w:cstheme="minorBidi"/>
          <w:color w:val="auto"/>
          <w:sz w:val="22"/>
          <w:szCs w:val="22"/>
          <w:lang w:eastAsia="en-GB"/>
        </w:rPr>
      </w:pPr>
      <w:hyperlink w:anchor="_Toc7641921" w:history="1">
        <w:r w:rsidR="00F12D29" w:rsidRPr="00487277">
          <w:rPr>
            <w:rStyle w:val="Hyperlink"/>
            <w:rFonts w:ascii="Times New Roman" w:hAnsi="Times New Roman"/>
            <w:b/>
            <w:lang w:val="en-US"/>
          </w:rPr>
          <w:t>3.</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rows</w:t>
        </w:r>
        <w:r w:rsidR="00F12D29">
          <w:rPr>
            <w:webHidden/>
          </w:rPr>
          <w:tab/>
        </w:r>
        <w:r w:rsidR="00F12D29">
          <w:rPr>
            <w:webHidden/>
          </w:rPr>
          <w:fldChar w:fldCharType="begin"/>
        </w:r>
        <w:r w:rsidR="00F12D29">
          <w:rPr>
            <w:webHidden/>
          </w:rPr>
          <w:instrText xml:space="preserve"> PAGEREF _Toc7641921 \h </w:instrText>
        </w:r>
        <w:r w:rsidR="00F12D29">
          <w:rPr>
            <w:webHidden/>
          </w:rPr>
        </w:r>
        <w:r w:rsidR="00F12D29">
          <w:rPr>
            <w:webHidden/>
          </w:rPr>
          <w:fldChar w:fldCharType="separate"/>
        </w:r>
        <w:r w:rsidR="00F12D29">
          <w:rPr>
            <w:webHidden/>
          </w:rPr>
          <w:t>5</w:t>
        </w:r>
        <w:r w:rsidR="00F12D29">
          <w:rPr>
            <w:webHidden/>
          </w:rPr>
          <w:fldChar w:fldCharType="end"/>
        </w:r>
      </w:hyperlink>
    </w:p>
    <w:p w14:paraId="11BFC39B" w14:textId="4F3D87C5" w:rsidR="00F12D29" w:rsidRDefault="00077AAA">
      <w:pPr>
        <w:pStyle w:val="TOC1"/>
        <w:rPr>
          <w:rFonts w:asciiTheme="minorHAnsi" w:eastAsiaTheme="minorEastAsia" w:hAnsiTheme="minorHAnsi" w:cstheme="minorBidi"/>
          <w:color w:val="auto"/>
          <w:sz w:val="22"/>
          <w:szCs w:val="22"/>
          <w:lang w:eastAsia="en-GB"/>
        </w:rPr>
      </w:pPr>
      <w:hyperlink w:anchor="_Toc7641922" w:history="1">
        <w:r w:rsidR="00F12D29" w:rsidRPr="00487277">
          <w:rPr>
            <w:rStyle w:val="Hyperlink"/>
            <w:rFonts w:ascii="Times New Roman" w:hAnsi="Times New Roman"/>
            <w:b/>
            <w:lang w:val="en-US"/>
          </w:rPr>
          <w:t>PART III: AVAILABLE STABLE FUNDING</w:t>
        </w:r>
        <w:r w:rsidR="00F12D29">
          <w:rPr>
            <w:webHidden/>
          </w:rPr>
          <w:tab/>
        </w:r>
        <w:r w:rsidR="00F12D29">
          <w:rPr>
            <w:webHidden/>
          </w:rPr>
          <w:fldChar w:fldCharType="begin"/>
        </w:r>
        <w:r w:rsidR="00F12D29">
          <w:rPr>
            <w:webHidden/>
          </w:rPr>
          <w:instrText xml:space="preserve"> PAGEREF _Toc7641922 \h </w:instrText>
        </w:r>
        <w:r w:rsidR="00F12D29">
          <w:rPr>
            <w:webHidden/>
          </w:rPr>
        </w:r>
        <w:r w:rsidR="00F12D29">
          <w:rPr>
            <w:webHidden/>
          </w:rPr>
          <w:fldChar w:fldCharType="separate"/>
        </w:r>
        <w:r w:rsidR="00F12D29">
          <w:rPr>
            <w:webHidden/>
          </w:rPr>
          <w:t>17</w:t>
        </w:r>
        <w:r w:rsidR="00F12D29">
          <w:rPr>
            <w:webHidden/>
          </w:rPr>
          <w:fldChar w:fldCharType="end"/>
        </w:r>
      </w:hyperlink>
    </w:p>
    <w:p w14:paraId="04BFC384" w14:textId="031A9072" w:rsidR="00F12D29" w:rsidRDefault="00077AAA">
      <w:pPr>
        <w:pStyle w:val="TOC1"/>
        <w:rPr>
          <w:rFonts w:asciiTheme="minorHAnsi" w:eastAsiaTheme="minorEastAsia" w:hAnsiTheme="minorHAnsi" w:cstheme="minorBidi"/>
          <w:color w:val="auto"/>
          <w:sz w:val="22"/>
          <w:szCs w:val="22"/>
          <w:lang w:eastAsia="en-GB"/>
        </w:rPr>
      </w:pPr>
      <w:hyperlink w:anchor="_Toc7641923" w:history="1">
        <w:r w:rsidR="00F12D29" w:rsidRPr="00487277">
          <w:rPr>
            <w:rStyle w:val="Hyperlink"/>
            <w:rFonts w:ascii="Times New Roman" w:hAnsi="Times New Roman"/>
            <w:b/>
            <w:lang w:val="en-US"/>
          </w:rPr>
          <w:t>1.</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Specific remarks</w:t>
        </w:r>
        <w:r w:rsidR="00F12D29">
          <w:rPr>
            <w:webHidden/>
          </w:rPr>
          <w:tab/>
        </w:r>
        <w:r w:rsidR="00F12D29">
          <w:rPr>
            <w:webHidden/>
          </w:rPr>
          <w:fldChar w:fldCharType="begin"/>
        </w:r>
        <w:r w:rsidR="00F12D29">
          <w:rPr>
            <w:webHidden/>
          </w:rPr>
          <w:instrText xml:space="preserve"> PAGEREF _Toc7641923 \h </w:instrText>
        </w:r>
        <w:r w:rsidR="00F12D29">
          <w:rPr>
            <w:webHidden/>
          </w:rPr>
        </w:r>
        <w:r w:rsidR="00F12D29">
          <w:rPr>
            <w:webHidden/>
          </w:rPr>
          <w:fldChar w:fldCharType="separate"/>
        </w:r>
        <w:r w:rsidR="00F12D29">
          <w:rPr>
            <w:webHidden/>
          </w:rPr>
          <w:t>17</w:t>
        </w:r>
        <w:r w:rsidR="00F12D29">
          <w:rPr>
            <w:webHidden/>
          </w:rPr>
          <w:fldChar w:fldCharType="end"/>
        </w:r>
      </w:hyperlink>
    </w:p>
    <w:p w14:paraId="4BBC46E4" w14:textId="73483435" w:rsidR="00F12D29" w:rsidRDefault="00077AAA">
      <w:pPr>
        <w:pStyle w:val="TOC1"/>
        <w:rPr>
          <w:rFonts w:asciiTheme="minorHAnsi" w:eastAsiaTheme="minorEastAsia" w:hAnsiTheme="minorHAnsi" w:cstheme="minorBidi"/>
          <w:color w:val="auto"/>
          <w:sz w:val="22"/>
          <w:szCs w:val="22"/>
          <w:lang w:eastAsia="en-GB"/>
        </w:rPr>
      </w:pPr>
      <w:hyperlink w:anchor="_Toc7641924" w:history="1">
        <w:r w:rsidR="00F12D29" w:rsidRPr="00487277">
          <w:rPr>
            <w:rStyle w:val="Hyperlink"/>
            <w:rFonts w:ascii="Times New Roman" w:hAnsi="Times New Roman"/>
            <w:b/>
            <w:lang w:val="en-US"/>
          </w:rPr>
          <w:t>2.</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columns</w:t>
        </w:r>
        <w:r w:rsidR="00F12D29">
          <w:rPr>
            <w:webHidden/>
          </w:rPr>
          <w:tab/>
        </w:r>
        <w:r w:rsidR="00F12D29">
          <w:rPr>
            <w:webHidden/>
          </w:rPr>
          <w:fldChar w:fldCharType="begin"/>
        </w:r>
        <w:r w:rsidR="00F12D29">
          <w:rPr>
            <w:webHidden/>
          </w:rPr>
          <w:instrText xml:space="preserve"> PAGEREF _Toc7641924 \h </w:instrText>
        </w:r>
        <w:r w:rsidR="00F12D29">
          <w:rPr>
            <w:webHidden/>
          </w:rPr>
        </w:r>
        <w:r w:rsidR="00F12D29">
          <w:rPr>
            <w:webHidden/>
          </w:rPr>
          <w:fldChar w:fldCharType="separate"/>
        </w:r>
        <w:r w:rsidR="00F12D29">
          <w:rPr>
            <w:webHidden/>
          </w:rPr>
          <w:t>18</w:t>
        </w:r>
        <w:r w:rsidR="00F12D29">
          <w:rPr>
            <w:webHidden/>
          </w:rPr>
          <w:fldChar w:fldCharType="end"/>
        </w:r>
      </w:hyperlink>
    </w:p>
    <w:p w14:paraId="10F86B8D" w14:textId="4F7A1A40" w:rsidR="00F12D29" w:rsidRDefault="00077AAA">
      <w:pPr>
        <w:pStyle w:val="TOC1"/>
        <w:rPr>
          <w:rFonts w:asciiTheme="minorHAnsi" w:eastAsiaTheme="minorEastAsia" w:hAnsiTheme="minorHAnsi" w:cstheme="minorBidi"/>
          <w:color w:val="auto"/>
          <w:sz w:val="22"/>
          <w:szCs w:val="22"/>
          <w:lang w:eastAsia="en-GB"/>
        </w:rPr>
      </w:pPr>
      <w:hyperlink w:anchor="_Toc7641925" w:history="1">
        <w:r w:rsidR="00F12D29" w:rsidRPr="00487277">
          <w:rPr>
            <w:rStyle w:val="Hyperlink"/>
            <w:rFonts w:ascii="Times New Roman" w:hAnsi="Times New Roman"/>
            <w:b/>
            <w:lang w:val="en-US"/>
          </w:rPr>
          <w:t>3.</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rows</w:t>
        </w:r>
        <w:r w:rsidR="00F12D29">
          <w:rPr>
            <w:webHidden/>
          </w:rPr>
          <w:tab/>
        </w:r>
        <w:r w:rsidR="00F12D29">
          <w:rPr>
            <w:webHidden/>
          </w:rPr>
          <w:fldChar w:fldCharType="begin"/>
        </w:r>
        <w:r w:rsidR="00F12D29">
          <w:rPr>
            <w:webHidden/>
          </w:rPr>
          <w:instrText xml:space="preserve"> PAGEREF _Toc7641925 \h </w:instrText>
        </w:r>
        <w:r w:rsidR="00F12D29">
          <w:rPr>
            <w:webHidden/>
          </w:rPr>
        </w:r>
        <w:r w:rsidR="00F12D29">
          <w:rPr>
            <w:webHidden/>
          </w:rPr>
          <w:fldChar w:fldCharType="separate"/>
        </w:r>
        <w:r w:rsidR="00F12D29">
          <w:rPr>
            <w:webHidden/>
          </w:rPr>
          <w:t>19</w:t>
        </w:r>
        <w:r w:rsidR="00F12D29">
          <w:rPr>
            <w:webHidden/>
          </w:rPr>
          <w:fldChar w:fldCharType="end"/>
        </w:r>
      </w:hyperlink>
    </w:p>
    <w:p w14:paraId="2542C815" w14:textId="5E731DDC" w:rsidR="00F12D29" w:rsidRDefault="00077AAA">
      <w:pPr>
        <w:pStyle w:val="TOC1"/>
        <w:rPr>
          <w:rFonts w:asciiTheme="minorHAnsi" w:eastAsiaTheme="minorEastAsia" w:hAnsiTheme="minorHAnsi" w:cstheme="minorBidi"/>
          <w:color w:val="auto"/>
          <w:sz w:val="22"/>
          <w:szCs w:val="22"/>
          <w:lang w:eastAsia="en-GB"/>
        </w:rPr>
      </w:pPr>
      <w:hyperlink w:anchor="_Toc7641926" w:history="1">
        <w:r w:rsidR="00F12D29" w:rsidRPr="00487277">
          <w:rPr>
            <w:rStyle w:val="Hyperlink"/>
            <w:rFonts w:ascii="Times New Roman" w:hAnsi="Times New Roman"/>
            <w:b/>
            <w:lang w:val="en-US"/>
          </w:rPr>
          <w:t>PART IV: SIMPLIFIED REQUIRED STABLE FUNDING</w:t>
        </w:r>
        <w:r w:rsidR="00F12D29">
          <w:rPr>
            <w:webHidden/>
          </w:rPr>
          <w:tab/>
        </w:r>
        <w:r w:rsidR="00F12D29">
          <w:rPr>
            <w:webHidden/>
          </w:rPr>
          <w:fldChar w:fldCharType="begin"/>
        </w:r>
        <w:r w:rsidR="00F12D29">
          <w:rPr>
            <w:webHidden/>
          </w:rPr>
          <w:instrText xml:space="preserve"> PAGEREF _Toc7641926 \h </w:instrText>
        </w:r>
        <w:r w:rsidR="00F12D29">
          <w:rPr>
            <w:webHidden/>
          </w:rPr>
        </w:r>
        <w:r w:rsidR="00F12D29">
          <w:rPr>
            <w:webHidden/>
          </w:rPr>
          <w:fldChar w:fldCharType="separate"/>
        </w:r>
        <w:r w:rsidR="00F12D29">
          <w:rPr>
            <w:webHidden/>
          </w:rPr>
          <w:t>25</w:t>
        </w:r>
        <w:r w:rsidR="00F12D29">
          <w:rPr>
            <w:webHidden/>
          </w:rPr>
          <w:fldChar w:fldCharType="end"/>
        </w:r>
      </w:hyperlink>
    </w:p>
    <w:p w14:paraId="0E028887" w14:textId="01FEFCA3" w:rsidR="00F12D29" w:rsidRDefault="00077AAA">
      <w:pPr>
        <w:pStyle w:val="TOC1"/>
        <w:rPr>
          <w:rFonts w:asciiTheme="minorHAnsi" w:eastAsiaTheme="minorEastAsia" w:hAnsiTheme="minorHAnsi" w:cstheme="minorBidi"/>
          <w:color w:val="auto"/>
          <w:sz w:val="22"/>
          <w:szCs w:val="22"/>
          <w:lang w:eastAsia="en-GB"/>
        </w:rPr>
      </w:pPr>
      <w:hyperlink w:anchor="_Toc7641927" w:history="1">
        <w:r w:rsidR="00F12D29" w:rsidRPr="00487277">
          <w:rPr>
            <w:rStyle w:val="Hyperlink"/>
            <w:rFonts w:ascii="Times New Roman" w:hAnsi="Times New Roman"/>
            <w:b/>
            <w:lang w:val="en-US"/>
          </w:rPr>
          <w:t>1.</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Specific remarks</w:t>
        </w:r>
        <w:r w:rsidR="00F12D29">
          <w:rPr>
            <w:webHidden/>
          </w:rPr>
          <w:tab/>
        </w:r>
        <w:r w:rsidR="00F12D29">
          <w:rPr>
            <w:webHidden/>
          </w:rPr>
          <w:fldChar w:fldCharType="begin"/>
        </w:r>
        <w:r w:rsidR="00F12D29">
          <w:rPr>
            <w:webHidden/>
          </w:rPr>
          <w:instrText xml:space="preserve"> PAGEREF _Toc7641927 \h </w:instrText>
        </w:r>
        <w:r w:rsidR="00F12D29">
          <w:rPr>
            <w:webHidden/>
          </w:rPr>
        </w:r>
        <w:r w:rsidR="00F12D29">
          <w:rPr>
            <w:webHidden/>
          </w:rPr>
          <w:fldChar w:fldCharType="separate"/>
        </w:r>
        <w:r w:rsidR="00F12D29">
          <w:rPr>
            <w:webHidden/>
          </w:rPr>
          <w:t>25</w:t>
        </w:r>
        <w:r w:rsidR="00F12D29">
          <w:rPr>
            <w:webHidden/>
          </w:rPr>
          <w:fldChar w:fldCharType="end"/>
        </w:r>
      </w:hyperlink>
    </w:p>
    <w:p w14:paraId="123C4DAE" w14:textId="185F1409" w:rsidR="00F12D29" w:rsidRDefault="00077AAA">
      <w:pPr>
        <w:pStyle w:val="TOC1"/>
        <w:rPr>
          <w:rFonts w:asciiTheme="minorHAnsi" w:eastAsiaTheme="minorEastAsia" w:hAnsiTheme="minorHAnsi" w:cstheme="minorBidi"/>
          <w:color w:val="auto"/>
          <w:sz w:val="22"/>
          <w:szCs w:val="22"/>
          <w:lang w:eastAsia="en-GB"/>
        </w:rPr>
      </w:pPr>
      <w:hyperlink w:anchor="_Toc7641928" w:history="1">
        <w:r w:rsidR="00F12D29" w:rsidRPr="00487277">
          <w:rPr>
            <w:rStyle w:val="Hyperlink"/>
            <w:rFonts w:ascii="Times New Roman" w:hAnsi="Times New Roman"/>
            <w:b/>
            <w:lang w:val="en-US"/>
          </w:rPr>
          <w:t>2.</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columns</w:t>
        </w:r>
        <w:r w:rsidR="00F12D29">
          <w:rPr>
            <w:webHidden/>
          </w:rPr>
          <w:tab/>
        </w:r>
        <w:r w:rsidR="00F12D29">
          <w:rPr>
            <w:webHidden/>
          </w:rPr>
          <w:fldChar w:fldCharType="begin"/>
        </w:r>
        <w:r w:rsidR="00F12D29">
          <w:rPr>
            <w:webHidden/>
          </w:rPr>
          <w:instrText xml:space="preserve"> PAGEREF _Toc7641928 \h </w:instrText>
        </w:r>
        <w:r w:rsidR="00F12D29">
          <w:rPr>
            <w:webHidden/>
          </w:rPr>
        </w:r>
        <w:r w:rsidR="00F12D29">
          <w:rPr>
            <w:webHidden/>
          </w:rPr>
          <w:fldChar w:fldCharType="separate"/>
        </w:r>
        <w:r w:rsidR="00F12D29">
          <w:rPr>
            <w:webHidden/>
          </w:rPr>
          <w:t>26</w:t>
        </w:r>
        <w:r w:rsidR="00F12D29">
          <w:rPr>
            <w:webHidden/>
          </w:rPr>
          <w:fldChar w:fldCharType="end"/>
        </w:r>
      </w:hyperlink>
    </w:p>
    <w:p w14:paraId="2E7CCD40" w14:textId="6AACF436" w:rsidR="00F12D29" w:rsidRDefault="00077AAA">
      <w:pPr>
        <w:pStyle w:val="TOC1"/>
        <w:rPr>
          <w:rFonts w:asciiTheme="minorHAnsi" w:eastAsiaTheme="minorEastAsia" w:hAnsiTheme="minorHAnsi" w:cstheme="minorBidi"/>
          <w:color w:val="auto"/>
          <w:sz w:val="22"/>
          <w:szCs w:val="22"/>
          <w:lang w:eastAsia="en-GB"/>
        </w:rPr>
      </w:pPr>
      <w:hyperlink w:anchor="_Toc7641929" w:history="1">
        <w:r w:rsidR="00F12D29" w:rsidRPr="00487277">
          <w:rPr>
            <w:rStyle w:val="Hyperlink"/>
            <w:rFonts w:ascii="Times New Roman" w:hAnsi="Times New Roman"/>
            <w:b/>
            <w:lang w:val="en-US"/>
          </w:rPr>
          <w:t>3.</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lang w:val="en-US"/>
          </w:rPr>
          <w:t>Instructions concerning specific rows</w:t>
        </w:r>
        <w:r w:rsidR="00F12D29">
          <w:rPr>
            <w:webHidden/>
          </w:rPr>
          <w:tab/>
        </w:r>
        <w:r w:rsidR="00F12D29">
          <w:rPr>
            <w:webHidden/>
          </w:rPr>
          <w:fldChar w:fldCharType="begin"/>
        </w:r>
        <w:r w:rsidR="00F12D29">
          <w:rPr>
            <w:webHidden/>
          </w:rPr>
          <w:instrText xml:space="preserve"> PAGEREF _Toc7641929 \h </w:instrText>
        </w:r>
        <w:r w:rsidR="00F12D29">
          <w:rPr>
            <w:webHidden/>
          </w:rPr>
        </w:r>
        <w:r w:rsidR="00F12D29">
          <w:rPr>
            <w:webHidden/>
          </w:rPr>
          <w:fldChar w:fldCharType="separate"/>
        </w:r>
        <w:r w:rsidR="00F12D29">
          <w:rPr>
            <w:webHidden/>
          </w:rPr>
          <w:t>27</w:t>
        </w:r>
        <w:r w:rsidR="00F12D29">
          <w:rPr>
            <w:webHidden/>
          </w:rPr>
          <w:fldChar w:fldCharType="end"/>
        </w:r>
      </w:hyperlink>
    </w:p>
    <w:p w14:paraId="04DADD35" w14:textId="6DAC3619" w:rsidR="00F12D29" w:rsidRDefault="00077AAA">
      <w:pPr>
        <w:pStyle w:val="TOC1"/>
        <w:rPr>
          <w:rFonts w:asciiTheme="minorHAnsi" w:eastAsiaTheme="minorEastAsia" w:hAnsiTheme="minorHAnsi" w:cstheme="minorBidi"/>
          <w:color w:val="auto"/>
          <w:sz w:val="22"/>
          <w:szCs w:val="22"/>
          <w:lang w:eastAsia="en-GB"/>
        </w:rPr>
      </w:pPr>
      <w:hyperlink w:anchor="_Toc7641930" w:history="1">
        <w:r w:rsidR="00F12D29" w:rsidRPr="00487277">
          <w:rPr>
            <w:rStyle w:val="Hyperlink"/>
            <w:rFonts w:ascii="Times New Roman" w:hAnsi="Times New Roman"/>
            <w:b/>
          </w:rPr>
          <w:t>PART V: SIMPLIFIED AVAILABLE STABLE FUNDING</w:t>
        </w:r>
        <w:r w:rsidR="00F12D29">
          <w:rPr>
            <w:webHidden/>
          </w:rPr>
          <w:tab/>
        </w:r>
        <w:r w:rsidR="00F12D29">
          <w:rPr>
            <w:webHidden/>
          </w:rPr>
          <w:fldChar w:fldCharType="begin"/>
        </w:r>
        <w:r w:rsidR="00F12D29">
          <w:rPr>
            <w:webHidden/>
          </w:rPr>
          <w:instrText xml:space="preserve"> PAGEREF _Toc7641930 \h </w:instrText>
        </w:r>
        <w:r w:rsidR="00F12D29">
          <w:rPr>
            <w:webHidden/>
          </w:rPr>
        </w:r>
        <w:r w:rsidR="00F12D29">
          <w:rPr>
            <w:webHidden/>
          </w:rPr>
          <w:fldChar w:fldCharType="separate"/>
        </w:r>
        <w:r w:rsidR="00F12D29">
          <w:rPr>
            <w:webHidden/>
          </w:rPr>
          <w:t>32</w:t>
        </w:r>
        <w:r w:rsidR="00F12D29">
          <w:rPr>
            <w:webHidden/>
          </w:rPr>
          <w:fldChar w:fldCharType="end"/>
        </w:r>
      </w:hyperlink>
    </w:p>
    <w:p w14:paraId="5B64DC45" w14:textId="4B75399E" w:rsidR="00F12D29" w:rsidRDefault="00077AAA">
      <w:pPr>
        <w:pStyle w:val="TOC1"/>
        <w:rPr>
          <w:rFonts w:asciiTheme="minorHAnsi" w:eastAsiaTheme="minorEastAsia" w:hAnsiTheme="minorHAnsi" w:cstheme="minorBidi"/>
          <w:color w:val="auto"/>
          <w:sz w:val="22"/>
          <w:szCs w:val="22"/>
          <w:lang w:eastAsia="en-GB"/>
        </w:rPr>
      </w:pPr>
      <w:hyperlink w:anchor="_Toc7641931" w:history="1">
        <w:r w:rsidR="00F12D29" w:rsidRPr="00487277">
          <w:rPr>
            <w:rStyle w:val="Hyperlink"/>
            <w:rFonts w:ascii="Times New Roman" w:hAnsi="Times New Roman"/>
            <w:b/>
          </w:rPr>
          <w:t>1.</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rPr>
          <w:t>Specific remarks</w:t>
        </w:r>
        <w:r w:rsidR="00F12D29">
          <w:rPr>
            <w:webHidden/>
          </w:rPr>
          <w:tab/>
        </w:r>
        <w:r w:rsidR="00F12D29">
          <w:rPr>
            <w:webHidden/>
          </w:rPr>
          <w:fldChar w:fldCharType="begin"/>
        </w:r>
        <w:r w:rsidR="00F12D29">
          <w:rPr>
            <w:webHidden/>
          </w:rPr>
          <w:instrText xml:space="preserve"> PAGEREF _Toc7641931 \h </w:instrText>
        </w:r>
        <w:r w:rsidR="00F12D29">
          <w:rPr>
            <w:webHidden/>
          </w:rPr>
        </w:r>
        <w:r w:rsidR="00F12D29">
          <w:rPr>
            <w:webHidden/>
          </w:rPr>
          <w:fldChar w:fldCharType="separate"/>
        </w:r>
        <w:r w:rsidR="00F12D29">
          <w:rPr>
            <w:webHidden/>
          </w:rPr>
          <w:t>32</w:t>
        </w:r>
        <w:r w:rsidR="00F12D29">
          <w:rPr>
            <w:webHidden/>
          </w:rPr>
          <w:fldChar w:fldCharType="end"/>
        </w:r>
      </w:hyperlink>
    </w:p>
    <w:p w14:paraId="47632EBD" w14:textId="7265866C" w:rsidR="00F12D29" w:rsidRDefault="00077AAA">
      <w:pPr>
        <w:pStyle w:val="TOC1"/>
        <w:rPr>
          <w:rFonts w:asciiTheme="minorHAnsi" w:eastAsiaTheme="minorEastAsia" w:hAnsiTheme="minorHAnsi" w:cstheme="minorBidi"/>
          <w:color w:val="auto"/>
          <w:sz w:val="22"/>
          <w:szCs w:val="22"/>
          <w:lang w:eastAsia="en-GB"/>
        </w:rPr>
      </w:pPr>
      <w:hyperlink w:anchor="_Toc7641932" w:history="1">
        <w:r w:rsidR="00F12D29" w:rsidRPr="00487277">
          <w:rPr>
            <w:rStyle w:val="Hyperlink"/>
            <w:rFonts w:ascii="Times New Roman" w:hAnsi="Times New Roman"/>
            <w:b/>
          </w:rPr>
          <w:t>2.</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rPr>
          <w:t>Instructions concerning specific columns</w:t>
        </w:r>
        <w:r w:rsidR="00F12D29">
          <w:rPr>
            <w:webHidden/>
          </w:rPr>
          <w:tab/>
        </w:r>
        <w:r w:rsidR="00F12D29">
          <w:rPr>
            <w:webHidden/>
          </w:rPr>
          <w:fldChar w:fldCharType="begin"/>
        </w:r>
        <w:r w:rsidR="00F12D29">
          <w:rPr>
            <w:webHidden/>
          </w:rPr>
          <w:instrText xml:space="preserve"> PAGEREF _Toc7641932 \h </w:instrText>
        </w:r>
        <w:r w:rsidR="00F12D29">
          <w:rPr>
            <w:webHidden/>
          </w:rPr>
        </w:r>
        <w:r w:rsidR="00F12D29">
          <w:rPr>
            <w:webHidden/>
          </w:rPr>
          <w:fldChar w:fldCharType="separate"/>
        </w:r>
        <w:r w:rsidR="00F12D29">
          <w:rPr>
            <w:webHidden/>
          </w:rPr>
          <w:t>33</w:t>
        </w:r>
        <w:r w:rsidR="00F12D29">
          <w:rPr>
            <w:webHidden/>
          </w:rPr>
          <w:fldChar w:fldCharType="end"/>
        </w:r>
      </w:hyperlink>
    </w:p>
    <w:p w14:paraId="4304E32C" w14:textId="73728E75" w:rsidR="00F12D29" w:rsidRDefault="00077AAA">
      <w:pPr>
        <w:pStyle w:val="TOC1"/>
        <w:rPr>
          <w:rFonts w:asciiTheme="minorHAnsi" w:eastAsiaTheme="minorEastAsia" w:hAnsiTheme="minorHAnsi" w:cstheme="minorBidi"/>
          <w:color w:val="auto"/>
          <w:sz w:val="22"/>
          <w:szCs w:val="22"/>
          <w:lang w:eastAsia="en-GB"/>
        </w:rPr>
      </w:pPr>
      <w:hyperlink w:anchor="_Toc7641933" w:history="1">
        <w:r w:rsidR="00F12D29" w:rsidRPr="00487277">
          <w:rPr>
            <w:rStyle w:val="Hyperlink"/>
            <w:rFonts w:ascii="Times New Roman" w:hAnsi="Times New Roman"/>
            <w:b/>
          </w:rPr>
          <w:t>3. Instructions concerning specific rows</w:t>
        </w:r>
        <w:r w:rsidR="00F12D29">
          <w:rPr>
            <w:webHidden/>
          </w:rPr>
          <w:tab/>
        </w:r>
        <w:r w:rsidR="00F12D29">
          <w:rPr>
            <w:webHidden/>
          </w:rPr>
          <w:fldChar w:fldCharType="begin"/>
        </w:r>
        <w:r w:rsidR="00F12D29">
          <w:rPr>
            <w:webHidden/>
          </w:rPr>
          <w:instrText xml:space="preserve"> PAGEREF _Toc7641933 \h </w:instrText>
        </w:r>
        <w:r w:rsidR="00F12D29">
          <w:rPr>
            <w:webHidden/>
          </w:rPr>
        </w:r>
        <w:r w:rsidR="00F12D29">
          <w:rPr>
            <w:webHidden/>
          </w:rPr>
          <w:fldChar w:fldCharType="separate"/>
        </w:r>
        <w:r w:rsidR="00F12D29">
          <w:rPr>
            <w:webHidden/>
          </w:rPr>
          <w:t>34</w:t>
        </w:r>
        <w:r w:rsidR="00F12D29">
          <w:rPr>
            <w:webHidden/>
          </w:rPr>
          <w:fldChar w:fldCharType="end"/>
        </w:r>
      </w:hyperlink>
    </w:p>
    <w:p w14:paraId="2D8BF902" w14:textId="7E22ECDD" w:rsidR="00F12D29" w:rsidRDefault="00077AAA">
      <w:pPr>
        <w:pStyle w:val="TOC1"/>
        <w:rPr>
          <w:rFonts w:asciiTheme="minorHAnsi" w:eastAsiaTheme="minorEastAsia" w:hAnsiTheme="minorHAnsi" w:cstheme="minorBidi"/>
          <w:color w:val="auto"/>
          <w:sz w:val="22"/>
          <w:szCs w:val="22"/>
          <w:lang w:eastAsia="en-GB"/>
        </w:rPr>
      </w:pPr>
      <w:hyperlink w:anchor="_Toc7641934" w:history="1">
        <w:r w:rsidR="00F12D29" w:rsidRPr="00487277">
          <w:rPr>
            <w:rStyle w:val="Hyperlink"/>
            <w:rFonts w:ascii="Times New Roman" w:hAnsi="Times New Roman"/>
            <w:b/>
            <w:lang w:val="en-US"/>
          </w:rPr>
          <w:t>PART VI: SUMMARY NSFR</w:t>
        </w:r>
        <w:r w:rsidR="00F12D29">
          <w:rPr>
            <w:webHidden/>
          </w:rPr>
          <w:tab/>
        </w:r>
        <w:r w:rsidR="00F12D29">
          <w:rPr>
            <w:webHidden/>
          </w:rPr>
          <w:fldChar w:fldCharType="begin"/>
        </w:r>
        <w:r w:rsidR="00F12D29">
          <w:rPr>
            <w:webHidden/>
          </w:rPr>
          <w:instrText xml:space="preserve"> PAGEREF _Toc7641934 \h </w:instrText>
        </w:r>
        <w:r w:rsidR="00F12D29">
          <w:rPr>
            <w:webHidden/>
          </w:rPr>
        </w:r>
        <w:r w:rsidR="00F12D29">
          <w:rPr>
            <w:webHidden/>
          </w:rPr>
          <w:fldChar w:fldCharType="separate"/>
        </w:r>
        <w:r w:rsidR="00F12D29">
          <w:rPr>
            <w:webHidden/>
          </w:rPr>
          <w:t>39</w:t>
        </w:r>
        <w:r w:rsidR="00F12D29">
          <w:rPr>
            <w:webHidden/>
          </w:rPr>
          <w:fldChar w:fldCharType="end"/>
        </w:r>
      </w:hyperlink>
    </w:p>
    <w:p w14:paraId="6DDC9C63" w14:textId="049059FD" w:rsidR="00F12D29" w:rsidRDefault="00077AAA">
      <w:pPr>
        <w:pStyle w:val="TOC1"/>
        <w:rPr>
          <w:rFonts w:asciiTheme="minorHAnsi" w:eastAsiaTheme="minorEastAsia" w:hAnsiTheme="minorHAnsi" w:cstheme="minorBidi"/>
          <w:color w:val="auto"/>
          <w:sz w:val="22"/>
          <w:szCs w:val="22"/>
          <w:lang w:eastAsia="en-GB"/>
        </w:rPr>
      </w:pPr>
      <w:hyperlink w:anchor="_Toc7641935" w:history="1">
        <w:r w:rsidR="00F12D29" w:rsidRPr="00487277">
          <w:rPr>
            <w:rStyle w:val="Hyperlink"/>
            <w:rFonts w:ascii="Times New Roman" w:hAnsi="Times New Roman"/>
            <w:b/>
          </w:rPr>
          <w:t>1.</w:t>
        </w:r>
        <w:r w:rsidR="00F12D29">
          <w:rPr>
            <w:rFonts w:asciiTheme="minorHAnsi" w:eastAsiaTheme="minorEastAsia" w:hAnsiTheme="minorHAnsi" w:cstheme="minorBidi"/>
            <w:color w:val="auto"/>
            <w:sz w:val="22"/>
            <w:szCs w:val="22"/>
            <w:lang w:eastAsia="en-GB"/>
          </w:rPr>
          <w:tab/>
        </w:r>
        <w:r w:rsidR="00F12D29" w:rsidRPr="00487277">
          <w:rPr>
            <w:rStyle w:val="Hyperlink"/>
            <w:rFonts w:ascii="Times New Roman" w:hAnsi="Times New Roman"/>
            <w:b/>
          </w:rPr>
          <w:t>Specific remarks</w:t>
        </w:r>
        <w:r w:rsidR="00F12D29">
          <w:rPr>
            <w:webHidden/>
          </w:rPr>
          <w:tab/>
        </w:r>
        <w:r w:rsidR="00F12D29">
          <w:rPr>
            <w:webHidden/>
          </w:rPr>
          <w:fldChar w:fldCharType="begin"/>
        </w:r>
        <w:r w:rsidR="00F12D29">
          <w:rPr>
            <w:webHidden/>
          </w:rPr>
          <w:instrText xml:space="preserve"> PAGEREF _Toc7641935 \h </w:instrText>
        </w:r>
        <w:r w:rsidR="00F12D29">
          <w:rPr>
            <w:webHidden/>
          </w:rPr>
        </w:r>
        <w:r w:rsidR="00F12D29">
          <w:rPr>
            <w:webHidden/>
          </w:rPr>
          <w:fldChar w:fldCharType="separate"/>
        </w:r>
        <w:r w:rsidR="00F12D29">
          <w:rPr>
            <w:webHidden/>
          </w:rPr>
          <w:t>39</w:t>
        </w:r>
        <w:r w:rsidR="00F12D29">
          <w:rPr>
            <w:webHidden/>
          </w:rPr>
          <w:fldChar w:fldCharType="end"/>
        </w:r>
      </w:hyperlink>
    </w:p>
    <w:p w14:paraId="436879ED" w14:textId="15B5B049" w:rsidR="00F12D29" w:rsidRDefault="00077AAA">
      <w:pPr>
        <w:pStyle w:val="TOC1"/>
        <w:rPr>
          <w:rFonts w:asciiTheme="minorHAnsi" w:eastAsiaTheme="minorEastAsia" w:hAnsiTheme="minorHAnsi" w:cstheme="minorBidi"/>
          <w:color w:val="auto"/>
          <w:sz w:val="22"/>
          <w:szCs w:val="22"/>
          <w:lang w:eastAsia="en-GB"/>
        </w:rPr>
      </w:pPr>
      <w:hyperlink w:anchor="_Toc7641936" w:history="1">
        <w:r w:rsidR="00F12D29" w:rsidRPr="00487277">
          <w:rPr>
            <w:rStyle w:val="Hyperlink"/>
            <w:rFonts w:ascii="Times New Roman" w:hAnsi="Times New Roman"/>
            <w:b/>
          </w:rPr>
          <w:t>2. Instructions concerning specific columns</w:t>
        </w:r>
        <w:r w:rsidR="00F12D29">
          <w:rPr>
            <w:webHidden/>
          </w:rPr>
          <w:tab/>
        </w:r>
        <w:r w:rsidR="00F12D29">
          <w:rPr>
            <w:webHidden/>
          </w:rPr>
          <w:fldChar w:fldCharType="begin"/>
        </w:r>
        <w:r w:rsidR="00F12D29">
          <w:rPr>
            <w:webHidden/>
          </w:rPr>
          <w:instrText xml:space="preserve"> PAGEREF _Toc7641936 \h </w:instrText>
        </w:r>
        <w:r w:rsidR="00F12D29">
          <w:rPr>
            <w:webHidden/>
          </w:rPr>
        </w:r>
        <w:r w:rsidR="00F12D29">
          <w:rPr>
            <w:webHidden/>
          </w:rPr>
          <w:fldChar w:fldCharType="separate"/>
        </w:r>
        <w:r w:rsidR="00F12D29">
          <w:rPr>
            <w:webHidden/>
          </w:rPr>
          <w:t>39</w:t>
        </w:r>
        <w:r w:rsidR="00F12D29">
          <w:rPr>
            <w:webHidden/>
          </w:rPr>
          <w:fldChar w:fldCharType="end"/>
        </w:r>
      </w:hyperlink>
    </w:p>
    <w:p w14:paraId="1A1A4B99" w14:textId="18B2A8DA" w:rsidR="00F12D29" w:rsidRDefault="00077AAA">
      <w:pPr>
        <w:pStyle w:val="TOC1"/>
        <w:rPr>
          <w:rFonts w:asciiTheme="minorHAnsi" w:eastAsiaTheme="minorEastAsia" w:hAnsiTheme="minorHAnsi" w:cstheme="minorBidi"/>
          <w:color w:val="auto"/>
          <w:sz w:val="22"/>
          <w:szCs w:val="22"/>
          <w:lang w:eastAsia="en-GB"/>
        </w:rPr>
      </w:pPr>
      <w:hyperlink w:anchor="_Toc7641937" w:history="1">
        <w:r w:rsidR="00F12D29" w:rsidRPr="00487277">
          <w:rPr>
            <w:rStyle w:val="Hyperlink"/>
            <w:rFonts w:ascii="Times New Roman" w:hAnsi="Times New Roman"/>
            <w:b/>
          </w:rPr>
          <w:t>3. Instructions concerning specific rows</w:t>
        </w:r>
        <w:r w:rsidR="00F12D29">
          <w:rPr>
            <w:webHidden/>
          </w:rPr>
          <w:tab/>
        </w:r>
        <w:r w:rsidR="00F12D29">
          <w:rPr>
            <w:webHidden/>
          </w:rPr>
          <w:fldChar w:fldCharType="begin"/>
        </w:r>
        <w:r w:rsidR="00F12D29">
          <w:rPr>
            <w:webHidden/>
          </w:rPr>
          <w:instrText xml:space="preserve"> PAGEREF _Toc7641937 \h </w:instrText>
        </w:r>
        <w:r w:rsidR="00F12D29">
          <w:rPr>
            <w:webHidden/>
          </w:rPr>
        </w:r>
        <w:r w:rsidR="00F12D29">
          <w:rPr>
            <w:webHidden/>
          </w:rPr>
          <w:fldChar w:fldCharType="separate"/>
        </w:r>
        <w:r w:rsidR="00F12D29">
          <w:rPr>
            <w:webHidden/>
          </w:rPr>
          <w:t>39</w:t>
        </w:r>
        <w:r w:rsidR="00F12D29">
          <w:rPr>
            <w:webHidden/>
          </w:rPr>
          <w:fldChar w:fldCharType="end"/>
        </w:r>
      </w:hyperlink>
    </w:p>
    <w:p w14:paraId="0EEBF12A" w14:textId="51EF193B" w:rsidR="000D338D" w:rsidRPr="00A66401" w:rsidRDefault="00391EF9" w:rsidP="00904CD8">
      <w:pPr>
        <w:pStyle w:val="BodyText1"/>
        <w:rPr>
          <w:rFonts w:ascii="Times New Roman" w:hAnsi="Times New Roman"/>
          <w:lang w:val="en-US"/>
        </w:rPr>
      </w:pPr>
      <w:r w:rsidRPr="00A66401">
        <w:rPr>
          <w:rFonts w:ascii="Times New Roman" w:hAnsi="Times New Roman"/>
          <w:lang w:val="en-US"/>
        </w:rPr>
        <w:fldChar w:fldCharType="end"/>
      </w:r>
      <w:r w:rsidR="000D338D" w:rsidRPr="00A66401">
        <w:rPr>
          <w:rFonts w:ascii="Times New Roman" w:hAnsi="Times New Roman"/>
          <w:lang w:val="en-US"/>
        </w:rPr>
        <w:br w:type="page"/>
      </w:r>
    </w:p>
    <w:p w14:paraId="35523705" w14:textId="2751363E" w:rsidR="00FF2091" w:rsidRPr="00A66401" w:rsidRDefault="00F4754B" w:rsidP="000214BE">
      <w:pPr>
        <w:pStyle w:val="BodyText1"/>
        <w:spacing w:before="120" w:after="120" w:line="276" w:lineRule="auto"/>
        <w:outlineLvl w:val="0"/>
        <w:rPr>
          <w:lang w:val="en-US"/>
        </w:rPr>
      </w:pPr>
      <w:bookmarkStart w:id="1" w:name="_Toc264038394"/>
      <w:bookmarkStart w:id="2" w:name="_Toc322687864"/>
      <w:bookmarkStart w:id="3" w:name="_Toc351048499"/>
      <w:bookmarkStart w:id="4" w:name="_Toc359414273"/>
      <w:bookmarkStart w:id="5" w:name="_Toc7641917"/>
      <w:r w:rsidRPr="00A66401">
        <w:rPr>
          <w:rFonts w:ascii="Times New Roman" w:hAnsi="Times New Roman"/>
          <w:b/>
          <w:sz w:val="24"/>
          <w:szCs w:val="24"/>
          <w:lang w:val="en-US"/>
        </w:rPr>
        <w:lastRenderedPageBreak/>
        <w:t>PART I:</w:t>
      </w:r>
      <w:bookmarkEnd w:id="1"/>
      <w:r w:rsidRPr="00A66401">
        <w:rPr>
          <w:rFonts w:ascii="Times New Roman" w:hAnsi="Times New Roman"/>
          <w:b/>
          <w:sz w:val="24"/>
          <w:szCs w:val="24"/>
          <w:lang w:val="en-US"/>
        </w:rPr>
        <w:t xml:space="preserve"> GENERAL INSTRUCTIONS</w:t>
      </w:r>
      <w:bookmarkStart w:id="6" w:name="_Toc351048500"/>
      <w:bookmarkEnd w:id="2"/>
      <w:bookmarkEnd w:id="3"/>
      <w:bookmarkEnd w:id="4"/>
      <w:bookmarkEnd w:id="5"/>
    </w:p>
    <w:p w14:paraId="176AB4AE" w14:textId="6AFB914C" w:rsidR="007D69FA" w:rsidRPr="00CF4E2F" w:rsidRDefault="00E202A5" w:rsidP="000214BE">
      <w:pPr>
        <w:pStyle w:val="ListParagraph"/>
        <w:widowControl w:val="0"/>
        <w:numPr>
          <w:ilvl w:val="0"/>
          <w:numId w:val="24"/>
        </w:numPr>
        <w:tabs>
          <w:tab w:val="left" w:pos="1397"/>
        </w:tabs>
        <w:spacing w:line="276" w:lineRule="auto"/>
        <w:ind w:left="714" w:right="114" w:hanging="357"/>
        <w:contextualSpacing w:val="0"/>
        <w:rPr>
          <w:rFonts w:ascii="Times New Roman" w:eastAsia="Verdana" w:hAnsi="Times New Roman"/>
          <w:szCs w:val="18"/>
          <w:lang w:val="en-US"/>
        </w:rPr>
      </w:pPr>
      <w:bookmarkStart w:id="7" w:name="_Toc264038399"/>
      <w:bookmarkStart w:id="8" w:name="_Toc294018834"/>
      <w:bookmarkEnd w:id="6"/>
      <w:r w:rsidRPr="00E202A5">
        <w:rPr>
          <w:rFonts w:ascii="Times New Roman" w:eastAsia="Verdana" w:hAnsi="Times New Roman"/>
          <w:szCs w:val="18"/>
        </w:rPr>
        <w:t xml:space="preserve">This annex covers instructions for </w:t>
      </w:r>
      <w:r>
        <w:rPr>
          <w:rFonts w:ascii="Times New Roman" w:eastAsia="Verdana" w:hAnsi="Times New Roman"/>
          <w:szCs w:val="18"/>
        </w:rPr>
        <w:t xml:space="preserve">the </w:t>
      </w:r>
      <w:r w:rsidRPr="00676AE2">
        <w:rPr>
          <w:rFonts w:ascii="Times New Roman" w:eastAsia="Verdana" w:hAnsi="Times New Roman"/>
          <w:szCs w:val="18"/>
          <w:lang w:val="en-US"/>
        </w:rPr>
        <w:t xml:space="preserve">net stable funding ratio </w:t>
      </w:r>
      <w:r>
        <w:rPr>
          <w:rFonts w:ascii="Times New Roman" w:eastAsia="Verdana" w:hAnsi="Times New Roman"/>
          <w:szCs w:val="18"/>
          <w:lang w:val="en-US"/>
        </w:rPr>
        <w:t xml:space="preserve">(NSFR) </w:t>
      </w:r>
      <w:r w:rsidR="007D69FA" w:rsidRPr="00CF4E2F">
        <w:rPr>
          <w:rFonts w:ascii="Times New Roman" w:eastAsia="Verdana" w:hAnsi="Times New Roman"/>
          <w:szCs w:val="18"/>
          <w:lang w:val="en-US"/>
        </w:rPr>
        <w:t>template</w:t>
      </w:r>
      <w:r>
        <w:rPr>
          <w:rFonts w:ascii="Times New Roman" w:eastAsia="Verdana" w:hAnsi="Times New Roman"/>
          <w:szCs w:val="18"/>
          <w:lang w:val="en-US"/>
        </w:rPr>
        <w:t>s,</w:t>
      </w:r>
      <w:r w:rsidR="007D69FA" w:rsidRPr="00CF4E2F">
        <w:rPr>
          <w:rFonts w:ascii="Times New Roman" w:eastAsia="Verdana" w:hAnsi="Times New Roman"/>
          <w:szCs w:val="18"/>
          <w:lang w:val="en-US"/>
        </w:rPr>
        <w:t xml:space="preserve"> which contains information </w:t>
      </w:r>
      <w:r w:rsidR="007D69FA" w:rsidRPr="00AC2898">
        <w:rPr>
          <w:rFonts w:ascii="Times New Roman" w:eastAsia="Verdana" w:hAnsi="Times New Roman"/>
          <w:szCs w:val="18"/>
          <w:lang w:val="en-US"/>
        </w:rPr>
        <w:t xml:space="preserve">about required </w:t>
      </w:r>
      <w:r w:rsidR="00EB4BBA" w:rsidRPr="00AC2898">
        <w:rPr>
          <w:rFonts w:ascii="Times New Roman" w:eastAsia="Verdana" w:hAnsi="Times New Roman"/>
          <w:szCs w:val="18"/>
          <w:lang w:val="en-US"/>
        </w:rPr>
        <w:t xml:space="preserve">and available </w:t>
      </w:r>
      <w:r w:rsidR="007D69FA" w:rsidRPr="00AC2898">
        <w:rPr>
          <w:rFonts w:ascii="Times New Roman" w:eastAsia="Verdana" w:hAnsi="Times New Roman"/>
          <w:szCs w:val="18"/>
          <w:lang w:val="en-US"/>
        </w:rPr>
        <w:t>stable funding i</w:t>
      </w:r>
      <w:r w:rsidR="007D69FA" w:rsidRPr="00676AE2">
        <w:rPr>
          <w:rFonts w:ascii="Times New Roman" w:eastAsia="Verdana" w:hAnsi="Times New Roman"/>
          <w:szCs w:val="18"/>
          <w:lang w:val="en-US"/>
        </w:rPr>
        <w:t xml:space="preserve">tems, for the purpose of reporting the </w:t>
      </w:r>
      <w:r>
        <w:rPr>
          <w:rFonts w:ascii="Times New Roman" w:eastAsia="Verdana" w:hAnsi="Times New Roman"/>
          <w:szCs w:val="18"/>
          <w:lang w:val="en-US"/>
        </w:rPr>
        <w:t>NSFR</w:t>
      </w:r>
      <w:r w:rsidR="00A064BC">
        <w:rPr>
          <w:rFonts w:ascii="Times New Roman" w:eastAsia="Verdana" w:hAnsi="Times New Roman"/>
          <w:szCs w:val="18"/>
          <w:lang w:val="en-US"/>
        </w:rPr>
        <w:t xml:space="preserve"> </w:t>
      </w:r>
      <w:r w:rsidR="007D69FA" w:rsidRPr="00676AE2">
        <w:rPr>
          <w:rFonts w:ascii="Times New Roman" w:eastAsia="Verdana" w:hAnsi="Times New Roman"/>
          <w:szCs w:val="18"/>
          <w:lang w:val="en-US"/>
        </w:rPr>
        <w:t xml:space="preserve">as specified in </w:t>
      </w:r>
      <w:r w:rsidR="00607717">
        <w:rPr>
          <w:rFonts w:ascii="Times New Roman" w:eastAsia="Verdana" w:hAnsi="Times New Roman"/>
          <w:szCs w:val="18"/>
          <w:lang w:val="en-US"/>
        </w:rPr>
        <w:t xml:space="preserve">Title IV of </w:t>
      </w:r>
      <w:r w:rsidR="00B711ED">
        <w:rPr>
          <w:rFonts w:ascii="Times New Roman" w:eastAsia="Verdana" w:hAnsi="Times New Roman"/>
          <w:szCs w:val="18"/>
          <w:lang w:val="en-US"/>
        </w:rPr>
        <w:t xml:space="preserve">Part Six of </w:t>
      </w:r>
      <w:r w:rsidR="007D69FA" w:rsidRPr="00676AE2">
        <w:rPr>
          <w:rFonts w:ascii="Times New Roman" w:eastAsia="Verdana" w:hAnsi="Times New Roman"/>
          <w:szCs w:val="18"/>
          <w:lang w:val="en-US"/>
        </w:rPr>
        <w:t>Regulation (EU) 575/2013</w:t>
      </w:r>
      <w:r w:rsidR="00964073" w:rsidRPr="00CF4E2F">
        <w:rPr>
          <w:rFonts w:ascii="Times New Roman" w:eastAsia="Verdana" w:hAnsi="Times New Roman"/>
          <w:szCs w:val="18"/>
          <w:lang w:val="en-US"/>
        </w:rPr>
        <w:t xml:space="preserve"> (</w:t>
      </w:r>
      <w:r w:rsidR="00416B4D" w:rsidRPr="00CF4E2F">
        <w:rPr>
          <w:rFonts w:ascii="Times New Roman" w:eastAsia="Verdana" w:hAnsi="Times New Roman"/>
          <w:szCs w:val="18"/>
          <w:lang w:val="en-US"/>
        </w:rPr>
        <w:t>CRR</w:t>
      </w:r>
      <w:r w:rsidR="00964073" w:rsidRPr="00CF4E2F">
        <w:rPr>
          <w:rFonts w:ascii="Times New Roman" w:eastAsia="Verdana" w:hAnsi="Times New Roman"/>
          <w:szCs w:val="18"/>
          <w:lang w:val="en-US"/>
        </w:rPr>
        <w:t>)</w:t>
      </w:r>
      <w:r w:rsidR="007D69FA" w:rsidRPr="00CF4E2F">
        <w:rPr>
          <w:rFonts w:ascii="Times New Roman" w:eastAsia="Verdana" w:hAnsi="Times New Roman"/>
          <w:szCs w:val="18"/>
          <w:lang w:val="en-US"/>
        </w:rPr>
        <w:t>. Items which do not need to be completed by institutions are coloured grey.</w:t>
      </w:r>
    </w:p>
    <w:p w14:paraId="73A23B2B" w14:textId="7EB6F344" w:rsidR="007D69FA" w:rsidRPr="006F31B2" w:rsidRDefault="006F31B2" w:rsidP="0055437F">
      <w:pPr>
        <w:pStyle w:val="ListParagraph"/>
        <w:widowControl w:val="0"/>
        <w:numPr>
          <w:ilvl w:val="0"/>
          <w:numId w:val="24"/>
        </w:numPr>
        <w:tabs>
          <w:tab w:val="left" w:pos="1397"/>
        </w:tabs>
        <w:spacing w:line="276" w:lineRule="auto"/>
        <w:ind w:left="714" w:right="118" w:hanging="357"/>
        <w:contextualSpacing w:val="0"/>
        <w:rPr>
          <w:rFonts w:ascii="Times New Roman" w:eastAsia="Verdana" w:hAnsi="Times New Roman"/>
          <w:szCs w:val="18"/>
          <w:lang w:val="en-US"/>
        </w:rPr>
      </w:pPr>
      <w:r>
        <w:rPr>
          <w:rFonts w:ascii="Times New Roman" w:eastAsia="Verdana" w:hAnsi="Times New Roman"/>
          <w:szCs w:val="18"/>
          <w:lang w:val="en-US"/>
        </w:rPr>
        <w:t>In</w:t>
      </w:r>
      <w:r w:rsidR="00B711ED">
        <w:rPr>
          <w:rFonts w:ascii="Times New Roman" w:eastAsia="Verdana" w:hAnsi="Times New Roman"/>
          <w:szCs w:val="18"/>
          <w:lang w:val="en-US"/>
        </w:rPr>
        <w:t xml:space="preserve"> accordance with Article 415(1) of </w:t>
      </w:r>
      <w:r>
        <w:rPr>
          <w:rFonts w:ascii="Times New Roman" w:eastAsia="Verdana" w:hAnsi="Times New Roman"/>
          <w:szCs w:val="18"/>
          <w:lang w:val="en-US"/>
        </w:rPr>
        <w:t xml:space="preserve">CRR, institutions shall report the template in the reporting currency, regardless of the actual denomination of assets, liabilities and off-balance sheet items. </w:t>
      </w:r>
      <w:r w:rsidR="007D69FA" w:rsidRPr="006F31B2">
        <w:rPr>
          <w:rFonts w:ascii="Times New Roman" w:eastAsia="Verdana" w:hAnsi="Times New Roman"/>
          <w:szCs w:val="18"/>
          <w:lang w:val="en-US"/>
        </w:rPr>
        <w:t xml:space="preserve">Institutions shall </w:t>
      </w:r>
      <w:r>
        <w:rPr>
          <w:rFonts w:ascii="Times New Roman" w:eastAsia="Verdana" w:hAnsi="Times New Roman"/>
          <w:szCs w:val="18"/>
          <w:lang w:val="en-US"/>
        </w:rPr>
        <w:t>separately</w:t>
      </w:r>
      <w:r w:rsidRPr="006F31B2">
        <w:rPr>
          <w:rFonts w:ascii="Times New Roman" w:eastAsia="Verdana" w:hAnsi="Times New Roman"/>
          <w:szCs w:val="18"/>
          <w:lang w:val="en-US"/>
        </w:rPr>
        <w:t xml:space="preserve"> </w:t>
      </w:r>
      <w:r w:rsidR="007D69FA" w:rsidRPr="006F31B2">
        <w:rPr>
          <w:rFonts w:ascii="Times New Roman" w:eastAsia="Verdana" w:hAnsi="Times New Roman"/>
          <w:szCs w:val="18"/>
          <w:lang w:val="en-US"/>
        </w:rPr>
        <w:t xml:space="preserve">report the template in the corresponding currencies in accordance with Article 415(2) of </w:t>
      </w:r>
      <w:r w:rsidR="00416B4D" w:rsidRPr="006F31B2">
        <w:rPr>
          <w:rFonts w:ascii="Times New Roman" w:eastAsia="Verdana" w:hAnsi="Times New Roman"/>
          <w:szCs w:val="18"/>
          <w:lang w:val="en-US"/>
        </w:rPr>
        <w:t>CRR</w:t>
      </w:r>
      <w:r w:rsidR="007D69FA" w:rsidRPr="006F31B2">
        <w:rPr>
          <w:rFonts w:ascii="Times New Roman" w:eastAsia="Verdana" w:hAnsi="Times New Roman"/>
          <w:szCs w:val="18"/>
          <w:lang w:val="en-US"/>
        </w:rPr>
        <w:t>.</w:t>
      </w:r>
    </w:p>
    <w:p w14:paraId="13AB808C" w14:textId="6E32C7E0" w:rsidR="00DF08E7" w:rsidRPr="00CF4E2F" w:rsidRDefault="00A064BC" w:rsidP="00E06921">
      <w:pPr>
        <w:pStyle w:val="ListParagraph"/>
        <w:numPr>
          <w:ilvl w:val="0"/>
          <w:numId w:val="24"/>
        </w:numPr>
        <w:spacing w:line="276" w:lineRule="auto"/>
        <w:ind w:left="714" w:hanging="357"/>
        <w:contextualSpacing w:val="0"/>
        <w:rPr>
          <w:rFonts w:ascii="Times New Roman" w:eastAsia="Verdana" w:hAnsi="Times New Roman"/>
          <w:szCs w:val="18"/>
          <w:lang w:val="en-US"/>
        </w:rPr>
      </w:pPr>
      <w:r>
        <w:rPr>
          <w:rFonts w:ascii="Times New Roman" w:eastAsia="Verdana" w:hAnsi="Times New Roman"/>
          <w:szCs w:val="18"/>
          <w:lang w:val="en-US"/>
        </w:rPr>
        <w:t>With regard to the calculation of the NSFR, t</w:t>
      </w:r>
      <w:r w:rsidR="00DF08E7" w:rsidRPr="00CF4E2F">
        <w:rPr>
          <w:rFonts w:ascii="Times New Roman" w:eastAsia="Verdana" w:hAnsi="Times New Roman"/>
          <w:szCs w:val="18"/>
          <w:lang w:val="en-US"/>
        </w:rPr>
        <w:t>he CRR refers to stable funding factors. The word ‘factor’ in the context of these instructions refers to a number between 0 and 1, which multiplied by the amount yields the weighted amount or the value according to Article 428c(2) of CRR.</w:t>
      </w:r>
    </w:p>
    <w:p w14:paraId="0E5C3D64" w14:textId="353FC6F2" w:rsidR="007D69FA" w:rsidRPr="00CF4E2F" w:rsidRDefault="00E92F39" w:rsidP="00A064BC">
      <w:pPr>
        <w:pStyle w:val="ListParagraph"/>
        <w:widowControl w:val="0"/>
        <w:numPr>
          <w:ilvl w:val="0"/>
          <w:numId w:val="24"/>
        </w:numPr>
        <w:tabs>
          <w:tab w:val="left" w:pos="1397"/>
        </w:tabs>
        <w:spacing w:line="276" w:lineRule="auto"/>
        <w:ind w:left="714" w:right="115" w:hanging="357"/>
        <w:contextualSpacing w:val="0"/>
        <w:rPr>
          <w:rFonts w:ascii="Times New Roman" w:eastAsia="Verdana" w:hAnsi="Times New Roman"/>
          <w:szCs w:val="18"/>
          <w:lang w:val="en-US"/>
        </w:rPr>
      </w:pPr>
      <w:r w:rsidRPr="00CF4E2F">
        <w:rPr>
          <w:rFonts w:ascii="Times New Roman" w:eastAsia="Verdana" w:hAnsi="Times New Roman"/>
          <w:szCs w:val="18"/>
          <w:lang w:val="en-US"/>
        </w:rPr>
        <w:t>In order to avoid any double counting, institutions shall not report assets</w:t>
      </w:r>
      <w:r w:rsidR="0068290B" w:rsidRPr="00CF4E2F">
        <w:rPr>
          <w:rFonts w:ascii="Times New Roman" w:eastAsia="Verdana" w:hAnsi="Times New Roman"/>
          <w:szCs w:val="18"/>
          <w:lang w:val="en-US"/>
        </w:rPr>
        <w:t xml:space="preserve"> or liabilities</w:t>
      </w:r>
      <w:r w:rsidRPr="00CF4E2F">
        <w:rPr>
          <w:rFonts w:ascii="Times New Roman" w:eastAsia="Verdana" w:hAnsi="Times New Roman"/>
          <w:szCs w:val="18"/>
          <w:lang w:val="en-US"/>
        </w:rPr>
        <w:t xml:space="preserve"> that are associated with </w:t>
      </w:r>
      <w:r w:rsidRPr="00A064BC">
        <w:rPr>
          <w:rFonts w:ascii="Times New Roman" w:eastAsia="Verdana" w:hAnsi="Times New Roman"/>
          <w:szCs w:val="20"/>
          <w:lang w:val="en-US"/>
        </w:rPr>
        <w:t>collat</w:t>
      </w:r>
      <w:r w:rsidR="002C0532" w:rsidRPr="00A064BC">
        <w:rPr>
          <w:rFonts w:ascii="Times New Roman" w:eastAsia="Verdana" w:hAnsi="Times New Roman"/>
          <w:szCs w:val="20"/>
          <w:lang w:val="en-US"/>
        </w:rPr>
        <w:t xml:space="preserve">eral posted </w:t>
      </w:r>
      <w:r w:rsidR="00917E68" w:rsidRPr="00A064BC">
        <w:rPr>
          <w:rFonts w:ascii="Times New Roman" w:eastAsia="Verdana" w:hAnsi="Times New Roman"/>
          <w:szCs w:val="20"/>
          <w:lang w:val="en-US"/>
        </w:rPr>
        <w:t xml:space="preserve">or received </w:t>
      </w:r>
      <w:r w:rsidR="002C0532" w:rsidRPr="00A064BC">
        <w:rPr>
          <w:rFonts w:ascii="Times New Roman" w:eastAsia="Verdana" w:hAnsi="Times New Roman"/>
          <w:szCs w:val="20"/>
          <w:lang w:val="en-US"/>
        </w:rPr>
        <w:t xml:space="preserve">as variation margin in accordance with Article </w:t>
      </w:r>
      <w:r w:rsidR="005B0070">
        <w:rPr>
          <w:rFonts w:ascii="Times New Roman" w:eastAsia="Verdana" w:hAnsi="Times New Roman"/>
          <w:szCs w:val="20"/>
          <w:lang w:val="en-US"/>
        </w:rPr>
        <w:t>428k(4)</w:t>
      </w:r>
      <w:r w:rsidR="002C0532" w:rsidRPr="00A064BC">
        <w:rPr>
          <w:rFonts w:ascii="Times New Roman" w:hAnsi="Times New Roman"/>
          <w:szCs w:val="20"/>
          <w:lang w:val="en-US"/>
        </w:rPr>
        <w:t xml:space="preserve"> </w:t>
      </w:r>
      <w:r w:rsidR="002C0532" w:rsidRPr="00A064BC">
        <w:rPr>
          <w:rFonts w:ascii="Times New Roman" w:eastAsia="Verdana" w:hAnsi="Times New Roman"/>
          <w:szCs w:val="20"/>
          <w:lang w:val="en-US"/>
        </w:rPr>
        <w:t xml:space="preserve">of </w:t>
      </w:r>
      <w:r w:rsidR="00416B4D" w:rsidRPr="00A064BC">
        <w:rPr>
          <w:rFonts w:ascii="Times New Roman" w:eastAsia="Verdana" w:hAnsi="Times New Roman"/>
          <w:szCs w:val="20"/>
          <w:lang w:val="en-US"/>
        </w:rPr>
        <w:t>CRR</w:t>
      </w:r>
      <w:r w:rsidR="002C0532" w:rsidRPr="00A064BC">
        <w:rPr>
          <w:rFonts w:ascii="Times New Roman" w:eastAsia="Verdana" w:hAnsi="Times New Roman"/>
          <w:szCs w:val="20"/>
          <w:lang w:val="en-US"/>
        </w:rPr>
        <w:t xml:space="preserve"> and Article 428h(2)</w:t>
      </w:r>
      <w:r w:rsidR="002C0532" w:rsidRPr="00A064BC">
        <w:rPr>
          <w:rFonts w:ascii="Times New Roman" w:hAnsi="Times New Roman"/>
          <w:szCs w:val="20"/>
          <w:lang w:val="en-US"/>
        </w:rPr>
        <w:t xml:space="preserve"> </w:t>
      </w:r>
      <w:r w:rsidR="002C0532" w:rsidRPr="00A064BC">
        <w:rPr>
          <w:rFonts w:ascii="Times New Roman" w:eastAsia="Verdana" w:hAnsi="Times New Roman"/>
          <w:szCs w:val="20"/>
          <w:lang w:val="en-US"/>
        </w:rPr>
        <w:t xml:space="preserve">of </w:t>
      </w:r>
      <w:r w:rsidR="00416B4D" w:rsidRPr="00A064BC">
        <w:rPr>
          <w:rFonts w:ascii="Times New Roman" w:eastAsia="Verdana" w:hAnsi="Times New Roman"/>
          <w:szCs w:val="20"/>
          <w:lang w:val="en-US"/>
        </w:rPr>
        <w:t>CRR</w:t>
      </w:r>
      <w:r w:rsidR="002C0532" w:rsidRPr="00A064BC">
        <w:rPr>
          <w:rFonts w:ascii="Times New Roman" w:eastAsia="Verdana" w:hAnsi="Times New Roman"/>
          <w:szCs w:val="20"/>
          <w:lang w:val="en-US"/>
        </w:rPr>
        <w:t>, initial margin and contribution to the default fund of a CCP in accordance Article 428ag(a)</w:t>
      </w:r>
      <w:r w:rsidR="002C0532" w:rsidRPr="00A064BC">
        <w:rPr>
          <w:rFonts w:ascii="Times New Roman" w:hAnsi="Times New Roman"/>
          <w:szCs w:val="20"/>
          <w:lang w:val="en-US"/>
        </w:rPr>
        <w:t xml:space="preserve"> </w:t>
      </w:r>
      <w:r w:rsidR="002C0532" w:rsidRPr="00A064BC">
        <w:rPr>
          <w:rFonts w:ascii="Times New Roman" w:eastAsia="Verdana" w:hAnsi="Times New Roman"/>
          <w:szCs w:val="20"/>
          <w:lang w:val="en-US"/>
        </w:rPr>
        <w:t>and Article 428ag(b)</w:t>
      </w:r>
      <w:r w:rsidR="002C0532" w:rsidRPr="00A064BC">
        <w:rPr>
          <w:rFonts w:ascii="Times New Roman" w:hAnsi="Times New Roman"/>
          <w:szCs w:val="20"/>
          <w:lang w:val="en-US"/>
        </w:rPr>
        <w:t xml:space="preserve"> </w:t>
      </w:r>
      <w:r w:rsidR="002C0532" w:rsidRPr="00A064BC">
        <w:rPr>
          <w:rFonts w:ascii="Times New Roman" w:eastAsia="Verdana" w:hAnsi="Times New Roman"/>
          <w:szCs w:val="20"/>
          <w:lang w:val="en-US"/>
        </w:rPr>
        <w:t xml:space="preserve">of </w:t>
      </w:r>
      <w:r w:rsidR="00416B4D" w:rsidRPr="00A064BC">
        <w:rPr>
          <w:rFonts w:ascii="Times New Roman" w:eastAsia="Verdana" w:hAnsi="Times New Roman"/>
          <w:szCs w:val="20"/>
          <w:lang w:val="en-US"/>
        </w:rPr>
        <w:t>CRR</w:t>
      </w:r>
      <w:r w:rsidR="002C0532" w:rsidRPr="00A064BC">
        <w:rPr>
          <w:rFonts w:ascii="Times New Roman" w:eastAsia="Verdana" w:hAnsi="Times New Roman"/>
          <w:szCs w:val="20"/>
          <w:lang w:val="en-US"/>
        </w:rPr>
        <w:t>.</w:t>
      </w:r>
    </w:p>
    <w:p w14:paraId="679886F0" w14:textId="4835C5FF" w:rsidR="00917E68" w:rsidRPr="00CF4E2F" w:rsidRDefault="007D69FA" w:rsidP="00A064BC">
      <w:pPr>
        <w:pStyle w:val="ListParagraph"/>
        <w:widowControl w:val="0"/>
        <w:numPr>
          <w:ilvl w:val="0"/>
          <w:numId w:val="24"/>
        </w:numPr>
        <w:tabs>
          <w:tab w:val="left" w:pos="1397"/>
        </w:tabs>
        <w:spacing w:line="276" w:lineRule="auto"/>
        <w:ind w:left="714" w:right="113" w:hanging="357"/>
        <w:contextualSpacing w:val="0"/>
        <w:rPr>
          <w:rFonts w:ascii="Times New Roman" w:eastAsia="Verdana" w:hAnsi="Times New Roman"/>
          <w:szCs w:val="18"/>
          <w:lang w:val="en-US"/>
        </w:rPr>
      </w:pPr>
      <w:r w:rsidRPr="00CF4E2F">
        <w:rPr>
          <w:rFonts w:ascii="Times New Roman" w:eastAsia="Verdana" w:hAnsi="Times New Roman"/>
          <w:szCs w:val="18"/>
          <w:lang w:val="en-US"/>
        </w:rPr>
        <w:t xml:space="preserve">Items </w:t>
      </w:r>
      <w:r w:rsidR="00A064BC">
        <w:rPr>
          <w:rFonts w:ascii="Times New Roman" w:eastAsia="Verdana" w:hAnsi="Times New Roman"/>
          <w:szCs w:val="18"/>
          <w:lang w:val="en-US"/>
        </w:rPr>
        <w:t xml:space="preserve">provided </w:t>
      </w:r>
      <w:r w:rsidRPr="00CF4E2F">
        <w:rPr>
          <w:rFonts w:ascii="Times New Roman" w:eastAsia="Verdana" w:hAnsi="Times New Roman"/>
          <w:szCs w:val="18"/>
          <w:lang w:val="en-US"/>
        </w:rPr>
        <w:t xml:space="preserve">by </w:t>
      </w:r>
      <w:r w:rsidR="00A064BC">
        <w:rPr>
          <w:rFonts w:ascii="Times New Roman" w:eastAsia="Verdana" w:hAnsi="Times New Roman"/>
          <w:szCs w:val="18"/>
          <w:lang w:val="en-US"/>
        </w:rPr>
        <w:t xml:space="preserve">and extended to </w:t>
      </w:r>
      <w:r w:rsidRPr="00CF4E2F">
        <w:rPr>
          <w:rFonts w:ascii="Times New Roman" w:eastAsia="Verdana" w:hAnsi="Times New Roman"/>
          <w:szCs w:val="18"/>
          <w:lang w:val="en-US"/>
        </w:rPr>
        <w:t xml:space="preserve">members of a group or an institutional protection scheme where the competent authority has granted permission to apply a preferential treatment </w:t>
      </w:r>
      <w:r w:rsidR="00F12D29">
        <w:rPr>
          <w:rFonts w:ascii="Times New Roman" w:eastAsia="Verdana" w:hAnsi="Times New Roman"/>
          <w:szCs w:val="18"/>
          <w:lang w:val="en-US"/>
        </w:rPr>
        <w:t xml:space="preserve">according to Article 428h of CRR </w:t>
      </w:r>
      <w:r w:rsidRPr="00CF4E2F">
        <w:rPr>
          <w:rFonts w:ascii="Times New Roman" w:eastAsia="Verdana" w:hAnsi="Times New Roman"/>
          <w:szCs w:val="18"/>
          <w:lang w:val="en-US"/>
        </w:rPr>
        <w:t xml:space="preserve">shall be reported in </w:t>
      </w:r>
      <w:r w:rsidR="00A064BC">
        <w:rPr>
          <w:rFonts w:ascii="Times New Roman" w:eastAsia="Verdana" w:hAnsi="Times New Roman"/>
          <w:szCs w:val="18"/>
          <w:lang w:val="en-US"/>
        </w:rPr>
        <w:t>a</w:t>
      </w:r>
      <w:r w:rsidR="00A064BC" w:rsidRPr="00CF4E2F">
        <w:rPr>
          <w:rFonts w:ascii="Times New Roman" w:eastAsia="Verdana" w:hAnsi="Times New Roman"/>
          <w:szCs w:val="18"/>
          <w:lang w:val="en-US"/>
        </w:rPr>
        <w:t xml:space="preserve"> </w:t>
      </w:r>
      <w:r w:rsidRPr="00CF4E2F">
        <w:rPr>
          <w:rFonts w:ascii="Times New Roman" w:eastAsia="Verdana" w:hAnsi="Times New Roman"/>
          <w:szCs w:val="18"/>
          <w:lang w:val="en-US"/>
        </w:rPr>
        <w:t>separate category. Deposits maintained in the context of an institutional protection scheme or a cooperative network considered as liquid assets shall be reported as liquid assets</w:t>
      </w:r>
      <w:r w:rsidR="008325DA">
        <w:rPr>
          <w:rFonts w:ascii="Times New Roman" w:eastAsia="Verdana" w:hAnsi="Times New Roman"/>
          <w:szCs w:val="18"/>
          <w:lang w:val="en-US"/>
        </w:rPr>
        <w:t xml:space="preserve"> in accordance with Article 428g of CRR</w:t>
      </w:r>
      <w:r w:rsidRPr="00CF4E2F">
        <w:rPr>
          <w:rFonts w:ascii="Times New Roman" w:eastAsia="Verdana" w:hAnsi="Times New Roman"/>
          <w:szCs w:val="18"/>
          <w:lang w:val="en-US"/>
        </w:rPr>
        <w:t xml:space="preserve">. Other </w:t>
      </w:r>
      <w:r w:rsidR="008325DA">
        <w:rPr>
          <w:rFonts w:ascii="Times New Roman" w:eastAsia="Verdana" w:hAnsi="Times New Roman"/>
          <w:szCs w:val="18"/>
          <w:lang w:val="en-US"/>
        </w:rPr>
        <w:t>i</w:t>
      </w:r>
      <w:r w:rsidRPr="00CF4E2F">
        <w:rPr>
          <w:rFonts w:ascii="Times New Roman" w:eastAsia="Verdana" w:hAnsi="Times New Roman"/>
          <w:szCs w:val="18"/>
          <w:lang w:val="en-US"/>
        </w:rPr>
        <w:t>tems within a group or an institutional protection scheme shall be reported in the relevant categories.</w:t>
      </w:r>
    </w:p>
    <w:p w14:paraId="6F60AC7C" w14:textId="18DC4711" w:rsidR="005074D1" w:rsidRPr="00CF4E2F" w:rsidRDefault="00452A84" w:rsidP="00A064BC">
      <w:pPr>
        <w:pStyle w:val="ListParagraph"/>
        <w:widowControl w:val="0"/>
        <w:numPr>
          <w:ilvl w:val="0"/>
          <w:numId w:val="24"/>
        </w:numPr>
        <w:tabs>
          <w:tab w:val="left" w:pos="1397"/>
        </w:tabs>
        <w:spacing w:line="276" w:lineRule="auto"/>
        <w:ind w:left="714" w:right="113" w:hanging="357"/>
        <w:contextualSpacing w:val="0"/>
        <w:rPr>
          <w:rFonts w:ascii="Times New Roman" w:eastAsia="Verdana" w:hAnsi="Times New Roman"/>
          <w:szCs w:val="18"/>
          <w:lang w:val="en-US"/>
        </w:rPr>
      </w:pPr>
      <w:r w:rsidRPr="00CF4E2F">
        <w:rPr>
          <w:rFonts w:ascii="Times New Roman" w:eastAsia="Verdana" w:hAnsi="Times New Roman"/>
          <w:szCs w:val="18"/>
          <w:lang w:val="en-US"/>
        </w:rPr>
        <w:t>For reporting purposes, in the columns referred as “Amount” the accounting value shall always be reported, except for the cases of derivative</w:t>
      </w:r>
      <w:r w:rsidR="00C954E8">
        <w:rPr>
          <w:rFonts w:ascii="Times New Roman" w:eastAsia="Verdana" w:hAnsi="Times New Roman"/>
          <w:szCs w:val="18"/>
          <w:lang w:val="en-US"/>
        </w:rPr>
        <w:t xml:space="preserve"> contracts</w:t>
      </w:r>
      <w:r w:rsidR="00E61718">
        <w:rPr>
          <w:rFonts w:ascii="Times New Roman" w:eastAsia="Verdana" w:hAnsi="Times New Roman"/>
          <w:szCs w:val="18"/>
          <w:lang w:val="en-US"/>
        </w:rPr>
        <w:t>,</w:t>
      </w:r>
      <w:r w:rsidR="00C954E8">
        <w:rPr>
          <w:rFonts w:ascii="Times New Roman" w:eastAsia="Verdana" w:hAnsi="Times New Roman"/>
          <w:szCs w:val="18"/>
          <w:lang w:val="en-US"/>
        </w:rPr>
        <w:t xml:space="preserve"> for which institutions shall refer to the fair value as specified in Article 428d(2) of CRR.</w:t>
      </w:r>
    </w:p>
    <w:p w14:paraId="7E256F6D" w14:textId="661F7A46" w:rsidR="00D030C4" w:rsidRDefault="00763A6C" w:rsidP="004B3B4E">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Pr>
          <w:rFonts w:ascii="Times New Roman" w:eastAsia="Verdana" w:hAnsi="Times New Roman"/>
          <w:szCs w:val="18"/>
          <w:lang w:val="en-US"/>
        </w:rPr>
        <w:t>For the purposes of r</w:t>
      </w:r>
      <w:r w:rsidR="008D34E3" w:rsidRPr="008D34E3">
        <w:rPr>
          <w:rFonts w:ascii="Times New Roman" w:eastAsia="Verdana" w:hAnsi="Times New Roman"/>
          <w:szCs w:val="18"/>
          <w:lang w:val="en-US"/>
        </w:rPr>
        <w:t>eporting by currency subject to separate reporting</w:t>
      </w:r>
      <w:r>
        <w:rPr>
          <w:rFonts w:ascii="Times New Roman" w:eastAsia="Verdana" w:hAnsi="Times New Roman"/>
          <w:szCs w:val="18"/>
          <w:lang w:val="en-US"/>
        </w:rPr>
        <w:t xml:space="preserve"> </w:t>
      </w:r>
      <w:r w:rsidRPr="00763A6C">
        <w:rPr>
          <w:rFonts w:ascii="Times New Roman" w:eastAsia="Verdana" w:hAnsi="Times New Roman"/>
          <w:szCs w:val="18"/>
          <w:lang w:val="en-US"/>
        </w:rPr>
        <w:t>as envisaged in Article 415</w:t>
      </w:r>
      <w:r w:rsidR="005B0070">
        <w:rPr>
          <w:rFonts w:ascii="Times New Roman" w:eastAsia="Verdana" w:hAnsi="Times New Roman"/>
          <w:szCs w:val="18"/>
          <w:lang w:val="en-US"/>
        </w:rPr>
        <w:t>(2)</w:t>
      </w:r>
      <w:r w:rsidRPr="00763A6C">
        <w:rPr>
          <w:rFonts w:ascii="Times New Roman" w:eastAsia="Verdana" w:hAnsi="Times New Roman"/>
          <w:szCs w:val="18"/>
          <w:lang w:val="en-US"/>
        </w:rPr>
        <w:t xml:space="preserve"> of CRR</w:t>
      </w:r>
      <w:r>
        <w:rPr>
          <w:rFonts w:ascii="Times New Roman" w:eastAsia="Verdana" w:hAnsi="Times New Roman"/>
          <w:szCs w:val="18"/>
          <w:lang w:val="en-US"/>
        </w:rPr>
        <w:t>, as regards</w:t>
      </w:r>
      <w:r w:rsidRPr="00763A6C">
        <w:rPr>
          <w:rFonts w:ascii="Times New Roman" w:eastAsia="Verdana" w:hAnsi="Times New Roman"/>
          <w:szCs w:val="18"/>
          <w:lang w:val="en-US"/>
        </w:rPr>
        <w:t xml:space="preserve"> derivatives as envisaged in Article 428d</w:t>
      </w:r>
      <w:r w:rsidR="005B0070">
        <w:rPr>
          <w:rFonts w:ascii="Times New Roman" w:eastAsia="Verdana" w:hAnsi="Times New Roman"/>
          <w:szCs w:val="18"/>
          <w:lang w:val="en-US"/>
        </w:rPr>
        <w:t>(4)</w:t>
      </w:r>
      <w:r w:rsidRPr="00763A6C">
        <w:rPr>
          <w:rFonts w:ascii="Times New Roman" w:eastAsia="Verdana" w:hAnsi="Times New Roman"/>
          <w:szCs w:val="18"/>
          <w:lang w:val="en-US"/>
        </w:rPr>
        <w:t xml:space="preserve"> of CRR</w:t>
      </w:r>
      <w:r>
        <w:rPr>
          <w:rFonts w:ascii="Times New Roman" w:eastAsia="Verdana" w:hAnsi="Times New Roman"/>
          <w:szCs w:val="18"/>
          <w:lang w:val="en-US"/>
        </w:rPr>
        <w:t>,</w:t>
      </w:r>
      <w:r w:rsidR="008D34E3" w:rsidRPr="008D34E3">
        <w:rPr>
          <w:rFonts w:ascii="Times New Roman" w:eastAsia="Verdana" w:hAnsi="Times New Roman"/>
          <w:szCs w:val="18"/>
          <w:lang w:val="en-US"/>
        </w:rPr>
        <w:t xml:space="preserve"> </w:t>
      </w:r>
      <w:r>
        <w:rPr>
          <w:rFonts w:ascii="Times New Roman" w:eastAsia="Verdana" w:hAnsi="Times New Roman"/>
          <w:szCs w:val="18"/>
          <w:lang w:val="en-US"/>
        </w:rPr>
        <w:t>i</w:t>
      </w:r>
      <w:r w:rsidR="00D030C4">
        <w:rPr>
          <w:rFonts w:ascii="Times New Roman" w:eastAsia="Verdana" w:hAnsi="Times New Roman"/>
          <w:szCs w:val="18"/>
          <w:lang w:val="en-US"/>
        </w:rPr>
        <w:t xml:space="preserve">nstitutions </w:t>
      </w:r>
      <w:r>
        <w:rPr>
          <w:rFonts w:ascii="Times New Roman" w:eastAsia="Verdana" w:hAnsi="Times New Roman"/>
          <w:szCs w:val="18"/>
          <w:lang w:val="en-US"/>
        </w:rPr>
        <w:t xml:space="preserve">shall </w:t>
      </w:r>
      <w:r w:rsidR="004B3B4E">
        <w:rPr>
          <w:rFonts w:ascii="Times New Roman" w:eastAsia="Verdana" w:hAnsi="Times New Roman"/>
          <w:szCs w:val="18"/>
          <w:lang w:val="en-US"/>
        </w:rPr>
        <w:t>calculate the fair value for each netting set in its settlement currency</w:t>
      </w:r>
      <w:r w:rsidR="008D34E3" w:rsidRPr="008D34E3">
        <w:rPr>
          <w:rFonts w:ascii="Times New Roman" w:eastAsia="Verdana" w:hAnsi="Times New Roman"/>
          <w:szCs w:val="18"/>
          <w:lang w:val="en-US"/>
        </w:rPr>
        <w:t>.</w:t>
      </w:r>
      <w:r w:rsidR="004B3B4E">
        <w:rPr>
          <w:rFonts w:ascii="Times New Roman" w:eastAsia="Verdana" w:hAnsi="Times New Roman"/>
          <w:szCs w:val="18"/>
          <w:lang w:val="en-US"/>
        </w:rPr>
        <w:t xml:space="preserve"> </w:t>
      </w:r>
      <w:r w:rsidR="004B3B4E" w:rsidRPr="004B3B4E">
        <w:rPr>
          <w:rFonts w:ascii="Times New Roman" w:eastAsia="Verdana" w:hAnsi="Times New Roman"/>
          <w:szCs w:val="18"/>
          <w:lang w:val="en-US"/>
        </w:rPr>
        <w:t xml:space="preserve">For all netting sets with matching settlement currencies a net amount shall be calculated in accordance with Article </w:t>
      </w:r>
      <w:r w:rsidR="005B0070">
        <w:rPr>
          <w:rFonts w:ascii="Times New Roman" w:eastAsia="Verdana" w:hAnsi="Times New Roman"/>
          <w:szCs w:val="18"/>
          <w:lang w:val="en-US"/>
        </w:rPr>
        <w:t>428k(4)</w:t>
      </w:r>
      <w:r w:rsidR="004B3B4E" w:rsidRPr="004B3B4E">
        <w:rPr>
          <w:rFonts w:ascii="Times New Roman" w:eastAsia="Verdana" w:hAnsi="Times New Roman"/>
          <w:szCs w:val="18"/>
          <w:lang w:val="en-US"/>
        </w:rPr>
        <w:t xml:space="preserve"> and </w:t>
      </w:r>
      <w:r w:rsidR="00EF468A">
        <w:rPr>
          <w:rFonts w:ascii="Times New Roman" w:eastAsia="Verdana" w:hAnsi="Times New Roman"/>
          <w:szCs w:val="18"/>
          <w:lang w:val="en-US"/>
        </w:rPr>
        <w:t>428ah(2)</w:t>
      </w:r>
      <w:r w:rsidR="004B3B4E" w:rsidRPr="004B3B4E">
        <w:rPr>
          <w:rFonts w:ascii="Times New Roman" w:eastAsia="Verdana" w:hAnsi="Times New Roman"/>
          <w:szCs w:val="18"/>
          <w:lang w:val="en-US"/>
        </w:rPr>
        <w:t>, and reported in the relevant currency subject to separate reporting.</w:t>
      </w:r>
    </w:p>
    <w:p w14:paraId="538E5195" w14:textId="2A421481" w:rsidR="00A467EE" w:rsidRPr="00A44D3F" w:rsidRDefault="00D54BD4" w:rsidP="00763A6C">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A44D3F">
        <w:rPr>
          <w:rFonts w:ascii="Times New Roman" w:eastAsia="Verdana" w:hAnsi="Times New Roman"/>
          <w:szCs w:val="18"/>
          <w:lang w:val="en-US"/>
        </w:rPr>
        <w:t xml:space="preserve">The amount of </w:t>
      </w:r>
      <w:r w:rsidR="00763A6C" w:rsidRPr="00A44D3F">
        <w:rPr>
          <w:rFonts w:ascii="Times New Roman" w:eastAsia="Verdana" w:hAnsi="Times New Roman"/>
          <w:szCs w:val="18"/>
          <w:lang w:val="en-US"/>
        </w:rPr>
        <w:t xml:space="preserve">assets and liabilities resulting from </w:t>
      </w:r>
      <w:r w:rsidRPr="00A44D3F">
        <w:rPr>
          <w:rFonts w:ascii="Times New Roman" w:eastAsia="Verdana" w:hAnsi="Times New Roman"/>
          <w:szCs w:val="18"/>
          <w:lang w:val="en-US"/>
        </w:rPr>
        <w:t>securities financing transactions</w:t>
      </w:r>
      <w:r w:rsidR="00D030C4" w:rsidRPr="00A44D3F">
        <w:rPr>
          <w:rFonts w:ascii="Times New Roman" w:eastAsia="Verdana" w:hAnsi="Times New Roman"/>
          <w:szCs w:val="18"/>
          <w:lang w:val="en-US"/>
        </w:rPr>
        <w:t xml:space="preserve"> (SFTs)</w:t>
      </w:r>
      <w:r w:rsidRPr="00A44D3F">
        <w:rPr>
          <w:rFonts w:ascii="Times New Roman" w:eastAsia="Verdana" w:hAnsi="Times New Roman"/>
          <w:szCs w:val="18"/>
          <w:lang w:val="en-US"/>
        </w:rPr>
        <w:t xml:space="preserve"> </w:t>
      </w:r>
      <w:r w:rsidR="00763A6C" w:rsidRPr="00A44D3F">
        <w:rPr>
          <w:rFonts w:ascii="Times New Roman" w:eastAsia="Verdana" w:hAnsi="Times New Roman"/>
          <w:szCs w:val="18"/>
          <w:lang w:val="en-US"/>
        </w:rPr>
        <w:t xml:space="preserve">with a single counterparty </w:t>
      </w:r>
      <w:r w:rsidRPr="00A44D3F">
        <w:rPr>
          <w:rFonts w:ascii="Times New Roman" w:eastAsia="Verdana" w:hAnsi="Times New Roman"/>
          <w:szCs w:val="18"/>
          <w:lang w:val="en-US"/>
        </w:rPr>
        <w:t xml:space="preserve">shall be </w:t>
      </w:r>
      <w:r w:rsidR="00763A6C" w:rsidRPr="00A44D3F">
        <w:rPr>
          <w:rFonts w:ascii="Times New Roman" w:eastAsia="Verdana" w:hAnsi="Times New Roman"/>
          <w:szCs w:val="18"/>
          <w:lang w:val="en-US"/>
        </w:rPr>
        <w:t xml:space="preserve">reported </w:t>
      </w:r>
      <w:r w:rsidRPr="00A44D3F">
        <w:rPr>
          <w:rFonts w:ascii="Times New Roman" w:eastAsia="Verdana" w:hAnsi="Times New Roman"/>
          <w:szCs w:val="18"/>
          <w:lang w:val="en-US"/>
        </w:rPr>
        <w:t>on a net basis</w:t>
      </w:r>
      <w:r w:rsidR="00763A6C" w:rsidRPr="00A44D3F">
        <w:rPr>
          <w:rFonts w:ascii="Times New Roman" w:eastAsia="Verdana" w:hAnsi="Times New Roman"/>
          <w:szCs w:val="18"/>
          <w:lang w:val="en-US"/>
        </w:rPr>
        <w:t xml:space="preserve"> where</w:t>
      </w:r>
      <w:r w:rsidRPr="00A44D3F">
        <w:rPr>
          <w:rFonts w:ascii="Times New Roman" w:eastAsia="Verdana" w:hAnsi="Times New Roman"/>
          <w:szCs w:val="18"/>
          <w:lang w:val="en-US"/>
        </w:rPr>
        <w:t xml:space="preserve"> Article 428e of </w:t>
      </w:r>
      <w:r w:rsidR="00D030C4" w:rsidRPr="00A44D3F">
        <w:rPr>
          <w:rFonts w:ascii="Times New Roman" w:eastAsia="Verdana" w:hAnsi="Times New Roman"/>
          <w:szCs w:val="18"/>
          <w:lang w:val="en-US"/>
        </w:rPr>
        <w:t>CRR</w:t>
      </w:r>
      <w:r w:rsidR="00763A6C" w:rsidRPr="00A44D3F">
        <w:rPr>
          <w:rFonts w:ascii="Times New Roman" w:eastAsia="Verdana" w:hAnsi="Times New Roman"/>
          <w:szCs w:val="18"/>
          <w:lang w:val="en-US"/>
        </w:rPr>
        <w:t xml:space="preserve"> applies</w:t>
      </w:r>
      <w:r w:rsidR="00D030C4" w:rsidRPr="00A44D3F">
        <w:rPr>
          <w:rFonts w:ascii="Times New Roman" w:eastAsia="Verdana" w:hAnsi="Times New Roman"/>
          <w:szCs w:val="18"/>
          <w:lang w:val="en-US"/>
        </w:rPr>
        <w:t xml:space="preserve">. </w:t>
      </w:r>
      <w:r w:rsidR="00763A6C" w:rsidRPr="00A44D3F">
        <w:rPr>
          <w:rFonts w:ascii="Times New Roman" w:eastAsia="Verdana" w:hAnsi="Times New Roman"/>
          <w:szCs w:val="18"/>
          <w:lang w:val="en-US"/>
        </w:rPr>
        <w:t xml:space="preserve">In the case that the individual transactions netted were subject to different RSF factors if they were considered separately, the netted amount to be reported, if </w:t>
      </w:r>
      <w:r w:rsidR="008325DA">
        <w:rPr>
          <w:rFonts w:ascii="Times New Roman" w:eastAsia="Verdana" w:hAnsi="Times New Roman"/>
          <w:szCs w:val="18"/>
          <w:lang w:val="en-US"/>
        </w:rPr>
        <w:t xml:space="preserve">being </w:t>
      </w:r>
      <w:r w:rsidR="00763A6C" w:rsidRPr="00A44D3F">
        <w:rPr>
          <w:rFonts w:ascii="Times New Roman" w:eastAsia="Verdana" w:hAnsi="Times New Roman"/>
          <w:szCs w:val="18"/>
          <w:lang w:val="en-US"/>
        </w:rPr>
        <w:t xml:space="preserve">an asset, shall </w:t>
      </w:r>
      <w:r w:rsidR="00A44D3F" w:rsidRPr="00A44D3F">
        <w:rPr>
          <w:rFonts w:ascii="Times New Roman" w:eastAsia="Verdana" w:hAnsi="Times New Roman"/>
          <w:szCs w:val="18"/>
          <w:lang w:val="en-US"/>
        </w:rPr>
        <w:t xml:space="preserve">be subject to </w:t>
      </w:r>
      <w:r w:rsidR="00763A6C" w:rsidRPr="00A44D3F">
        <w:rPr>
          <w:rFonts w:ascii="Times New Roman" w:eastAsia="Verdana" w:hAnsi="Times New Roman"/>
          <w:szCs w:val="18"/>
          <w:lang w:val="en-US"/>
        </w:rPr>
        <w:t>the higher RSF factor of them.</w:t>
      </w:r>
    </w:p>
    <w:p w14:paraId="00C28EC6" w14:textId="685E5B33" w:rsidR="00FC2664" w:rsidRPr="00C954E8" w:rsidRDefault="00A467EE">
      <w:pPr>
        <w:pStyle w:val="ListParagraph"/>
        <w:widowControl w:val="0"/>
        <w:numPr>
          <w:ilvl w:val="0"/>
          <w:numId w:val="24"/>
        </w:numPr>
        <w:tabs>
          <w:tab w:val="left" w:pos="1397"/>
        </w:tabs>
        <w:spacing w:line="276" w:lineRule="auto"/>
        <w:ind w:left="714" w:right="113" w:hanging="357"/>
        <w:contextualSpacing w:val="0"/>
        <w:rPr>
          <w:rFonts w:ascii="Times New Roman" w:hAnsi="Times New Roman"/>
          <w:lang w:val="en-US"/>
        </w:rPr>
      </w:pPr>
      <w:r w:rsidRPr="00363567">
        <w:rPr>
          <w:rFonts w:ascii="Times New Roman" w:eastAsia="Verdana" w:hAnsi="Times New Roman"/>
          <w:szCs w:val="18"/>
          <w:lang w:val="en-US"/>
        </w:rPr>
        <w:t xml:space="preserve">In accordance with Article 428ai </w:t>
      </w:r>
      <w:r w:rsidR="00614AE9">
        <w:rPr>
          <w:rFonts w:ascii="Times New Roman" w:eastAsia="Verdana" w:hAnsi="Times New Roman"/>
          <w:szCs w:val="18"/>
          <w:lang w:val="en-US"/>
        </w:rPr>
        <w:t xml:space="preserve">of </w:t>
      </w:r>
      <w:r w:rsidRPr="00363567">
        <w:rPr>
          <w:rFonts w:ascii="Times New Roman" w:eastAsia="Verdana" w:hAnsi="Times New Roman"/>
          <w:szCs w:val="18"/>
          <w:lang w:val="en-US"/>
        </w:rPr>
        <w:t xml:space="preserve">CRR, small and non-complex institutions may choose, with the prior permission of their competent authority, to calculate their </w:t>
      </w:r>
      <w:r w:rsidR="006E3C92">
        <w:rPr>
          <w:rFonts w:ascii="Times New Roman" w:eastAsia="Verdana" w:hAnsi="Times New Roman"/>
          <w:szCs w:val="18"/>
          <w:lang w:val="en-US"/>
        </w:rPr>
        <w:t>NSFR</w:t>
      </w:r>
      <w:r w:rsidRPr="00363567">
        <w:rPr>
          <w:rFonts w:ascii="Times New Roman" w:eastAsia="Verdana" w:hAnsi="Times New Roman"/>
          <w:szCs w:val="18"/>
          <w:lang w:val="en-US"/>
        </w:rPr>
        <w:t xml:space="preserve"> in accordance with the simplified methodology set out in Chapters 6-7</w:t>
      </w:r>
      <w:r w:rsidR="00614AE9">
        <w:rPr>
          <w:rFonts w:ascii="Times New Roman" w:eastAsia="Verdana" w:hAnsi="Times New Roman"/>
          <w:szCs w:val="18"/>
          <w:lang w:val="en-US"/>
        </w:rPr>
        <w:t xml:space="preserve"> of Title IV of Part Six of CRR</w:t>
      </w:r>
      <w:r w:rsidRPr="00363567">
        <w:rPr>
          <w:rFonts w:ascii="Times New Roman" w:eastAsia="Verdana" w:hAnsi="Times New Roman"/>
          <w:szCs w:val="18"/>
          <w:lang w:val="en-US"/>
        </w:rPr>
        <w:t xml:space="preserve">. Institutions that use this simplified methodology for the calculation of the net stable funding ratio shall use </w:t>
      </w:r>
      <w:r w:rsidR="00E830A3">
        <w:rPr>
          <w:rFonts w:ascii="Times New Roman" w:eastAsia="Verdana" w:hAnsi="Times New Roman"/>
          <w:szCs w:val="18"/>
          <w:lang w:val="en-US"/>
        </w:rPr>
        <w:t xml:space="preserve">the </w:t>
      </w:r>
      <w:r w:rsidRPr="00363567">
        <w:rPr>
          <w:rFonts w:ascii="Times New Roman" w:eastAsia="Verdana" w:hAnsi="Times New Roman"/>
          <w:szCs w:val="18"/>
          <w:lang w:val="en-US"/>
        </w:rPr>
        <w:t>reporting templates C</w:t>
      </w:r>
      <w:r w:rsidR="003E2F9E">
        <w:rPr>
          <w:rFonts w:ascii="Times New Roman" w:eastAsia="Verdana" w:hAnsi="Times New Roman"/>
          <w:szCs w:val="18"/>
          <w:lang w:val="en-US"/>
        </w:rPr>
        <w:t> </w:t>
      </w:r>
      <w:r w:rsidRPr="00363567">
        <w:rPr>
          <w:rFonts w:ascii="Times New Roman" w:eastAsia="Verdana" w:hAnsi="Times New Roman"/>
          <w:szCs w:val="18"/>
          <w:lang w:val="en-US"/>
        </w:rPr>
        <w:t>82.00 and C</w:t>
      </w:r>
      <w:r w:rsidR="003E2F9E">
        <w:rPr>
          <w:rFonts w:ascii="Times New Roman" w:eastAsia="Verdana" w:hAnsi="Times New Roman"/>
          <w:szCs w:val="18"/>
          <w:lang w:val="en-US"/>
        </w:rPr>
        <w:t> </w:t>
      </w:r>
      <w:r w:rsidRPr="00363567">
        <w:rPr>
          <w:rFonts w:ascii="Times New Roman" w:eastAsia="Verdana" w:hAnsi="Times New Roman"/>
          <w:szCs w:val="18"/>
          <w:lang w:val="en-US"/>
        </w:rPr>
        <w:t>83.00.</w:t>
      </w:r>
      <w:r w:rsidR="003E2F9E">
        <w:rPr>
          <w:rFonts w:ascii="Times New Roman" w:eastAsia="Verdana" w:hAnsi="Times New Roman"/>
          <w:szCs w:val="18"/>
          <w:lang w:val="en-US"/>
        </w:rPr>
        <w:t xml:space="preserve"> All other institutions shall use </w:t>
      </w:r>
      <w:r w:rsidR="00E830A3">
        <w:rPr>
          <w:rFonts w:ascii="Times New Roman" w:eastAsia="Verdana" w:hAnsi="Times New Roman"/>
          <w:szCs w:val="18"/>
          <w:lang w:val="en-US"/>
        </w:rPr>
        <w:t xml:space="preserve">the </w:t>
      </w:r>
      <w:r w:rsidR="003E2F9E" w:rsidRPr="00363567">
        <w:rPr>
          <w:rFonts w:ascii="Times New Roman" w:eastAsia="Verdana" w:hAnsi="Times New Roman"/>
          <w:szCs w:val="18"/>
          <w:lang w:val="en-US"/>
        </w:rPr>
        <w:t>reporting templates C</w:t>
      </w:r>
      <w:r w:rsidR="003E2F9E">
        <w:rPr>
          <w:rFonts w:ascii="Times New Roman" w:eastAsia="Verdana" w:hAnsi="Times New Roman"/>
          <w:szCs w:val="18"/>
          <w:lang w:val="en-US"/>
        </w:rPr>
        <w:t> </w:t>
      </w:r>
      <w:r w:rsidR="003E2F9E" w:rsidRPr="00363567">
        <w:rPr>
          <w:rFonts w:ascii="Times New Roman" w:eastAsia="Verdana" w:hAnsi="Times New Roman"/>
          <w:szCs w:val="18"/>
          <w:lang w:val="en-US"/>
        </w:rPr>
        <w:t>8</w:t>
      </w:r>
      <w:r w:rsidR="003E2F9E">
        <w:rPr>
          <w:rFonts w:ascii="Times New Roman" w:eastAsia="Verdana" w:hAnsi="Times New Roman"/>
          <w:szCs w:val="18"/>
          <w:lang w:val="en-US"/>
        </w:rPr>
        <w:t>0</w:t>
      </w:r>
      <w:r w:rsidR="003E2F9E" w:rsidRPr="00363567">
        <w:rPr>
          <w:rFonts w:ascii="Times New Roman" w:eastAsia="Verdana" w:hAnsi="Times New Roman"/>
          <w:szCs w:val="18"/>
          <w:lang w:val="en-US"/>
        </w:rPr>
        <w:t>.00 and C</w:t>
      </w:r>
      <w:r w:rsidR="003E2F9E">
        <w:rPr>
          <w:rFonts w:ascii="Times New Roman" w:eastAsia="Verdana" w:hAnsi="Times New Roman"/>
          <w:szCs w:val="18"/>
          <w:lang w:val="en-US"/>
        </w:rPr>
        <w:t> </w:t>
      </w:r>
      <w:r w:rsidR="003E2F9E" w:rsidRPr="00363567">
        <w:rPr>
          <w:rFonts w:ascii="Times New Roman" w:eastAsia="Verdana" w:hAnsi="Times New Roman"/>
          <w:szCs w:val="18"/>
          <w:lang w:val="en-US"/>
        </w:rPr>
        <w:t>8</w:t>
      </w:r>
      <w:r w:rsidR="003E2F9E">
        <w:rPr>
          <w:rFonts w:ascii="Times New Roman" w:eastAsia="Verdana" w:hAnsi="Times New Roman"/>
          <w:szCs w:val="18"/>
          <w:lang w:val="en-US"/>
        </w:rPr>
        <w:t>1</w:t>
      </w:r>
      <w:r w:rsidR="003E2F9E" w:rsidRPr="00363567">
        <w:rPr>
          <w:rFonts w:ascii="Times New Roman" w:eastAsia="Verdana" w:hAnsi="Times New Roman"/>
          <w:szCs w:val="18"/>
          <w:lang w:val="en-US"/>
        </w:rPr>
        <w:t>.00</w:t>
      </w:r>
      <w:r w:rsidR="003E2F9E">
        <w:rPr>
          <w:rFonts w:ascii="Times New Roman" w:eastAsia="Verdana" w:hAnsi="Times New Roman"/>
          <w:szCs w:val="18"/>
          <w:lang w:val="en-US"/>
        </w:rPr>
        <w:t xml:space="preserve">. All institutions shall report the </w:t>
      </w:r>
      <w:r w:rsidR="00E830A3">
        <w:rPr>
          <w:rFonts w:ascii="Times New Roman" w:eastAsia="Verdana" w:hAnsi="Times New Roman"/>
          <w:szCs w:val="18"/>
          <w:lang w:val="en-US"/>
        </w:rPr>
        <w:t xml:space="preserve">reporting </w:t>
      </w:r>
      <w:r w:rsidR="003E2F9E">
        <w:rPr>
          <w:rFonts w:ascii="Times New Roman" w:eastAsia="Verdana" w:hAnsi="Times New Roman"/>
          <w:szCs w:val="18"/>
          <w:lang w:val="en-US"/>
        </w:rPr>
        <w:t>template C 84.00.</w:t>
      </w:r>
    </w:p>
    <w:p w14:paraId="0E86C768" w14:textId="158B6214" w:rsidR="00857C68" w:rsidRPr="00A66401" w:rsidRDefault="00F4754B" w:rsidP="00217D1F">
      <w:pPr>
        <w:pStyle w:val="BodyText1"/>
        <w:outlineLvl w:val="0"/>
        <w:rPr>
          <w:rFonts w:ascii="Times New Roman" w:hAnsi="Times New Roman"/>
          <w:b/>
          <w:lang w:val="en-US"/>
        </w:rPr>
      </w:pPr>
      <w:bookmarkStart w:id="9" w:name="_Toc359414277"/>
      <w:bookmarkStart w:id="10" w:name="_Toc322687869"/>
      <w:bookmarkEnd w:id="7"/>
      <w:bookmarkEnd w:id="8"/>
      <w:bookmarkEnd w:id="9"/>
      <w:r w:rsidRPr="00A66401">
        <w:rPr>
          <w:rFonts w:ascii="Times New Roman" w:hAnsi="Times New Roman"/>
          <w:b/>
          <w:lang w:val="en-US"/>
        </w:rPr>
        <w:br w:type="page"/>
      </w:r>
      <w:bookmarkStart w:id="11" w:name="_Toc351048504"/>
      <w:bookmarkStart w:id="12" w:name="_Toc359414281"/>
    </w:p>
    <w:p w14:paraId="7B2100D7" w14:textId="537806A6" w:rsidR="00857C68" w:rsidRPr="00A66401" w:rsidRDefault="00857C68" w:rsidP="00151801">
      <w:pPr>
        <w:pStyle w:val="BodyText1"/>
        <w:outlineLvl w:val="0"/>
        <w:rPr>
          <w:rFonts w:ascii="Times New Roman" w:hAnsi="Times New Roman"/>
          <w:b/>
          <w:sz w:val="24"/>
          <w:szCs w:val="24"/>
          <w:lang w:val="en-US"/>
        </w:rPr>
      </w:pPr>
      <w:bookmarkStart w:id="13" w:name="_Toc7641918"/>
      <w:r w:rsidRPr="00A66401">
        <w:rPr>
          <w:rFonts w:ascii="Times New Roman" w:hAnsi="Times New Roman"/>
          <w:b/>
          <w:sz w:val="24"/>
          <w:szCs w:val="24"/>
          <w:lang w:val="en-US"/>
        </w:rPr>
        <w:lastRenderedPageBreak/>
        <w:t xml:space="preserve">PART II: </w:t>
      </w:r>
      <w:r w:rsidR="00EB4BBA" w:rsidRPr="00A66401">
        <w:rPr>
          <w:rFonts w:ascii="Times New Roman" w:hAnsi="Times New Roman"/>
          <w:b/>
          <w:sz w:val="24"/>
          <w:szCs w:val="24"/>
          <w:lang w:val="en-US"/>
        </w:rPr>
        <w:t>REQUIRED STABLE FUNDING</w:t>
      </w:r>
      <w:bookmarkEnd w:id="13"/>
    </w:p>
    <w:p w14:paraId="417786BE" w14:textId="33AC2F52" w:rsidR="00EB4BBA" w:rsidRPr="00A66401" w:rsidRDefault="00EB4BBA" w:rsidP="00D967E5">
      <w:pPr>
        <w:pStyle w:val="BodyText1"/>
        <w:spacing w:before="120" w:after="120" w:line="276" w:lineRule="auto"/>
        <w:rPr>
          <w:rFonts w:ascii="Times New Roman" w:hAnsi="Times New Roman"/>
          <w:b/>
          <w:sz w:val="24"/>
          <w:szCs w:val="24"/>
          <w:lang w:val="en-US"/>
        </w:rPr>
      </w:pPr>
    </w:p>
    <w:p w14:paraId="5A6D978F" w14:textId="296B79CA" w:rsidR="00EB4BBA" w:rsidRPr="000214BE" w:rsidRDefault="00EB4BBA" w:rsidP="000214BE">
      <w:pPr>
        <w:pStyle w:val="BodyText1"/>
        <w:numPr>
          <w:ilvl w:val="0"/>
          <w:numId w:val="25"/>
        </w:numPr>
        <w:spacing w:before="120" w:after="120" w:line="276" w:lineRule="auto"/>
        <w:outlineLvl w:val="0"/>
        <w:rPr>
          <w:rFonts w:ascii="Times New Roman" w:hAnsi="Times New Roman"/>
          <w:b/>
          <w:sz w:val="24"/>
          <w:szCs w:val="24"/>
          <w:lang w:val="en-US"/>
        </w:rPr>
      </w:pPr>
      <w:bookmarkStart w:id="14" w:name="_Toc7641919"/>
      <w:r w:rsidRPr="00A66401">
        <w:rPr>
          <w:rFonts w:ascii="Times New Roman" w:hAnsi="Times New Roman"/>
          <w:b/>
          <w:sz w:val="24"/>
          <w:szCs w:val="24"/>
          <w:lang w:val="en-US"/>
        </w:rPr>
        <w:t>Specific remarks</w:t>
      </w:r>
      <w:bookmarkEnd w:id="14"/>
    </w:p>
    <w:p w14:paraId="09A8B049" w14:textId="77777777" w:rsidR="00917E68" w:rsidRPr="00361D7E" w:rsidRDefault="00917E68" w:rsidP="000214BE">
      <w:pPr>
        <w:pStyle w:val="ListParagraph"/>
        <w:widowControl w:val="0"/>
        <w:numPr>
          <w:ilvl w:val="0"/>
          <w:numId w:val="24"/>
        </w:numPr>
        <w:tabs>
          <w:tab w:val="left" w:pos="1397"/>
        </w:tabs>
        <w:spacing w:line="276" w:lineRule="auto"/>
        <w:ind w:right="115"/>
        <w:contextualSpacing w:val="0"/>
        <w:rPr>
          <w:rFonts w:ascii="Times New Roman" w:eastAsia="Verdana" w:hAnsi="Times New Roman"/>
          <w:szCs w:val="20"/>
          <w:lang w:val="en-US"/>
        </w:rPr>
      </w:pPr>
      <w:r w:rsidRPr="00361D7E">
        <w:rPr>
          <w:rFonts w:ascii="Times New Roman" w:eastAsia="Verdana" w:hAnsi="Times New Roman"/>
          <w:szCs w:val="20"/>
          <w:lang w:val="en-US"/>
        </w:rPr>
        <w:t>Institutions shall report in the appropriate category all assets on which they retain beneficial ownership even if they are not accounted for in their balance sheet. Assets on which i</w:t>
      </w:r>
      <w:r w:rsidRPr="00B35CFA">
        <w:rPr>
          <w:rFonts w:ascii="Times New Roman" w:eastAsia="Verdana" w:hAnsi="Times New Roman"/>
          <w:szCs w:val="20"/>
          <w:lang w:val="en-US"/>
        </w:rPr>
        <w:t>nstitutions do not retain beneficial ownership shall not be reported even if t</w:t>
      </w:r>
      <w:r w:rsidRPr="00EC3AAD">
        <w:rPr>
          <w:rFonts w:ascii="Times New Roman" w:eastAsia="Verdana" w:hAnsi="Times New Roman"/>
          <w:szCs w:val="20"/>
          <w:lang w:val="en-US"/>
        </w:rPr>
        <w:t>hese assets are accounted for in their balance sheet.</w:t>
      </w:r>
    </w:p>
    <w:p w14:paraId="1B3F0E2E" w14:textId="5FBE78B0" w:rsidR="00C954E8" w:rsidRPr="00772E66" w:rsidRDefault="00EB4BBA" w:rsidP="0055437F">
      <w:pPr>
        <w:pStyle w:val="ListParagraph"/>
        <w:widowControl w:val="0"/>
        <w:numPr>
          <w:ilvl w:val="0"/>
          <w:numId w:val="24"/>
        </w:numPr>
        <w:tabs>
          <w:tab w:val="left" w:pos="1397"/>
        </w:tabs>
        <w:spacing w:line="276" w:lineRule="auto"/>
        <w:ind w:right="116"/>
        <w:contextualSpacing w:val="0"/>
        <w:rPr>
          <w:rFonts w:ascii="Times New Roman" w:eastAsia="Verdana" w:hAnsi="Times New Roman"/>
          <w:szCs w:val="20"/>
          <w:lang w:val="en-US"/>
        </w:rPr>
      </w:pPr>
      <w:r w:rsidRPr="00B35CFA">
        <w:rPr>
          <w:rFonts w:ascii="Times New Roman" w:eastAsia="Verdana" w:hAnsi="Times New Roman"/>
          <w:szCs w:val="20"/>
          <w:lang w:val="en-US"/>
        </w:rPr>
        <w:t xml:space="preserve">In accordance with Article 428p of </w:t>
      </w:r>
      <w:r w:rsidR="00416B4D" w:rsidRPr="00EC3AAD">
        <w:rPr>
          <w:rFonts w:ascii="Times New Roman" w:eastAsia="Verdana" w:hAnsi="Times New Roman"/>
          <w:szCs w:val="20"/>
          <w:lang w:val="en-US"/>
        </w:rPr>
        <w:t>CRR</w:t>
      </w:r>
      <w:r w:rsidRPr="00744527">
        <w:rPr>
          <w:rFonts w:ascii="Times New Roman" w:eastAsia="Verdana" w:hAnsi="Times New Roman"/>
          <w:szCs w:val="20"/>
          <w:lang w:val="en-US"/>
        </w:rPr>
        <w:t xml:space="preserve">, unless specified otherwise in Chapter 4 of Title IV of </w:t>
      </w:r>
      <w:r w:rsidR="006E3C92">
        <w:rPr>
          <w:rFonts w:ascii="Times New Roman" w:eastAsia="Verdana" w:hAnsi="Times New Roman"/>
          <w:szCs w:val="20"/>
          <w:lang w:val="en-US"/>
        </w:rPr>
        <w:t xml:space="preserve">Part Six of </w:t>
      </w:r>
      <w:r w:rsidR="00416B4D" w:rsidRPr="00744527">
        <w:rPr>
          <w:rFonts w:ascii="Times New Roman" w:eastAsia="Verdana" w:hAnsi="Times New Roman"/>
          <w:szCs w:val="20"/>
          <w:lang w:val="en-US"/>
        </w:rPr>
        <w:t>CRR</w:t>
      </w:r>
      <w:r w:rsidRPr="00744527">
        <w:rPr>
          <w:rFonts w:ascii="Times New Roman" w:eastAsia="Verdana" w:hAnsi="Times New Roman"/>
          <w:szCs w:val="20"/>
          <w:lang w:val="en-US"/>
        </w:rPr>
        <w:t xml:space="preserve">, the amount of required stable funding </w:t>
      </w:r>
      <w:r w:rsidR="006E3C92">
        <w:rPr>
          <w:rFonts w:ascii="Times New Roman" w:eastAsia="Verdana" w:hAnsi="Times New Roman"/>
          <w:szCs w:val="20"/>
          <w:lang w:val="en-US"/>
        </w:rPr>
        <w:t xml:space="preserve">(RSF) </w:t>
      </w:r>
      <w:r w:rsidRPr="00744527">
        <w:rPr>
          <w:rFonts w:ascii="Times New Roman" w:eastAsia="Verdana" w:hAnsi="Times New Roman"/>
          <w:szCs w:val="20"/>
          <w:lang w:val="en-US"/>
        </w:rPr>
        <w:t xml:space="preserve">shall be calculated by multiplying the </w:t>
      </w:r>
      <w:r w:rsidR="005074D1" w:rsidRPr="00772E66">
        <w:rPr>
          <w:rFonts w:ascii="Times New Roman" w:eastAsia="Verdana" w:hAnsi="Times New Roman"/>
          <w:szCs w:val="20"/>
          <w:lang w:val="en-US"/>
        </w:rPr>
        <w:t>amount</w:t>
      </w:r>
      <w:r w:rsidRPr="00772E66">
        <w:rPr>
          <w:rFonts w:ascii="Times New Roman" w:eastAsia="Verdana" w:hAnsi="Times New Roman"/>
          <w:szCs w:val="20"/>
          <w:lang w:val="en-US"/>
        </w:rPr>
        <w:t xml:space="preserve"> of assets and off-balance sheet items by the required stable funding factors.</w:t>
      </w:r>
    </w:p>
    <w:p w14:paraId="3A64F18A" w14:textId="3D71ED48" w:rsidR="00EB4BBA" w:rsidRPr="00772E66" w:rsidRDefault="00C954E8" w:rsidP="00E06921">
      <w:pPr>
        <w:pStyle w:val="ListParagraph"/>
        <w:widowControl w:val="0"/>
        <w:numPr>
          <w:ilvl w:val="0"/>
          <w:numId w:val="24"/>
        </w:numPr>
        <w:tabs>
          <w:tab w:val="left" w:pos="1397"/>
        </w:tabs>
        <w:spacing w:line="276" w:lineRule="auto"/>
        <w:ind w:right="116"/>
        <w:contextualSpacing w:val="0"/>
        <w:rPr>
          <w:rFonts w:ascii="Times New Roman" w:eastAsia="Verdana" w:hAnsi="Times New Roman"/>
          <w:szCs w:val="20"/>
          <w:lang w:val="en-US"/>
        </w:rPr>
      </w:pPr>
      <w:r w:rsidRPr="00772E66">
        <w:rPr>
          <w:rFonts w:ascii="Times New Roman" w:eastAsia="Verdana" w:hAnsi="Times New Roman"/>
          <w:szCs w:val="20"/>
          <w:lang w:val="en-US"/>
        </w:rPr>
        <w:t xml:space="preserve">Assets that are eligible as high-quality liquid assets </w:t>
      </w:r>
      <w:r w:rsidR="00361D7E" w:rsidRPr="00772E66">
        <w:rPr>
          <w:rFonts w:ascii="Times New Roman" w:eastAsia="Verdana" w:hAnsi="Times New Roman"/>
          <w:szCs w:val="20"/>
          <w:lang w:val="en-US"/>
        </w:rPr>
        <w:t xml:space="preserve">(HQLA) </w:t>
      </w:r>
      <w:r w:rsidRPr="00772E66">
        <w:rPr>
          <w:rFonts w:ascii="Times New Roman" w:eastAsia="Verdana" w:hAnsi="Times New Roman"/>
          <w:szCs w:val="20"/>
          <w:lang w:val="en-US"/>
        </w:rPr>
        <w:t>in accordance with Delegated Regulation (EU</w:t>
      </w:r>
      <w:r w:rsidR="00361D7E" w:rsidRPr="00772E66">
        <w:rPr>
          <w:rFonts w:ascii="Times New Roman" w:eastAsia="Verdana" w:hAnsi="Times New Roman"/>
          <w:szCs w:val="20"/>
          <w:lang w:val="en-US"/>
        </w:rPr>
        <w:t xml:space="preserve">) 2015/61 shall be reported as such, regardless if they comply with the operational requirements referred to in Article 8 of </w:t>
      </w:r>
      <w:r w:rsidR="006E3C92">
        <w:rPr>
          <w:rFonts w:ascii="Times New Roman" w:eastAsia="Verdana" w:hAnsi="Times New Roman"/>
          <w:szCs w:val="20"/>
          <w:lang w:val="en-US"/>
        </w:rPr>
        <w:t>that Delegated</w:t>
      </w:r>
      <w:r w:rsidR="00361D7E" w:rsidRPr="00772E66">
        <w:rPr>
          <w:rFonts w:ascii="Times New Roman" w:eastAsia="Verdana" w:hAnsi="Times New Roman"/>
          <w:szCs w:val="20"/>
          <w:lang w:val="en-US"/>
        </w:rPr>
        <w:t xml:space="preserve"> Regulation</w:t>
      </w:r>
      <w:r w:rsidR="00C34B42">
        <w:rPr>
          <w:rFonts w:ascii="Times New Roman" w:eastAsia="Verdana" w:hAnsi="Times New Roman"/>
          <w:szCs w:val="20"/>
          <w:lang w:val="en-US"/>
        </w:rPr>
        <w:t>.</w:t>
      </w:r>
      <w:r w:rsidR="00361D7E" w:rsidRPr="00772E66">
        <w:rPr>
          <w:rFonts w:ascii="Times New Roman" w:eastAsia="Verdana" w:hAnsi="Times New Roman"/>
          <w:szCs w:val="20"/>
          <w:lang w:val="en-US"/>
        </w:rPr>
        <w:t xml:space="preserve"> Those assets shall be reported in designated columns regardless of their residual maturity.</w:t>
      </w:r>
    </w:p>
    <w:p w14:paraId="322E3BA9" w14:textId="791A89B9" w:rsidR="00DF08E7" w:rsidRPr="00361D7E" w:rsidRDefault="00DF08E7" w:rsidP="00A064BC">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20"/>
          <w:lang w:val="en-US"/>
        </w:rPr>
      </w:pPr>
      <w:r w:rsidRPr="00772E66">
        <w:rPr>
          <w:rFonts w:ascii="Times New Roman" w:eastAsia="Verdana" w:hAnsi="Times New Roman"/>
          <w:szCs w:val="20"/>
          <w:lang w:val="en-US"/>
        </w:rPr>
        <w:t>All</w:t>
      </w:r>
      <w:r w:rsidR="003A4A78" w:rsidRPr="00772E66">
        <w:rPr>
          <w:rFonts w:ascii="Times New Roman" w:eastAsia="Verdana" w:hAnsi="Times New Roman"/>
          <w:szCs w:val="20"/>
          <w:lang w:val="en-US"/>
        </w:rPr>
        <w:t xml:space="preserve"> non-HQLA</w:t>
      </w:r>
      <w:r w:rsidRPr="00772E66">
        <w:rPr>
          <w:rFonts w:ascii="Times New Roman" w:eastAsia="Verdana" w:hAnsi="Times New Roman"/>
          <w:szCs w:val="20"/>
          <w:lang w:val="en-US"/>
        </w:rPr>
        <w:t xml:space="preserve"> </w:t>
      </w:r>
      <w:r w:rsidR="003A4A78" w:rsidRPr="00361D7E">
        <w:rPr>
          <w:rFonts w:ascii="Times New Roman" w:hAnsi="Times New Roman"/>
          <w:szCs w:val="20"/>
          <w:lang w:val="en-US"/>
        </w:rPr>
        <w:t xml:space="preserve">assets and off-balance sheet items </w:t>
      </w:r>
      <w:r w:rsidRPr="00361D7E">
        <w:rPr>
          <w:rFonts w:ascii="Times New Roman" w:eastAsia="Verdana" w:hAnsi="Times New Roman"/>
          <w:szCs w:val="20"/>
          <w:lang w:val="en-US"/>
        </w:rPr>
        <w:t>shall be reported with a breakdown by their residual maturity in acco</w:t>
      </w:r>
      <w:r w:rsidRPr="00B35CFA">
        <w:rPr>
          <w:rFonts w:ascii="Times New Roman" w:eastAsia="Verdana" w:hAnsi="Times New Roman"/>
          <w:szCs w:val="20"/>
          <w:lang w:val="en-US"/>
        </w:rPr>
        <w:t xml:space="preserve">rdance with Article 428q of CRR. The maturity buckets of the </w:t>
      </w:r>
      <w:r w:rsidR="005074D1" w:rsidRPr="00EC3AAD">
        <w:rPr>
          <w:rFonts w:ascii="Times New Roman" w:eastAsia="Verdana" w:hAnsi="Times New Roman"/>
          <w:szCs w:val="20"/>
          <w:lang w:val="en-US"/>
        </w:rPr>
        <w:t>amount</w:t>
      </w:r>
      <w:r w:rsidR="00B95EEB">
        <w:rPr>
          <w:rFonts w:ascii="Times New Roman" w:eastAsia="Verdana" w:hAnsi="Times New Roman"/>
          <w:szCs w:val="20"/>
          <w:lang w:val="en-US"/>
        </w:rPr>
        <w:t>s</w:t>
      </w:r>
      <w:r w:rsidRPr="00744527">
        <w:rPr>
          <w:rFonts w:ascii="Times New Roman" w:eastAsia="Verdana" w:hAnsi="Times New Roman"/>
          <w:szCs w:val="20"/>
          <w:lang w:val="en-US"/>
        </w:rPr>
        <w:t>, standard factor</w:t>
      </w:r>
      <w:r w:rsidR="00361D7E">
        <w:rPr>
          <w:rFonts w:ascii="Times New Roman" w:eastAsia="Verdana" w:hAnsi="Times New Roman"/>
          <w:szCs w:val="20"/>
          <w:lang w:val="en-US"/>
        </w:rPr>
        <w:t>s</w:t>
      </w:r>
      <w:r w:rsidRPr="00361D7E">
        <w:rPr>
          <w:rFonts w:ascii="Times New Roman" w:eastAsia="Verdana" w:hAnsi="Times New Roman"/>
          <w:szCs w:val="20"/>
          <w:lang w:val="en-US"/>
        </w:rPr>
        <w:t xml:space="preserve"> and applicable factor</w:t>
      </w:r>
      <w:r w:rsidR="00361D7E">
        <w:rPr>
          <w:rFonts w:ascii="Times New Roman" w:eastAsia="Verdana" w:hAnsi="Times New Roman"/>
          <w:szCs w:val="20"/>
          <w:lang w:val="en-US"/>
        </w:rPr>
        <w:t>s</w:t>
      </w:r>
      <w:r w:rsidRPr="00361D7E">
        <w:rPr>
          <w:rFonts w:ascii="Times New Roman" w:eastAsia="Verdana" w:hAnsi="Times New Roman"/>
          <w:szCs w:val="20"/>
          <w:lang w:val="en-US"/>
        </w:rPr>
        <w:t xml:space="preserve"> are the following:</w:t>
      </w:r>
    </w:p>
    <w:p w14:paraId="50A5DA2A" w14:textId="12BA6629" w:rsidR="00DF08E7" w:rsidRPr="00772E66" w:rsidRDefault="00DF08E7" w:rsidP="00B7207C">
      <w:pPr>
        <w:pStyle w:val="InstructionsText2"/>
        <w:numPr>
          <w:ilvl w:val="2"/>
          <w:numId w:val="24"/>
        </w:numPr>
        <w:spacing w:before="120" w:after="120" w:line="276" w:lineRule="auto"/>
        <w:rPr>
          <w:szCs w:val="20"/>
          <w:lang w:val="en-US"/>
        </w:rPr>
      </w:pPr>
      <w:r w:rsidRPr="00B35CFA">
        <w:rPr>
          <w:szCs w:val="20"/>
          <w:lang w:val="en-US"/>
        </w:rPr>
        <w:t xml:space="preserve">Residual maturity </w:t>
      </w:r>
      <w:r w:rsidR="00D67527">
        <w:rPr>
          <w:szCs w:val="20"/>
          <w:lang w:val="en-US"/>
        </w:rPr>
        <w:t>of less than six months</w:t>
      </w:r>
      <w:r w:rsidRPr="00772E66">
        <w:rPr>
          <w:szCs w:val="20"/>
          <w:lang w:val="en-US"/>
        </w:rPr>
        <w:t xml:space="preserve"> or without stated maturity;</w:t>
      </w:r>
    </w:p>
    <w:p w14:paraId="05AF5394" w14:textId="76EC2A97" w:rsidR="00DF08E7" w:rsidRPr="00772E66" w:rsidRDefault="00DF08E7">
      <w:pPr>
        <w:pStyle w:val="InstructionsText2"/>
        <w:numPr>
          <w:ilvl w:val="2"/>
          <w:numId w:val="24"/>
        </w:numPr>
        <w:spacing w:before="120" w:after="120" w:line="276" w:lineRule="auto"/>
        <w:rPr>
          <w:szCs w:val="20"/>
          <w:lang w:val="en-US"/>
        </w:rPr>
      </w:pPr>
      <w:r w:rsidRPr="00772E66">
        <w:rPr>
          <w:szCs w:val="20"/>
          <w:lang w:val="en-US"/>
        </w:rPr>
        <w:t xml:space="preserve">Residual maturity </w:t>
      </w:r>
      <w:r w:rsidR="00D67527" w:rsidRPr="00772E66">
        <w:rPr>
          <w:szCs w:val="20"/>
          <w:lang w:eastAsia="en-GB"/>
        </w:rPr>
        <w:t xml:space="preserve">of a minimum of six months </w:t>
      </w:r>
      <w:r w:rsidR="00D67527">
        <w:rPr>
          <w:szCs w:val="20"/>
          <w:lang w:eastAsia="en-GB"/>
        </w:rPr>
        <w:t>but</w:t>
      </w:r>
      <w:r w:rsidR="00D67527" w:rsidRPr="00772E66">
        <w:rPr>
          <w:szCs w:val="20"/>
          <w:lang w:eastAsia="en-GB"/>
        </w:rPr>
        <w:t xml:space="preserve"> less than one year</w:t>
      </w:r>
      <w:r w:rsidRPr="00772E66">
        <w:rPr>
          <w:szCs w:val="20"/>
          <w:lang w:val="en-US"/>
        </w:rPr>
        <w:t>;</w:t>
      </w:r>
    </w:p>
    <w:p w14:paraId="322611D5" w14:textId="0CD8A1DC" w:rsidR="00DF08E7" w:rsidRPr="00772E66" w:rsidRDefault="00DF08E7">
      <w:pPr>
        <w:pStyle w:val="InstructionsText2"/>
        <w:numPr>
          <w:ilvl w:val="2"/>
          <w:numId w:val="24"/>
        </w:numPr>
        <w:spacing w:before="120" w:after="120" w:line="276" w:lineRule="auto"/>
        <w:rPr>
          <w:szCs w:val="20"/>
          <w:lang w:val="en-US"/>
        </w:rPr>
      </w:pPr>
      <w:r w:rsidRPr="00772E66">
        <w:rPr>
          <w:szCs w:val="20"/>
          <w:lang w:val="en-US"/>
        </w:rPr>
        <w:t xml:space="preserve">Residual maturity </w:t>
      </w:r>
      <w:r w:rsidR="00D67527">
        <w:rPr>
          <w:szCs w:val="20"/>
          <w:lang w:val="en-US"/>
        </w:rPr>
        <w:t xml:space="preserve">of one year or </w:t>
      </w:r>
      <w:r w:rsidRPr="00772E66">
        <w:rPr>
          <w:szCs w:val="20"/>
          <w:lang w:val="en-US"/>
        </w:rPr>
        <w:t>more.</w:t>
      </w:r>
    </w:p>
    <w:p w14:paraId="1B900A1C" w14:textId="31D74865" w:rsidR="0068290B" w:rsidRPr="00361D7E" w:rsidRDefault="008325DA">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20"/>
          <w:lang w:val="en-US"/>
        </w:rPr>
      </w:pPr>
      <w:r>
        <w:rPr>
          <w:rFonts w:ascii="Times New Roman" w:eastAsia="Verdana" w:hAnsi="Times New Roman"/>
          <w:szCs w:val="20"/>
          <w:lang w:val="en-US"/>
        </w:rPr>
        <w:t>In accordance with Article 428q(3) of CRR, w</w:t>
      </w:r>
      <w:r w:rsidR="0068290B" w:rsidRPr="00772E66">
        <w:rPr>
          <w:rFonts w:ascii="Times New Roman" w:eastAsia="Verdana" w:hAnsi="Times New Roman"/>
          <w:szCs w:val="20"/>
          <w:lang w:val="en-US"/>
        </w:rPr>
        <w:t xml:space="preserve">hen calculating the residual maturity </w:t>
      </w:r>
      <w:r w:rsidR="00361D7E" w:rsidRPr="00772E66">
        <w:rPr>
          <w:rFonts w:ascii="Times New Roman" w:eastAsia="Verdana" w:hAnsi="Times New Roman"/>
          <w:szCs w:val="20"/>
          <w:lang w:val="en-US"/>
        </w:rPr>
        <w:t xml:space="preserve">of non-HQLA </w:t>
      </w:r>
      <w:r w:rsidR="00361D7E" w:rsidRPr="00361D7E">
        <w:rPr>
          <w:rFonts w:ascii="Times New Roman" w:hAnsi="Times New Roman"/>
          <w:szCs w:val="20"/>
          <w:lang w:val="en-US"/>
        </w:rPr>
        <w:t>assets and off-balance sheet items</w:t>
      </w:r>
      <w:r w:rsidR="0068290B" w:rsidRPr="00361D7E">
        <w:rPr>
          <w:rFonts w:ascii="Times New Roman" w:eastAsia="Verdana" w:hAnsi="Times New Roman"/>
          <w:szCs w:val="20"/>
          <w:lang w:val="en-US"/>
        </w:rPr>
        <w:t>, institutions shall take options into account, based on the assumption that the issuer or counterparty will exercise any option to extend the asset´s maturity. For options exercisable at the discretion of the institution, the institution and competent authority shall take into account reputational factors that may limit the institution´s ability not to exercise the option, in particular considering markets’ and clients’ expectations that the institution should extend the maturity of certain assets at their maturity date.</w:t>
      </w:r>
    </w:p>
    <w:p w14:paraId="41639181" w14:textId="26D88ED8" w:rsidR="00B037DD" w:rsidRPr="00361D7E" w:rsidRDefault="00B037DD">
      <w:pPr>
        <w:pStyle w:val="ListParagraph"/>
        <w:numPr>
          <w:ilvl w:val="0"/>
          <w:numId w:val="24"/>
        </w:numPr>
        <w:spacing w:line="276" w:lineRule="auto"/>
        <w:contextualSpacing w:val="0"/>
        <w:rPr>
          <w:rFonts w:ascii="Times New Roman" w:eastAsia="Calibri" w:hAnsi="Times New Roman"/>
          <w:szCs w:val="20"/>
          <w:lang w:val="en-US"/>
        </w:rPr>
      </w:pPr>
      <w:r w:rsidRPr="00361D7E">
        <w:rPr>
          <w:rFonts w:ascii="Times New Roman" w:eastAsia="Calibri" w:hAnsi="Times New Roman"/>
          <w:szCs w:val="20"/>
          <w:lang w:val="en-US"/>
        </w:rPr>
        <w:t>For some items, institutions shall report assets according to status of and/or maturity of encumbrance of that asset in accordance with Article</w:t>
      </w:r>
      <w:r w:rsidR="00053E27">
        <w:rPr>
          <w:rFonts w:ascii="Times New Roman" w:eastAsia="Calibri" w:hAnsi="Times New Roman"/>
          <w:szCs w:val="20"/>
          <w:lang w:val="en-US"/>
        </w:rPr>
        <w:t>s</w:t>
      </w:r>
      <w:r w:rsidRPr="00361D7E">
        <w:rPr>
          <w:rFonts w:ascii="Times New Roman" w:eastAsia="Calibri" w:hAnsi="Times New Roman"/>
          <w:szCs w:val="20"/>
          <w:lang w:val="en-US"/>
        </w:rPr>
        <w:t xml:space="preserve"> 428p(4), (5) and (6) of </w:t>
      </w:r>
      <w:r w:rsidR="00917E68" w:rsidRPr="00361D7E">
        <w:rPr>
          <w:rFonts w:ascii="Times New Roman" w:eastAsia="Calibri" w:hAnsi="Times New Roman"/>
          <w:szCs w:val="20"/>
          <w:lang w:val="en-US"/>
        </w:rPr>
        <w:t>CRR</w:t>
      </w:r>
      <w:r w:rsidRPr="00361D7E">
        <w:rPr>
          <w:rFonts w:ascii="Times New Roman" w:eastAsia="Calibri" w:hAnsi="Times New Roman"/>
          <w:szCs w:val="20"/>
          <w:lang w:val="en-US"/>
        </w:rPr>
        <w:t>.</w:t>
      </w:r>
    </w:p>
    <w:p w14:paraId="6C1B0417" w14:textId="4625A355" w:rsidR="0068290B" w:rsidRPr="00361D7E" w:rsidRDefault="0068290B">
      <w:pPr>
        <w:pStyle w:val="ListParagraph"/>
        <w:widowControl w:val="0"/>
        <w:numPr>
          <w:ilvl w:val="0"/>
          <w:numId w:val="24"/>
        </w:numPr>
        <w:spacing w:line="276" w:lineRule="auto"/>
        <w:ind w:right="114"/>
        <w:contextualSpacing w:val="0"/>
        <w:rPr>
          <w:rFonts w:ascii="Times New Roman" w:eastAsia="Calibri" w:hAnsi="Times New Roman"/>
          <w:szCs w:val="20"/>
          <w:lang w:val="en-US"/>
        </w:rPr>
      </w:pPr>
      <w:r w:rsidRPr="00361D7E">
        <w:rPr>
          <w:rFonts w:ascii="Times New Roman" w:eastAsia="Calibri" w:hAnsi="Times New Roman"/>
          <w:szCs w:val="20"/>
          <w:lang w:val="en-US"/>
        </w:rPr>
        <w:t xml:space="preserve">The decision tree </w:t>
      </w:r>
      <w:r w:rsidR="00361D7E">
        <w:rPr>
          <w:rFonts w:ascii="Times New Roman" w:eastAsia="Calibri" w:hAnsi="Times New Roman"/>
          <w:szCs w:val="20"/>
          <w:lang w:val="en-US"/>
        </w:rPr>
        <w:t xml:space="preserve">for </w:t>
      </w:r>
      <w:r w:rsidR="00B95EEB">
        <w:rPr>
          <w:rFonts w:ascii="Times New Roman" w:eastAsia="Calibri" w:hAnsi="Times New Roman"/>
          <w:szCs w:val="20"/>
          <w:lang w:val="en-US"/>
        </w:rPr>
        <w:t xml:space="preserve">the reporting template </w:t>
      </w:r>
      <w:r w:rsidR="00361D7E">
        <w:rPr>
          <w:rFonts w:ascii="Times New Roman" w:eastAsia="Calibri" w:hAnsi="Times New Roman"/>
          <w:szCs w:val="20"/>
          <w:lang w:val="en-US"/>
        </w:rPr>
        <w:t xml:space="preserve">C 80.00 </w:t>
      </w:r>
      <w:r w:rsidRPr="00361D7E">
        <w:rPr>
          <w:rFonts w:ascii="Times New Roman" w:eastAsia="Calibri" w:hAnsi="Times New Roman"/>
          <w:szCs w:val="20"/>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053E27">
        <w:rPr>
          <w:rFonts w:ascii="Times New Roman" w:eastAsia="Calibri" w:hAnsi="Times New Roman"/>
          <w:szCs w:val="20"/>
          <w:lang w:val="en-US"/>
        </w:rPr>
        <w:t xml:space="preserve">i.e., </w:t>
      </w:r>
      <w:r w:rsidRPr="00361D7E">
        <w:rPr>
          <w:rFonts w:ascii="Times New Roman" w:eastAsia="Calibri" w:hAnsi="Times New Roman"/>
          <w:szCs w:val="20"/>
          <w:lang w:val="en-US"/>
        </w:rPr>
        <w:t>institutions shal</w:t>
      </w:r>
      <w:r w:rsidRPr="00B35CFA">
        <w:rPr>
          <w:rFonts w:ascii="Times New Roman" w:eastAsia="Calibri" w:hAnsi="Times New Roman"/>
          <w:szCs w:val="20"/>
          <w:lang w:val="en-US"/>
        </w:rPr>
        <w:t>l always comply with the rest of the instructions. For the sake of simplicity the decision tree ignores totals</w:t>
      </w:r>
      <w:r w:rsidR="0028344B" w:rsidRPr="00EC3AAD">
        <w:rPr>
          <w:rFonts w:ascii="Times New Roman" w:eastAsia="Calibri" w:hAnsi="Times New Roman"/>
          <w:szCs w:val="20"/>
          <w:lang w:val="en-US"/>
        </w:rPr>
        <w:t>,</w:t>
      </w:r>
      <w:r w:rsidRPr="00744527">
        <w:rPr>
          <w:rFonts w:ascii="Times New Roman" w:eastAsia="Calibri" w:hAnsi="Times New Roman"/>
          <w:szCs w:val="20"/>
          <w:lang w:val="en-US"/>
        </w:rPr>
        <w:t xml:space="preserve"> subtotals</w:t>
      </w:r>
      <w:r w:rsidR="0028344B" w:rsidRPr="00744527">
        <w:rPr>
          <w:rFonts w:ascii="Times New Roman" w:eastAsia="Calibri" w:hAnsi="Times New Roman"/>
          <w:szCs w:val="20"/>
          <w:lang w:val="en-US"/>
        </w:rPr>
        <w:t xml:space="preserve"> </w:t>
      </w:r>
      <w:r w:rsidR="0028344B" w:rsidRPr="00744527">
        <w:rPr>
          <w:rFonts w:ascii="Times New Roman" w:eastAsia="Verdana" w:hAnsi="Times New Roman"/>
          <w:szCs w:val="20"/>
          <w:lang w:val="en-US"/>
        </w:rPr>
        <w:t>and “of which” items</w:t>
      </w:r>
      <w:r w:rsidRPr="00772E66">
        <w:rPr>
          <w:rFonts w:ascii="Times New Roman" w:eastAsia="Calibri" w:hAnsi="Times New Roman"/>
          <w:szCs w:val="20"/>
          <w:lang w:val="en-US"/>
        </w:rPr>
        <w:t>; this however does not mean that they shall not be reported as well.</w:t>
      </w:r>
    </w:p>
    <w:p w14:paraId="6378C6C9" w14:textId="5D6EDF0A" w:rsidR="0068290B" w:rsidRPr="00361D7E" w:rsidRDefault="008325DA">
      <w:pPr>
        <w:pStyle w:val="ListParagraph"/>
        <w:widowControl w:val="0"/>
        <w:numPr>
          <w:ilvl w:val="0"/>
          <w:numId w:val="24"/>
        </w:numPr>
        <w:spacing w:line="276" w:lineRule="auto"/>
        <w:ind w:right="114"/>
        <w:contextualSpacing w:val="0"/>
        <w:rPr>
          <w:rFonts w:ascii="Times New Roman" w:eastAsia="Calibri" w:hAnsi="Times New Roman"/>
          <w:szCs w:val="20"/>
          <w:lang w:val="en-US"/>
        </w:rPr>
      </w:pPr>
      <w:r>
        <w:rPr>
          <w:rFonts w:ascii="Times New Roman" w:eastAsia="Calibri" w:hAnsi="Times New Roman"/>
          <w:szCs w:val="20"/>
          <w:lang w:val="en-US"/>
        </w:rPr>
        <w:t>As specified under Article 428p(5) of CRR, w</w:t>
      </w:r>
      <w:r w:rsidR="0068290B" w:rsidRPr="00361D7E">
        <w:rPr>
          <w:rFonts w:ascii="Times New Roman" w:eastAsia="Calibri" w:hAnsi="Times New Roman"/>
          <w:szCs w:val="20"/>
          <w:lang w:val="en-US"/>
        </w:rPr>
        <w:t>here an institution re-uses or re-pledges an asset that was borrowed , including in securities financing transactions, and that is accounted for off-balance sheet, the transaction through which the that assets has been borrowed shall be treated as encumbered to the extent that this transaction cannot mature without the institution returning the asset borrowed.</w:t>
      </w:r>
      <w:r w:rsidR="005D1E5B">
        <w:rPr>
          <w:rFonts w:ascii="Times New Roman" w:eastAsia="Calibri" w:hAnsi="Times New Roman"/>
          <w:szCs w:val="20"/>
          <w:lang w:val="en-US"/>
        </w:rPr>
        <w:t xml:space="preserve"> The residual maturity of this encumbrance shall be the higher between: i) the residual maturity of the transaction where the assets were borrowed and ii) the residual maturity of the transaction where the assets were re-pledged.</w:t>
      </w:r>
    </w:p>
    <w:p w14:paraId="4B231F30" w14:textId="469D0E18" w:rsidR="006A6DEF" w:rsidRPr="00361D7E" w:rsidRDefault="006A6DEF" w:rsidP="00D030C4">
      <w:pPr>
        <w:pStyle w:val="ListParagraph"/>
        <w:widowControl w:val="0"/>
        <w:tabs>
          <w:tab w:val="left" w:pos="1397"/>
        </w:tabs>
        <w:spacing w:line="276" w:lineRule="auto"/>
        <w:ind w:right="113"/>
        <w:contextualSpacing w:val="0"/>
        <w:rPr>
          <w:rFonts w:ascii="Times New Roman" w:eastAsia="Verdana" w:hAnsi="Times New Roman"/>
          <w:szCs w:val="20"/>
          <w:highlight w:val="yellow"/>
          <w:lang w:val="en-US"/>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B037DD" w:rsidRPr="00CF4E2F" w14:paraId="7D633CE0" w14:textId="77777777" w:rsidTr="00B037DD">
        <w:tc>
          <w:tcPr>
            <w:tcW w:w="529" w:type="dxa"/>
            <w:shd w:val="clear" w:color="auto" w:fill="auto"/>
            <w:vAlign w:val="center"/>
          </w:tcPr>
          <w:p w14:paraId="69357B56" w14:textId="77777777" w:rsidR="00B037DD" w:rsidRPr="001A257C" w:rsidRDefault="00B037DD" w:rsidP="00917E68">
            <w:pPr>
              <w:pStyle w:val="TableParagraph"/>
              <w:spacing w:before="37"/>
              <w:ind w:left="7"/>
              <w:jc w:val="center"/>
              <w:rPr>
                <w:rFonts w:ascii="Times New Roman" w:eastAsia="Times New Roman" w:hAnsi="Times New Roman"/>
                <w:sz w:val="16"/>
                <w:szCs w:val="16"/>
              </w:rPr>
            </w:pPr>
            <w:r w:rsidRPr="00CF4E2F">
              <w:rPr>
                <w:rFonts w:ascii="Times New Roman" w:hAnsi="Times New Roman"/>
                <w:b/>
                <w:sz w:val="16"/>
              </w:rPr>
              <w:t>#</w:t>
            </w:r>
          </w:p>
        </w:tc>
        <w:tc>
          <w:tcPr>
            <w:tcW w:w="5550" w:type="dxa"/>
            <w:shd w:val="clear" w:color="auto" w:fill="auto"/>
            <w:vAlign w:val="center"/>
          </w:tcPr>
          <w:p w14:paraId="43C98E66" w14:textId="77777777" w:rsidR="00B037DD" w:rsidRPr="00CF4E2F" w:rsidRDefault="00B037DD" w:rsidP="00917E68">
            <w:pPr>
              <w:pStyle w:val="TableParagraph"/>
              <w:spacing w:before="37"/>
              <w:ind w:left="141"/>
              <w:jc w:val="center"/>
              <w:rPr>
                <w:rFonts w:ascii="Times New Roman" w:eastAsia="Times New Roman" w:hAnsi="Times New Roman"/>
                <w:sz w:val="16"/>
                <w:szCs w:val="16"/>
              </w:rPr>
            </w:pPr>
            <w:r w:rsidRPr="00CF4E2F">
              <w:rPr>
                <w:rFonts w:ascii="Times New Roman" w:hAnsi="Times New Roman"/>
                <w:b/>
                <w:sz w:val="16"/>
              </w:rPr>
              <w:t>Item</w:t>
            </w:r>
          </w:p>
        </w:tc>
        <w:tc>
          <w:tcPr>
            <w:tcW w:w="1305" w:type="dxa"/>
            <w:shd w:val="clear" w:color="auto" w:fill="auto"/>
            <w:vAlign w:val="center"/>
          </w:tcPr>
          <w:p w14:paraId="2668B812" w14:textId="77777777" w:rsidR="00B037DD" w:rsidRPr="00CF4E2F" w:rsidRDefault="00B037DD" w:rsidP="00917E68">
            <w:pPr>
              <w:pStyle w:val="TableParagraph"/>
              <w:spacing w:before="37"/>
              <w:ind w:left="267"/>
              <w:jc w:val="center"/>
              <w:rPr>
                <w:rFonts w:ascii="Times New Roman" w:eastAsia="Times New Roman" w:hAnsi="Times New Roman"/>
                <w:sz w:val="16"/>
                <w:szCs w:val="16"/>
              </w:rPr>
            </w:pPr>
            <w:r w:rsidRPr="00CF4E2F">
              <w:rPr>
                <w:rFonts w:ascii="Times New Roman" w:hAnsi="Times New Roman"/>
                <w:b/>
                <w:sz w:val="16"/>
              </w:rPr>
              <w:t>Decision</w:t>
            </w:r>
          </w:p>
        </w:tc>
        <w:tc>
          <w:tcPr>
            <w:tcW w:w="2222" w:type="dxa"/>
            <w:shd w:val="clear" w:color="auto" w:fill="auto"/>
            <w:vAlign w:val="center"/>
          </w:tcPr>
          <w:p w14:paraId="1A6A5C4A" w14:textId="77777777" w:rsidR="00B037DD" w:rsidRPr="00CF4E2F" w:rsidRDefault="00B037DD" w:rsidP="00917E68">
            <w:pPr>
              <w:pStyle w:val="TableParagraph"/>
              <w:spacing w:before="37"/>
              <w:ind w:left="284"/>
              <w:jc w:val="center"/>
              <w:rPr>
                <w:rFonts w:ascii="Times New Roman" w:eastAsia="Times New Roman" w:hAnsi="Times New Roman"/>
                <w:sz w:val="16"/>
                <w:szCs w:val="16"/>
              </w:rPr>
            </w:pPr>
            <w:r w:rsidRPr="00CF4E2F">
              <w:rPr>
                <w:rFonts w:ascii="Times New Roman" w:hAnsi="Times New Roman"/>
                <w:b/>
                <w:sz w:val="16"/>
              </w:rPr>
              <w:t>Action</w:t>
            </w:r>
          </w:p>
        </w:tc>
      </w:tr>
      <w:tr w:rsidR="00B037DD" w:rsidRPr="00CF4E2F" w14:paraId="3AB5E53E" w14:textId="77777777" w:rsidTr="00B037DD">
        <w:trPr>
          <w:trHeight w:val="130"/>
        </w:trPr>
        <w:tc>
          <w:tcPr>
            <w:tcW w:w="529" w:type="dxa"/>
            <w:vMerge w:val="restart"/>
            <w:shd w:val="clear" w:color="auto" w:fill="auto"/>
            <w:vAlign w:val="center"/>
          </w:tcPr>
          <w:p w14:paraId="63234DD7" w14:textId="77777777" w:rsidR="00B037DD" w:rsidRPr="00A66401" w:rsidRDefault="00B037DD" w:rsidP="00917E68">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w:t>
            </w:r>
          </w:p>
        </w:tc>
        <w:tc>
          <w:tcPr>
            <w:tcW w:w="5550" w:type="dxa"/>
            <w:vMerge w:val="restart"/>
            <w:shd w:val="clear" w:color="auto" w:fill="auto"/>
            <w:vAlign w:val="center"/>
          </w:tcPr>
          <w:p w14:paraId="5C6E23AB" w14:textId="794DE531" w:rsidR="00B037DD" w:rsidRPr="00A66401" w:rsidRDefault="00B037DD" w:rsidP="00080A31">
            <w:pPr>
              <w:jc w:val="center"/>
              <w:rPr>
                <w:rFonts w:ascii="Times New Roman" w:eastAsia="Calibri" w:hAnsi="Times New Roman"/>
                <w:sz w:val="22"/>
                <w:lang w:val="en-US"/>
              </w:rPr>
            </w:pPr>
            <w:r w:rsidRPr="00A66401">
              <w:rPr>
                <w:rFonts w:ascii="Times New Roman" w:hAnsi="Times New Roman"/>
                <w:sz w:val="16"/>
                <w:szCs w:val="16"/>
                <w:lang w:val="en-US"/>
              </w:rPr>
              <w:t>Netting sets of derivative contracts with a negative fair value gross of collateral posted</w:t>
            </w:r>
            <w:r w:rsidR="00080A31" w:rsidRPr="00080A31">
              <w:rPr>
                <w:rFonts w:ascii="Times New Roman" w:hAnsi="Times New Roman"/>
                <w:sz w:val="16"/>
                <w:szCs w:val="16"/>
                <w:lang w:val="en-US"/>
              </w:rPr>
              <w:t xml:space="preserve"> or settlement payments and receipts related to market valuation changes of these contracts</w:t>
            </w:r>
            <w:r w:rsidRPr="00A66401">
              <w:rPr>
                <w:rFonts w:ascii="Times New Roman" w:hAnsi="Times New Roman"/>
                <w:sz w:val="16"/>
                <w:szCs w:val="16"/>
                <w:lang w:val="en-US"/>
              </w:rPr>
              <w:t>?</w:t>
            </w:r>
          </w:p>
        </w:tc>
        <w:tc>
          <w:tcPr>
            <w:tcW w:w="1305" w:type="dxa"/>
            <w:shd w:val="clear" w:color="auto" w:fill="auto"/>
            <w:vAlign w:val="center"/>
          </w:tcPr>
          <w:p w14:paraId="085B4CE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1A24ECD"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ID 1.7.1</w:t>
            </w:r>
          </w:p>
        </w:tc>
      </w:tr>
      <w:tr w:rsidR="00B037DD" w:rsidRPr="00CF4E2F" w14:paraId="6C60EFC5" w14:textId="77777777" w:rsidTr="00B037DD">
        <w:trPr>
          <w:trHeight w:val="130"/>
        </w:trPr>
        <w:tc>
          <w:tcPr>
            <w:tcW w:w="529" w:type="dxa"/>
            <w:vMerge/>
            <w:shd w:val="clear" w:color="auto" w:fill="auto"/>
            <w:vAlign w:val="center"/>
          </w:tcPr>
          <w:p w14:paraId="6F283C09" w14:textId="77777777" w:rsidR="00B037DD" w:rsidRPr="00A66401"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75940E2B"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4BF06CD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618CA9F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w:t>
            </w:r>
          </w:p>
        </w:tc>
      </w:tr>
      <w:tr w:rsidR="00B037DD" w:rsidRPr="00CF4E2F" w14:paraId="736B52C0" w14:textId="77777777" w:rsidTr="00B037DD">
        <w:trPr>
          <w:trHeight w:val="130"/>
        </w:trPr>
        <w:tc>
          <w:tcPr>
            <w:tcW w:w="529" w:type="dxa"/>
            <w:vMerge w:val="restart"/>
            <w:shd w:val="clear" w:color="auto" w:fill="auto"/>
            <w:vAlign w:val="center"/>
          </w:tcPr>
          <w:p w14:paraId="5DDB5B9D" w14:textId="77777777" w:rsidR="00B037DD" w:rsidRPr="00A66401" w:rsidRDefault="00B037DD" w:rsidP="00917E68">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lastRenderedPageBreak/>
              <w:t>2</w:t>
            </w:r>
          </w:p>
        </w:tc>
        <w:tc>
          <w:tcPr>
            <w:tcW w:w="5550" w:type="dxa"/>
            <w:vMerge w:val="restart"/>
            <w:shd w:val="clear" w:color="auto" w:fill="auto"/>
            <w:vAlign w:val="center"/>
          </w:tcPr>
          <w:p w14:paraId="43568A66" w14:textId="77777777" w:rsidR="00B037DD" w:rsidRPr="00A66401" w:rsidRDefault="00B037DD" w:rsidP="00917E68">
            <w:pPr>
              <w:jc w:val="center"/>
              <w:rPr>
                <w:rFonts w:ascii="Times New Roman" w:eastAsia="Calibri" w:hAnsi="Times New Roman"/>
                <w:sz w:val="22"/>
                <w:lang w:val="en-US"/>
              </w:rPr>
            </w:pPr>
            <w:r w:rsidRPr="00A66401">
              <w:rPr>
                <w:rFonts w:ascii="Times New Roman" w:hAnsi="Times New Roman"/>
                <w:sz w:val="16"/>
                <w:szCs w:val="16"/>
                <w:lang w:val="en-US"/>
              </w:rPr>
              <w:t>An asset or an off-balance sheet item posted as initial margin for derivatives?</w:t>
            </w:r>
          </w:p>
        </w:tc>
        <w:tc>
          <w:tcPr>
            <w:tcW w:w="1305" w:type="dxa"/>
            <w:shd w:val="clear" w:color="auto" w:fill="auto"/>
            <w:vAlign w:val="center"/>
          </w:tcPr>
          <w:p w14:paraId="6A084843"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5AC9310B"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ID 1.7.3</w:t>
            </w:r>
          </w:p>
        </w:tc>
      </w:tr>
      <w:tr w:rsidR="00B037DD" w:rsidRPr="00CF4E2F" w14:paraId="5CB49ED3" w14:textId="77777777" w:rsidTr="00B037DD">
        <w:trPr>
          <w:trHeight w:val="130"/>
        </w:trPr>
        <w:tc>
          <w:tcPr>
            <w:tcW w:w="529" w:type="dxa"/>
            <w:vMerge/>
            <w:shd w:val="clear" w:color="auto" w:fill="auto"/>
            <w:vAlign w:val="center"/>
          </w:tcPr>
          <w:p w14:paraId="77529532"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36328C56"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4C3E8BBE"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683E353"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3</w:t>
            </w:r>
          </w:p>
        </w:tc>
      </w:tr>
      <w:tr w:rsidR="00B037DD" w:rsidRPr="00CF4E2F" w14:paraId="22E9FAE5" w14:textId="77777777" w:rsidTr="00B037DD">
        <w:tc>
          <w:tcPr>
            <w:tcW w:w="529" w:type="dxa"/>
            <w:vMerge w:val="restart"/>
            <w:shd w:val="clear" w:color="auto" w:fill="auto"/>
            <w:vAlign w:val="center"/>
          </w:tcPr>
          <w:p w14:paraId="183DDCEC" w14:textId="77777777" w:rsidR="00B037DD" w:rsidRPr="00A66401" w:rsidRDefault="00B037DD" w:rsidP="00917E68">
            <w:pPr>
              <w:jc w:val="center"/>
              <w:rPr>
                <w:rFonts w:ascii="Times New Roman" w:eastAsia="Calibri" w:hAnsi="Times New Roman"/>
                <w:szCs w:val="18"/>
                <w:lang w:val="en-US"/>
              </w:rPr>
            </w:pPr>
            <w:r w:rsidRPr="00A66401">
              <w:rPr>
                <w:rFonts w:ascii="Times New Roman" w:eastAsia="Calibri" w:hAnsi="Times New Roman"/>
                <w:szCs w:val="18"/>
                <w:lang w:val="en-US"/>
              </w:rPr>
              <w:t>3</w:t>
            </w:r>
          </w:p>
        </w:tc>
        <w:tc>
          <w:tcPr>
            <w:tcW w:w="5550" w:type="dxa"/>
            <w:vMerge w:val="restart"/>
            <w:shd w:val="clear" w:color="auto" w:fill="auto"/>
            <w:vAlign w:val="center"/>
          </w:tcPr>
          <w:p w14:paraId="1850FC2A" w14:textId="77777777" w:rsidR="00B037DD" w:rsidRPr="00A66401" w:rsidRDefault="00B037DD" w:rsidP="00917E68">
            <w:pPr>
              <w:jc w:val="center"/>
              <w:rPr>
                <w:rFonts w:ascii="Times New Roman" w:eastAsia="Calibri" w:hAnsi="Times New Roman"/>
                <w:sz w:val="22"/>
                <w:lang w:val="en-US"/>
              </w:rPr>
            </w:pPr>
            <w:r w:rsidRPr="00A66401">
              <w:rPr>
                <w:rFonts w:ascii="Times New Roman" w:hAnsi="Times New Roman"/>
                <w:sz w:val="16"/>
                <w:szCs w:val="16"/>
                <w:lang w:val="en-US"/>
              </w:rPr>
              <w:t>An asset or an off-balance sheet item posted as contribution to CCP default fund?</w:t>
            </w:r>
          </w:p>
        </w:tc>
        <w:tc>
          <w:tcPr>
            <w:tcW w:w="1305" w:type="dxa"/>
            <w:shd w:val="clear" w:color="auto" w:fill="auto"/>
            <w:vAlign w:val="center"/>
          </w:tcPr>
          <w:p w14:paraId="75E6941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9CC6FCE" w14:textId="73F32266" w:rsidR="00B037DD" w:rsidRPr="00CF4E2F" w:rsidRDefault="00B037DD" w:rsidP="00581A2F">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ID 1.8</w:t>
            </w:r>
          </w:p>
        </w:tc>
      </w:tr>
      <w:tr w:rsidR="00B037DD" w:rsidRPr="00CF4E2F" w14:paraId="13B74520" w14:textId="77777777" w:rsidTr="00B037DD">
        <w:tc>
          <w:tcPr>
            <w:tcW w:w="529" w:type="dxa"/>
            <w:vMerge/>
            <w:shd w:val="clear" w:color="auto" w:fill="auto"/>
            <w:vAlign w:val="center"/>
          </w:tcPr>
          <w:p w14:paraId="054ADA7E"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23ACC933"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36AF708F"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037DFF4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4</w:t>
            </w:r>
          </w:p>
        </w:tc>
      </w:tr>
      <w:tr w:rsidR="00B037DD" w:rsidRPr="00CF4E2F" w14:paraId="24816A6B" w14:textId="77777777" w:rsidTr="00B037DD">
        <w:tc>
          <w:tcPr>
            <w:tcW w:w="529" w:type="dxa"/>
            <w:vMerge w:val="restart"/>
            <w:shd w:val="clear" w:color="auto" w:fill="auto"/>
            <w:vAlign w:val="center"/>
          </w:tcPr>
          <w:p w14:paraId="78E3998A" w14:textId="77777777" w:rsidR="00B037DD" w:rsidRPr="00A66401" w:rsidRDefault="00B037DD" w:rsidP="00917E68">
            <w:pPr>
              <w:jc w:val="center"/>
              <w:rPr>
                <w:rFonts w:ascii="Times New Roman" w:eastAsia="Calibri" w:hAnsi="Times New Roman"/>
                <w:sz w:val="22"/>
                <w:lang w:val="en-US"/>
              </w:rPr>
            </w:pPr>
            <w:r w:rsidRPr="00A66401">
              <w:rPr>
                <w:rFonts w:ascii="Times New Roman" w:hAnsi="Times New Roman"/>
                <w:sz w:val="16"/>
                <w:lang w:val="en-US"/>
              </w:rPr>
              <w:t>4</w:t>
            </w:r>
          </w:p>
        </w:tc>
        <w:tc>
          <w:tcPr>
            <w:tcW w:w="5550" w:type="dxa"/>
            <w:vMerge w:val="restart"/>
            <w:shd w:val="clear" w:color="auto" w:fill="auto"/>
            <w:vAlign w:val="center"/>
          </w:tcPr>
          <w:p w14:paraId="4E8636D2" w14:textId="77777777" w:rsidR="00B037DD" w:rsidRPr="00A66401" w:rsidRDefault="00B037DD" w:rsidP="00917E68">
            <w:pPr>
              <w:jc w:val="center"/>
              <w:rPr>
                <w:rFonts w:ascii="Times New Roman" w:eastAsia="Calibri" w:hAnsi="Times New Roman"/>
                <w:sz w:val="22"/>
                <w:lang w:val="en-US"/>
              </w:rPr>
            </w:pPr>
            <w:r w:rsidRPr="00A66401">
              <w:rPr>
                <w:rFonts w:ascii="Times New Roman" w:hAnsi="Times New Roman"/>
                <w:sz w:val="16"/>
                <w:szCs w:val="16"/>
                <w:lang w:val="en-US"/>
              </w:rPr>
              <w:t>An item on which the institution retains beneficial ownership?</w:t>
            </w:r>
          </w:p>
        </w:tc>
        <w:tc>
          <w:tcPr>
            <w:tcW w:w="1305" w:type="dxa"/>
            <w:shd w:val="clear" w:color="auto" w:fill="auto"/>
            <w:vAlign w:val="center"/>
          </w:tcPr>
          <w:p w14:paraId="0DF2018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830D5A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5</w:t>
            </w:r>
          </w:p>
        </w:tc>
      </w:tr>
      <w:tr w:rsidR="00B037DD" w:rsidRPr="00CF4E2F" w14:paraId="0797C547" w14:textId="77777777" w:rsidTr="00B037DD">
        <w:tc>
          <w:tcPr>
            <w:tcW w:w="529" w:type="dxa"/>
            <w:vMerge/>
            <w:shd w:val="clear" w:color="auto" w:fill="auto"/>
            <w:vAlign w:val="center"/>
          </w:tcPr>
          <w:p w14:paraId="13DC634A"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08D9CE40"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26CA21DA"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3816F4E" w14:textId="420ED777" w:rsidR="00B037DD" w:rsidRPr="00CF4E2F" w:rsidRDefault="00080A31"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 </w:t>
            </w:r>
            <w:r w:rsidR="00B037DD" w:rsidRPr="00CF4E2F">
              <w:rPr>
                <w:rFonts w:ascii="Times New Roman" w:eastAsia="Times New Roman" w:hAnsi="Times New Roman"/>
                <w:sz w:val="16"/>
                <w:szCs w:val="16"/>
              </w:rPr>
              <w:t>23</w:t>
            </w:r>
          </w:p>
        </w:tc>
      </w:tr>
      <w:tr w:rsidR="00B037DD" w:rsidRPr="00CF4E2F" w14:paraId="75896482" w14:textId="77777777" w:rsidTr="00B037DD">
        <w:tc>
          <w:tcPr>
            <w:tcW w:w="529" w:type="dxa"/>
            <w:vMerge w:val="restart"/>
            <w:shd w:val="clear" w:color="auto" w:fill="auto"/>
            <w:vAlign w:val="center"/>
          </w:tcPr>
          <w:p w14:paraId="6477E246" w14:textId="77777777" w:rsidR="00B037DD" w:rsidRPr="00A66401" w:rsidRDefault="00B037DD" w:rsidP="00917E68">
            <w:pPr>
              <w:jc w:val="center"/>
              <w:rPr>
                <w:rFonts w:ascii="Times New Roman" w:eastAsia="Calibri" w:hAnsi="Times New Roman"/>
                <w:szCs w:val="18"/>
                <w:lang w:val="en-US"/>
              </w:rPr>
            </w:pPr>
            <w:r w:rsidRPr="00A66401">
              <w:rPr>
                <w:rFonts w:ascii="Times New Roman" w:eastAsia="Calibri" w:hAnsi="Times New Roman"/>
                <w:szCs w:val="18"/>
                <w:lang w:val="en-US"/>
              </w:rPr>
              <w:t>5</w:t>
            </w:r>
          </w:p>
        </w:tc>
        <w:tc>
          <w:tcPr>
            <w:tcW w:w="5550" w:type="dxa"/>
            <w:vMerge w:val="restart"/>
            <w:shd w:val="clear" w:color="auto" w:fill="auto"/>
            <w:vAlign w:val="center"/>
          </w:tcPr>
          <w:p w14:paraId="66307B15" w14:textId="0BC0745B" w:rsidR="00B037DD" w:rsidRPr="001A257C" w:rsidRDefault="00B037DD" w:rsidP="00581A2F">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An asset as</w:t>
            </w:r>
            <w:r w:rsidRPr="001A257C">
              <w:rPr>
                <w:rFonts w:ascii="Times New Roman" w:eastAsia="Calibri" w:hAnsi="Times New Roman"/>
                <w:sz w:val="16"/>
                <w:szCs w:val="16"/>
                <w:lang w:val="en-US"/>
              </w:rPr>
              <w:t>sociated with collateral posted as variation margin for derivatives?</w:t>
            </w:r>
          </w:p>
        </w:tc>
        <w:tc>
          <w:tcPr>
            <w:tcW w:w="1305" w:type="dxa"/>
            <w:shd w:val="clear" w:color="auto" w:fill="auto"/>
            <w:vAlign w:val="center"/>
          </w:tcPr>
          <w:p w14:paraId="6CEEC4CB"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F009CBB"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r w:rsidR="00B037DD" w:rsidRPr="00CF4E2F" w14:paraId="4C3370BD" w14:textId="77777777" w:rsidTr="00B037DD">
        <w:tc>
          <w:tcPr>
            <w:tcW w:w="529" w:type="dxa"/>
            <w:vMerge/>
            <w:shd w:val="clear" w:color="auto" w:fill="auto"/>
            <w:vAlign w:val="center"/>
          </w:tcPr>
          <w:p w14:paraId="32E1C05F"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199DBAC8"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53133BF5"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3F013C7"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6</w:t>
            </w:r>
          </w:p>
        </w:tc>
      </w:tr>
      <w:tr w:rsidR="00B037DD" w:rsidRPr="00CF4E2F" w14:paraId="7979E113" w14:textId="77777777" w:rsidTr="00B037DD">
        <w:tc>
          <w:tcPr>
            <w:tcW w:w="529" w:type="dxa"/>
            <w:vMerge w:val="restart"/>
            <w:shd w:val="clear" w:color="auto" w:fill="auto"/>
            <w:vAlign w:val="center"/>
          </w:tcPr>
          <w:p w14:paraId="6C78EC62" w14:textId="77777777" w:rsidR="00B037DD" w:rsidRPr="001A257C" w:rsidRDefault="00B037DD" w:rsidP="00917E68">
            <w:pPr>
              <w:pStyle w:val="TableParagraph"/>
              <w:ind w:left="7"/>
              <w:jc w:val="center"/>
              <w:rPr>
                <w:rFonts w:ascii="Times New Roman" w:eastAsia="Times New Roman" w:hAnsi="Times New Roman"/>
                <w:sz w:val="16"/>
                <w:szCs w:val="16"/>
              </w:rPr>
            </w:pPr>
            <w:r w:rsidRPr="00CF4E2F">
              <w:rPr>
                <w:rFonts w:ascii="Times New Roman" w:hAnsi="Times New Roman"/>
                <w:sz w:val="16"/>
              </w:rPr>
              <w:t>6</w:t>
            </w:r>
          </w:p>
        </w:tc>
        <w:tc>
          <w:tcPr>
            <w:tcW w:w="5550" w:type="dxa"/>
            <w:vMerge w:val="restart"/>
            <w:shd w:val="clear" w:color="auto" w:fill="auto"/>
            <w:vAlign w:val="center"/>
          </w:tcPr>
          <w:p w14:paraId="761150C0" w14:textId="77777777" w:rsidR="00B037DD" w:rsidRPr="00CF4E2F" w:rsidRDefault="00B037DD" w:rsidP="00917E68">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Non-performing assets or defaulted securities?</w:t>
            </w:r>
          </w:p>
        </w:tc>
        <w:tc>
          <w:tcPr>
            <w:tcW w:w="1305" w:type="dxa"/>
            <w:shd w:val="clear" w:color="auto" w:fill="auto"/>
            <w:vAlign w:val="center"/>
          </w:tcPr>
          <w:p w14:paraId="1153DE59" w14:textId="77777777" w:rsidR="00B037DD" w:rsidRPr="00CF4E2F" w:rsidRDefault="00B037DD" w:rsidP="00917E68">
            <w:pPr>
              <w:pStyle w:val="TableParagraph"/>
              <w:spacing w:before="123"/>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5985B4E7" w14:textId="77777777" w:rsidR="00B037DD" w:rsidRPr="00CF4E2F" w:rsidRDefault="00B037DD" w:rsidP="00917E68">
            <w:pPr>
              <w:pStyle w:val="TableParagraph"/>
              <w:spacing w:before="37"/>
              <w:ind w:right="261"/>
              <w:jc w:val="center"/>
              <w:rPr>
                <w:rFonts w:ascii="Times New Roman" w:eastAsia="Times New Roman" w:hAnsi="Times New Roman"/>
                <w:sz w:val="16"/>
                <w:szCs w:val="16"/>
              </w:rPr>
            </w:pPr>
            <w:r w:rsidRPr="00CF4E2F">
              <w:rPr>
                <w:rFonts w:ascii="Times New Roman" w:eastAsia="Times New Roman" w:hAnsi="Times New Roman"/>
                <w:sz w:val="16"/>
                <w:szCs w:val="16"/>
              </w:rPr>
              <w:t>ID 1.9.3</w:t>
            </w:r>
          </w:p>
        </w:tc>
      </w:tr>
      <w:tr w:rsidR="00B037DD" w:rsidRPr="00CF4E2F" w14:paraId="0813D52A" w14:textId="77777777" w:rsidTr="00B037DD">
        <w:tc>
          <w:tcPr>
            <w:tcW w:w="529" w:type="dxa"/>
            <w:vMerge/>
            <w:shd w:val="clear" w:color="auto" w:fill="auto"/>
            <w:vAlign w:val="center"/>
          </w:tcPr>
          <w:p w14:paraId="53BC89F7"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0305B083"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0C5134A9" w14:textId="77777777" w:rsidR="00B037DD" w:rsidRPr="001A257C" w:rsidRDefault="00B037DD" w:rsidP="00917E68">
            <w:pPr>
              <w:pStyle w:val="TableParagraph"/>
              <w:spacing w:before="32"/>
              <w:jc w:val="center"/>
              <w:rPr>
                <w:rFonts w:ascii="Times New Roman" w:hAnsi="Times New Roman"/>
                <w:sz w:val="16"/>
              </w:rPr>
            </w:pPr>
            <w:r w:rsidRPr="00CF4E2F">
              <w:rPr>
                <w:rFonts w:ascii="Times New Roman" w:hAnsi="Times New Roman"/>
                <w:sz w:val="16"/>
              </w:rPr>
              <w:t>No</w:t>
            </w:r>
          </w:p>
        </w:tc>
        <w:tc>
          <w:tcPr>
            <w:tcW w:w="2222" w:type="dxa"/>
            <w:shd w:val="clear" w:color="auto" w:fill="auto"/>
            <w:vAlign w:val="center"/>
          </w:tcPr>
          <w:p w14:paraId="225DEB2D"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 7</w:t>
            </w:r>
          </w:p>
        </w:tc>
      </w:tr>
      <w:tr w:rsidR="00B037DD" w:rsidRPr="00CF4E2F" w14:paraId="3D8EEC92" w14:textId="77777777" w:rsidTr="00B037DD">
        <w:tc>
          <w:tcPr>
            <w:tcW w:w="529" w:type="dxa"/>
            <w:vMerge w:val="restart"/>
            <w:shd w:val="clear" w:color="auto" w:fill="auto"/>
            <w:vAlign w:val="center"/>
          </w:tcPr>
          <w:p w14:paraId="7BE55CD8" w14:textId="77777777" w:rsidR="00B037DD" w:rsidRPr="001A257C" w:rsidRDefault="00B037DD" w:rsidP="00917E68">
            <w:pPr>
              <w:pStyle w:val="TableParagraph"/>
              <w:ind w:left="7"/>
              <w:jc w:val="center"/>
              <w:rPr>
                <w:rFonts w:ascii="Times New Roman" w:eastAsia="Times New Roman" w:hAnsi="Times New Roman"/>
                <w:sz w:val="16"/>
                <w:szCs w:val="16"/>
              </w:rPr>
            </w:pPr>
            <w:r w:rsidRPr="00CF4E2F">
              <w:rPr>
                <w:rFonts w:ascii="Times New Roman" w:eastAsia="Times New Roman" w:hAnsi="Times New Roman"/>
                <w:sz w:val="16"/>
                <w:szCs w:val="16"/>
              </w:rPr>
              <w:t>7</w:t>
            </w:r>
          </w:p>
        </w:tc>
        <w:tc>
          <w:tcPr>
            <w:tcW w:w="5550" w:type="dxa"/>
            <w:vMerge w:val="restart"/>
            <w:shd w:val="clear" w:color="auto" w:fill="auto"/>
            <w:vAlign w:val="center"/>
          </w:tcPr>
          <w:p w14:paraId="2927D5F3" w14:textId="77777777" w:rsidR="00B037DD" w:rsidRPr="00CF4E2F" w:rsidRDefault="00B037DD" w:rsidP="00917E68">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Trade date receivables?</w:t>
            </w:r>
          </w:p>
        </w:tc>
        <w:tc>
          <w:tcPr>
            <w:tcW w:w="1305" w:type="dxa"/>
            <w:shd w:val="clear" w:color="auto" w:fill="auto"/>
            <w:vAlign w:val="center"/>
          </w:tcPr>
          <w:p w14:paraId="784796BA" w14:textId="77777777" w:rsidR="00B037DD" w:rsidRPr="00CF4E2F" w:rsidRDefault="00B037DD" w:rsidP="00917E68">
            <w:pPr>
              <w:pStyle w:val="TableParagraph"/>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D6E5A66" w14:textId="77777777" w:rsidR="00B037DD" w:rsidRPr="00CF4E2F" w:rsidRDefault="00B037DD" w:rsidP="00917E68">
            <w:pPr>
              <w:pStyle w:val="TableParagraph"/>
              <w:spacing w:before="34"/>
              <w:ind w:right="114"/>
              <w:jc w:val="center"/>
              <w:rPr>
                <w:rFonts w:ascii="Times New Roman" w:eastAsia="Times New Roman" w:hAnsi="Times New Roman"/>
                <w:sz w:val="16"/>
                <w:szCs w:val="16"/>
              </w:rPr>
            </w:pPr>
            <w:r w:rsidRPr="00CF4E2F">
              <w:rPr>
                <w:rFonts w:ascii="Times New Roman" w:eastAsia="Times New Roman" w:hAnsi="Times New Roman"/>
                <w:sz w:val="16"/>
                <w:szCs w:val="16"/>
              </w:rPr>
              <w:t>ID 1.9.2</w:t>
            </w:r>
          </w:p>
        </w:tc>
      </w:tr>
      <w:tr w:rsidR="00B037DD" w:rsidRPr="00CF4E2F" w14:paraId="7C70A6CF" w14:textId="77777777" w:rsidTr="00B037DD">
        <w:tc>
          <w:tcPr>
            <w:tcW w:w="529" w:type="dxa"/>
            <w:vMerge/>
            <w:shd w:val="clear" w:color="auto" w:fill="auto"/>
            <w:vAlign w:val="center"/>
          </w:tcPr>
          <w:p w14:paraId="2F167E13"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0CEF5B00"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5582B609" w14:textId="77777777" w:rsidR="00B037DD" w:rsidRPr="001A257C"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28E6977"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hAnsi="Times New Roman"/>
                <w:sz w:val="16"/>
              </w:rPr>
              <w:t># 8</w:t>
            </w:r>
          </w:p>
        </w:tc>
      </w:tr>
      <w:tr w:rsidR="00B037DD" w:rsidRPr="00CF4E2F" w14:paraId="591C4695" w14:textId="77777777" w:rsidTr="00B037DD">
        <w:tc>
          <w:tcPr>
            <w:tcW w:w="529" w:type="dxa"/>
            <w:vMerge w:val="restart"/>
            <w:shd w:val="clear" w:color="auto" w:fill="auto"/>
            <w:vAlign w:val="center"/>
          </w:tcPr>
          <w:p w14:paraId="08BC5654"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8</w:t>
            </w:r>
          </w:p>
        </w:tc>
        <w:tc>
          <w:tcPr>
            <w:tcW w:w="5550" w:type="dxa"/>
            <w:vMerge w:val="restart"/>
            <w:shd w:val="clear" w:color="auto" w:fill="auto"/>
            <w:vAlign w:val="center"/>
          </w:tcPr>
          <w:p w14:paraId="3C488332" w14:textId="2F76ADF2" w:rsidR="00B037DD" w:rsidRPr="00CF4E2F" w:rsidRDefault="00D67527" w:rsidP="00080A31">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Authorized interdependent assets?</w:t>
            </w:r>
          </w:p>
        </w:tc>
        <w:tc>
          <w:tcPr>
            <w:tcW w:w="1305" w:type="dxa"/>
            <w:shd w:val="clear" w:color="auto" w:fill="auto"/>
            <w:vAlign w:val="center"/>
          </w:tcPr>
          <w:p w14:paraId="44DDF53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215604E" w14:textId="77777777" w:rsidR="00B037DD" w:rsidRPr="00CF4E2F" w:rsidRDefault="00B037DD" w:rsidP="00917E68">
            <w:pPr>
              <w:pStyle w:val="TableParagraph"/>
              <w:spacing w:before="32"/>
              <w:jc w:val="center"/>
              <w:rPr>
                <w:rFonts w:ascii="Times New Roman" w:hAnsi="Times New Roman"/>
                <w:sz w:val="16"/>
              </w:rPr>
            </w:pPr>
            <w:r w:rsidRPr="00F44B55">
              <w:rPr>
                <w:rFonts w:ascii="Times New Roman" w:hAnsi="Times New Roman"/>
                <w:sz w:val="16"/>
                <w:szCs w:val="16"/>
              </w:rPr>
              <w:t>Allocate into one relevant item of ID 1.5</w:t>
            </w:r>
          </w:p>
        </w:tc>
      </w:tr>
      <w:tr w:rsidR="00B037DD" w:rsidRPr="00CF4E2F" w14:paraId="7C7B281A" w14:textId="77777777" w:rsidTr="00B037DD">
        <w:tc>
          <w:tcPr>
            <w:tcW w:w="529" w:type="dxa"/>
            <w:vMerge/>
            <w:shd w:val="clear" w:color="auto" w:fill="auto"/>
            <w:vAlign w:val="center"/>
          </w:tcPr>
          <w:p w14:paraId="2CCCAF73"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4373A924"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472CA62A"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6EF7C2A"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 9</w:t>
            </w:r>
          </w:p>
        </w:tc>
      </w:tr>
      <w:tr w:rsidR="00B037DD" w:rsidRPr="00CF4E2F" w14:paraId="6223C885" w14:textId="77777777" w:rsidTr="00B037DD">
        <w:tc>
          <w:tcPr>
            <w:tcW w:w="529" w:type="dxa"/>
            <w:vMerge w:val="restart"/>
            <w:shd w:val="clear" w:color="auto" w:fill="auto"/>
            <w:vAlign w:val="center"/>
          </w:tcPr>
          <w:p w14:paraId="1BBE6D47"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9</w:t>
            </w:r>
          </w:p>
        </w:tc>
        <w:tc>
          <w:tcPr>
            <w:tcW w:w="5550" w:type="dxa"/>
            <w:vMerge w:val="restart"/>
            <w:shd w:val="clear" w:color="auto" w:fill="auto"/>
            <w:vAlign w:val="center"/>
          </w:tcPr>
          <w:p w14:paraId="7372EBC5" w14:textId="30EAB7DA" w:rsidR="00B037DD" w:rsidRPr="00CF4E2F" w:rsidRDefault="00D67527" w:rsidP="00874C82">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Assets within a group or an IPS </w:t>
            </w:r>
            <w:r>
              <w:rPr>
                <w:rFonts w:ascii="Times New Roman" w:eastAsia="Calibri" w:hAnsi="Times New Roman"/>
                <w:sz w:val="16"/>
                <w:szCs w:val="16"/>
                <w:lang w:val="en-US"/>
              </w:rPr>
              <w:t xml:space="preserve">for which the competent authority has granted the </w:t>
            </w:r>
            <w:r w:rsidRPr="00CF4E2F">
              <w:rPr>
                <w:rFonts w:ascii="Times New Roman" w:eastAsia="Calibri" w:hAnsi="Times New Roman"/>
                <w:sz w:val="16"/>
                <w:szCs w:val="16"/>
                <w:lang w:val="en-US"/>
              </w:rPr>
              <w:t>preferential treatment?</w:t>
            </w:r>
          </w:p>
        </w:tc>
        <w:tc>
          <w:tcPr>
            <w:tcW w:w="1305" w:type="dxa"/>
            <w:shd w:val="clear" w:color="auto" w:fill="auto"/>
            <w:vAlign w:val="center"/>
          </w:tcPr>
          <w:p w14:paraId="1ACBE080"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A7052C3"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ID 1.6</w:t>
            </w:r>
          </w:p>
        </w:tc>
      </w:tr>
      <w:tr w:rsidR="00B037DD" w:rsidRPr="00CF4E2F" w14:paraId="276EBC43" w14:textId="77777777" w:rsidTr="00B037DD">
        <w:tc>
          <w:tcPr>
            <w:tcW w:w="529" w:type="dxa"/>
            <w:vMerge/>
            <w:shd w:val="clear" w:color="auto" w:fill="auto"/>
            <w:vAlign w:val="center"/>
          </w:tcPr>
          <w:p w14:paraId="11D093AD"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09BE02E8"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5982347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73232C7D"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rPr>
              <w:t># 10</w:t>
            </w:r>
          </w:p>
        </w:tc>
      </w:tr>
      <w:tr w:rsidR="00B037DD" w:rsidRPr="00CF4E2F" w14:paraId="66CE48EB" w14:textId="77777777" w:rsidTr="00B037DD">
        <w:tc>
          <w:tcPr>
            <w:tcW w:w="529" w:type="dxa"/>
            <w:vMerge w:val="restart"/>
            <w:shd w:val="clear" w:color="auto" w:fill="auto"/>
            <w:vAlign w:val="center"/>
          </w:tcPr>
          <w:p w14:paraId="5E390BC3"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10</w:t>
            </w:r>
          </w:p>
        </w:tc>
        <w:tc>
          <w:tcPr>
            <w:tcW w:w="5550" w:type="dxa"/>
            <w:vMerge w:val="restart"/>
            <w:shd w:val="clear" w:color="auto" w:fill="auto"/>
            <w:vAlign w:val="center"/>
          </w:tcPr>
          <w:p w14:paraId="4D85253C"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Central bank assets?</w:t>
            </w:r>
          </w:p>
        </w:tc>
        <w:tc>
          <w:tcPr>
            <w:tcW w:w="1305" w:type="dxa"/>
            <w:shd w:val="clear" w:color="auto" w:fill="auto"/>
            <w:vAlign w:val="center"/>
          </w:tcPr>
          <w:p w14:paraId="07F25022"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hAnsi="Times New Roman"/>
                <w:sz w:val="16"/>
                <w:szCs w:val="16"/>
              </w:rPr>
              <w:t>Yes</w:t>
            </w:r>
          </w:p>
        </w:tc>
        <w:tc>
          <w:tcPr>
            <w:tcW w:w="2222" w:type="dxa"/>
            <w:shd w:val="clear" w:color="auto" w:fill="auto"/>
            <w:vAlign w:val="center"/>
          </w:tcPr>
          <w:p w14:paraId="75F8D9F3"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Allocate into one relevant item of ID 1.1</w:t>
            </w:r>
          </w:p>
        </w:tc>
      </w:tr>
      <w:tr w:rsidR="00B037DD" w:rsidRPr="00CF4E2F" w14:paraId="0A7AD376" w14:textId="77777777" w:rsidTr="00B037DD">
        <w:tc>
          <w:tcPr>
            <w:tcW w:w="529" w:type="dxa"/>
            <w:vMerge/>
            <w:shd w:val="clear" w:color="auto" w:fill="auto"/>
            <w:vAlign w:val="center"/>
          </w:tcPr>
          <w:p w14:paraId="12D05323"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5D12318A"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1E037472"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hAnsi="Times New Roman"/>
                <w:sz w:val="16"/>
                <w:szCs w:val="16"/>
              </w:rPr>
              <w:t>No</w:t>
            </w:r>
          </w:p>
        </w:tc>
        <w:tc>
          <w:tcPr>
            <w:tcW w:w="2222" w:type="dxa"/>
            <w:shd w:val="clear" w:color="auto" w:fill="auto"/>
            <w:vAlign w:val="center"/>
          </w:tcPr>
          <w:p w14:paraId="0596EFD1"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11</w:t>
            </w:r>
          </w:p>
        </w:tc>
      </w:tr>
      <w:tr w:rsidR="00B037DD" w:rsidRPr="00CF4E2F" w14:paraId="5AA6B089" w14:textId="77777777" w:rsidTr="00B037DD">
        <w:tc>
          <w:tcPr>
            <w:tcW w:w="529" w:type="dxa"/>
            <w:vMerge w:val="restart"/>
            <w:shd w:val="clear" w:color="auto" w:fill="auto"/>
            <w:vAlign w:val="center"/>
          </w:tcPr>
          <w:p w14:paraId="250F01A1"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11</w:t>
            </w:r>
          </w:p>
        </w:tc>
        <w:tc>
          <w:tcPr>
            <w:tcW w:w="5550" w:type="dxa"/>
            <w:vMerge w:val="restart"/>
            <w:shd w:val="clear" w:color="auto" w:fill="auto"/>
            <w:vAlign w:val="center"/>
          </w:tcPr>
          <w:p w14:paraId="4BBE33F6"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Liquid assets?</w:t>
            </w:r>
          </w:p>
        </w:tc>
        <w:tc>
          <w:tcPr>
            <w:tcW w:w="1305" w:type="dxa"/>
            <w:shd w:val="clear" w:color="auto" w:fill="auto"/>
            <w:vAlign w:val="center"/>
          </w:tcPr>
          <w:p w14:paraId="5ADC403A"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4E98E56F"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12</w:t>
            </w:r>
          </w:p>
        </w:tc>
      </w:tr>
      <w:tr w:rsidR="00B037DD" w:rsidRPr="00CF4E2F" w14:paraId="475DBF8C" w14:textId="77777777" w:rsidTr="00B037DD">
        <w:tc>
          <w:tcPr>
            <w:tcW w:w="529" w:type="dxa"/>
            <w:vMerge/>
            <w:shd w:val="clear" w:color="auto" w:fill="auto"/>
            <w:vAlign w:val="center"/>
          </w:tcPr>
          <w:p w14:paraId="47CF501C"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774121ED"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18BF868C"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06996FAC"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13</w:t>
            </w:r>
          </w:p>
        </w:tc>
      </w:tr>
      <w:tr w:rsidR="00B037DD" w:rsidRPr="00CF4E2F" w14:paraId="53F76846" w14:textId="77777777" w:rsidTr="00B037DD">
        <w:tc>
          <w:tcPr>
            <w:tcW w:w="529" w:type="dxa"/>
            <w:vMerge w:val="restart"/>
            <w:shd w:val="clear" w:color="auto" w:fill="auto"/>
            <w:vAlign w:val="center"/>
          </w:tcPr>
          <w:p w14:paraId="728A4230"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12</w:t>
            </w:r>
          </w:p>
        </w:tc>
        <w:tc>
          <w:tcPr>
            <w:tcW w:w="5550" w:type="dxa"/>
            <w:vMerge w:val="restart"/>
            <w:shd w:val="clear" w:color="auto" w:fill="auto"/>
            <w:vAlign w:val="center"/>
          </w:tcPr>
          <w:p w14:paraId="3D1A0D98" w14:textId="0C3A7B7F" w:rsidR="00B037DD" w:rsidRPr="00B35CFA" w:rsidRDefault="00D67527" w:rsidP="00B35CFA">
            <w:pPr>
              <w:jc w:val="center"/>
              <w:rPr>
                <w:rFonts w:ascii="Times New Roman" w:hAnsi="Times New Roman"/>
                <w:sz w:val="16"/>
                <w:szCs w:val="16"/>
                <w:lang w:val="en-US"/>
              </w:rPr>
            </w:pPr>
            <w:r w:rsidRPr="00A66401">
              <w:rPr>
                <w:rFonts w:ascii="Times New Roman" w:hAnsi="Times New Roman"/>
                <w:sz w:val="16"/>
                <w:szCs w:val="16"/>
                <w:lang w:val="en-US"/>
              </w:rPr>
              <w:t xml:space="preserve">Liquid assets encumbered for </w:t>
            </w:r>
            <w:r>
              <w:rPr>
                <w:rFonts w:ascii="Times New Roman" w:hAnsi="Times New Roman"/>
                <w:sz w:val="16"/>
                <w:szCs w:val="16"/>
                <w:lang w:val="en-US"/>
              </w:rPr>
              <w:t xml:space="preserve">a residual maturity </w:t>
            </w:r>
            <w:r w:rsidRPr="00B35CFA">
              <w:rPr>
                <w:rFonts w:ascii="Times New Roman" w:hAnsi="Times New Roman"/>
                <w:sz w:val="16"/>
                <w:szCs w:val="16"/>
                <w:lang w:val="en-US"/>
              </w:rPr>
              <w:t>of one year or more</w:t>
            </w:r>
            <w:r>
              <w:rPr>
                <w:rFonts w:ascii="Times New Roman" w:hAnsi="Times New Roman"/>
                <w:sz w:val="16"/>
                <w:szCs w:val="16"/>
                <w:lang w:val="en-US"/>
              </w:rPr>
              <w:t xml:space="preserve"> </w:t>
            </w:r>
            <w:r w:rsidRPr="00A66401">
              <w:rPr>
                <w:rFonts w:ascii="Times New Roman" w:hAnsi="Times New Roman"/>
                <w:sz w:val="16"/>
                <w:szCs w:val="16"/>
                <w:lang w:val="en-US"/>
              </w:rPr>
              <w:t>in a cover pool?</w:t>
            </w:r>
          </w:p>
        </w:tc>
        <w:tc>
          <w:tcPr>
            <w:tcW w:w="1305" w:type="dxa"/>
            <w:shd w:val="clear" w:color="auto" w:fill="auto"/>
            <w:vAlign w:val="center"/>
          </w:tcPr>
          <w:p w14:paraId="2B885843"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8AEC63A"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ID 1.2.13</w:t>
            </w:r>
          </w:p>
        </w:tc>
      </w:tr>
      <w:tr w:rsidR="00B037DD" w:rsidRPr="00CF4E2F" w14:paraId="64F1FB7B" w14:textId="77777777" w:rsidTr="00B037DD">
        <w:tc>
          <w:tcPr>
            <w:tcW w:w="529" w:type="dxa"/>
            <w:vMerge/>
            <w:shd w:val="clear" w:color="auto" w:fill="auto"/>
            <w:vAlign w:val="center"/>
          </w:tcPr>
          <w:p w14:paraId="55683107"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192DAD17"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0856132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69290000"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Allocate into one relevant item of ID 1.2.1 to 1.2.12</w:t>
            </w:r>
          </w:p>
        </w:tc>
      </w:tr>
      <w:tr w:rsidR="00B037DD" w:rsidRPr="00CF4E2F" w14:paraId="0FB9DE0B" w14:textId="77777777" w:rsidTr="00B037DD">
        <w:tc>
          <w:tcPr>
            <w:tcW w:w="529" w:type="dxa"/>
            <w:vMerge w:val="restart"/>
            <w:shd w:val="clear" w:color="auto" w:fill="auto"/>
            <w:vAlign w:val="center"/>
          </w:tcPr>
          <w:p w14:paraId="324984B6"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13</w:t>
            </w:r>
          </w:p>
        </w:tc>
        <w:tc>
          <w:tcPr>
            <w:tcW w:w="5550" w:type="dxa"/>
            <w:vMerge w:val="restart"/>
            <w:shd w:val="clear" w:color="auto" w:fill="auto"/>
            <w:vAlign w:val="center"/>
          </w:tcPr>
          <w:p w14:paraId="49750A97"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Non-liquid asset securities?</w:t>
            </w:r>
          </w:p>
        </w:tc>
        <w:tc>
          <w:tcPr>
            <w:tcW w:w="1305" w:type="dxa"/>
            <w:shd w:val="clear" w:color="auto" w:fill="auto"/>
            <w:vAlign w:val="center"/>
          </w:tcPr>
          <w:p w14:paraId="2A241FD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46E664E7"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Allocate into one relevant item of ID 1.3</w:t>
            </w:r>
          </w:p>
        </w:tc>
      </w:tr>
      <w:tr w:rsidR="00B037DD" w:rsidRPr="00CF4E2F" w14:paraId="1F53D4DB" w14:textId="77777777" w:rsidTr="00B037DD">
        <w:tc>
          <w:tcPr>
            <w:tcW w:w="529" w:type="dxa"/>
            <w:vMerge/>
            <w:shd w:val="clear" w:color="auto" w:fill="auto"/>
            <w:vAlign w:val="center"/>
          </w:tcPr>
          <w:p w14:paraId="68880397"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44FEAF84"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79A037DC"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28BFC1E"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 14</w:t>
            </w:r>
          </w:p>
        </w:tc>
      </w:tr>
      <w:tr w:rsidR="00B037DD" w:rsidRPr="00CF4E2F" w14:paraId="690E85B3" w14:textId="77777777" w:rsidTr="00B037DD">
        <w:tc>
          <w:tcPr>
            <w:tcW w:w="529" w:type="dxa"/>
            <w:vMerge w:val="restart"/>
            <w:shd w:val="clear" w:color="auto" w:fill="auto"/>
            <w:vAlign w:val="center"/>
          </w:tcPr>
          <w:p w14:paraId="6E1993BF"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14</w:t>
            </w:r>
          </w:p>
        </w:tc>
        <w:tc>
          <w:tcPr>
            <w:tcW w:w="5550" w:type="dxa"/>
            <w:vMerge w:val="restart"/>
            <w:shd w:val="clear" w:color="auto" w:fill="auto"/>
            <w:vAlign w:val="center"/>
          </w:tcPr>
          <w:p w14:paraId="6645FD72"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Trade finance on-balance sheet products?</w:t>
            </w:r>
          </w:p>
        </w:tc>
        <w:tc>
          <w:tcPr>
            <w:tcW w:w="1305" w:type="dxa"/>
            <w:shd w:val="clear" w:color="auto" w:fill="auto"/>
            <w:vAlign w:val="center"/>
          </w:tcPr>
          <w:p w14:paraId="2618F062"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5CA9DA5"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ID 1.4.7</w:t>
            </w:r>
          </w:p>
        </w:tc>
      </w:tr>
      <w:tr w:rsidR="00B037DD" w:rsidRPr="00CF4E2F" w14:paraId="0633E4DF" w14:textId="77777777" w:rsidTr="00B037DD">
        <w:tc>
          <w:tcPr>
            <w:tcW w:w="529" w:type="dxa"/>
            <w:vMerge/>
            <w:shd w:val="clear" w:color="auto" w:fill="auto"/>
            <w:vAlign w:val="center"/>
          </w:tcPr>
          <w:p w14:paraId="6D2C1E28"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508DE795"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6EFA0D20"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09D68834"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15</w:t>
            </w:r>
          </w:p>
        </w:tc>
      </w:tr>
      <w:tr w:rsidR="00B037DD" w:rsidRPr="00CF4E2F" w14:paraId="027C07E7" w14:textId="77777777" w:rsidTr="00B037DD">
        <w:tc>
          <w:tcPr>
            <w:tcW w:w="529" w:type="dxa"/>
            <w:vMerge w:val="restart"/>
            <w:shd w:val="clear" w:color="auto" w:fill="auto"/>
            <w:vAlign w:val="center"/>
          </w:tcPr>
          <w:p w14:paraId="0FDFF869"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15</w:t>
            </w:r>
          </w:p>
        </w:tc>
        <w:tc>
          <w:tcPr>
            <w:tcW w:w="5550" w:type="dxa"/>
            <w:vMerge w:val="restart"/>
            <w:shd w:val="clear" w:color="auto" w:fill="auto"/>
            <w:vAlign w:val="center"/>
          </w:tcPr>
          <w:p w14:paraId="1E498CDE"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NSFR derivative assets?</w:t>
            </w:r>
          </w:p>
        </w:tc>
        <w:tc>
          <w:tcPr>
            <w:tcW w:w="1305" w:type="dxa"/>
            <w:shd w:val="clear" w:color="auto" w:fill="auto"/>
            <w:vAlign w:val="center"/>
          </w:tcPr>
          <w:p w14:paraId="06ADE762"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5892600F"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ID 1.7.2</w:t>
            </w:r>
          </w:p>
        </w:tc>
      </w:tr>
      <w:tr w:rsidR="00B037DD" w:rsidRPr="00CF4E2F" w14:paraId="421C7398" w14:textId="77777777" w:rsidTr="00B037DD">
        <w:tc>
          <w:tcPr>
            <w:tcW w:w="529" w:type="dxa"/>
            <w:vMerge/>
            <w:shd w:val="clear" w:color="auto" w:fill="auto"/>
            <w:vAlign w:val="center"/>
          </w:tcPr>
          <w:p w14:paraId="6B47E455"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400F92A8"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307A18AA"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5710FF3C"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16</w:t>
            </w:r>
          </w:p>
        </w:tc>
      </w:tr>
      <w:tr w:rsidR="00B037DD" w:rsidRPr="00CF4E2F" w14:paraId="240C6072" w14:textId="77777777" w:rsidTr="00B037DD">
        <w:tc>
          <w:tcPr>
            <w:tcW w:w="529" w:type="dxa"/>
            <w:vMerge w:val="restart"/>
            <w:shd w:val="clear" w:color="auto" w:fill="auto"/>
            <w:vAlign w:val="center"/>
          </w:tcPr>
          <w:p w14:paraId="588B5D0B"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16</w:t>
            </w:r>
          </w:p>
        </w:tc>
        <w:tc>
          <w:tcPr>
            <w:tcW w:w="5550" w:type="dxa"/>
            <w:vMerge w:val="restart"/>
            <w:shd w:val="clear" w:color="auto" w:fill="auto"/>
            <w:vAlign w:val="center"/>
          </w:tcPr>
          <w:p w14:paraId="757D4C21"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Loans?</w:t>
            </w:r>
          </w:p>
        </w:tc>
        <w:tc>
          <w:tcPr>
            <w:tcW w:w="1305" w:type="dxa"/>
            <w:shd w:val="clear" w:color="auto" w:fill="auto"/>
            <w:vAlign w:val="center"/>
          </w:tcPr>
          <w:p w14:paraId="62DE85B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0DBCEE3D"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17</w:t>
            </w:r>
          </w:p>
        </w:tc>
      </w:tr>
      <w:tr w:rsidR="00B037DD" w:rsidRPr="00CF4E2F" w14:paraId="69D4024B" w14:textId="77777777" w:rsidTr="00B037DD">
        <w:tc>
          <w:tcPr>
            <w:tcW w:w="529" w:type="dxa"/>
            <w:vMerge/>
            <w:shd w:val="clear" w:color="auto" w:fill="auto"/>
            <w:vAlign w:val="center"/>
          </w:tcPr>
          <w:p w14:paraId="09DCB76E"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7375AB68"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043DBAAF"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F2F6F77"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21</w:t>
            </w:r>
          </w:p>
        </w:tc>
      </w:tr>
      <w:tr w:rsidR="00B037DD" w:rsidRPr="00CF4E2F" w14:paraId="5B95E063" w14:textId="77777777" w:rsidTr="00B037DD">
        <w:tc>
          <w:tcPr>
            <w:tcW w:w="529" w:type="dxa"/>
            <w:vMerge w:val="restart"/>
            <w:shd w:val="clear" w:color="auto" w:fill="auto"/>
            <w:vAlign w:val="center"/>
          </w:tcPr>
          <w:p w14:paraId="0568DDD4"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17</w:t>
            </w:r>
          </w:p>
        </w:tc>
        <w:tc>
          <w:tcPr>
            <w:tcW w:w="5550" w:type="dxa"/>
            <w:vMerge w:val="restart"/>
            <w:shd w:val="clear" w:color="auto" w:fill="auto"/>
            <w:vAlign w:val="center"/>
          </w:tcPr>
          <w:p w14:paraId="2312B4AE" w14:textId="28305B89" w:rsidR="00B037DD" w:rsidRPr="00CF4E2F" w:rsidRDefault="00D67527" w:rsidP="00B35CF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Loans encumbered for </w:t>
            </w:r>
            <w:r>
              <w:rPr>
                <w:rFonts w:ascii="Times New Roman" w:hAnsi="Times New Roman"/>
                <w:sz w:val="16"/>
                <w:szCs w:val="16"/>
                <w:lang w:val="en-US"/>
              </w:rPr>
              <w:t xml:space="preserve">a residual maturity </w:t>
            </w:r>
            <w:r w:rsidRPr="00B35CFA">
              <w:rPr>
                <w:rFonts w:ascii="Times New Roman" w:hAnsi="Times New Roman"/>
                <w:sz w:val="16"/>
                <w:szCs w:val="16"/>
                <w:lang w:val="en-US"/>
              </w:rPr>
              <w:t>of one year or more</w:t>
            </w:r>
            <w:r>
              <w:rPr>
                <w:rFonts w:ascii="Times New Roman" w:hAnsi="Times New Roman"/>
                <w:sz w:val="16"/>
                <w:szCs w:val="16"/>
                <w:lang w:val="en-US"/>
              </w:rPr>
              <w:t xml:space="preserve"> </w:t>
            </w:r>
            <w:r w:rsidRPr="00CF4E2F">
              <w:rPr>
                <w:rFonts w:ascii="Times New Roman" w:eastAsia="Calibri" w:hAnsi="Times New Roman"/>
                <w:sz w:val="16"/>
                <w:szCs w:val="16"/>
                <w:lang w:val="en-US"/>
              </w:rPr>
              <w:t>in a cover pool?</w:t>
            </w:r>
          </w:p>
        </w:tc>
        <w:tc>
          <w:tcPr>
            <w:tcW w:w="1305" w:type="dxa"/>
            <w:shd w:val="clear" w:color="auto" w:fill="auto"/>
            <w:vAlign w:val="center"/>
          </w:tcPr>
          <w:p w14:paraId="1FAA4690"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261C380"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ID 1.4.4</w:t>
            </w:r>
          </w:p>
        </w:tc>
      </w:tr>
      <w:tr w:rsidR="00B037DD" w:rsidRPr="00CF4E2F" w14:paraId="10D9453E" w14:textId="77777777" w:rsidTr="00B037DD">
        <w:tc>
          <w:tcPr>
            <w:tcW w:w="529" w:type="dxa"/>
            <w:vMerge/>
            <w:shd w:val="clear" w:color="auto" w:fill="auto"/>
            <w:vAlign w:val="center"/>
          </w:tcPr>
          <w:p w14:paraId="1FCE1C78"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4126EDA7"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0D77F32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DB76CE4"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18</w:t>
            </w:r>
          </w:p>
        </w:tc>
      </w:tr>
      <w:tr w:rsidR="00B037DD" w:rsidRPr="00CF4E2F" w14:paraId="7E1F2C89" w14:textId="77777777" w:rsidTr="00B037DD">
        <w:tc>
          <w:tcPr>
            <w:tcW w:w="529" w:type="dxa"/>
            <w:vMerge w:val="restart"/>
            <w:shd w:val="clear" w:color="auto" w:fill="auto"/>
            <w:vAlign w:val="center"/>
          </w:tcPr>
          <w:p w14:paraId="7A4209E7"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18</w:t>
            </w:r>
          </w:p>
        </w:tc>
        <w:tc>
          <w:tcPr>
            <w:tcW w:w="5550" w:type="dxa"/>
            <w:vMerge w:val="restart"/>
            <w:shd w:val="clear" w:color="auto" w:fill="auto"/>
            <w:vAlign w:val="center"/>
          </w:tcPr>
          <w:p w14:paraId="5282CD77"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Loans classified as operational deposits?</w:t>
            </w:r>
          </w:p>
        </w:tc>
        <w:tc>
          <w:tcPr>
            <w:tcW w:w="1305" w:type="dxa"/>
            <w:shd w:val="clear" w:color="auto" w:fill="auto"/>
            <w:vAlign w:val="center"/>
          </w:tcPr>
          <w:p w14:paraId="7F11337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51EFF88D"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rPr>
              <w:t>ID 1.4.1</w:t>
            </w:r>
          </w:p>
        </w:tc>
      </w:tr>
      <w:tr w:rsidR="00B037DD" w:rsidRPr="00CF4E2F" w14:paraId="2569D77D" w14:textId="77777777" w:rsidTr="00B037DD">
        <w:tc>
          <w:tcPr>
            <w:tcW w:w="529" w:type="dxa"/>
            <w:vMerge/>
            <w:shd w:val="clear" w:color="auto" w:fill="auto"/>
            <w:vAlign w:val="center"/>
          </w:tcPr>
          <w:p w14:paraId="0CFC7284"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4BC1F769"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6B3D5F9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C892C00"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19</w:t>
            </w:r>
          </w:p>
        </w:tc>
      </w:tr>
      <w:tr w:rsidR="00B037DD" w:rsidRPr="00CF4E2F" w14:paraId="614C90FD" w14:textId="77777777" w:rsidTr="00B037DD">
        <w:tc>
          <w:tcPr>
            <w:tcW w:w="529" w:type="dxa"/>
            <w:vMerge w:val="restart"/>
            <w:shd w:val="clear" w:color="auto" w:fill="auto"/>
            <w:vAlign w:val="center"/>
          </w:tcPr>
          <w:p w14:paraId="687CA7EE"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19</w:t>
            </w:r>
          </w:p>
        </w:tc>
        <w:tc>
          <w:tcPr>
            <w:tcW w:w="5550" w:type="dxa"/>
            <w:vMerge w:val="restart"/>
            <w:shd w:val="clear" w:color="auto" w:fill="auto"/>
            <w:vAlign w:val="center"/>
          </w:tcPr>
          <w:p w14:paraId="11434748"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Securities financing transactions with financial customers?</w:t>
            </w:r>
          </w:p>
        </w:tc>
        <w:tc>
          <w:tcPr>
            <w:tcW w:w="1305" w:type="dxa"/>
            <w:shd w:val="clear" w:color="auto" w:fill="auto"/>
            <w:vAlign w:val="center"/>
          </w:tcPr>
          <w:p w14:paraId="5D124542"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0F7E658"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Allocate into one relevant item of ID 1.4.2.</w:t>
            </w:r>
          </w:p>
        </w:tc>
      </w:tr>
      <w:tr w:rsidR="00B037DD" w:rsidRPr="00CF4E2F" w14:paraId="3218BB28" w14:textId="77777777" w:rsidTr="00B037DD">
        <w:tc>
          <w:tcPr>
            <w:tcW w:w="529" w:type="dxa"/>
            <w:vMerge/>
            <w:shd w:val="clear" w:color="auto" w:fill="auto"/>
            <w:vAlign w:val="center"/>
          </w:tcPr>
          <w:p w14:paraId="51631DA4"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6274ED59"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3AC26831"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F23F91D" w14:textId="77777777" w:rsidR="00B037DD" w:rsidRPr="00CF4E2F" w:rsidRDefault="00B037DD" w:rsidP="00917E68">
            <w:pPr>
              <w:pStyle w:val="TableParagraph"/>
              <w:spacing w:before="32"/>
              <w:jc w:val="center"/>
              <w:rPr>
                <w:rFonts w:ascii="Times New Roman" w:hAnsi="Times New Roman"/>
                <w:sz w:val="16"/>
              </w:rPr>
            </w:pPr>
            <w:r w:rsidRPr="00CF4E2F">
              <w:rPr>
                <w:rFonts w:ascii="Times New Roman" w:hAnsi="Times New Roman"/>
                <w:sz w:val="16"/>
                <w:szCs w:val="16"/>
              </w:rPr>
              <w:t># 20</w:t>
            </w:r>
          </w:p>
        </w:tc>
      </w:tr>
      <w:tr w:rsidR="00B037DD" w:rsidRPr="00CF4E2F" w14:paraId="1414D213" w14:textId="77777777" w:rsidTr="00B037DD">
        <w:tc>
          <w:tcPr>
            <w:tcW w:w="529" w:type="dxa"/>
            <w:vMerge w:val="restart"/>
            <w:shd w:val="clear" w:color="auto" w:fill="auto"/>
            <w:vAlign w:val="center"/>
          </w:tcPr>
          <w:p w14:paraId="79D0BD67" w14:textId="77777777" w:rsidR="00B037DD" w:rsidRPr="00A66401" w:rsidRDefault="00B037DD" w:rsidP="00917E68">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20</w:t>
            </w:r>
          </w:p>
        </w:tc>
        <w:tc>
          <w:tcPr>
            <w:tcW w:w="5550" w:type="dxa"/>
            <w:vMerge w:val="restart"/>
            <w:shd w:val="clear" w:color="auto" w:fill="auto"/>
            <w:vAlign w:val="center"/>
          </w:tcPr>
          <w:p w14:paraId="57FF0A62" w14:textId="4F588DDC"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Other loans </w:t>
            </w:r>
            <w:r w:rsidR="00B35CFA">
              <w:rPr>
                <w:rFonts w:ascii="Times New Roman" w:eastAsia="Calibri" w:hAnsi="Times New Roman"/>
                <w:sz w:val="16"/>
                <w:szCs w:val="16"/>
                <w:lang w:val="en-US"/>
              </w:rPr>
              <w:t xml:space="preserve">and advances </w:t>
            </w:r>
            <w:r w:rsidRPr="00CF4E2F">
              <w:rPr>
                <w:rFonts w:ascii="Times New Roman" w:eastAsia="Calibri" w:hAnsi="Times New Roman"/>
                <w:sz w:val="16"/>
                <w:szCs w:val="16"/>
                <w:lang w:val="en-US"/>
              </w:rPr>
              <w:t>to financial customers?</w:t>
            </w:r>
          </w:p>
        </w:tc>
        <w:tc>
          <w:tcPr>
            <w:tcW w:w="1305" w:type="dxa"/>
            <w:shd w:val="clear" w:color="auto" w:fill="auto"/>
            <w:vAlign w:val="center"/>
          </w:tcPr>
          <w:p w14:paraId="6E3E3614"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Yes</w:t>
            </w:r>
          </w:p>
        </w:tc>
        <w:tc>
          <w:tcPr>
            <w:tcW w:w="2222" w:type="dxa"/>
            <w:shd w:val="clear" w:color="auto" w:fill="auto"/>
            <w:vAlign w:val="center"/>
          </w:tcPr>
          <w:p w14:paraId="63AD8D5B"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ID 1.4.3</w:t>
            </w:r>
          </w:p>
        </w:tc>
      </w:tr>
      <w:tr w:rsidR="00B037DD" w:rsidRPr="00CF4E2F" w14:paraId="76E9F1A5" w14:textId="77777777" w:rsidTr="00B037DD">
        <w:tc>
          <w:tcPr>
            <w:tcW w:w="529" w:type="dxa"/>
            <w:vMerge/>
            <w:shd w:val="clear" w:color="auto" w:fill="auto"/>
            <w:vAlign w:val="center"/>
          </w:tcPr>
          <w:p w14:paraId="7DCBD999" w14:textId="77777777" w:rsidR="00B037DD" w:rsidRPr="00A66401"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1067B35A"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75584568"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No</w:t>
            </w:r>
          </w:p>
        </w:tc>
        <w:tc>
          <w:tcPr>
            <w:tcW w:w="2222" w:type="dxa"/>
            <w:shd w:val="clear" w:color="auto" w:fill="auto"/>
            <w:vAlign w:val="center"/>
          </w:tcPr>
          <w:p w14:paraId="566B8C15" w14:textId="77777777" w:rsidR="00B037DD" w:rsidRPr="00CF4E2F" w:rsidRDefault="00B037DD" w:rsidP="00917E68">
            <w:pPr>
              <w:pStyle w:val="TableParagraph"/>
              <w:spacing w:before="32"/>
              <w:jc w:val="center"/>
              <w:rPr>
                <w:rFonts w:ascii="Times New Roman" w:hAnsi="Times New Roman"/>
                <w:sz w:val="16"/>
                <w:szCs w:val="16"/>
              </w:rPr>
            </w:pPr>
            <w:r w:rsidRPr="00CF4E2F">
              <w:rPr>
                <w:rFonts w:ascii="Times New Roman" w:hAnsi="Times New Roman"/>
                <w:sz w:val="16"/>
                <w:szCs w:val="16"/>
              </w:rPr>
              <w:t>Allocate into one relevant item of ID 1.4.5 or 1.4.6.</w:t>
            </w:r>
          </w:p>
        </w:tc>
      </w:tr>
      <w:tr w:rsidR="00B037DD" w:rsidRPr="00CF4E2F" w14:paraId="1173FF8E" w14:textId="77777777" w:rsidTr="00B037DD">
        <w:tc>
          <w:tcPr>
            <w:tcW w:w="529" w:type="dxa"/>
            <w:vMerge w:val="restart"/>
            <w:shd w:val="clear" w:color="auto" w:fill="auto"/>
            <w:vAlign w:val="center"/>
          </w:tcPr>
          <w:p w14:paraId="07E835FD" w14:textId="77777777" w:rsidR="00B037DD" w:rsidRPr="001A257C" w:rsidRDefault="00B037DD" w:rsidP="00917E68">
            <w:pPr>
              <w:pStyle w:val="TableParagraph"/>
              <w:ind w:left="7"/>
              <w:jc w:val="center"/>
              <w:rPr>
                <w:rFonts w:ascii="Times New Roman" w:eastAsia="Times New Roman" w:hAnsi="Times New Roman"/>
                <w:sz w:val="16"/>
                <w:szCs w:val="16"/>
              </w:rPr>
            </w:pPr>
            <w:r w:rsidRPr="00CF4E2F">
              <w:rPr>
                <w:rFonts w:ascii="Times New Roman" w:eastAsia="Times New Roman" w:hAnsi="Times New Roman"/>
                <w:sz w:val="16"/>
                <w:szCs w:val="16"/>
              </w:rPr>
              <w:t>21</w:t>
            </w:r>
          </w:p>
        </w:tc>
        <w:tc>
          <w:tcPr>
            <w:tcW w:w="5550" w:type="dxa"/>
            <w:vMerge w:val="restart"/>
            <w:shd w:val="clear" w:color="auto" w:fill="auto"/>
            <w:vAlign w:val="center"/>
          </w:tcPr>
          <w:p w14:paraId="726BE5E0" w14:textId="77777777" w:rsidR="00B037DD" w:rsidRPr="00CF4E2F" w:rsidRDefault="00B037DD" w:rsidP="00917E68">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Physically traded commodities?</w:t>
            </w:r>
          </w:p>
        </w:tc>
        <w:tc>
          <w:tcPr>
            <w:tcW w:w="1305" w:type="dxa"/>
            <w:shd w:val="clear" w:color="auto" w:fill="auto"/>
            <w:vAlign w:val="center"/>
          </w:tcPr>
          <w:p w14:paraId="305EC0B5" w14:textId="77777777" w:rsidR="00B037DD" w:rsidRPr="00CF4E2F" w:rsidRDefault="00B037DD" w:rsidP="00917E68">
            <w:pPr>
              <w:pStyle w:val="TableParagraph"/>
              <w:spacing w:before="34"/>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E139CD2" w14:textId="77777777" w:rsidR="00B037DD" w:rsidRPr="00CF4E2F" w:rsidRDefault="00B037DD" w:rsidP="00917E68">
            <w:pPr>
              <w:pStyle w:val="TableParagraph"/>
              <w:spacing w:before="34"/>
              <w:jc w:val="center"/>
              <w:rPr>
                <w:rFonts w:ascii="Times New Roman" w:eastAsia="Times New Roman" w:hAnsi="Times New Roman"/>
                <w:sz w:val="16"/>
                <w:szCs w:val="16"/>
              </w:rPr>
            </w:pPr>
            <w:r w:rsidRPr="00CF4E2F">
              <w:rPr>
                <w:rFonts w:ascii="Times New Roman" w:hAnsi="Times New Roman"/>
                <w:sz w:val="16"/>
                <w:szCs w:val="16"/>
              </w:rPr>
              <w:t>Allocate into one relevant item of ID 1.9.1</w:t>
            </w:r>
          </w:p>
        </w:tc>
      </w:tr>
      <w:tr w:rsidR="00B037DD" w:rsidRPr="00CF4E2F" w14:paraId="2F636CC7" w14:textId="77777777" w:rsidTr="00B037DD">
        <w:tc>
          <w:tcPr>
            <w:tcW w:w="529" w:type="dxa"/>
            <w:vMerge/>
            <w:shd w:val="clear" w:color="auto" w:fill="auto"/>
            <w:vAlign w:val="center"/>
          </w:tcPr>
          <w:p w14:paraId="2A1FA734"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1B5E4DB6"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0BD7EE1A" w14:textId="77777777" w:rsidR="00B037DD" w:rsidRPr="001A257C"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75D60AA6"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hAnsi="Times New Roman"/>
                <w:sz w:val="16"/>
                <w:szCs w:val="16"/>
              </w:rPr>
              <w:t># 22</w:t>
            </w:r>
          </w:p>
        </w:tc>
      </w:tr>
      <w:tr w:rsidR="00B037DD" w:rsidRPr="00CF4E2F" w14:paraId="097B2BBB" w14:textId="77777777" w:rsidTr="00B037DD">
        <w:tc>
          <w:tcPr>
            <w:tcW w:w="529" w:type="dxa"/>
            <w:vMerge w:val="restart"/>
            <w:shd w:val="clear" w:color="auto" w:fill="auto"/>
            <w:vAlign w:val="center"/>
          </w:tcPr>
          <w:p w14:paraId="1450EC7B" w14:textId="77777777" w:rsidR="00B037DD" w:rsidRPr="001A257C" w:rsidRDefault="00B037DD" w:rsidP="00917E68">
            <w:pPr>
              <w:pStyle w:val="TableParagraph"/>
              <w:ind w:left="7"/>
              <w:jc w:val="center"/>
              <w:rPr>
                <w:rFonts w:ascii="Times New Roman" w:eastAsia="Times New Roman" w:hAnsi="Times New Roman"/>
                <w:sz w:val="16"/>
                <w:szCs w:val="16"/>
              </w:rPr>
            </w:pPr>
            <w:r w:rsidRPr="00CF4E2F">
              <w:rPr>
                <w:rFonts w:ascii="Times New Roman" w:eastAsia="Times New Roman" w:hAnsi="Times New Roman"/>
                <w:sz w:val="16"/>
                <w:szCs w:val="16"/>
              </w:rPr>
              <w:t>22</w:t>
            </w:r>
          </w:p>
        </w:tc>
        <w:tc>
          <w:tcPr>
            <w:tcW w:w="5550" w:type="dxa"/>
            <w:vMerge w:val="restart"/>
            <w:shd w:val="clear" w:color="auto" w:fill="auto"/>
            <w:vAlign w:val="center"/>
          </w:tcPr>
          <w:p w14:paraId="7F8CEA85" w14:textId="77777777" w:rsidR="00B037DD" w:rsidRPr="00CF4E2F" w:rsidRDefault="00B037DD" w:rsidP="00917E68">
            <w:pPr>
              <w:pStyle w:val="TableParagraph"/>
              <w:spacing w:before="80"/>
              <w:ind w:left="243" w:right="100"/>
              <w:jc w:val="center"/>
              <w:rPr>
                <w:rFonts w:ascii="Times New Roman" w:eastAsia="Times New Roman" w:hAnsi="Times New Roman"/>
                <w:sz w:val="16"/>
                <w:szCs w:val="16"/>
              </w:rPr>
            </w:pPr>
            <w:r w:rsidRPr="00CF4E2F">
              <w:rPr>
                <w:rFonts w:ascii="Times New Roman" w:eastAsia="Times New Roman" w:hAnsi="Times New Roman"/>
                <w:sz w:val="16"/>
                <w:szCs w:val="16"/>
              </w:rPr>
              <w:t>Any other asset not considered in the above categories?</w:t>
            </w:r>
          </w:p>
        </w:tc>
        <w:tc>
          <w:tcPr>
            <w:tcW w:w="1305" w:type="dxa"/>
            <w:shd w:val="clear" w:color="auto" w:fill="auto"/>
            <w:vAlign w:val="center"/>
          </w:tcPr>
          <w:p w14:paraId="5C0DE73A"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C6C801A" w14:textId="23F7C026" w:rsidR="00B037DD" w:rsidRPr="00CF4E2F" w:rsidRDefault="00B037DD" w:rsidP="001C7F46">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ID 1.9.</w:t>
            </w:r>
            <w:r w:rsidR="001C7F46">
              <w:rPr>
                <w:rFonts w:ascii="Times New Roman" w:eastAsia="Times New Roman" w:hAnsi="Times New Roman"/>
                <w:sz w:val="16"/>
                <w:szCs w:val="16"/>
              </w:rPr>
              <w:t>4</w:t>
            </w:r>
          </w:p>
        </w:tc>
      </w:tr>
      <w:tr w:rsidR="00B037DD" w:rsidRPr="00CF4E2F" w14:paraId="634DD0E0" w14:textId="77777777" w:rsidTr="00B037DD">
        <w:tc>
          <w:tcPr>
            <w:tcW w:w="529" w:type="dxa"/>
            <w:vMerge/>
            <w:shd w:val="clear" w:color="auto" w:fill="auto"/>
            <w:vAlign w:val="center"/>
          </w:tcPr>
          <w:p w14:paraId="554966F2" w14:textId="77777777" w:rsidR="00B037DD" w:rsidRPr="00A66401"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7BFF2CB9" w14:textId="77777777" w:rsidR="00B037DD" w:rsidRPr="00A66401" w:rsidRDefault="00B037DD" w:rsidP="00917E68">
            <w:pPr>
              <w:jc w:val="center"/>
              <w:rPr>
                <w:rFonts w:ascii="Times New Roman" w:eastAsia="Calibri" w:hAnsi="Times New Roman"/>
                <w:sz w:val="22"/>
                <w:lang w:val="en-US"/>
              </w:rPr>
            </w:pPr>
          </w:p>
        </w:tc>
        <w:tc>
          <w:tcPr>
            <w:tcW w:w="1305" w:type="dxa"/>
            <w:shd w:val="clear" w:color="auto" w:fill="auto"/>
            <w:vAlign w:val="center"/>
          </w:tcPr>
          <w:p w14:paraId="0763BB1C" w14:textId="77777777" w:rsidR="00B037DD" w:rsidRPr="001A257C"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80DC511"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r w:rsidR="00B037DD" w:rsidRPr="00CF4E2F" w14:paraId="03586C34" w14:textId="77777777" w:rsidTr="00B037DD">
        <w:tc>
          <w:tcPr>
            <w:tcW w:w="529" w:type="dxa"/>
            <w:vMerge w:val="restart"/>
            <w:shd w:val="clear" w:color="auto" w:fill="auto"/>
            <w:vAlign w:val="center"/>
          </w:tcPr>
          <w:p w14:paraId="3B5307F4" w14:textId="77777777" w:rsidR="00B037DD" w:rsidRPr="001A257C" w:rsidRDefault="00B037DD" w:rsidP="00917E68">
            <w:pPr>
              <w:pStyle w:val="TableParagraph"/>
              <w:ind w:left="7"/>
              <w:jc w:val="center"/>
              <w:rPr>
                <w:rFonts w:ascii="Times New Roman" w:eastAsia="Times New Roman" w:hAnsi="Times New Roman"/>
                <w:sz w:val="16"/>
                <w:szCs w:val="16"/>
              </w:rPr>
            </w:pPr>
            <w:r w:rsidRPr="00CF4E2F">
              <w:rPr>
                <w:rFonts w:ascii="Times New Roman" w:hAnsi="Times New Roman"/>
                <w:sz w:val="16"/>
              </w:rPr>
              <w:t>23</w:t>
            </w:r>
          </w:p>
        </w:tc>
        <w:tc>
          <w:tcPr>
            <w:tcW w:w="5550" w:type="dxa"/>
            <w:vMerge w:val="restart"/>
            <w:shd w:val="clear" w:color="auto" w:fill="auto"/>
            <w:vAlign w:val="center"/>
          </w:tcPr>
          <w:p w14:paraId="7B64E8AA" w14:textId="77777777" w:rsidR="00B037DD" w:rsidRPr="00CF4E2F" w:rsidRDefault="00B037DD" w:rsidP="00917E68">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An off-balance sheet exposure?</w:t>
            </w:r>
          </w:p>
        </w:tc>
        <w:tc>
          <w:tcPr>
            <w:tcW w:w="1305" w:type="dxa"/>
            <w:shd w:val="clear" w:color="auto" w:fill="auto"/>
            <w:vAlign w:val="center"/>
          </w:tcPr>
          <w:p w14:paraId="693EB77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6115E3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24</w:t>
            </w:r>
          </w:p>
        </w:tc>
      </w:tr>
      <w:tr w:rsidR="00B037DD" w:rsidRPr="00CF4E2F" w14:paraId="29760F61" w14:textId="77777777" w:rsidTr="00B037DD">
        <w:tc>
          <w:tcPr>
            <w:tcW w:w="529" w:type="dxa"/>
            <w:vMerge/>
            <w:shd w:val="clear" w:color="auto" w:fill="auto"/>
            <w:vAlign w:val="center"/>
          </w:tcPr>
          <w:p w14:paraId="723BC2E8" w14:textId="77777777" w:rsidR="00B037DD" w:rsidRPr="00CF4E2F" w:rsidRDefault="00B037DD" w:rsidP="00917E68">
            <w:pPr>
              <w:jc w:val="center"/>
              <w:rPr>
                <w:rFonts w:ascii="Times New Roman" w:eastAsia="Calibri" w:hAnsi="Times New Roman"/>
                <w:sz w:val="22"/>
                <w:lang w:val="en-US"/>
              </w:rPr>
            </w:pPr>
          </w:p>
        </w:tc>
        <w:tc>
          <w:tcPr>
            <w:tcW w:w="5550" w:type="dxa"/>
            <w:vMerge/>
            <w:shd w:val="clear" w:color="auto" w:fill="auto"/>
            <w:vAlign w:val="center"/>
          </w:tcPr>
          <w:p w14:paraId="79B12B13" w14:textId="77777777" w:rsidR="00B037DD" w:rsidRPr="00CF4E2F" w:rsidRDefault="00B037DD" w:rsidP="00917E68">
            <w:pPr>
              <w:jc w:val="center"/>
              <w:rPr>
                <w:rFonts w:ascii="Times New Roman" w:eastAsia="Calibri" w:hAnsi="Times New Roman"/>
                <w:sz w:val="22"/>
                <w:lang w:val="en-US"/>
              </w:rPr>
            </w:pPr>
          </w:p>
        </w:tc>
        <w:tc>
          <w:tcPr>
            <w:tcW w:w="1305" w:type="dxa"/>
            <w:shd w:val="clear" w:color="auto" w:fill="auto"/>
            <w:vAlign w:val="center"/>
          </w:tcPr>
          <w:p w14:paraId="1CCE6E37"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66706A1"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r w:rsidR="00B037DD" w:rsidRPr="00CF4E2F" w14:paraId="156FF2EE" w14:textId="77777777" w:rsidTr="00B037DD">
        <w:tc>
          <w:tcPr>
            <w:tcW w:w="529" w:type="dxa"/>
            <w:vMerge w:val="restart"/>
            <w:shd w:val="clear" w:color="auto" w:fill="auto"/>
            <w:vAlign w:val="center"/>
          </w:tcPr>
          <w:p w14:paraId="3138BB41"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24</w:t>
            </w:r>
          </w:p>
        </w:tc>
        <w:tc>
          <w:tcPr>
            <w:tcW w:w="5550" w:type="dxa"/>
            <w:vMerge w:val="restart"/>
            <w:shd w:val="clear" w:color="auto" w:fill="auto"/>
            <w:vAlign w:val="center"/>
          </w:tcPr>
          <w:p w14:paraId="68747D3C"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Non-performing exposure?</w:t>
            </w:r>
          </w:p>
        </w:tc>
        <w:tc>
          <w:tcPr>
            <w:tcW w:w="1305" w:type="dxa"/>
            <w:shd w:val="clear" w:color="auto" w:fill="auto"/>
            <w:vAlign w:val="center"/>
          </w:tcPr>
          <w:p w14:paraId="57F551B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794CE166" w14:textId="37D49E31" w:rsidR="00B037DD" w:rsidRPr="00CF4E2F" w:rsidRDefault="00B037DD" w:rsidP="005E33B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ID </w:t>
            </w:r>
            <w:r w:rsidR="005E33BE">
              <w:rPr>
                <w:rFonts w:ascii="Times New Roman" w:eastAsia="Times New Roman" w:hAnsi="Times New Roman"/>
                <w:sz w:val="16"/>
                <w:szCs w:val="16"/>
              </w:rPr>
              <w:t>1.10</w:t>
            </w:r>
            <w:r w:rsidRPr="00CF4E2F">
              <w:rPr>
                <w:rFonts w:ascii="Times New Roman" w:eastAsia="Times New Roman" w:hAnsi="Times New Roman"/>
                <w:sz w:val="16"/>
                <w:szCs w:val="16"/>
              </w:rPr>
              <w:t>.4</w:t>
            </w:r>
          </w:p>
        </w:tc>
      </w:tr>
      <w:tr w:rsidR="00B037DD" w:rsidRPr="00CF4E2F" w14:paraId="108A19EA" w14:textId="77777777" w:rsidTr="00B037DD">
        <w:tc>
          <w:tcPr>
            <w:tcW w:w="529" w:type="dxa"/>
            <w:vMerge/>
            <w:shd w:val="clear" w:color="auto" w:fill="auto"/>
            <w:vAlign w:val="center"/>
          </w:tcPr>
          <w:p w14:paraId="02C74518"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31B258C6"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2204807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1C15296"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25</w:t>
            </w:r>
          </w:p>
        </w:tc>
      </w:tr>
      <w:tr w:rsidR="00B037DD" w:rsidRPr="00CF4E2F" w14:paraId="1EB50A38" w14:textId="77777777" w:rsidTr="00B037DD">
        <w:tc>
          <w:tcPr>
            <w:tcW w:w="529" w:type="dxa"/>
            <w:vMerge w:val="restart"/>
            <w:shd w:val="clear" w:color="auto" w:fill="auto"/>
            <w:vAlign w:val="center"/>
          </w:tcPr>
          <w:p w14:paraId="1D10DC2F"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25</w:t>
            </w:r>
          </w:p>
        </w:tc>
        <w:tc>
          <w:tcPr>
            <w:tcW w:w="5550" w:type="dxa"/>
            <w:vMerge w:val="restart"/>
            <w:shd w:val="clear" w:color="auto" w:fill="auto"/>
            <w:vAlign w:val="center"/>
          </w:tcPr>
          <w:p w14:paraId="2ADBB711" w14:textId="77777777"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Committed facilities?</w:t>
            </w:r>
          </w:p>
        </w:tc>
        <w:tc>
          <w:tcPr>
            <w:tcW w:w="1305" w:type="dxa"/>
            <w:shd w:val="clear" w:color="auto" w:fill="auto"/>
            <w:vAlign w:val="center"/>
          </w:tcPr>
          <w:p w14:paraId="4A0ABF4C"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959A253"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26</w:t>
            </w:r>
          </w:p>
        </w:tc>
      </w:tr>
      <w:tr w:rsidR="00B037DD" w:rsidRPr="00CF4E2F" w14:paraId="7CB6E756" w14:textId="77777777" w:rsidTr="00B037DD">
        <w:tc>
          <w:tcPr>
            <w:tcW w:w="529" w:type="dxa"/>
            <w:vMerge/>
            <w:shd w:val="clear" w:color="auto" w:fill="auto"/>
            <w:vAlign w:val="center"/>
          </w:tcPr>
          <w:p w14:paraId="2255C56F"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4F840AEA"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17A399D0"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7A507C21"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27</w:t>
            </w:r>
          </w:p>
        </w:tc>
      </w:tr>
      <w:tr w:rsidR="00B037DD" w:rsidRPr="00CF4E2F" w14:paraId="3A778CEB" w14:textId="77777777" w:rsidTr="00B037DD">
        <w:tc>
          <w:tcPr>
            <w:tcW w:w="529" w:type="dxa"/>
            <w:vMerge w:val="restart"/>
            <w:shd w:val="clear" w:color="auto" w:fill="auto"/>
            <w:vAlign w:val="center"/>
          </w:tcPr>
          <w:p w14:paraId="0FD5B712"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26</w:t>
            </w:r>
          </w:p>
        </w:tc>
        <w:tc>
          <w:tcPr>
            <w:tcW w:w="5550" w:type="dxa"/>
            <w:vMerge w:val="restart"/>
            <w:shd w:val="clear" w:color="auto" w:fill="auto"/>
            <w:vAlign w:val="center"/>
          </w:tcPr>
          <w:p w14:paraId="14DCE583" w14:textId="24BEEA3B" w:rsidR="00B037DD" w:rsidRPr="00CF4E2F"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Committed facilities </w:t>
            </w:r>
            <w:r w:rsidR="00523850">
              <w:rPr>
                <w:rFonts w:ascii="Times New Roman" w:eastAsia="Calibri" w:hAnsi="Times New Roman"/>
                <w:sz w:val="16"/>
                <w:szCs w:val="16"/>
                <w:lang w:val="en-US"/>
              </w:rPr>
              <w:t xml:space="preserve">for which the competent authority has granted the </w:t>
            </w:r>
            <w:r w:rsidR="00523850" w:rsidRPr="00CF4E2F">
              <w:rPr>
                <w:rFonts w:ascii="Times New Roman" w:eastAsia="Calibri" w:hAnsi="Times New Roman"/>
                <w:sz w:val="16"/>
                <w:szCs w:val="16"/>
                <w:lang w:val="en-US"/>
              </w:rPr>
              <w:t>preferential treatment</w:t>
            </w:r>
            <w:r w:rsidRPr="00CF4E2F">
              <w:rPr>
                <w:rFonts w:ascii="Times New Roman" w:eastAsia="Calibri" w:hAnsi="Times New Roman"/>
                <w:sz w:val="16"/>
                <w:szCs w:val="16"/>
                <w:lang w:val="en-US"/>
              </w:rPr>
              <w:t>?</w:t>
            </w:r>
          </w:p>
        </w:tc>
        <w:tc>
          <w:tcPr>
            <w:tcW w:w="1305" w:type="dxa"/>
            <w:shd w:val="clear" w:color="auto" w:fill="auto"/>
            <w:vAlign w:val="center"/>
          </w:tcPr>
          <w:p w14:paraId="795DA05D"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7DDFE75" w14:textId="72C59876"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ID </w:t>
            </w:r>
            <w:r w:rsidR="005E33BE">
              <w:rPr>
                <w:rFonts w:ascii="Times New Roman" w:eastAsia="Times New Roman" w:hAnsi="Times New Roman"/>
                <w:sz w:val="16"/>
                <w:szCs w:val="16"/>
              </w:rPr>
              <w:t>1.10</w:t>
            </w:r>
            <w:r w:rsidRPr="00CF4E2F">
              <w:rPr>
                <w:rFonts w:ascii="Times New Roman" w:eastAsia="Times New Roman" w:hAnsi="Times New Roman"/>
                <w:sz w:val="16"/>
                <w:szCs w:val="16"/>
              </w:rPr>
              <w:t>.1</w:t>
            </w:r>
          </w:p>
        </w:tc>
      </w:tr>
      <w:tr w:rsidR="00B037DD" w:rsidRPr="00CF4E2F" w14:paraId="1F5FC6B8" w14:textId="77777777" w:rsidTr="00B037DD">
        <w:tc>
          <w:tcPr>
            <w:tcW w:w="529" w:type="dxa"/>
            <w:vMerge/>
            <w:shd w:val="clear" w:color="auto" w:fill="auto"/>
            <w:vAlign w:val="center"/>
          </w:tcPr>
          <w:p w14:paraId="1765F8FA"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3E0D4DFC"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1F759B1C"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7DCC3D7C" w14:textId="2176DED4" w:rsidR="00B037DD" w:rsidRPr="00CF4E2F" w:rsidRDefault="00B037DD" w:rsidP="005E33B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ID </w:t>
            </w:r>
            <w:r w:rsidR="005E33BE">
              <w:rPr>
                <w:rFonts w:ascii="Times New Roman" w:eastAsia="Times New Roman" w:hAnsi="Times New Roman"/>
                <w:sz w:val="16"/>
                <w:szCs w:val="16"/>
              </w:rPr>
              <w:t>1.10</w:t>
            </w:r>
            <w:r w:rsidRPr="00CF4E2F">
              <w:rPr>
                <w:rFonts w:ascii="Times New Roman" w:eastAsia="Times New Roman" w:hAnsi="Times New Roman"/>
                <w:sz w:val="16"/>
                <w:szCs w:val="16"/>
              </w:rPr>
              <w:t>.2</w:t>
            </w:r>
          </w:p>
        </w:tc>
      </w:tr>
      <w:tr w:rsidR="00B037DD" w:rsidRPr="00CF4E2F" w14:paraId="3D599EAF" w14:textId="77777777" w:rsidTr="00B037DD">
        <w:tc>
          <w:tcPr>
            <w:tcW w:w="529" w:type="dxa"/>
            <w:vMerge w:val="restart"/>
            <w:shd w:val="clear" w:color="auto" w:fill="auto"/>
            <w:vAlign w:val="center"/>
          </w:tcPr>
          <w:p w14:paraId="3857404F" w14:textId="77777777" w:rsidR="00B037DD" w:rsidRPr="00AC2898"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w:t>
            </w:r>
            <w:r w:rsidRPr="001A257C">
              <w:rPr>
                <w:rFonts w:ascii="Times New Roman" w:eastAsia="Calibri" w:hAnsi="Times New Roman"/>
                <w:sz w:val="16"/>
                <w:szCs w:val="16"/>
                <w:lang w:val="en-US"/>
              </w:rPr>
              <w:t>7</w:t>
            </w:r>
          </w:p>
        </w:tc>
        <w:tc>
          <w:tcPr>
            <w:tcW w:w="5550" w:type="dxa"/>
            <w:vMerge w:val="restart"/>
            <w:shd w:val="clear" w:color="auto" w:fill="auto"/>
            <w:vAlign w:val="center"/>
          </w:tcPr>
          <w:p w14:paraId="064AEAC6" w14:textId="77777777" w:rsidR="00B037DD" w:rsidRPr="00CF4E2F" w:rsidRDefault="00B037DD" w:rsidP="00917E68">
            <w:pPr>
              <w:jc w:val="center"/>
              <w:rPr>
                <w:rFonts w:ascii="Times New Roman" w:eastAsia="Calibri" w:hAnsi="Times New Roman"/>
                <w:sz w:val="16"/>
                <w:szCs w:val="16"/>
                <w:lang w:val="en-US"/>
              </w:rPr>
            </w:pPr>
            <w:r w:rsidRPr="00AC2898">
              <w:rPr>
                <w:rFonts w:ascii="Times New Roman" w:eastAsia="Calibri" w:hAnsi="Times New Roman"/>
                <w:sz w:val="16"/>
                <w:szCs w:val="16"/>
                <w:lang w:val="en-US"/>
              </w:rPr>
              <w:t>Trade finance off-balance sheet item?</w:t>
            </w:r>
          </w:p>
        </w:tc>
        <w:tc>
          <w:tcPr>
            <w:tcW w:w="1305" w:type="dxa"/>
            <w:shd w:val="clear" w:color="auto" w:fill="auto"/>
            <w:vAlign w:val="center"/>
          </w:tcPr>
          <w:p w14:paraId="031D59C4"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80971A6" w14:textId="684F3D82" w:rsidR="00B037DD" w:rsidRPr="00CF4E2F" w:rsidRDefault="00B037DD" w:rsidP="005E33B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ID </w:t>
            </w:r>
            <w:r w:rsidR="005E33BE">
              <w:rPr>
                <w:rFonts w:ascii="Times New Roman" w:eastAsia="Times New Roman" w:hAnsi="Times New Roman"/>
                <w:sz w:val="16"/>
                <w:szCs w:val="16"/>
              </w:rPr>
              <w:t>1.10</w:t>
            </w:r>
            <w:r w:rsidRPr="00CF4E2F">
              <w:rPr>
                <w:rFonts w:ascii="Times New Roman" w:eastAsia="Times New Roman" w:hAnsi="Times New Roman"/>
                <w:sz w:val="16"/>
                <w:szCs w:val="16"/>
              </w:rPr>
              <w:t>.3</w:t>
            </w:r>
          </w:p>
        </w:tc>
      </w:tr>
      <w:tr w:rsidR="00B037DD" w:rsidRPr="00CF4E2F" w14:paraId="130E82F0" w14:textId="77777777" w:rsidTr="00B037DD">
        <w:tc>
          <w:tcPr>
            <w:tcW w:w="529" w:type="dxa"/>
            <w:vMerge/>
            <w:shd w:val="clear" w:color="auto" w:fill="auto"/>
            <w:vAlign w:val="center"/>
          </w:tcPr>
          <w:p w14:paraId="322984F4"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7DDE5543"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5579D643"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E1DA9F9"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28</w:t>
            </w:r>
          </w:p>
        </w:tc>
      </w:tr>
      <w:tr w:rsidR="00B037DD" w:rsidRPr="00CF4E2F" w14:paraId="3AD14ECD" w14:textId="77777777" w:rsidTr="00B037DD">
        <w:tc>
          <w:tcPr>
            <w:tcW w:w="529" w:type="dxa"/>
            <w:vMerge w:val="restart"/>
            <w:shd w:val="clear" w:color="auto" w:fill="auto"/>
            <w:vAlign w:val="center"/>
          </w:tcPr>
          <w:p w14:paraId="2EC1DD9F" w14:textId="77777777" w:rsidR="00B037DD" w:rsidRPr="001A257C" w:rsidRDefault="00B037DD" w:rsidP="00917E6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28</w:t>
            </w:r>
          </w:p>
        </w:tc>
        <w:tc>
          <w:tcPr>
            <w:tcW w:w="5550" w:type="dxa"/>
            <w:vMerge w:val="restart"/>
            <w:shd w:val="clear" w:color="auto" w:fill="auto"/>
            <w:vAlign w:val="center"/>
          </w:tcPr>
          <w:p w14:paraId="5E5FEB96" w14:textId="713C7942" w:rsidR="00B037DD" w:rsidRPr="00CF4E2F" w:rsidRDefault="00B037DD" w:rsidP="00CA4FE7">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Other off-balance sheet exposure </w:t>
            </w:r>
            <w:r w:rsidR="00CA4FE7">
              <w:rPr>
                <w:rFonts w:ascii="Times New Roman" w:eastAsia="Calibri" w:hAnsi="Times New Roman"/>
                <w:sz w:val="16"/>
                <w:szCs w:val="16"/>
                <w:lang w:val="en-US"/>
              </w:rPr>
              <w:t xml:space="preserve">for which the competent authority has </w:t>
            </w:r>
            <w:r w:rsidR="009E7046">
              <w:rPr>
                <w:rFonts w:ascii="Times New Roman" w:eastAsia="Calibri" w:hAnsi="Times New Roman"/>
                <w:sz w:val="16"/>
                <w:szCs w:val="16"/>
                <w:lang w:val="en-US"/>
              </w:rPr>
              <w:t xml:space="preserve">determined </w:t>
            </w:r>
            <w:r w:rsidR="00CA4FE7">
              <w:rPr>
                <w:rFonts w:ascii="Times New Roman" w:eastAsia="Calibri" w:hAnsi="Times New Roman"/>
                <w:sz w:val="16"/>
                <w:szCs w:val="16"/>
                <w:lang w:val="en-US"/>
              </w:rPr>
              <w:t>the RSF factor</w:t>
            </w:r>
            <w:r w:rsidRPr="00CF4E2F">
              <w:rPr>
                <w:rFonts w:ascii="Times New Roman" w:eastAsia="Calibri" w:hAnsi="Times New Roman"/>
                <w:sz w:val="16"/>
                <w:szCs w:val="16"/>
                <w:lang w:val="en-US"/>
              </w:rPr>
              <w:t>?</w:t>
            </w:r>
          </w:p>
        </w:tc>
        <w:tc>
          <w:tcPr>
            <w:tcW w:w="1305" w:type="dxa"/>
            <w:shd w:val="clear" w:color="auto" w:fill="auto"/>
            <w:vAlign w:val="center"/>
          </w:tcPr>
          <w:p w14:paraId="20DDB6A1"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74B40FDC" w14:textId="42F7A3E8" w:rsidR="00B037DD" w:rsidRPr="00CF4E2F" w:rsidRDefault="00B037DD" w:rsidP="005E33B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 xml:space="preserve">ID </w:t>
            </w:r>
            <w:r w:rsidR="005E33BE">
              <w:rPr>
                <w:rFonts w:ascii="Times New Roman" w:eastAsia="Times New Roman" w:hAnsi="Times New Roman"/>
                <w:sz w:val="16"/>
                <w:szCs w:val="16"/>
              </w:rPr>
              <w:t>1.10</w:t>
            </w:r>
            <w:r w:rsidRPr="00CF4E2F">
              <w:rPr>
                <w:rFonts w:ascii="Times New Roman" w:eastAsia="Times New Roman" w:hAnsi="Times New Roman"/>
                <w:sz w:val="16"/>
                <w:szCs w:val="16"/>
              </w:rPr>
              <w:t>.5</w:t>
            </w:r>
          </w:p>
        </w:tc>
      </w:tr>
      <w:tr w:rsidR="00B037DD" w:rsidRPr="00CF4E2F" w14:paraId="2B49AE84" w14:textId="77777777" w:rsidTr="00B037DD">
        <w:tc>
          <w:tcPr>
            <w:tcW w:w="529" w:type="dxa"/>
            <w:vMerge/>
            <w:shd w:val="clear" w:color="auto" w:fill="auto"/>
            <w:vAlign w:val="center"/>
          </w:tcPr>
          <w:p w14:paraId="0AC8ED43" w14:textId="77777777" w:rsidR="00B037DD" w:rsidRPr="00CF4E2F" w:rsidRDefault="00B037DD" w:rsidP="00917E68">
            <w:pPr>
              <w:jc w:val="center"/>
              <w:rPr>
                <w:rFonts w:ascii="Times New Roman" w:eastAsia="Calibri" w:hAnsi="Times New Roman"/>
                <w:sz w:val="16"/>
                <w:szCs w:val="16"/>
                <w:lang w:val="en-US"/>
              </w:rPr>
            </w:pPr>
          </w:p>
        </w:tc>
        <w:tc>
          <w:tcPr>
            <w:tcW w:w="5550" w:type="dxa"/>
            <w:vMerge/>
            <w:shd w:val="clear" w:color="auto" w:fill="auto"/>
            <w:vAlign w:val="center"/>
          </w:tcPr>
          <w:p w14:paraId="5942CE33" w14:textId="77777777" w:rsidR="00B037DD" w:rsidRPr="00CF4E2F" w:rsidRDefault="00B037DD" w:rsidP="00917E68">
            <w:pPr>
              <w:jc w:val="center"/>
              <w:rPr>
                <w:rFonts w:ascii="Times New Roman" w:eastAsia="Calibri" w:hAnsi="Times New Roman"/>
                <w:sz w:val="16"/>
                <w:szCs w:val="16"/>
                <w:lang w:val="en-US"/>
              </w:rPr>
            </w:pPr>
          </w:p>
        </w:tc>
        <w:tc>
          <w:tcPr>
            <w:tcW w:w="1305" w:type="dxa"/>
            <w:shd w:val="clear" w:color="auto" w:fill="auto"/>
            <w:vAlign w:val="center"/>
          </w:tcPr>
          <w:p w14:paraId="72ED5078" w14:textId="77777777" w:rsidR="00B037DD" w:rsidRPr="00CF4E2F" w:rsidRDefault="00B037DD" w:rsidP="00917E68">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534F28C" w14:textId="77777777" w:rsidR="00B037DD" w:rsidRPr="00CF4E2F" w:rsidRDefault="00B037DD" w:rsidP="00917E68">
            <w:pPr>
              <w:pStyle w:val="TableParagraph"/>
              <w:spacing w:before="32"/>
              <w:ind w:left="490"/>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bl>
    <w:p w14:paraId="1CEE6FFE" w14:textId="77777777" w:rsidR="00D030C4" w:rsidRDefault="00D030C4" w:rsidP="00D967E5">
      <w:pPr>
        <w:pStyle w:val="BodyText1"/>
        <w:spacing w:before="120" w:after="120" w:line="276" w:lineRule="auto"/>
        <w:ind w:left="720"/>
        <w:rPr>
          <w:rFonts w:ascii="Times New Roman" w:hAnsi="Times New Roman"/>
          <w:b/>
          <w:sz w:val="24"/>
          <w:szCs w:val="24"/>
          <w:lang w:val="en-US"/>
        </w:rPr>
      </w:pPr>
    </w:p>
    <w:p w14:paraId="0E78872A" w14:textId="1858ACEB" w:rsidR="00D44F6F" w:rsidRPr="00D030C4" w:rsidRDefault="00EB4BBA" w:rsidP="00D030C4">
      <w:pPr>
        <w:pStyle w:val="BodyText1"/>
        <w:numPr>
          <w:ilvl w:val="0"/>
          <w:numId w:val="25"/>
        </w:numPr>
        <w:spacing w:before="120" w:after="120" w:line="276" w:lineRule="auto"/>
        <w:outlineLvl w:val="0"/>
        <w:rPr>
          <w:rFonts w:ascii="Times New Roman" w:hAnsi="Times New Roman"/>
          <w:b/>
          <w:sz w:val="24"/>
          <w:szCs w:val="24"/>
          <w:lang w:val="en-US"/>
        </w:rPr>
      </w:pPr>
      <w:bookmarkStart w:id="15" w:name="_Toc7641920"/>
      <w:r w:rsidRPr="00A66401">
        <w:rPr>
          <w:rFonts w:ascii="Times New Roman" w:hAnsi="Times New Roman"/>
          <w:b/>
          <w:sz w:val="24"/>
          <w:szCs w:val="24"/>
          <w:lang w:val="en-US"/>
        </w:rPr>
        <w:t>Instructions concerning specific columns</w:t>
      </w:r>
      <w:bookmarkEnd w:id="15"/>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90"/>
      </w:tblGrid>
      <w:tr w:rsidR="00D44F6F" w:rsidRPr="00CF4E2F" w14:paraId="3014EE52" w14:textId="77777777" w:rsidTr="00F20C47">
        <w:trPr>
          <w:trHeight w:val="304"/>
        </w:trPr>
        <w:tc>
          <w:tcPr>
            <w:tcW w:w="1446"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40E6157F" w14:textId="77777777" w:rsidR="00D44F6F" w:rsidRPr="001A257C" w:rsidRDefault="00D44F6F" w:rsidP="00F20C47">
            <w:pPr>
              <w:pStyle w:val="TableParagraph"/>
              <w:spacing w:before="117" w:after="120"/>
              <w:ind w:left="102"/>
              <w:rPr>
                <w:rFonts w:ascii="Times New Roman" w:hAnsi="Times New Roman"/>
                <w:sz w:val="18"/>
                <w:szCs w:val="18"/>
              </w:rPr>
            </w:pPr>
            <w:r w:rsidRPr="00CF4E2F">
              <w:rPr>
                <w:rFonts w:ascii="Times New Roman"/>
                <w:spacing w:val="-1"/>
                <w:sz w:val="18"/>
                <w:szCs w:val="18"/>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55D38EAA" w14:textId="77777777" w:rsidR="00D44F6F" w:rsidRPr="00CF4E2F" w:rsidRDefault="00D44F6F" w:rsidP="00F20C47">
            <w:pPr>
              <w:pStyle w:val="TableParagraph"/>
              <w:spacing w:before="117" w:after="120"/>
              <w:ind w:left="102"/>
              <w:rPr>
                <w:rFonts w:ascii="Times New Roman" w:hAnsi="Times New Roman"/>
                <w:bCs/>
                <w:sz w:val="18"/>
                <w:szCs w:val="18"/>
                <w:u w:val="single"/>
              </w:rPr>
            </w:pPr>
            <w:r w:rsidRPr="00CF4E2F">
              <w:rPr>
                <w:rFonts w:ascii="Times New Roman" w:hAnsi="Times New Roman"/>
                <w:sz w:val="18"/>
                <w:szCs w:val="18"/>
              </w:rPr>
              <w:t xml:space="preserve">Legal </w:t>
            </w:r>
            <w:r w:rsidRPr="00CF4E2F">
              <w:rPr>
                <w:rFonts w:ascii="Times New Roman"/>
                <w:spacing w:val="-1"/>
                <w:sz w:val="18"/>
                <w:szCs w:val="18"/>
              </w:rPr>
              <w:t>references</w:t>
            </w:r>
            <w:r w:rsidRPr="00CF4E2F">
              <w:rPr>
                <w:rFonts w:ascii="Times New Roman" w:hAnsi="Times New Roman"/>
                <w:sz w:val="18"/>
                <w:szCs w:val="18"/>
              </w:rPr>
              <w:t xml:space="preserve"> and instructions</w:t>
            </w:r>
          </w:p>
        </w:tc>
      </w:tr>
      <w:tr w:rsidR="00D44F6F" w:rsidRPr="00CF4E2F" w14:paraId="7BD7D13D" w14:textId="77777777" w:rsidTr="00F20C47">
        <w:trPr>
          <w:trHeight w:val="304"/>
        </w:trPr>
        <w:tc>
          <w:tcPr>
            <w:tcW w:w="1446" w:type="dxa"/>
          </w:tcPr>
          <w:p w14:paraId="2E077C1C" w14:textId="2903D276" w:rsidR="00D44F6F" w:rsidRPr="001A257C" w:rsidRDefault="00D44F6F" w:rsidP="00F20C47">
            <w:pPr>
              <w:pStyle w:val="TableParagraph"/>
              <w:spacing w:before="118"/>
              <w:ind w:left="57" w:right="96"/>
              <w:jc w:val="both"/>
              <w:rPr>
                <w:rFonts w:ascii="Times New Roman" w:eastAsia="Times New Roman" w:hAnsi="Times New Roman" w:cs="Times New Roman"/>
                <w:sz w:val="18"/>
                <w:szCs w:val="18"/>
              </w:rPr>
            </w:pPr>
            <w:r w:rsidRPr="00CF4E2F">
              <w:rPr>
                <w:rFonts w:ascii="Times New Roman"/>
                <w:sz w:val="18"/>
                <w:szCs w:val="18"/>
              </w:rPr>
              <w:t>0010</w:t>
            </w:r>
            <w:r w:rsidR="00DF08E7" w:rsidRPr="001A257C">
              <w:rPr>
                <w:rFonts w:ascii="Times New Roman"/>
                <w:sz w:val="18"/>
                <w:szCs w:val="18"/>
              </w:rPr>
              <w:t>-0030</w:t>
            </w:r>
          </w:p>
        </w:tc>
        <w:tc>
          <w:tcPr>
            <w:tcW w:w="7590" w:type="dxa"/>
          </w:tcPr>
          <w:p w14:paraId="7030FA1D" w14:textId="6ADB3177" w:rsidR="00D44F6F" w:rsidRPr="00CF4E2F" w:rsidRDefault="005074D1" w:rsidP="00F20C47">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Amount</w:t>
            </w:r>
            <w:r w:rsidR="000D128D" w:rsidRPr="00CF4E2F">
              <w:rPr>
                <w:rFonts w:ascii="Times New Roman"/>
                <w:b/>
                <w:sz w:val="18"/>
                <w:szCs w:val="18"/>
                <w:u w:val="thick" w:color="000000"/>
              </w:rPr>
              <w:t xml:space="preserve"> of </w:t>
            </w:r>
            <w:r w:rsidR="00D44F6F" w:rsidRPr="00CF4E2F">
              <w:rPr>
                <w:rFonts w:ascii="Times New Roman"/>
                <w:b/>
                <w:sz w:val="18"/>
                <w:szCs w:val="18"/>
                <w:u w:val="thick" w:color="000000"/>
              </w:rPr>
              <w:t>non-HQLA</w:t>
            </w:r>
          </w:p>
          <w:p w14:paraId="21F8105D" w14:textId="77777777" w:rsidR="00D44F6F" w:rsidRPr="00CF4E2F" w:rsidRDefault="00D44F6F" w:rsidP="00F20C47">
            <w:pPr>
              <w:pStyle w:val="TableParagraph"/>
              <w:ind w:left="102"/>
              <w:rPr>
                <w:rFonts w:ascii="Times New Roman" w:eastAsia="Times New Roman" w:hAnsi="Times New Roman" w:cs="Times New Roman"/>
                <w:sz w:val="18"/>
                <w:szCs w:val="18"/>
              </w:rPr>
            </w:pPr>
          </w:p>
          <w:p w14:paraId="4E3D225E" w14:textId="1C1E91C4" w:rsidR="005142AC" w:rsidRDefault="00D44F6F" w:rsidP="00F20C47">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in </w:t>
            </w:r>
            <w:r w:rsidR="00DF08E7" w:rsidRPr="00CF4E2F">
              <w:rPr>
                <w:rFonts w:ascii="Times New Roman" w:eastAsia="Times New Roman" w:hAnsi="Times New Roman" w:cs="Times New Roman"/>
                <w:sz w:val="18"/>
                <w:szCs w:val="18"/>
              </w:rPr>
              <w:t xml:space="preserve">columns </w:t>
            </w:r>
            <w:r w:rsidRPr="00CF4E2F">
              <w:rPr>
                <w:rFonts w:ascii="Times New Roman" w:eastAsia="Times New Roman" w:hAnsi="Times New Roman" w:cs="Times New Roman"/>
                <w:sz w:val="18"/>
                <w:szCs w:val="18"/>
              </w:rPr>
              <w:t>0010</w:t>
            </w:r>
            <w:r w:rsidR="00DF08E7" w:rsidRPr="00CF4E2F">
              <w:rPr>
                <w:rFonts w:ascii="Times New Roman" w:eastAsia="Times New Roman" w:hAnsi="Times New Roman" w:cs="Times New Roman"/>
                <w:sz w:val="18"/>
                <w:szCs w:val="18"/>
              </w:rPr>
              <w:t>-0030</w:t>
            </w:r>
            <w:r w:rsidRPr="00CF4E2F">
              <w:rPr>
                <w:rFonts w:ascii="Times New Roman" w:eastAsia="Times New Roman" w:hAnsi="Times New Roman" w:cs="Times New Roman"/>
                <w:sz w:val="18"/>
                <w:szCs w:val="18"/>
              </w:rPr>
              <w:t xml:space="preserve"> the </w:t>
            </w:r>
            <w:r w:rsidR="005074D1" w:rsidRPr="00CF4E2F">
              <w:rPr>
                <w:rFonts w:ascii="Times New Roman" w:eastAsia="Times New Roman" w:hAnsi="Times New Roman" w:cs="Times New Roman"/>
                <w:sz w:val="18"/>
                <w:szCs w:val="18"/>
              </w:rPr>
              <w:t>amount</w:t>
            </w:r>
            <w:r w:rsidRPr="00CF4E2F">
              <w:rPr>
                <w:rFonts w:ascii="Times New Roman" w:eastAsia="Times New Roman" w:hAnsi="Times New Roman" w:cs="Times New Roman"/>
                <w:sz w:val="18"/>
                <w:szCs w:val="18"/>
              </w:rPr>
              <w:t xml:space="preserve">, unless specified otherwise in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416B4D" w:rsidRPr="00CF4E2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 xml:space="preserve">, of the assets and off-balance sheet items referred to in Section 2 in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CC6A9F" w:rsidRPr="00CF4E2F">
              <w:rPr>
                <w:rFonts w:ascii="Times New Roman" w:eastAsia="Times New Roman" w:hAnsi="Times New Roman" w:cs="Times New Roman"/>
                <w:sz w:val="18"/>
                <w:szCs w:val="18"/>
              </w:rPr>
              <w:t>CRR</w:t>
            </w:r>
            <w:r w:rsidR="00590569" w:rsidRPr="00CF4E2F">
              <w:rPr>
                <w:rFonts w:ascii="Times New Roman" w:eastAsia="Times New Roman" w:hAnsi="Times New Roman" w:cs="Times New Roman"/>
                <w:sz w:val="18"/>
                <w:szCs w:val="18"/>
              </w:rPr>
              <w:t xml:space="preserve"> for each maturity bucket</w:t>
            </w:r>
            <w:r w:rsidRPr="00CF4E2F">
              <w:rPr>
                <w:rFonts w:ascii="Times New Roman" w:eastAsia="Times New Roman" w:hAnsi="Times New Roman" w:cs="Times New Roman"/>
                <w:sz w:val="18"/>
                <w:szCs w:val="18"/>
              </w:rPr>
              <w:t>.</w:t>
            </w:r>
          </w:p>
          <w:p w14:paraId="1A5C60C5" w14:textId="77777777" w:rsidR="005142AC" w:rsidRPr="00CF4E2F" w:rsidRDefault="005142AC" w:rsidP="00F20C47">
            <w:pPr>
              <w:pStyle w:val="TableParagraph"/>
              <w:ind w:left="102"/>
              <w:rPr>
                <w:rFonts w:ascii="Times New Roman" w:eastAsia="Times New Roman" w:hAnsi="Times New Roman" w:cs="Times New Roman"/>
                <w:sz w:val="18"/>
                <w:szCs w:val="18"/>
              </w:rPr>
            </w:pPr>
          </w:p>
          <w:p w14:paraId="09656C52" w14:textId="2D747A22" w:rsidR="00D44F6F" w:rsidRPr="00CF4E2F" w:rsidRDefault="00D44F6F" w:rsidP="003022B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shall be reported in </w:t>
            </w:r>
            <w:r w:rsidR="000D128D" w:rsidRPr="00CF4E2F">
              <w:rPr>
                <w:rFonts w:ascii="Times New Roman" w:eastAsia="Times New Roman" w:hAnsi="Times New Roman" w:cs="Times New Roman"/>
                <w:sz w:val="18"/>
                <w:szCs w:val="18"/>
              </w:rPr>
              <w:t xml:space="preserve">columns </w:t>
            </w:r>
            <w:r w:rsidRPr="00CF4E2F">
              <w:rPr>
                <w:rFonts w:ascii="Times New Roman" w:eastAsia="Times New Roman" w:hAnsi="Times New Roman" w:cs="Times New Roman"/>
                <w:sz w:val="18"/>
                <w:szCs w:val="18"/>
              </w:rPr>
              <w:t>0010</w:t>
            </w:r>
            <w:r w:rsidR="000D128D" w:rsidRPr="00CF4E2F">
              <w:rPr>
                <w:rFonts w:ascii="Times New Roman" w:eastAsia="Times New Roman" w:hAnsi="Times New Roman" w:cs="Times New Roman"/>
                <w:sz w:val="18"/>
                <w:szCs w:val="18"/>
              </w:rPr>
              <w:t>-0030</w:t>
            </w:r>
            <w:r w:rsidRPr="00CF4E2F">
              <w:rPr>
                <w:rFonts w:ascii="Times New Roman" w:eastAsia="Times New Roman" w:hAnsi="Times New Roman" w:cs="Times New Roman"/>
                <w:sz w:val="18"/>
                <w:szCs w:val="18"/>
              </w:rPr>
              <w:t xml:space="preserve"> when the corresponding item is not eligible as liquid asset pursuant </w:t>
            </w:r>
            <w:r w:rsidR="00C166BD">
              <w:rPr>
                <w:rFonts w:ascii="Times New Roman" w:eastAsia="Times New Roman" w:hAnsi="Times New Roman" w:cs="Times New Roman"/>
                <w:sz w:val="18"/>
                <w:szCs w:val="18"/>
              </w:rPr>
              <w:t>to the Delegated Regulation (EU) 2015/61</w:t>
            </w:r>
            <w:r w:rsidRPr="00CF4E2F">
              <w:rPr>
                <w:rFonts w:ascii="Times New Roman" w:eastAsia="Times New Roman" w:hAnsi="Times New Roman" w:cs="Times New Roman"/>
                <w:sz w:val="18"/>
                <w:szCs w:val="18"/>
              </w:rPr>
              <w:t xml:space="preserve">, regardless of whether they comply with the operational requirements </w:t>
            </w:r>
            <w:r w:rsidR="00C166BD">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12F92A48" w14:textId="77777777" w:rsidR="00D44F6F" w:rsidRPr="00CF4E2F" w:rsidRDefault="00D44F6F" w:rsidP="00F20C47">
            <w:pPr>
              <w:pStyle w:val="TableParagraph"/>
              <w:ind w:left="102"/>
              <w:rPr>
                <w:rFonts w:ascii="Times New Roman" w:eastAsia="Times New Roman" w:hAnsi="Times New Roman" w:cs="Times New Roman"/>
                <w:sz w:val="18"/>
                <w:szCs w:val="18"/>
              </w:rPr>
            </w:pPr>
          </w:p>
        </w:tc>
      </w:tr>
      <w:tr w:rsidR="00D44F6F" w:rsidRPr="00CF4E2F" w14:paraId="7C89B605" w14:textId="77777777" w:rsidTr="00F20C47">
        <w:trPr>
          <w:trHeight w:val="304"/>
        </w:trPr>
        <w:tc>
          <w:tcPr>
            <w:tcW w:w="1446" w:type="dxa"/>
          </w:tcPr>
          <w:p w14:paraId="2568CA56" w14:textId="77777777" w:rsidR="00D44F6F" w:rsidRPr="00CF4E2F" w:rsidRDefault="00D44F6F" w:rsidP="00F20C47">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0040</w:t>
            </w:r>
          </w:p>
        </w:tc>
        <w:tc>
          <w:tcPr>
            <w:tcW w:w="7590" w:type="dxa"/>
          </w:tcPr>
          <w:p w14:paraId="4027169D" w14:textId="5028B829" w:rsidR="00D44F6F" w:rsidRPr="00CF4E2F" w:rsidRDefault="005074D1" w:rsidP="00F20C47">
            <w:pPr>
              <w:pStyle w:val="TableParagraph"/>
              <w:spacing w:before="117"/>
              <w:ind w:left="102" w:right="99"/>
              <w:jc w:val="both"/>
              <w:rPr>
                <w:rFonts w:ascii="Times New Roman" w:eastAsia="Times New Roman" w:hAnsi="Times New Roman" w:cs="Times New Roman"/>
                <w:b/>
                <w:sz w:val="18"/>
                <w:szCs w:val="18"/>
                <w:u w:val="single"/>
              </w:rPr>
            </w:pPr>
            <w:r w:rsidRPr="00CF4E2F">
              <w:rPr>
                <w:rFonts w:ascii="Times New Roman" w:eastAsia="Times New Roman" w:hAnsi="Times New Roman" w:cs="Times New Roman"/>
                <w:b/>
                <w:sz w:val="18"/>
                <w:szCs w:val="18"/>
                <w:u w:val="single"/>
              </w:rPr>
              <w:t>Amount</w:t>
            </w:r>
            <w:r w:rsidR="000D128D" w:rsidRPr="00CF4E2F">
              <w:rPr>
                <w:rFonts w:ascii="Times New Roman" w:eastAsia="Times New Roman" w:hAnsi="Times New Roman" w:cs="Times New Roman"/>
                <w:b/>
                <w:sz w:val="18"/>
                <w:szCs w:val="18"/>
                <w:u w:val="single"/>
              </w:rPr>
              <w:t xml:space="preserve"> of </w:t>
            </w:r>
            <w:r w:rsidR="00D44F6F" w:rsidRPr="00CF4E2F">
              <w:rPr>
                <w:rFonts w:ascii="Times New Roman" w:eastAsia="Times New Roman" w:hAnsi="Times New Roman" w:cs="Times New Roman"/>
                <w:b/>
                <w:sz w:val="18"/>
                <w:szCs w:val="18"/>
                <w:u w:val="single"/>
              </w:rPr>
              <w:t>HQLA</w:t>
            </w:r>
          </w:p>
          <w:p w14:paraId="369B68EA" w14:textId="77777777" w:rsidR="00D44F6F" w:rsidRPr="00CF4E2F" w:rsidRDefault="00D44F6F" w:rsidP="00F20C47">
            <w:pPr>
              <w:pStyle w:val="TableParagraph"/>
              <w:ind w:left="102"/>
              <w:rPr>
                <w:rFonts w:ascii="Times New Roman" w:eastAsia="Times New Roman" w:hAnsi="Times New Roman" w:cs="Times New Roman"/>
                <w:sz w:val="18"/>
                <w:szCs w:val="18"/>
              </w:rPr>
            </w:pPr>
          </w:p>
          <w:p w14:paraId="0314B7B9" w14:textId="03280A39" w:rsidR="00D44F6F" w:rsidRPr="00CF4E2F" w:rsidRDefault="00D44F6F" w:rsidP="00F20C47">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See instructions in </w:t>
            </w:r>
            <w:r w:rsidR="000D128D" w:rsidRPr="00CF4E2F">
              <w:rPr>
                <w:rFonts w:ascii="Times New Roman" w:eastAsia="Times New Roman" w:hAnsi="Times New Roman" w:cs="Times New Roman"/>
                <w:sz w:val="18"/>
                <w:szCs w:val="18"/>
              </w:rPr>
              <w:t xml:space="preserve">columns </w:t>
            </w:r>
            <w:r w:rsidRPr="00CF4E2F">
              <w:rPr>
                <w:rFonts w:ascii="Times New Roman" w:eastAsia="Times New Roman" w:hAnsi="Times New Roman" w:cs="Times New Roman"/>
                <w:sz w:val="18"/>
                <w:szCs w:val="18"/>
              </w:rPr>
              <w:t>0010</w:t>
            </w:r>
            <w:r w:rsidR="000D128D" w:rsidRPr="00CF4E2F">
              <w:rPr>
                <w:rFonts w:ascii="Times New Roman" w:eastAsia="Times New Roman" w:hAnsi="Times New Roman" w:cs="Times New Roman"/>
                <w:sz w:val="18"/>
                <w:szCs w:val="18"/>
              </w:rPr>
              <w:t>-0030</w:t>
            </w:r>
            <w:r w:rsidRPr="00CF4E2F">
              <w:rPr>
                <w:rFonts w:ascii="Times New Roman" w:eastAsia="Times New Roman" w:hAnsi="Times New Roman" w:cs="Times New Roman"/>
                <w:sz w:val="18"/>
                <w:szCs w:val="18"/>
              </w:rPr>
              <w:t>.</w:t>
            </w:r>
          </w:p>
          <w:p w14:paraId="4CD8D819" w14:textId="181AF150" w:rsidR="00D44F6F" w:rsidRPr="00CF4E2F" w:rsidRDefault="00D44F6F" w:rsidP="00C166BD">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shall be reported in column 0040 when the corresponding item is eligible as </w:t>
            </w:r>
            <w:r w:rsidR="00DE20BF">
              <w:rPr>
                <w:rFonts w:ascii="Times New Roman" w:eastAsia="Times New Roman" w:hAnsi="Times New Roman" w:cs="Times New Roman"/>
                <w:sz w:val="18"/>
                <w:szCs w:val="18"/>
              </w:rPr>
              <w:t xml:space="preserve">high-quality </w:t>
            </w:r>
            <w:r w:rsidRPr="00CF4E2F">
              <w:rPr>
                <w:rFonts w:ascii="Times New Roman" w:eastAsia="Times New Roman" w:hAnsi="Times New Roman" w:cs="Times New Roman"/>
                <w:sz w:val="18"/>
                <w:szCs w:val="18"/>
              </w:rPr>
              <w:t xml:space="preserve">liquid asset pursuant </w:t>
            </w:r>
            <w:r w:rsidR="00C166BD">
              <w:rPr>
                <w:rFonts w:ascii="Times New Roman" w:eastAsia="Times New Roman" w:hAnsi="Times New Roman" w:cs="Times New Roman"/>
                <w:sz w:val="18"/>
                <w:szCs w:val="18"/>
              </w:rPr>
              <w:t>to the Delegated Regulation (EU) 2015/61</w:t>
            </w:r>
            <w:r w:rsidR="00C166BD" w:rsidRPr="00CF4E2F">
              <w:rPr>
                <w:rFonts w:ascii="Times New Roman" w:eastAsia="Times New Roman" w:hAnsi="Times New Roman" w:cs="Times New Roman"/>
                <w:sz w:val="18"/>
                <w:szCs w:val="18"/>
              </w:rPr>
              <w:t xml:space="preserve">, regardless of whether they comply with the operational requirements </w:t>
            </w:r>
            <w:r w:rsidR="00C166BD">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35E71126" w14:textId="77777777" w:rsidR="00D44F6F" w:rsidRPr="00CF4E2F" w:rsidRDefault="00D44F6F" w:rsidP="003022BA">
            <w:pPr>
              <w:pStyle w:val="TableParagraph"/>
              <w:ind w:left="102" w:right="99"/>
              <w:jc w:val="both"/>
              <w:rPr>
                <w:rFonts w:ascii="Times New Roman" w:eastAsia="Times New Roman" w:hAnsi="Times New Roman" w:cs="Times New Roman"/>
                <w:b/>
                <w:sz w:val="18"/>
                <w:szCs w:val="18"/>
                <w:u w:val="single"/>
              </w:rPr>
            </w:pPr>
          </w:p>
        </w:tc>
      </w:tr>
      <w:tr w:rsidR="00D44F6F" w:rsidRPr="00CF4E2F" w14:paraId="4EEC3C3C" w14:textId="77777777" w:rsidTr="00F20C47">
        <w:trPr>
          <w:trHeight w:val="304"/>
        </w:trPr>
        <w:tc>
          <w:tcPr>
            <w:tcW w:w="1446" w:type="dxa"/>
          </w:tcPr>
          <w:p w14:paraId="4A18C824" w14:textId="25353496" w:rsidR="00D44F6F" w:rsidRPr="001A257C" w:rsidRDefault="00D44F6F">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0050</w:t>
            </w:r>
            <w:r w:rsidR="000D128D" w:rsidRPr="001A257C">
              <w:rPr>
                <w:rFonts w:ascii="Times New Roman" w:eastAsia="Times New Roman" w:hAnsi="Times New Roman" w:cs="Times New Roman"/>
                <w:sz w:val="18"/>
                <w:szCs w:val="18"/>
              </w:rPr>
              <w:t>-0080</w:t>
            </w:r>
          </w:p>
        </w:tc>
        <w:tc>
          <w:tcPr>
            <w:tcW w:w="7590" w:type="dxa"/>
          </w:tcPr>
          <w:p w14:paraId="33C2DD54" w14:textId="4243E7E2" w:rsidR="00D44F6F" w:rsidRPr="00CF4E2F" w:rsidRDefault="00D44F6F" w:rsidP="00F20C47">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 xml:space="preserve">Standard </w:t>
            </w:r>
            <w:r w:rsidR="000D128D" w:rsidRPr="00CF4E2F">
              <w:rPr>
                <w:rFonts w:ascii="Times New Roman"/>
                <w:b/>
                <w:sz w:val="18"/>
                <w:szCs w:val="18"/>
                <w:u w:val="thick" w:color="000000"/>
              </w:rPr>
              <w:t>RSF factor</w:t>
            </w:r>
          </w:p>
          <w:p w14:paraId="55B1A798" w14:textId="257C2D83" w:rsidR="00D44F6F" w:rsidRPr="00CF4E2F" w:rsidRDefault="00D44F6F" w:rsidP="00F20C47">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Section 2 of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5010CB">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1D755FE4" w14:textId="63264D98" w:rsidR="00D44F6F" w:rsidRPr="00CF4E2F" w:rsidRDefault="00D44F6F">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standard </w:t>
            </w:r>
            <w:r w:rsidR="002509EB" w:rsidRPr="00CF4E2F">
              <w:rPr>
                <w:rFonts w:ascii="Times New Roman" w:eastAsia="Times New Roman" w:hAnsi="Times New Roman" w:cs="Times New Roman"/>
                <w:sz w:val="18"/>
                <w:szCs w:val="18"/>
              </w:rPr>
              <w:t xml:space="preserve">factors </w:t>
            </w:r>
            <w:r w:rsidRPr="00CF4E2F">
              <w:rPr>
                <w:rFonts w:ascii="Times New Roman" w:eastAsia="Times New Roman" w:hAnsi="Times New Roman" w:cs="Times New Roman"/>
                <w:sz w:val="18"/>
                <w:szCs w:val="18"/>
              </w:rPr>
              <w:t xml:space="preserve">in </w:t>
            </w:r>
            <w:r w:rsidR="000D128D" w:rsidRPr="00CF4E2F">
              <w:rPr>
                <w:rFonts w:ascii="Times New Roman" w:eastAsia="Times New Roman" w:hAnsi="Times New Roman" w:cs="Times New Roman"/>
                <w:sz w:val="18"/>
                <w:szCs w:val="18"/>
              </w:rPr>
              <w:t xml:space="preserve">columns </w:t>
            </w:r>
            <w:r w:rsidRPr="00CF4E2F">
              <w:rPr>
                <w:rFonts w:ascii="Times New Roman" w:eastAsia="Times New Roman" w:hAnsi="Times New Roman" w:cs="Times New Roman"/>
                <w:sz w:val="18"/>
                <w:szCs w:val="18"/>
              </w:rPr>
              <w:t>0050</w:t>
            </w:r>
            <w:r w:rsidR="000D128D" w:rsidRPr="00CF4E2F">
              <w:rPr>
                <w:rFonts w:ascii="Times New Roman" w:eastAsia="Times New Roman" w:hAnsi="Times New Roman" w:cs="Times New Roman"/>
                <w:sz w:val="18"/>
                <w:szCs w:val="18"/>
              </w:rPr>
              <w:t>-00</w:t>
            </w:r>
            <w:r w:rsidR="003D7727" w:rsidRPr="00CF4E2F">
              <w:rPr>
                <w:rFonts w:ascii="Times New Roman" w:eastAsia="Times New Roman" w:hAnsi="Times New Roman" w:cs="Times New Roman"/>
                <w:sz w:val="18"/>
                <w:szCs w:val="18"/>
              </w:rPr>
              <w:t>8</w:t>
            </w:r>
            <w:r w:rsidR="000D128D" w:rsidRPr="00CF4E2F">
              <w:rPr>
                <w:rFonts w:ascii="Times New Roman" w:eastAsia="Times New Roman" w:hAnsi="Times New Roman" w:cs="Times New Roman"/>
                <w:sz w:val="18"/>
                <w:szCs w:val="18"/>
              </w:rPr>
              <w:t>0</w:t>
            </w:r>
            <w:r w:rsidRPr="00CF4E2F">
              <w:rPr>
                <w:rFonts w:ascii="Times New Roman" w:eastAsia="Times New Roman" w:hAnsi="Times New Roman" w:cs="Times New Roman"/>
                <w:sz w:val="18"/>
                <w:szCs w:val="18"/>
              </w:rPr>
              <w:t xml:space="preserve"> are those specified in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416B4D" w:rsidRPr="00CF4E2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 xml:space="preserve"> by default </w:t>
            </w:r>
            <w:r w:rsidR="000D128D" w:rsidRPr="00CF4E2F">
              <w:rPr>
                <w:rFonts w:ascii="Times New Roman" w:eastAsia="Times New Roman" w:hAnsi="Times New Roman" w:cs="Times New Roman"/>
                <w:sz w:val="18"/>
                <w:szCs w:val="18"/>
              </w:rPr>
              <w:t xml:space="preserve">that would determine the part of the </w:t>
            </w:r>
            <w:r w:rsidR="005074D1" w:rsidRPr="00CF4E2F">
              <w:rPr>
                <w:rFonts w:ascii="Times New Roman" w:eastAsia="Times New Roman" w:hAnsi="Times New Roman" w:cs="Times New Roman"/>
                <w:sz w:val="18"/>
                <w:szCs w:val="18"/>
              </w:rPr>
              <w:t>amount</w:t>
            </w:r>
            <w:r w:rsidR="000D128D" w:rsidRPr="00CF4E2F">
              <w:rPr>
                <w:rFonts w:ascii="Times New Roman" w:eastAsia="Times New Roman" w:hAnsi="Times New Roman" w:cs="Times New Roman"/>
                <w:sz w:val="18"/>
                <w:szCs w:val="18"/>
              </w:rPr>
              <w:t xml:space="preserve"> of the assets </w:t>
            </w:r>
            <w:r w:rsidR="00F07579">
              <w:rPr>
                <w:rFonts w:ascii="Times New Roman" w:eastAsia="Times New Roman" w:hAnsi="Times New Roman" w:cs="Times New Roman"/>
                <w:sz w:val="18"/>
                <w:szCs w:val="18"/>
              </w:rPr>
              <w:t>and</w:t>
            </w:r>
            <w:r w:rsidR="00F07579" w:rsidRPr="00CF4E2F">
              <w:rPr>
                <w:rFonts w:ascii="Times New Roman" w:eastAsia="Times New Roman" w:hAnsi="Times New Roman" w:cs="Times New Roman"/>
                <w:sz w:val="18"/>
                <w:szCs w:val="18"/>
              </w:rPr>
              <w:t xml:space="preserve"> </w:t>
            </w:r>
            <w:r w:rsidR="000D128D" w:rsidRPr="00CF4E2F">
              <w:rPr>
                <w:rFonts w:ascii="Times New Roman" w:eastAsia="Times New Roman" w:hAnsi="Times New Roman" w:cs="Times New Roman"/>
                <w:sz w:val="18"/>
                <w:szCs w:val="18"/>
              </w:rPr>
              <w:t xml:space="preserve">off-balance sheet </w:t>
            </w:r>
            <w:r w:rsidR="00F07579">
              <w:rPr>
                <w:rFonts w:ascii="Times New Roman" w:eastAsia="Times New Roman" w:hAnsi="Times New Roman" w:cs="Times New Roman"/>
                <w:sz w:val="18"/>
                <w:szCs w:val="18"/>
              </w:rPr>
              <w:t xml:space="preserve">items </w:t>
            </w:r>
            <w:r w:rsidR="000D128D" w:rsidRPr="00CF4E2F">
              <w:rPr>
                <w:rFonts w:ascii="Times New Roman" w:eastAsia="Times New Roman" w:hAnsi="Times New Roman" w:cs="Times New Roman"/>
                <w:sz w:val="18"/>
                <w:szCs w:val="18"/>
              </w:rPr>
              <w:t>that is required stable funding.</w:t>
            </w:r>
            <w:r w:rsidR="000D128D" w:rsidRPr="00CF4E2F">
              <w:rPr>
                <w:sz w:val="18"/>
                <w:szCs w:val="18"/>
              </w:rPr>
              <w:t xml:space="preserve"> </w:t>
            </w:r>
            <w:r w:rsidR="000D128D" w:rsidRPr="00CF4E2F">
              <w:rPr>
                <w:rFonts w:ascii="Times New Roman" w:eastAsia="Times New Roman" w:hAnsi="Times New Roman" w:cs="Times New Roman"/>
                <w:sz w:val="18"/>
                <w:szCs w:val="18"/>
              </w:rPr>
              <w:t>They are provided for information only and are not meant to be filled in by institutions.</w:t>
            </w:r>
          </w:p>
          <w:p w14:paraId="1B776862" w14:textId="3CAB94B9" w:rsidR="000D128D" w:rsidRPr="00CF4E2F" w:rsidRDefault="000D128D" w:rsidP="003022BA">
            <w:pPr>
              <w:pStyle w:val="TableParagraph"/>
              <w:ind w:left="102" w:right="99"/>
              <w:rPr>
                <w:rFonts w:ascii="Times New Roman" w:eastAsia="Times New Roman" w:hAnsi="Times New Roman" w:cs="Times New Roman"/>
                <w:sz w:val="18"/>
                <w:szCs w:val="18"/>
              </w:rPr>
            </w:pPr>
          </w:p>
        </w:tc>
      </w:tr>
      <w:tr w:rsidR="00D44F6F" w:rsidRPr="00CF4E2F" w14:paraId="6DF0C147" w14:textId="77777777" w:rsidTr="00F20C47">
        <w:trPr>
          <w:trHeight w:val="304"/>
        </w:trPr>
        <w:tc>
          <w:tcPr>
            <w:tcW w:w="1446" w:type="dxa"/>
          </w:tcPr>
          <w:p w14:paraId="77D08E66" w14:textId="10057822" w:rsidR="00D44F6F" w:rsidRPr="001A257C" w:rsidRDefault="00D44F6F" w:rsidP="00F20C47">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0090</w:t>
            </w:r>
            <w:r w:rsidR="000D128D" w:rsidRPr="001A257C">
              <w:rPr>
                <w:rFonts w:ascii="Times New Roman" w:eastAsia="Times New Roman" w:hAnsi="Times New Roman" w:cs="Times New Roman"/>
                <w:sz w:val="18"/>
                <w:szCs w:val="18"/>
              </w:rPr>
              <w:t>-0120</w:t>
            </w:r>
          </w:p>
        </w:tc>
        <w:tc>
          <w:tcPr>
            <w:tcW w:w="7590" w:type="dxa"/>
          </w:tcPr>
          <w:p w14:paraId="16F3CC01" w14:textId="3F14BE73" w:rsidR="00D44F6F" w:rsidRPr="00CF4E2F" w:rsidRDefault="00D44F6F" w:rsidP="00F20C47">
            <w:pPr>
              <w:pStyle w:val="TableParagraph"/>
              <w:spacing w:before="117"/>
              <w:ind w:left="102" w:right="99"/>
              <w:rPr>
                <w:rFonts w:ascii="Times New Roman"/>
                <w:b/>
                <w:sz w:val="18"/>
                <w:szCs w:val="18"/>
                <w:u w:val="thick" w:color="000000"/>
              </w:rPr>
            </w:pPr>
            <w:r w:rsidRPr="00CF4E2F">
              <w:rPr>
                <w:rFonts w:ascii="Times New Roman"/>
                <w:b/>
                <w:sz w:val="18"/>
                <w:szCs w:val="18"/>
                <w:u w:val="thick" w:color="000000"/>
              </w:rPr>
              <w:t xml:space="preserve">Applicable </w:t>
            </w:r>
            <w:r w:rsidR="000D128D" w:rsidRPr="00CF4E2F">
              <w:rPr>
                <w:rFonts w:ascii="Times New Roman"/>
                <w:b/>
                <w:sz w:val="18"/>
                <w:szCs w:val="18"/>
                <w:u w:val="thick" w:color="000000"/>
              </w:rPr>
              <w:t>RSF factor</w:t>
            </w:r>
          </w:p>
          <w:p w14:paraId="21E5FA0A" w14:textId="6B180A80" w:rsidR="00D44F6F" w:rsidRPr="00A66401" w:rsidRDefault="00D67527" w:rsidP="00F20C47">
            <w:pPr>
              <w:pStyle w:val="TableParagraph"/>
              <w:spacing w:before="117"/>
              <w:ind w:left="102" w:right="9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Section II </w:t>
            </w:r>
            <w:r w:rsidR="002A7540">
              <w:rPr>
                <w:rFonts w:ascii="Times New Roman" w:eastAsia="Times New Roman" w:hAnsi="Times New Roman" w:cs="Times New Roman"/>
                <w:color w:val="000000"/>
                <w:sz w:val="18"/>
                <w:szCs w:val="18"/>
              </w:rPr>
              <w:t>o</w:t>
            </w:r>
            <w:r>
              <w:rPr>
                <w:rFonts w:ascii="Times New Roman" w:eastAsia="Times New Roman" w:hAnsi="Times New Roman" w:cs="Times New Roman"/>
                <w:color w:val="000000"/>
                <w:sz w:val="18"/>
                <w:szCs w:val="18"/>
              </w:rPr>
              <w:t xml:space="preserve">f </w:t>
            </w:r>
            <w:r w:rsidR="00D44F6F" w:rsidRPr="00A66401">
              <w:rPr>
                <w:rFonts w:ascii="Times New Roman" w:eastAsia="Times New Roman" w:hAnsi="Times New Roman" w:cs="Times New Roman"/>
                <w:color w:val="000000"/>
                <w:sz w:val="18"/>
                <w:szCs w:val="18"/>
              </w:rPr>
              <w:t xml:space="preserve">Chapter 4 of </w:t>
            </w:r>
            <w:r w:rsidR="00607717">
              <w:rPr>
                <w:rFonts w:ascii="Times New Roman" w:eastAsia="Times New Roman" w:hAnsi="Times New Roman" w:cs="Times New Roman"/>
                <w:color w:val="000000"/>
                <w:sz w:val="18"/>
                <w:szCs w:val="18"/>
              </w:rPr>
              <w:t xml:space="preserve">Title IV of </w:t>
            </w:r>
            <w:r w:rsidR="00DE20BF">
              <w:rPr>
                <w:rFonts w:ascii="Times New Roman" w:eastAsia="Times New Roman" w:hAnsi="Times New Roman" w:cs="Times New Roman"/>
                <w:color w:val="000000"/>
                <w:sz w:val="18"/>
                <w:szCs w:val="18"/>
              </w:rPr>
              <w:t xml:space="preserve">Part Six of </w:t>
            </w:r>
            <w:r w:rsidR="005010CB">
              <w:rPr>
                <w:rFonts w:ascii="Times New Roman" w:eastAsia="Times New Roman" w:hAnsi="Times New Roman" w:cs="Times New Roman"/>
                <w:color w:val="000000"/>
                <w:sz w:val="18"/>
                <w:szCs w:val="18"/>
              </w:rPr>
              <w:t>CRR</w:t>
            </w:r>
            <w:r w:rsidR="00D44F6F" w:rsidRPr="00A66401">
              <w:rPr>
                <w:rFonts w:ascii="Times New Roman" w:eastAsia="Times New Roman" w:hAnsi="Times New Roman" w:cs="Times New Roman"/>
                <w:color w:val="000000"/>
                <w:sz w:val="18"/>
                <w:szCs w:val="18"/>
              </w:rPr>
              <w:t>.</w:t>
            </w:r>
          </w:p>
          <w:p w14:paraId="0EB6038A" w14:textId="578B2EB3" w:rsidR="00D44F6F" w:rsidRPr="00A66401" w:rsidRDefault="00D44F6F" w:rsidP="003022BA">
            <w:pPr>
              <w:pStyle w:val="TableParagraph"/>
              <w:ind w:left="102" w:right="99"/>
              <w:rPr>
                <w:rFonts w:ascii="Times New Roman" w:eastAsia="Times New Roman" w:hAnsi="Times New Roman" w:cs="Times New Roman"/>
                <w:color w:val="000000"/>
                <w:sz w:val="18"/>
                <w:szCs w:val="18"/>
              </w:rPr>
            </w:pPr>
          </w:p>
          <w:p w14:paraId="5E9884BC" w14:textId="0C655F25" w:rsidR="00D44F6F" w:rsidRPr="00A66401" w:rsidRDefault="00F20C47">
            <w:pPr>
              <w:autoSpaceDE w:val="0"/>
              <w:autoSpaceDN w:val="0"/>
              <w:adjustRightInd w:val="0"/>
              <w:ind w:left="102"/>
              <w:rPr>
                <w:rFonts w:ascii="Times New Roman" w:hAnsi="Times New Roman"/>
                <w:szCs w:val="18"/>
                <w:lang w:val="en-US"/>
              </w:rPr>
            </w:pPr>
            <w:r w:rsidRPr="00A66401">
              <w:rPr>
                <w:rFonts w:ascii="Times New Roman" w:hAnsi="Times New Roman"/>
                <w:szCs w:val="18"/>
                <w:lang w:val="en-US"/>
              </w:rPr>
              <w:t>I</w:t>
            </w:r>
            <w:r w:rsidR="00D44F6F" w:rsidRPr="00A66401">
              <w:rPr>
                <w:rFonts w:ascii="Times New Roman" w:hAnsi="Times New Roman"/>
                <w:szCs w:val="18"/>
                <w:lang w:val="en-US"/>
              </w:rPr>
              <w:t xml:space="preserve">nstitutions shall report in </w:t>
            </w:r>
            <w:r w:rsidR="000D128D" w:rsidRPr="00A66401">
              <w:rPr>
                <w:rFonts w:ascii="Times New Roman" w:hAnsi="Times New Roman"/>
                <w:szCs w:val="18"/>
                <w:lang w:val="en-US"/>
              </w:rPr>
              <w:t xml:space="preserve">columns </w:t>
            </w:r>
            <w:r w:rsidR="00D44F6F" w:rsidRPr="00A66401">
              <w:rPr>
                <w:rFonts w:ascii="Times New Roman" w:hAnsi="Times New Roman"/>
                <w:szCs w:val="18"/>
                <w:lang w:val="en-US"/>
              </w:rPr>
              <w:t>0090</w:t>
            </w:r>
            <w:r w:rsidR="000D128D" w:rsidRPr="00A66401">
              <w:rPr>
                <w:rFonts w:ascii="Times New Roman" w:hAnsi="Times New Roman"/>
                <w:szCs w:val="18"/>
                <w:lang w:val="en-US"/>
              </w:rPr>
              <w:t>-0120</w:t>
            </w:r>
            <w:r w:rsidR="00D44F6F" w:rsidRPr="00A66401">
              <w:rPr>
                <w:rFonts w:ascii="Times New Roman" w:hAnsi="Times New Roman"/>
                <w:szCs w:val="18"/>
                <w:lang w:val="en-US"/>
              </w:rPr>
              <w:t xml:space="preserve"> the applicable </w:t>
            </w:r>
            <w:r w:rsidR="002509EB" w:rsidRPr="00A66401">
              <w:rPr>
                <w:rFonts w:ascii="Times New Roman" w:hAnsi="Times New Roman"/>
                <w:szCs w:val="18"/>
                <w:lang w:val="en-US"/>
              </w:rPr>
              <w:t xml:space="preserve">factor </w:t>
            </w:r>
            <w:r w:rsidR="00D44F6F" w:rsidRPr="00A66401">
              <w:rPr>
                <w:rFonts w:ascii="Times New Roman" w:hAnsi="Times New Roman"/>
                <w:szCs w:val="18"/>
                <w:lang w:val="en-US"/>
              </w:rPr>
              <w:t xml:space="preserve">applied to items in Chapter 4 of </w:t>
            </w:r>
            <w:r w:rsidR="00607717">
              <w:rPr>
                <w:rFonts w:ascii="Times New Roman" w:hAnsi="Times New Roman"/>
                <w:szCs w:val="18"/>
                <w:lang w:val="en-US"/>
              </w:rPr>
              <w:t xml:space="preserve">Title IV of Part Six of </w:t>
            </w:r>
            <w:r w:rsidR="00CD6B31" w:rsidRPr="00A66401">
              <w:rPr>
                <w:rFonts w:ascii="Times New Roman" w:hAnsi="Times New Roman"/>
                <w:szCs w:val="18"/>
                <w:lang w:val="en-US"/>
              </w:rPr>
              <w:t>CRR</w:t>
            </w:r>
            <w:r w:rsidR="00D44F6F" w:rsidRPr="00A66401">
              <w:rPr>
                <w:rFonts w:ascii="Times New Roman" w:hAnsi="Times New Roman"/>
                <w:szCs w:val="18"/>
                <w:lang w:val="en-US"/>
              </w:rPr>
              <w:t xml:space="preserve">. Applicable </w:t>
            </w:r>
            <w:r w:rsidR="002509EB" w:rsidRPr="00A66401">
              <w:rPr>
                <w:rFonts w:ascii="Times New Roman" w:hAnsi="Times New Roman"/>
                <w:szCs w:val="18"/>
                <w:lang w:val="en-US"/>
              </w:rPr>
              <w:t xml:space="preserve">factors </w:t>
            </w:r>
            <w:r w:rsidR="00D44F6F" w:rsidRPr="00A66401">
              <w:rPr>
                <w:rFonts w:ascii="Times New Roman" w:hAnsi="Times New Roman"/>
                <w:szCs w:val="18"/>
                <w:lang w:val="en-US"/>
              </w:rPr>
              <w:t>may result in weighted average values and shall be reported in decimal terms (i.e. 1.00 for an applicable weight of 100</w:t>
            </w:r>
            <w:r w:rsidR="002509EB" w:rsidRPr="00A66401">
              <w:rPr>
                <w:rFonts w:ascii="Times New Roman" w:hAnsi="Times New Roman"/>
                <w:szCs w:val="18"/>
                <w:lang w:val="en-US"/>
              </w:rPr>
              <w:t xml:space="preserve"> </w:t>
            </w:r>
            <w:r w:rsidR="00D44F6F" w:rsidRPr="00A66401">
              <w:rPr>
                <w:rFonts w:ascii="Times New Roman" w:hAnsi="Times New Roman"/>
                <w:szCs w:val="18"/>
                <w:lang w:val="en-US"/>
              </w:rPr>
              <w:t>per cent, or 0.50 for an applicable weight of 50 per cent). Applicable</w:t>
            </w:r>
            <w:r w:rsidR="002509EB" w:rsidRPr="00A66401">
              <w:rPr>
                <w:rFonts w:ascii="Times New Roman" w:hAnsi="Times New Roman"/>
                <w:szCs w:val="18"/>
                <w:lang w:val="en-US"/>
              </w:rPr>
              <w:t xml:space="preserve"> factors </w:t>
            </w:r>
            <w:r w:rsidR="00D44F6F" w:rsidRPr="00A66401">
              <w:rPr>
                <w:rFonts w:ascii="Times New Roman" w:hAnsi="Times New Roman"/>
                <w:szCs w:val="18"/>
                <w:lang w:val="en-US"/>
              </w:rPr>
              <w:t>may reflect, but are not limited to, firm-specific and national</w:t>
            </w:r>
            <w:r w:rsidR="002509EB" w:rsidRPr="00A66401">
              <w:rPr>
                <w:rFonts w:ascii="Times New Roman" w:hAnsi="Times New Roman"/>
                <w:szCs w:val="18"/>
                <w:lang w:val="en-US"/>
              </w:rPr>
              <w:t xml:space="preserve"> </w:t>
            </w:r>
            <w:r w:rsidR="00D44F6F" w:rsidRPr="00A66401">
              <w:rPr>
                <w:rFonts w:ascii="Times New Roman" w:hAnsi="Times New Roman"/>
                <w:szCs w:val="18"/>
                <w:lang w:val="en-US"/>
              </w:rPr>
              <w:t>discretions.</w:t>
            </w:r>
          </w:p>
          <w:p w14:paraId="1C290D52" w14:textId="77777777" w:rsidR="00D44F6F" w:rsidRPr="00A66401" w:rsidRDefault="00D44F6F" w:rsidP="00F20C47">
            <w:pPr>
              <w:autoSpaceDE w:val="0"/>
              <w:autoSpaceDN w:val="0"/>
              <w:adjustRightInd w:val="0"/>
              <w:ind w:left="102"/>
              <w:rPr>
                <w:rFonts w:ascii="Times New Roman" w:hAnsi="Times New Roman"/>
                <w:szCs w:val="18"/>
                <w:lang w:val="en-US"/>
              </w:rPr>
            </w:pPr>
          </w:p>
        </w:tc>
      </w:tr>
      <w:tr w:rsidR="00D44F6F" w:rsidRPr="00CF4E2F" w14:paraId="55A9DD4F" w14:textId="77777777" w:rsidTr="00F20C47">
        <w:trPr>
          <w:trHeight w:val="304"/>
        </w:trPr>
        <w:tc>
          <w:tcPr>
            <w:tcW w:w="1446" w:type="dxa"/>
          </w:tcPr>
          <w:p w14:paraId="001CDF2E" w14:textId="77777777" w:rsidR="00D44F6F" w:rsidRPr="00CF4E2F" w:rsidRDefault="00D44F6F" w:rsidP="00F20C47">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0130</w:t>
            </w:r>
          </w:p>
        </w:tc>
        <w:tc>
          <w:tcPr>
            <w:tcW w:w="7590" w:type="dxa"/>
          </w:tcPr>
          <w:p w14:paraId="6EAAA23B" w14:textId="77777777" w:rsidR="00D44F6F" w:rsidRPr="00CF4E2F" w:rsidRDefault="00D44F6F" w:rsidP="00F20C47">
            <w:pPr>
              <w:pStyle w:val="TableParagraph"/>
              <w:spacing w:before="117"/>
              <w:ind w:left="102" w:right="100" w:hanging="39"/>
              <w:rPr>
                <w:rFonts w:ascii="Times New Roman" w:eastAsia="Times New Roman" w:hAnsi="Times New Roman" w:cs="Times New Roman"/>
                <w:b/>
                <w:sz w:val="18"/>
                <w:szCs w:val="18"/>
                <w:u w:val="single"/>
              </w:rPr>
            </w:pPr>
            <w:r w:rsidRPr="00CF4E2F">
              <w:rPr>
                <w:rFonts w:ascii="Times New Roman"/>
                <w:b/>
                <w:sz w:val="18"/>
                <w:szCs w:val="18"/>
                <w:u w:val="thick" w:color="000000"/>
              </w:rPr>
              <w:t>Required stable funding:</w:t>
            </w:r>
          </w:p>
          <w:p w14:paraId="231E9CF4" w14:textId="48DE1419" w:rsidR="00D44F6F" w:rsidRPr="00CF4E2F" w:rsidRDefault="00F20C47" w:rsidP="00F20C47">
            <w:pPr>
              <w:pStyle w:val="TableParagraph"/>
              <w:spacing w:before="117"/>
              <w:ind w:left="33"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w:t>
            </w:r>
            <w:r w:rsidR="00D44F6F" w:rsidRPr="00CF4E2F">
              <w:rPr>
                <w:rFonts w:ascii="Times New Roman" w:eastAsia="Times New Roman" w:hAnsi="Times New Roman" w:cs="Times New Roman"/>
                <w:sz w:val="18"/>
                <w:szCs w:val="18"/>
              </w:rPr>
              <w:t xml:space="preserve">nstitutions shall report in Column 0130 the required stable funding in accordance with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CD6B31" w:rsidRPr="00CF4E2F">
              <w:rPr>
                <w:rFonts w:ascii="Times New Roman" w:eastAsia="Times New Roman" w:hAnsi="Times New Roman" w:cs="Times New Roman"/>
                <w:sz w:val="18"/>
                <w:szCs w:val="18"/>
              </w:rPr>
              <w:t>CRR</w:t>
            </w:r>
            <w:r w:rsidR="00D44F6F" w:rsidRPr="00CF4E2F">
              <w:rPr>
                <w:rFonts w:ascii="Times New Roman" w:eastAsia="Times New Roman" w:hAnsi="Times New Roman" w:cs="Times New Roman"/>
                <w:sz w:val="18"/>
                <w:szCs w:val="18"/>
              </w:rPr>
              <w:t>.</w:t>
            </w:r>
          </w:p>
          <w:p w14:paraId="6877F91B" w14:textId="77777777" w:rsidR="00D44F6F" w:rsidRPr="00CF4E2F" w:rsidRDefault="00D44F6F" w:rsidP="00F20C47">
            <w:pPr>
              <w:pStyle w:val="TableParagraph"/>
              <w:spacing w:before="117"/>
              <w:ind w:left="33"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This is calculated by the following formula:</w:t>
            </w:r>
            <w:r w:rsidRPr="00CF4E2F">
              <w:rPr>
                <w:rFonts w:ascii="Times New Roman" w:eastAsia="Times New Roman" w:hAnsi="Times New Roman" w:cs="Times New Roman"/>
                <w:sz w:val="18"/>
                <w:szCs w:val="18"/>
              </w:rPr>
              <w:br/>
              <w:t>c0130 = SUM{(c0010 * c 0090), (c0020 * c 0100), (c0030 * c 0110), (c0040 * c 0120)}</w:t>
            </w:r>
          </w:p>
          <w:p w14:paraId="5D9C710D" w14:textId="77777777" w:rsidR="00D44F6F" w:rsidRPr="00CF4E2F" w:rsidRDefault="00D44F6F" w:rsidP="003022BA">
            <w:pPr>
              <w:pStyle w:val="TableParagraph"/>
              <w:ind w:left="72" w:right="100" w:hanging="39"/>
              <w:rPr>
                <w:rFonts w:ascii="Times New Roman"/>
                <w:b/>
                <w:sz w:val="18"/>
                <w:szCs w:val="18"/>
                <w:u w:val="thick" w:color="000000"/>
              </w:rPr>
            </w:pPr>
          </w:p>
        </w:tc>
      </w:tr>
    </w:tbl>
    <w:p w14:paraId="3DC21E10" w14:textId="77777777" w:rsidR="00A367E4" w:rsidRPr="00A367E4" w:rsidRDefault="00A367E4" w:rsidP="00D967E5">
      <w:pPr>
        <w:pStyle w:val="BodyText1"/>
        <w:spacing w:before="120" w:after="120"/>
        <w:ind w:left="720"/>
        <w:rPr>
          <w:lang w:val="en-US"/>
        </w:rPr>
      </w:pPr>
    </w:p>
    <w:p w14:paraId="6F9FFA8F" w14:textId="6BB7D9F1" w:rsidR="00D91BC3" w:rsidRPr="00D030C4" w:rsidRDefault="00EB4BBA" w:rsidP="00D030C4">
      <w:pPr>
        <w:pStyle w:val="BodyText1"/>
        <w:numPr>
          <w:ilvl w:val="0"/>
          <w:numId w:val="25"/>
        </w:numPr>
        <w:spacing w:before="120" w:after="120" w:line="276" w:lineRule="auto"/>
        <w:outlineLvl w:val="0"/>
        <w:rPr>
          <w:rFonts w:ascii="Times New Roman" w:hAnsi="Times New Roman"/>
          <w:b/>
          <w:sz w:val="24"/>
          <w:szCs w:val="24"/>
          <w:lang w:val="en-US"/>
        </w:rPr>
      </w:pPr>
      <w:bookmarkStart w:id="16" w:name="_Toc7641921"/>
      <w:r w:rsidRPr="00A66401">
        <w:rPr>
          <w:rFonts w:ascii="Times New Roman" w:hAnsi="Times New Roman"/>
          <w:b/>
          <w:sz w:val="24"/>
          <w:szCs w:val="24"/>
          <w:lang w:val="en-US"/>
        </w:rPr>
        <w:t>Instructions concerning specific rows</w:t>
      </w:r>
      <w:bookmarkEnd w:id="10"/>
      <w:bookmarkEnd w:id="11"/>
      <w:bookmarkEnd w:id="12"/>
      <w:bookmarkEnd w:id="16"/>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CF4E2F" w14:paraId="7212213B" w14:textId="77777777" w:rsidTr="004A5973">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BD40238" w14:textId="77777777" w:rsidR="00AE2798" w:rsidRPr="001A257C" w:rsidRDefault="003A5275" w:rsidP="00740184">
            <w:pPr>
              <w:pStyle w:val="TableParagraph"/>
              <w:spacing w:before="117" w:after="120"/>
              <w:ind w:left="102"/>
              <w:rPr>
                <w:rFonts w:ascii="Times New Roman" w:hAnsi="Times New Roman"/>
                <w:sz w:val="18"/>
                <w:szCs w:val="18"/>
              </w:rPr>
            </w:pPr>
            <w:bookmarkStart w:id="17" w:name="_Toc322687879"/>
            <w:bookmarkStart w:id="18" w:name="_Toc315961853"/>
            <w:r w:rsidRPr="00CF4E2F">
              <w:rPr>
                <w:rFonts w:ascii="Times New Roman"/>
                <w:spacing w:val="-1"/>
                <w:sz w:val="18"/>
                <w:szCs w:val="18"/>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2F65DE69" w14:textId="77777777" w:rsidR="00AE2798" w:rsidRPr="00CF4E2F" w:rsidRDefault="00AE2798" w:rsidP="00740184">
            <w:pPr>
              <w:pStyle w:val="TableParagraph"/>
              <w:spacing w:before="117" w:after="120"/>
              <w:ind w:left="102"/>
              <w:rPr>
                <w:rFonts w:ascii="Times New Roman" w:hAnsi="Times New Roman"/>
                <w:bCs/>
                <w:sz w:val="18"/>
                <w:szCs w:val="18"/>
                <w:u w:val="single"/>
              </w:rPr>
            </w:pPr>
            <w:r w:rsidRPr="00CF4E2F">
              <w:rPr>
                <w:rFonts w:ascii="Times New Roman" w:hAnsi="Times New Roman"/>
                <w:sz w:val="18"/>
                <w:szCs w:val="18"/>
              </w:rPr>
              <w:t xml:space="preserve">Legal </w:t>
            </w:r>
            <w:r w:rsidRPr="00CF4E2F">
              <w:rPr>
                <w:rFonts w:ascii="Times New Roman"/>
                <w:spacing w:val="-1"/>
                <w:sz w:val="18"/>
                <w:szCs w:val="18"/>
              </w:rPr>
              <w:t>references</w:t>
            </w:r>
            <w:r w:rsidRPr="00CF4E2F">
              <w:rPr>
                <w:rFonts w:ascii="Times New Roman" w:hAnsi="Times New Roman"/>
                <w:sz w:val="18"/>
                <w:szCs w:val="18"/>
              </w:rPr>
              <w:t xml:space="preserve"> and instructions</w:t>
            </w:r>
          </w:p>
        </w:tc>
      </w:tr>
      <w:tr w:rsidR="003A5275" w:rsidRPr="00CF4E2F" w14:paraId="584F4DB0" w14:textId="77777777" w:rsidTr="00FE0FF1">
        <w:trPr>
          <w:trHeight w:val="304"/>
        </w:trPr>
        <w:tc>
          <w:tcPr>
            <w:tcW w:w="1418" w:type="dxa"/>
          </w:tcPr>
          <w:p w14:paraId="718FB883" w14:textId="21229596" w:rsidR="003A5275" w:rsidRPr="001A257C" w:rsidRDefault="005074D1" w:rsidP="007B3BAA">
            <w:pPr>
              <w:pStyle w:val="TableParagraph"/>
              <w:spacing w:before="118"/>
              <w:ind w:left="57" w:right="96"/>
              <w:jc w:val="both"/>
              <w:rPr>
                <w:rFonts w:ascii="Times New Roman" w:eastAsia="Times New Roman" w:hAnsi="Times New Roman" w:cs="Times New Roman"/>
                <w:sz w:val="18"/>
                <w:szCs w:val="18"/>
              </w:rPr>
            </w:pPr>
            <w:r w:rsidRPr="001A257C">
              <w:rPr>
                <w:rFonts w:ascii="Times New Roman"/>
                <w:sz w:val="18"/>
                <w:szCs w:val="18"/>
              </w:rPr>
              <w:t>0010</w:t>
            </w:r>
          </w:p>
        </w:tc>
        <w:tc>
          <w:tcPr>
            <w:tcW w:w="7590" w:type="dxa"/>
          </w:tcPr>
          <w:p w14:paraId="31A67D2A" w14:textId="7DAC4F4B" w:rsidR="003A5275" w:rsidRPr="00CF4E2F" w:rsidRDefault="0037691F" w:rsidP="004A5973">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 xml:space="preserve">1 </w:t>
            </w:r>
            <w:r w:rsidR="004A5973" w:rsidRPr="00CF4E2F">
              <w:rPr>
                <w:rFonts w:ascii="Times New Roman"/>
                <w:b/>
                <w:sz w:val="18"/>
                <w:szCs w:val="18"/>
                <w:u w:val="thick" w:color="000000"/>
              </w:rPr>
              <w:t>REQUIRED STABLE FUNDING</w:t>
            </w:r>
          </w:p>
          <w:p w14:paraId="750C8DE9" w14:textId="77777777" w:rsidR="003A5275" w:rsidRPr="00CF4E2F" w:rsidRDefault="003A5275" w:rsidP="003A5275">
            <w:pPr>
              <w:pStyle w:val="TableParagraph"/>
              <w:ind w:left="102"/>
              <w:rPr>
                <w:rFonts w:ascii="Times New Roman" w:eastAsia="Times New Roman" w:hAnsi="Times New Roman" w:cs="Times New Roman"/>
                <w:sz w:val="18"/>
                <w:szCs w:val="18"/>
              </w:rPr>
            </w:pPr>
          </w:p>
          <w:p w14:paraId="74573E05" w14:textId="048A0751" w:rsidR="004A5973" w:rsidRPr="00CF4E2F" w:rsidRDefault="00E40843" w:rsidP="003A5275">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416B4D" w:rsidRPr="00CF4E2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77DAE2A8" w14:textId="77777777" w:rsidR="004A5973" w:rsidRPr="00CF4E2F" w:rsidRDefault="004A5973" w:rsidP="003A5275">
            <w:pPr>
              <w:pStyle w:val="TableParagraph"/>
              <w:ind w:left="102"/>
              <w:rPr>
                <w:rFonts w:ascii="Times New Roman" w:eastAsia="Times New Roman" w:hAnsi="Times New Roman" w:cs="Times New Roman"/>
                <w:sz w:val="18"/>
                <w:szCs w:val="18"/>
              </w:rPr>
            </w:pPr>
          </w:p>
          <w:p w14:paraId="54B0F433" w14:textId="3E476EF1" w:rsidR="004A5973" w:rsidRPr="00CF4E2F" w:rsidRDefault="00E40843" w:rsidP="003A5275">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items subject to the required stable funding in accordance with Chapter 4 of </w:t>
            </w:r>
            <w:r w:rsidR="00607717">
              <w:rPr>
                <w:rFonts w:ascii="Times New Roman" w:eastAsia="Times New Roman" w:hAnsi="Times New Roman" w:cs="Times New Roman"/>
                <w:sz w:val="18"/>
                <w:szCs w:val="18"/>
              </w:rPr>
              <w:t xml:space="preserve">Title IV of </w:t>
            </w:r>
            <w:r w:rsidR="00DE20BF">
              <w:rPr>
                <w:rFonts w:ascii="Times New Roman" w:eastAsia="Times New Roman" w:hAnsi="Times New Roman" w:cs="Times New Roman"/>
                <w:sz w:val="18"/>
                <w:szCs w:val="18"/>
              </w:rPr>
              <w:t xml:space="preserve">Part Six of </w:t>
            </w:r>
            <w:r w:rsidR="00416B4D" w:rsidRPr="00CF4E2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714AA956" w14:textId="5631EF2A" w:rsidR="005074D1" w:rsidRPr="00CF4E2F" w:rsidRDefault="005074D1" w:rsidP="003A5275">
            <w:pPr>
              <w:pStyle w:val="TableParagraph"/>
              <w:ind w:left="102"/>
              <w:rPr>
                <w:rFonts w:ascii="Times New Roman" w:eastAsia="Times New Roman" w:hAnsi="Times New Roman" w:cs="Times New Roman"/>
                <w:sz w:val="18"/>
                <w:szCs w:val="18"/>
              </w:rPr>
            </w:pPr>
          </w:p>
        </w:tc>
      </w:tr>
      <w:tr w:rsidR="003A5275" w:rsidRPr="00CF4E2F" w14:paraId="5A08E15D" w14:textId="77777777" w:rsidTr="00FE0FF1">
        <w:trPr>
          <w:trHeight w:val="304"/>
        </w:trPr>
        <w:tc>
          <w:tcPr>
            <w:tcW w:w="1418" w:type="dxa"/>
          </w:tcPr>
          <w:p w14:paraId="22E26C9A" w14:textId="46D16DEA" w:rsidR="003A5275" w:rsidRPr="001A257C" w:rsidRDefault="005074D1" w:rsidP="00AE380B">
            <w:pPr>
              <w:pStyle w:val="TableParagraph"/>
              <w:spacing w:before="118"/>
              <w:ind w:left="57" w:right="96"/>
              <w:jc w:val="both"/>
              <w:rPr>
                <w:rFonts w:ascii="Times New Roman" w:eastAsia="Times New Roman" w:hAnsi="Times New Roman" w:cs="Times New Roman"/>
                <w:sz w:val="18"/>
                <w:szCs w:val="18"/>
              </w:rPr>
            </w:pPr>
            <w:r w:rsidRPr="001A257C">
              <w:rPr>
                <w:rFonts w:ascii="Times New Roman" w:eastAsia="Times New Roman" w:hAnsi="Times New Roman" w:cs="Times New Roman"/>
                <w:sz w:val="18"/>
                <w:szCs w:val="18"/>
              </w:rPr>
              <w:t>0020</w:t>
            </w:r>
          </w:p>
        </w:tc>
        <w:tc>
          <w:tcPr>
            <w:tcW w:w="7590" w:type="dxa"/>
          </w:tcPr>
          <w:p w14:paraId="77C442DA" w14:textId="409B6F4E" w:rsidR="004A5973" w:rsidRPr="00CF4E2F" w:rsidRDefault="0037691F" w:rsidP="004A5973">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 xml:space="preserve">1.1 </w:t>
            </w:r>
            <w:r w:rsidR="004A5973" w:rsidRPr="00CF4E2F">
              <w:rPr>
                <w:rFonts w:ascii="Times New Roman"/>
                <w:b/>
                <w:sz w:val="18"/>
                <w:szCs w:val="18"/>
                <w:u w:val="thick" w:color="000000"/>
              </w:rPr>
              <w:t>RSF from central bank assets</w:t>
            </w:r>
          </w:p>
          <w:p w14:paraId="3F459C1B" w14:textId="77777777" w:rsidR="004A5973" w:rsidRPr="00CF4E2F" w:rsidRDefault="004A5973" w:rsidP="004A5973">
            <w:pPr>
              <w:pStyle w:val="TableParagraph"/>
              <w:ind w:left="102"/>
              <w:rPr>
                <w:rFonts w:ascii="Times New Roman" w:eastAsia="Times New Roman" w:hAnsi="Times New Roman" w:cs="Times New Roman"/>
                <w:sz w:val="18"/>
                <w:szCs w:val="18"/>
              </w:rPr>
            </w:pPr>
          </w:p>
          <w:p w14:paraId="6C829BD6" w14:textId="2261C912" w:rsidR="004A5973" w:rsidRPr="00CF4E2F" w:rsidRDefault="005E2305" w:rsidP="004A5973">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Article </w:t>
            </w:r>
            <w:r w:rsidR="001F6F59">
              <w:rPr>
                <w:rFonts w:ascii="Times New Roman" w:eastAsia="Times New Roman" w:hAnsi="Times New Roman" w:cs="Times New Roman"/>
                <w:sz w:val="18"/>
                <w:szCs w:val="18"/>
              </w:rPr>
              <w:t>428r(1)</w:t>
            </w:r>
            <w:r w:rsidRPr="00CF4E2F">
              <w:rPr>
                <w:rFonts w:ascii="Times New Roman" w:eastAsia="Times New Roman" w:hAnsi="Times New Roman" w:cs="Times New Roman"/>
                <w:sz w:val="18"/>
                <w:szCs w:val="18"/>
              </w:rPr>
              <w:t xml:space="preserve">(c) </w:t>
            </w:r>
            <w:r w:rsidR="00EC6042" w:rsidRPr="00CF4E2F">
              <w:rPr>
                <w:rFonts w:ascii="Times New Roman" w:eastAsia="Times New Roman" w:hAnsi="Times New Roman" w:cs="Times New Roman"/>
                <w:sz w:val="18"/>
                <w:szCs w:val="18"/>
              </w:rPr>
              <w:t xml:space="preserve">and (d) </w:t>
            </w:r>
            <w:r w:rsidR="00A16AA3" w:rsidRPr="00CF4E2F">
              <w:rPr>
                <w:rFonts w:ascii="Times New Roman" w:eastAsia="Times New Roman" w:hAnsi="Times New Roman" w:cs="Times New Roman"/>
                <w:sz w:val="18"/>
                <w:szCs w:val="18"/>
              </w:rPr>
              <w:t xml:space="preserve">and Article 428ad(d) </w:t>
            </w:r>
            <w:r w:rsidRPr="00CF4E2F">
              <w:rPr>
                <w:rFonts w:ascii="Times New Roman" w:eastAsia="Times New Roman" w:hAnsi="Times New Roman" w:cs="Times New Roman"/>
                <w:sz w:val="18"/>
                <w:szCs w:val="18"/>
              </w:rPr>
              <w:t xml:space="preserve">of </w:t>
            </w:r>
            <w:r w:rsidR="00416B4D" w:rsidRPr="00CF4E2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7AF201D9" w14:textId="77777777" w:rsidR="003A5275" w:rsidRPr="00CF4E2F" w:rsidRDefault="00EC6042" w:rsidP="00A16AA3">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central bank assets</w:t>
            </w:r>
            <w:r w:rsidR="00A16AA3" w:rsidRPr="00CF4E2F">
              <w:rPr>
                <w:rFonts w:ascii="Times New Roman" w:eastAsia="Times New Roman" w:hAnsi="Times New Roman" w:cs="Times New Roman"/>
                <w:sz w:val="18"/>
                <w:szCs w:val="18"/>
              </w:rPr>
              <w:t>.</w:t>
            </w:r>
          </w:p>
          <w:p w14:paraId="744935DC" w14:textId="5FF71614" w:rsidR="005074D1" w:rsidRDefault="00D65415" w:rsidP="00D65415">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Note that a reduced RSF factor may apply in accordance with Article 428p(7) of CRR.</w:t>
            </w:r>
          </w:p>
          <w:p w14:paraId="69BB85CC" w14:textId="0EE0402C" w:rsidR="00C166BD" w:rsidRPr="00CF4E2F" w:rsidRDefault="00C166BD" w:rsidP="003022BA">
            <w:pPr>
              <w:pStyle w:val="TableParagraph"/>
              <w:ind w:left="102" w:right="99"/>
              <w:rPr>
                <w:rFonts w:ascii="Times New Roman" w:eastAsia="Times New Roman" w:hAnsi="Times New Roman" w:cs="Times New Roman"/>
                <w:sz w:val="18"/>
                <w:szCs w:val="18"/>
              </w:rPr>
            </w:pPr>
          </w:p>
        </w:tc>
      </w:tr>
      <w:tr w:rsidR="003A5275" w:rsidRPr="00CF4E2F" w14:paraId="07D6B70C" w14:textId="77777777" w:rsidTr="00FE0FF1">
        <w:trPr>
          <w:trHeight w:val="304"/>
        </w:trPr>
        <w:tc>
          <w:tcPr>
            <w:tcW w:w="1418" w:type="dxa"/>
          </w:tcPr>
          <w:p w14:paraId="4F2006E4" w14:textId="30DB349D" w:rsidR="003A5275"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0030</w:t>
            </w:r>
          </w:p>
        </w:tc>
        <w:tc>
          <w:tcPr>
            <w:tcW w:w="7590" w:type="dxa"/>
          </w:tcPr>
          <w:p w14:paraId="25BC11B8" w14:textId="3B008BAC" w:rsidR="006355E6" w:rsidRPr="00CF4E2F" w:rsidRDefault="008823B8" w:rsidP="006355E6">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1.1.1 cash, reserves and HQLA exposures to central banks</w:t>
            </w:r>
          </w:p>
          <w:p w14:paraId="730079EF" w14:textId="452DAAF9" w:rsidR="003A5275" w:rsidRPr="00CF4E2F" w:rsidRDefault="002F3858" w:rsidP="003B66BD">
            <w:pPr>
              <w:pStyle w:val="TableParagraph"/>
              <w:spacing w:before="117"/>
              <w:ind w:left="102" w:right="100"/>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w:t>
            </w:r>
            <w:r w:rsidR="00763FA8" w:rsidRPr="00CF4E2F">
              <w:rPr>
                <w:rFonts w:ascii="Times New Roman" w:eastAsia="Times New Roman" w:hAnsi="Times New Roman" w:cs="Times New Roman"/>
                <w:sz w:val="18"/>
                <w:szCs w:val="18"/>
              </w:rPr>
              <w:t xml:space="preserve">stitutions shall report here </w:t>
            </w:r>
            <w:r w:rsidRPr="00CF4E2F">
              <w:rPr>
                <w:rFonts w:ascii="Times New Roman" w:eastAsia="Times New Roman" w:hAnsi="Times New Roman" w:cs="Times New Roman"/>
                <w:sz w:val="18"/>
                <w:szCs w:val="18"/>
              </w:rPr>
              <w:t xml:space="preserve">cash and reserves at central banks, including excess reserves. Institutions shall also report here any other exposures to central banks that are considered </w:t>
            </w:r>
            <w:r w:rsidR="007E37F1">
              <w:rPr>
                <w:rFonts w:ascii="Times New Roman" w:eastAsia="Times New Roman" w:hAnsi="Times New Roman" w:cs="Times New Roman"/>
                <w:sz w:val="18"/>
                <w:szCs w:val="18"/>
              </w:rPr>
              <w:t xml:space="preserve">as high-quality </w:t>
            </w:r>
            <w:r w:rsidRPr="00CF4E2F">
              <w:rPr>
                <w:rFonts w:ascii="Times New Roman" w:eastAsia="Times New Roman" w:hAnsi="Times New Roman" w:cs="Times New Roman"/>
                <w:sz w:val="18"/>
                <w:szCs w:val="18"/>
              </w:rPr>
              <w:t xml:space="preserve">liquid assets pursuant to the </w:t>
            </w:r>
            <w:r w:rsidR="003B66BD" w:rsidRPr="00CF4E2F">
              <w:rPr>
                <w:rFonts w:ascii="Times New Roman" w:eastAsia="Times New Roman" w:hAnsi="Times New Roman" w:cs="Times New Roman"/>
                <w:sz w:val="18"/>
                <w:szCs w:val="18"/>
              </w:rPr>
              <w:t xml:space="preserve">Delegated </w:t>
            </w:r>
            <w:r w:rsidR="00A63EBD">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00C166BD">
              <w:rPr>
                <w:rFonts w:ascii="Times New Roman" w:eastAsia="Times New Roman" w:hAnsi="Times New Roman" w:cs="Times New Roman"/>
                <w:sz w:val="18"/>
                <w:szCs w:val="18"/>
              </w:rPr>
              <w:t>,</w:t>
            </w:r>
            <w:r w:rsidRPr="00CF4E2F">
              <w:rPr>
                <w:rFonts w:ascii="Times New Roman" w:eastAsia="Times New Roman" w:hAnsi="Times New Roman" w:cs="Times New Roman"/>
                <w:sz w:val="18"/>
                <w:szCs w:val="18"/>
              </w:rPr>
              <w:t xml:space="preserve"> regardless if they comply with the operational requirements</w:t>
            </w:r>
            <w:r w:rsidR="00C166BD">
              <w:rPr>
                <w:rFonts w:ascii="Times New Roman" w:eastAsia="Times New Roman" w:hAnsi="Times New Roman" w:cs="Times New Roman"/>
                <w:sz w:val="18"/>
                <w:szCs w:val="18"/>
              </w:rPr>
              <w:t xml:space="preserve"> referred to in Article 8 of that Delegated Regulation</w:t>
            </w:r>
            <w:r w:rsidRPr="00CF4E2F">
              <w:rPr>
                <w:rFonts w:ascii="Times New Roman" w:eastAsia="Times New Roman" w:hAnsi="Times New Roman" w:cs="Times New Roman"/>
                <w:sz w:val="18"/>
                <w:szCs w:val="18"/>
              </w:rPr>
              <w:t>.</w:t>
            </w:r>
          </w:p>
          <w:p w14:paraId="77E4361B" w14:textId="4651449D" w:rsidR="00382036" w:rsidRPr="00CF4E2F" w:rsidRDefault="002E2241" w:rsidP="00C3542C">
            <w:pPr>
              <w:pStyle w:val="TableParagraph"/>
              <w:spacing w:before="117"/>
              <w:ind w:left="102" w:right="100"/>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M</w:t>
            </w:r>
            <w:r w:rsidR="00C3542C" w:rsidRPr="00CF4E2F">
              <w:rPr>
                <w:rFonts w:ascii="Times New Roman" w:eastAsia="Times New Roman" w:hAnsi="Times New Roman" w:cs="Times New Roman"/>
                <w:sz w:val="18"/>
                <w:szCs w:val="18"/>
              </w:rPr>
              <w:t xml:space="preserve">inimum reserves that are not considered as </w:t>
            </w:r>
            <w:r w:rsidR="007E37F1">
              <w:rPr>
                <w:rFonts w:ascii="Times New Roman" w:eastAsia="Times New Roman" w:hAnsi="Times New Roman" w:cs="Times New Roman"/>
                <w:sz w:val="18"/>
                <w:szCs w:val="18"/>
              </w:rPr>
              <w:t xml:space="preserve">high-quality </w:t>
            </w:r>
            <w:r w:rsidR="00C3542C" w:rsidRPr="00CF4E2F">
              <w:rPr>
                <w:rFonts w:ascii="Times New Roman" w:eastAsia="Times New Roman" w:hAnsi="Times New Roman" w:cs="Times New Roman"/>
                <w:sz w:val="18"/>
                <w:szCs w:val="18"/>
              </w:rPr>
              <w:t xml:space="preserve">liquid assets pursuant to Delegated </w:t>
            </w:r>
            <w:r w:rsidR="00C166BD">
              <w:rPr>
                <w:rFonts w:ascii="Times New Roman" w:eastAsia="Times New Roman" w:hAnsi="Times New Roman" w:cs="Times New Roman"/>
                <w:sz w:val="18"/>
                <w:szCs w:val="18"/>
              </w:rPr>
              <w:t>R</w:t>
            </w:r>
            <w:r w:rsidR="00C3542C" w:rsidRPr="00CF4E2F">
              <w:rPr>
                <w:rFonts w:ascii="Times New Roman" w:eastAsia="Times New Roman" w:hAnsi="Times New Roman" w:cs="Times New Roman"/>
                <w:sz w:val="18"/>
                <w:szCs w:val="18"/>
              </w:rPr>
              <w:t>egulation (EU) 2015/61 shall be reported in the relevant non-HQLA column.</w:t>
            </w:r>
          </w:p>
          <w:p w14:paraId="34825A80" w14:textId="7AC7B0F6" w:rsidR="00D65415" w:rsidRPr="00CF4E2F" w:rsidRDefault="00D65415" w:rsidP="003022BA">
            <w:pPr>
              <w:pStyle w:val="TableParagraph"/>
              <w:ind w:left="102" w:right="100"/>
              <w:jc w:val="both"/>
              <w:rPr>
                <w:rFonts w:ascii="Times New Roman" w:eastAsia="Times New Roman" w:hAnsi="Times New Roman" w:cs="Times New Roman"/>
                <w:sz w:val="18"/>
                <w:szCs w:val="18"/>
              </w:rPr>
            </w:pPr>
          </w:p>
        </w:tc>
      </w:tr>
      <w:tr w:rsidR="003A5275" w:rsidRPr="00CF4E2F" w14:paraId="62D3E3F2" w14:textId="77777777" w:rsidTr="00FE0FF1">
        <w:trPr>
          <w:trHeight w:val="304"/>
        </w:trPr>
        <w:tc>
          <w:tcPr>
            <w:tcW w:w="1418" w:type="dxa"/>
          </w:tcPr>
          <w:p w14:paraId="578A0E60" w14:textId="3BA6A678" w:rsidR="003A5275"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0040</w:t>
            </w:r>
          </w:p>
        </w:tc>
        <w:tc>
          <w:tcPr>
            <w:tcW w:w="7590" w:type="dxa"/>
          </w:tcPr>
          <w:p w14:paraId="4EF28824" w14:textId="1C6B7728" w:rsidR="00D67527" w:rsidRPr="00CF4E2F" w:rsidRDefault="00D67527" w:rsidP="00D67527">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1.1.1.1 unencumbered or encumbered </w:t>
            </w:r>
            <w:r w:rsidR="00FF64DD">
              <w:rPr>
                <w:rFonts w:ascii="Times New Roman"/>
                <w:b/>
                <w:sz w:val="18"/>
                <w:szCs w:val="18"/>
                <w:u w:val="thick" w:color="000000"/>
              </w:rPr>
              <w:t>for a residual maturity of less than six months</w:t>
            </w:r>
          </w:p>
          <w:p w14:paraId="495D9D1A" w14:textId="3AEFC4F6" w:rsidR="00D67527" w:rsidRDefault="00D67527" w:rsidP="00D67527">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The amount reported in 1.1.1 that is</w:t>
            </w:r>
            <w:r w:rsidR="00464840">
              <w:rPr>
                <w:rFonts w:ascii="Times New Roman" w:eastAsia="Times New Roman" w:hAnsi="Times New Roman" w:cs="Times New Roman"/>
                <w:sz w:val="18"/>
                <w:szCs w:val="18"/>
              </w:rPr>
              <w:t xml:space="preserve"> related to assets that are</w:t>
            </w:r>
            <w:r w:rsidRPr="00CF4E2F">
              <w:rPr>
                <w:rFonts w:ascii="Times New Roman" w:eastAsia="Times New Roman" w:hAnsi="Times New Roman" w:cs="Times New Roman"/>
                <w:sz w:val="18"/>
                <w:szCs w:val="18"/>
              </w:rPr>
              <w:t xml:space="preserve"> unencumbered or encumbered </w:t>
            </w:r>
            <w:r>
              <w:rPr>
                <w:rFonts w:ascii="Times New Roman" w:eastAsia="Times New Roman" w:hAnsi="Times New Roman" w:cs="Times New Roman"/>
                <w:sz w:val="18"/>
                <w:szCs w:val="18"/>
              </w:rPr>
              <w:t>for a residual maturity of less than six months.</w:t>
            </w:r>
          </w:p>
          <w:p w14:paraId="4FB7EFE4" w14:textId="765E4CF4" w:rsidR="00284832" w:rsidRPr="00CF4E2F" w:rsidRDefault="00284832" w:rsidP="00D67527">
            <w:pPr>
              <w:pStyle w:val="TableParagraph"/>
              <w:ind w:left="102" w:right="99"/>
              <w:jc w:val="both"/>
              <w:rPr>
                <w:rFonts w:ascii="Times New Roman" w:eastAsia="Times New Roman" w:hAnsi="Times New Roman" w:cs="Times New Roman"/>
                <w:sz w:val="18"/>
                <w:szCs w:val="18"/>
              </w:rPr>
            </w:pPr>
          </w:p>
          <w:p w14:paraId="1C8CDBAB" w14:textId="56CE9F09" w:rsidR="00382036" w:rsidRPr="00CF4E2F" w:rsidRDefault="00382036" w:rsidP="00EC3AAD">
            <w:pPr>
              <w:pStyle w:val="TableParagraph"/>
              <w:spacing w:before="117"/>
              <w:ind w:left="102" w:right="99"/>
              <w:jc w:val="both"/>
              <w:rPr>
                <w:rFonts w:ascii="Times New Roman" w:eastAsia="Times New Roman" w:hAnsi="Times New Roman" w:cs="Times New Roman"/>
                <w:sz w:val="18"/>
                <w:szCs w:val="18"/>
              </w:rPr>
            </w:pPr>
          </w:p>
        </w:tc>
      </w:tr>
      <w:tr w:rsidR="00D67527" w:rsidRPr="00CF4E2F" w14:paraId="586236DB" w14:textId="77777777" w:rsidTr="00FE0FF1">
        <w:trPr>
          <w:trHeight w:val="304"/>
        </w:trPr>
        <w:tc>
          <w:tcPr>
            <w:tcW w:w="1418" w:type="dxa"/>
          </w:tcPr>
          <w:p w14:paraId="2A96DE09" w14:textId="1C1A5A79" w:rsidR="00D67527" w:rsidRPr="001A257C" w:rsidRDefault="00D6752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0050</w:t>
            </w:r>
          </w:p>
        </w:tc>
        <w:tc>
          <w:tcPr>
            <w:tcW w:w="7590" w:type="dxa"/>
          </w:tcPr>
          <w:p w14:paraId="1FB07547" w14:textId="61C6F52C" w:rsidR="00D67527" w:rsidRPr="00CF4E2F" w:rsidRDefault="00D67527"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1.1.1.2 encumbered </w:t>
            </w:r>
            <w:r w:rsidR="00FF64DD">
              <w:rPr>
                <w:rFonts w:ascii="Times New Roman"/>
                <w:b/>
                <w:sz w:val="18"/>
                <w:szCs w:val="18"/>
                <w:u w:val="thick" w:color="000000"/>
              </w:rPr>
              <w:t>for a residual maturity of at least six months but less than one year</w:t>
            </w:r>
          </w:p>
          <w:p w14:paraId="4F8FEF0C" w14:textId="6BA9E467" w:rsidR="00D67527" w:rsidRPr="00CF4E2F" w:rsidRDefault="00D67527" w:rsidP="009E245E">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1.1.1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p>
          <w:p w14:paraId="7E6DE11E" w14:textId="1047E339" w:rsidR="00D67527" w:rsidRPr="00CF4E2F" w:rsidRDefault="00D67527" w:rsidP="003022BA">
            <w:pPr>
              <w:pStyle w:val="TableParagraph"/>
              <w:ind w:left="102" w:right="99"/>
              <w:rPr>
                <w:rFonts w:ascii="Times New Roman" w:eastAsia="Times New Roman" w:hAnsi="Times New Roman" w:cs="Times New Roman"/>
                <w:sz w:val="18"/>
                <w:szCs w:val="18"/>
              </w:rPr>
            </w:pPr>
          </w:p>
        </w:tc>
      </w:tr>
      <w:tr w:rsidR="00D67527" w:rsidRPr="00CF4E2F" w14:paraId="669868A2" w14:textId="77777777" w:rsidTr="00FE0FF1">
        <w:trPr>
          <w:trHeight w:val="304"/>
        </w:trPr>
        <w:tc>
          <w:tcPr>
            <w:tcW w:w="1418" w:type="dxa"/>
          </w:tcPr>
          <w:p w14:paraId="02CA1CDE" w14:textId="4B0D9156" w:rsidR="00D67527" w:rsidRPr="001A257C" w:rsidRDefault="00D6752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0060</w:t>
            </w:r>
          </w:p>
        </w:tc>
        <w:tc>
          <w:tcPr>
            <w:tcW w:w="7590" w:type="dxa"/>
          </w:tcPr>
          <w:p w14:paraId="2EF87ED2" w14:textId="28B8894E" w:rsidR="00D67527" w:rsidRPr="00CF4E2F" w:rsidRDefault="00D67527"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1.1.1.3 encumbered for </w:t>
            </w:r>
            <w:r w:rsidR="00FF64DD">
              <w:rPr>
                <w:rFonts w:ascii="Times New Roman"/>
                <w:b/>
                <w:sz w:val="18"/>
                <w:szCs w:val="18"/>
                <w:u w:val="thick" w:color="000000"/>
              </w:rPr>
              <w:t>a residual maturity of one year or more</w:t>
            </w:r>
          </w:p>
          <w:p w14:paraId="0E260CD1" w14:textId="2FDAE19E" w:rsidR="00D67527" w:rsidRPr="00CF4E2F" w:rsidRDefault="00D67527" w:rsidP="009E245E">
            <w:pPr>
              <w:pStyle w:val="TableParagraph"/>
              <w:spacing w:before="120"/>
              <w:ind w:left="102" w:right="98"/>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1.1.1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1D4E7983" w14:textId="784795EC" w:rsidR="00D67527" w:rsidRPr="00CF4E2F" w:rsidRDefault="00D67527" w:rsidP="00B67345">
            <w:pPr>
              <w:pStyle w:val="TableParagraph"/>
              <w:tabs>
                <w:tab w:val="left" w:pos="2573"/>
              </w:tabs>
              <w:ind w:left="102" w:right="98"/>
              <w:jc w:val="both"/>
              <w:rPr>
                <w:rFonts w:ascii="Times New Roman" w:eastAsia="Times New Roman" w:hAnsi="Times New Roman" w:cs="Times New Roman"/>
                <w:sz w:val="18"/>
                <w:szCs w:val="18"/>
              </w:rPr>
            </w:pPr>
          </w:p>
        </w:tc>
      </w:tr>
      <w:tr w:rsidR="003A5275" w:rsidRPr="00CF4E2F" w14:paraId="58523919" w14:textId="77777777" w:rsidTr="00FE0FF1">
        <w:trPr>
          <w:trHeight w:val="304"/>
        </w:trPr>
        <w:tc>
          <w:tcPr>
            <w:tcW w:w="1418" w:type="dxa"/>
          </w:tcPr>
          <w:p w14:paraId="288C0E77" w14:textId="5D77FFEA" w:rsidR="003A5275"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0070</w:t>
            </w:r>
          </w:p>
        </w:tc>
        <w:tc>
          <w:tcPr>
            <w:tcW w:w="7590" w:type="dxa"/>
          </w:tcPr>
          <w:p w14:paraId="3B4CF06A" w14:textId="5F2D4A7B" w:rsidR="00890E95" w:rsidRPr="00CF4E2F" w:rsidRDefault="00890E95" w:rsidP="00890E95">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1.1.2 other non-HQLA central bank exposures</w:t>
            </w:r>
          </w:p>
          <w:p w14:paraId="1E9B706D" w14:textId="22658111" w:rsidR="00382036" w:rsidRPr="00CF4E2F" w:rsidRDefault="00890E95" w:rsidP="007132CD">
            <w:pPr>
              <w:pStyle w:val="TableParagraph"/>
              <w:spacing w:before="119"/>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w:t>
            </w:r>
            <w:r w:rsidR="00763FA8" w:rsidRPr="00CF4E2F">
              <w:rPr>
                <w:rFonts w:ascii="Times New Roman" w:eastAsia="Times New Roman" w:hAnsi="Times New Roman" w:cs="Times New Roman"/>
                <w:sz w:val="18"/>
                <w:szCs w:val="18"/>
              </w:rPr>
              <w:t xml:space="preserve"> shall report here</w:t>
            </w:r>
            <w:r w:rsidR="007132CD" w:rsidRPr="00CF4E2F">
              <w:rPr>
                <w:rFonts w:ascii="Times New Roman" w:eastAsia="Times New Roman" w:hAnsi="Times New Roman" w:cs="Times New Roman"/>
                <w:sz w:val="18"/>
                <w:szCs w:val="18"/>
              </w:rPr>
              <w:t xml:space="preserve"> any</w:t>
            </w:r>
            <w:r w:rsidR="00606A4D" w:rsidRPr="00CF4E2F">
              <w:rPr>
                <w:rFonts w:ascii="Times New Roman" w:eastAsia="Times New Roman" w:hAnsi="Times New Roman" w:cs="Times New Roman"/>
                <w:sz w:val="18"/>
                <w:szCs w:val="18"/>
              </w:rPr>
              <w:t xml:space="preserve"> other claims on central banks other </w:t>
            </w:r>
            <w:r w:rsidR="00CE6A66" w:rsidRPr="00CF4E2F">
              <w:rPr>
                <w:rFonts w:ascii="Times New Roman" w:eastAsia="Times New Roman" w:hAnsi="Times New Roman" w:cs="Times New Roman"/>
                <w:sz w:val="18"/>
                <w:szCs w:val="18"/>
              </w:rPr>
              <w:t>than</w:t>
            </w:r>
            <w:r w:rsidR="00606A4D" w:rsidRPr="00CF4E2F">
              <w:rPr>
                <w:rFonts w:ascii="Times New Roman" w:eastAsia="Times New Roman" w:hAnsi="Times New Roman" w:cs="Times New Roman"/>
                <w:sz w:val="18"/>
                <w:szCs w:val="18"/>
              </w:rPr>
              <w:t xml:space="preserve"> those reported in item 1.1.1.</w:t>
            </w:r>
          </w:p>
          <w:p w14:paraId="5DAD3189" w14:textId="0F278736" w:rsidR="003A5275" w:rsidRPr="00CF4E2F" w:rsidRDefault="003A5275" w:rsidP="003022BA">
            <w:pPr>
              <w:pStyle w:val="TableParagraph"/>
              <w:ind w:left="102" w:right="99"/>
              <w:jc w:val="both"/>
              <w:rPr>
                <w:rFonts w:ascii="Times New Roman" w:eastAsia="Times New Roman" w:hAnsi="Times New Roman" w:cs="Times New Roman"/>
                <w:sz w:val="18"/>
                <w:szCs w:val="18"/>
              </w:rPr>
            </w:pPr>
          </w:p>
        </w:tc>
      </w:tr>
      <w:tr w:rsidR="003A5275" w:rsidRPr="00CF4E2F" w14:paraId="5DA04254" w14:textId="77777777" w:rsidTr="00FE0FF1">
        <w:trPr>
          <w:trHeight w:val="304"/>
        </w:trPr>
        <w:tc>
          <w:tcPr>
            <w:tcW w:w="1418" w:type="dxa"/>
          </w:tcPr>
          <w:p w14:paraId="7BAA3A0C" w14:textId="05C1D137" w:rsidR="003A5275"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0080</w:t>
            </w:r>
          </w:p>
        </w:tc>
        <w:tc>
          <w:tcPr>
            <w:tcW w:w="7590" w:type="dxa"/>
          </w:tcPr>
          <w:p w14:paraId="32CC6338" w14:textId="7EBE856D" w:rsidR="00DE1538" w:rsidRPr="00CF4E2F" w:rsidRDefault="00DE1538" w:rsidP="00DE1538">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 RSF from liquid assets</w:t>
            </w:r>
          </w:p>
          <w:p w14:paraId="2F0A55EA" w14:textId="4A783387" w:rsidR="003A5275" w:rsidRPr="00CF4E2F" w:rsidRDefault="00263129" w:rsidP="00DE1538">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Article</w:t>
            </w:r>
            <w:r w:rsidR="005010CB">
              <w:rPr>
                <w:rFonts w:ascii="Times New Roman" w:eastAsia="Times New Roman" w:hAnsi="Times New Roman" w:cs="Times New Roman"/>
                <w:sz w:val="18"/>
                <w:szCs w:val="18"/>
              </w:rPr>
              <w:t>s</w:t>
            </w:r>
            <w:r w:rsidRPr="00CF4E2F">
              <w:rPr>
                <w:rFonts w:ascii="Times New Roman" w:eastAsia="Times New Roman" w:hAnsi="Times New Roman" w:cs="Times New Roman"/>
                <w:sz w:val="18"/>
                <w:szCs w:val="18"/>
              </w:rPr>
              <w:t xml:space="preserve"> </w:t>
            </w:r>
            <w:r w:rsidR="001F6F59">
              <w:rPr>
                <w:rFonts w:ascii="Times New Roman" w:eastAsia="Times New Roman" w:hAnsi="Times New Roman" w:cs="Times New Roman"/>
                <w:sz w:val="18"/>
                <w:szCs w:val="18"/>
              </w:rPr>
              <w:t>428r(1)(a) and (b)</w:t>
            </w:r>
            <w:r w:rsidR="00B5230B" w:rsidRPr="00CF4E2F">
              <w:rPr>
                <w:rFonts w:ascii="Times New Roman" w:eastAsia="Times New Roman" w:hAnsi="Times New Roman" w:cs="Times New Roman"/>
                <w:sz w:val="18"/>
                <w:szCs w:val="18"/>
              </w:rPr>
              <w:t xml:space="preserve"> to 428ae</w:t>
            </w:r>
            <w:r w:rsidR="003F1FD7" w:rsidRPr="00CF4E2F">
              <w:rPr>
                <w:sz w:val="18"/>
                <w:szCs w:val="18"/>
              </w:rPr>
              <w:t xml:space="preserve"> </w:t>
            </w:r>
            <w:r w:rsidR="003F1FD7" w:rsidRPr="00CF4E2F">
              <w:rPr>
                <w:rFonts w:ascii="Times New Roman" w:eastAsia="Times New Roman" w:hAnsi="Times New Roman" w:cs="Times New Roman"/>
                <w:sz w:val="18"/>
                <w:szCs w:val="18"/>
              </w:rPr>
              <w:t xml:space="preserve">of </w:t>
            </w:r>
            <w:r w:rsidR="00416B4D" w:rsidRPr="00CF4E2F">
              <w:rPr>
                <w:rFonts w:ascii="Times New Roman" w:eastAsia="Times New Roman" w:hAnsi="Times New Roman" w:cs="Times New Roman"/>
                <w:sz w:val="18"/>
                <w:szCs w:val="18"/>
              </w:rPr>
              <w:t>CRR</w:t>
            </w:r>
            <w:r w:rsidR="00E7638A">
              <w:rPr>
                <w:rFonts w:ascii="Times New Roman" w:eastAsia="Times New Roman" w:hAnsi="Times New Roman" w:cs="Times New Roman"/>
                <w:sz w:val="18"/>
                <w:szCs w:val="18"/>
              </w:rPr>
              <w:t>.</w:t>
            </w:r>
          </w:p>
          <w:p w14:paraId="0F5B0706" w14:textId="06E64E00" w:rsidR="00B5230B" w:rsidRPr="00CF4E2F" w:rsidRDefault="00CE112B" w:rsidP="00CE112B">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DE20BF">
              <w:rPr>
                <w:rFonts w:ascii="Times New Roman" w:eastAsia="Times New Roman" w:hAnsi="Times New Roman" w:cs="Times New Roman"/>
                <w:sz w:val="18"/>
                <w:szCs w:val="18"/>
              </w:rPr>
              <w:t xml:space="preserve">high-quality </w:t>
            </w:r>
            <w:r w:rsidRPr="00CF4E2F">
              <w:rPr>
                <w:rFonts w:ascii="Times New Roman" w:eastAsia="Times New Roman" w:hAnsi="Times New Roman" w:cs="Times New Roman"/>
                <w:sz w:val="18"/>
                <w:szCs w:val="18"/>
              </w:rPr>
              <w:t xml:space="preserve">liquid assets pursuant to </w:t>
            </w:r>
            <w:r w:rsidR="003B66BD" w:rsidRPr="00CF4E2F">
              <w:rPr>
                <w:rFonts w:ascii="Times New Roman" w:eastAsia="Times New Roman" w:hAnsi="Times New Roman" w:cs="Times New Roman"/>
                <w:sz w:val="18"/>
                <w:szCs w:val="18"/>
              </w:rPr>
              <w:t xml:space="preserve">Delegated </w:t>
            </w:r>
            <w:r w:rsidR="00CE6A6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00CE6A66">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regardless if they comply with the operational requirements </w:t>
            </w:r>
            <w:r w:rsidR="00CE6A66">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2DA2E7B8" w14:textId="09CCC2D4" w:rsidR="00382036" w:rsidRPr="00CF4E2F" w:rsidRDefault="00382036" w:rsidP="003022BA">
            <w:pPr>
              <w:pStyle w:val="TableParagraph"/>
              <w:ind w:left="102" w:right="100"/>
              <w:rPr>
                <w:rFonts w:ascii="Times New Roman" w:eastAsia="Times New Roman" w:hAnsi="Times New Roman" w:cs="Times New Roman"/>
                <w:sz w:val="18"/>
                <w:szCs w:val="18"/>
              </w:rPr>
            </w:pPr>
          </w:p>
        </w:tc>
      </w:tr>
      <w:tr w:rsidR="003A5275" w:rsidRPr="00CF4E2F" w14:paraId="394B29AE" w14:textId="77777777" w:rsidTr="00FE0FF1">
        <w:trPr>
          <w:trHeight w:val="304"/>
        </w:trPr>
        <w:tc>
          <w:tcPr>
            <w:tcW w:w="1418" w:type="dxa"/>
          </w:tcPr>
          <w:p w14:paraId="4BA2B570" w14:textId="357C5507" w:rsidR="003A5275"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0090</w:t>
            </w:r>
          </w:p>
        </w:tc>
        <w:tc>
          <w:tcPr>
            <w:tcW w:w="7590" w:type="dxa"/>
          </w:tcPr>
          <w:p w14:paraId="4B04C31C" w14:textId="3435F3EE" w:rsidR="00132212" w:rsidRPr="00CF4E2F" w:rsidRDefault="00132212" w:rsidP="00132212">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1.2.1 level 1 assets eligible for 0</w:t>
            </w:r>
            <w:r w:rsidR="007B3CB7" w:rsidRPr="00CF4E2F">
              <w:rPr>
                <w:rFonts w:ascii="Times New Roman"/>
                <w:b/>
                <w:sz w:val="18"/>
                <w:szCs w:val="18"/>
                <w:u w:val="thick" w:color="000000"/>
              </w:rPr>
              <w:t xml:space="preserve"> </w:t>
            </w:r>
            <w:r w:rsidRPr="00CF4E2F">
              <w:rPr>
                <w:rFonts w:ascii="Times New Roman"/>
                <w:b/>
                <w:sz w:val="18"/>
                <w:szCs w:val="18"/>
                <w:u w:val="thick" w:color="000000"/>
              </w:rPr>
              <w:t>% LCR haircut</w:t>
            </w:r>
          </w:p>
          <w:p w14:paraId="1F6CBAB6" w14:textId="26449438" w:rsidR="00445372" w:rsidRPr="00CF4E2F" w:rsidRDefault="00132212" w:rsidP="00132212">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assets that are eligible as level 1 high</w:t>
            </w:r>
            <w:r w:rsidR="00DE20BF">
              <w:rPr>
                <w:rFonts w:ascii="Times New Roman" w:eastAsia="Times New Roman" w:hAnsi="Times New Roman" w:cs="Times New Roman"/>
                <w:sz w:val="18"/>
                <w:szCs w:val="18"/>
              </w:rPr>
              <w:t>-</w:t>
            </w:r>
            <w:r w:rsidRPr="00CF4E2F">
              <w:rPr>
                <w:rFonts w:ascii="Times New Roman" w:eastAsia="Times New Roman" w:hAnsi="Times New Roman" w:cs="Times New Roman"/>
                <w:sz w:val="18"/>
                <w:szCs w:val="18"/>
              </w:rPr>
              <w:t xml:space="preserve">quality liquid assets </w:t>
            </w:r>
            <w:r w:rsidR="008C2EDA" w:rsidRPr="00CF4E2F">
              <w:rPr>
                <w:rFonts w:ascii="Times New Roman" w:eastAsia="Times New Roman" w:hAnsi="Times New Roman" w:cs="Times New Roman"/>
                <w:sz w:val="18"/>
                <w:szCs w:val="18"/>
              </w:rPr>
              <w:t>and shares or units in CIUs that are eligible for a 0</w:t>
            </w:r>
            <w:r w:rsidR="00731BFB" w:rsidRPr="00CF4E2F">
              <w:rPr>
                <w:rFonts w:ascii="Times New Roman" w:eastAsia="Times New Roman" w:hAnsi="Times New Roman" w:cs="Times New Roman"/>
                <w:sz w:val="18"/>
                <w:szCs w:val="18"/>
              </w:rPr>
              <w:t xml:space="preserve"> </w:t>
            </w:r>
            <w:r w:rsidR="008C2EDA" w:rsidRPr="00CF4E2F">
              <w:rPr>
                <w:rFonts w:ascii="Times New Roman" w:eastAsia="Times New Roman" w:hAnsi="Times New Roman" w:cs="Times New Roman"/>
                <w:sz w:val="18"/>
                <w:szCs w:val="18"/>
              </w:rPr>
              <w:t xml:space="preserve">% haircut </w:t>
            </w:r>
            <w:r w:rsidRPr="00CF4E2F">
              <w:rPr>
                <w:rFonts w:ascii="Times New Roman" w:eastAsia="Times New Roman" w:hAnsi="Times New Roman" w:cs="Times New Roman"/>
                <w:sz w:val="18"/>
                <w:szCs w:val="18"/>
              </w:rPr>
              <w:t xml:space="preserve">pursuant to </w:t>
            </w:r>
            <w:r w:rsidR="004A4872" w:rsidRPr="00CF4E2F">
              <w:rPr>
                <w:rFonts w:ascii="Times New Roman" w:eastAsia="Times New Roman" w:hAnsi="Times New Roman" w:cs="Times New Roman"/>
                <w:sz w:val="18"/>
                <w:szCs w:val="18"/>
              </w:rPr>
              <w:t>Delegated regulation (EU) 2015/61</w:t>
            </w:r>
            <w:r w:rsidRPr="00CF4E2F">
              <w:rPr>
                <w:rFonts w:ascii="Times New Roman" w:eastAsia="Times New Roman" w:hAnsi="Times New Roman" w:cs="Times New Roman"/>
                <w:sz w:val="18"/>
                <w:szCs w:val="18"/>
              </w:rPr>
              <w:t>.</w:t>
            </w:r>
          </w:p>
          <w:p w14:paraId="46305A6A" w14:textId="56B97AD0" w:rsidR="006968C6" w:rsidRPr="00CF4E2F" w:rsidRDefault="006968C6" w:rsidP="006968C6">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 xml:space="preserve">a residual maturity of one year or more </w:t>
            </w:r>
            <w:r w:rsidRPr="00CF4E2F">
              <w:rPr>
                <w:rFonts w:ascii="Times New Roman" w:eastAsia="Times New Roman" w:hAnsi="Times New Roman" w:cs="Times New Roman"/>
                <w:sz w:val="18"/>
                <w:szCs w:val="18"/>
              </w:rPr>
              <w:t>in a cover pool of a covered bond referred to in Article 52(4) of Directive 2009/65/EC or covered bond which meet the eligibility requirements for the treatment as set out in Article 129(4) or (5) of CRR, shall not be reported here, but in item 1.2.13.</w:t>
            </w:r>
          </w:p>
          <w:p w14:paraId="67D38967" w14:textId="456CA17C" w:rsidR="00382036" w:rsidRPr="00CF4E2F" w:rsidRDefault="00382036" w:rsidP="003022BA">
            <w:pPr>
              <w:pStyle w:val="TableParagraph"/>
              <w:ind w:left="102" w:right="101"/>
              <w:rPr>
                <w:rFonts w:ascii="Times New Roman" w:eastAsia="Times New Roman" w:hAnsi="Times New Roman" w:cs="Times New Roman"/>
                <w:sz w:val="18"/>
                <w:szCs w:val="18"/>
              </w:rPr>
            </w:pPr>
          </w:p>
        </w:tc>
      </w:tr>
      <w:tr w:rsidR="00AE5491" w:rsidRPr="00CF4E2F" w14:paraId="78792137" w14:textId="77777777" w:rsidTr="00FE0FF1">
        <w:trPr>
          <w:trHeight w:val="304"/>
        </w:trPr>
        <w:tc>
          <w:tcPr>
            <w:tcW w:w="1418" w:type="dxa"/>
          </w:tcPr>
          <w:p w14:paraId="0B6D00E8" w14:textId="7F46C807"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0100</w:t>
            </w:r>
          </w:p>
        </w:tc>
        <w:tc>
          <w:tcPr>
            <w:tcW w:w="7590" w:type="dxa"/>
          </w:tcPr>
          <w:p w14:paraId="4FEE1527" w14:textId="005D92BF"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1.2.1.1 unencumbered or encumbered </w:t>
            </w:r>
            <w:r w:rsidR="00FF64DD">
              <w:rPr>
                <w:rFonts w:ascii="Times New Roman"/>
                <w:b/>
                <w:sz w:val="18"/>
                <w:szCs w:val="18"/>
                <w:u w:val="thick" w:color="000000"/>
              </w:rPr>
              <w:t>for a residual maturity of less than six months</w:t>
            </w:r>
          </w:p>
          <w:p w14:paraId="7BAE66C9" w14:textId="2D55496C"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6FC8768E" w14:textId="53B65B6C"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57AB0AC5" w14:textId="77777777" w:rsidTr="00FE0FF1">
        <w:trPr>
          <w:trHeight w:val="304"/>
        </w:trPr>
        <w:tc>
          <w:tcPr>
            <w:tcW w:w="1418" w:type="dxa"/>
          </w:tcPr>
          <w:p w14:paraId="7215709D" w14:textId="7C898A75"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0110</w:t>
            </w:r>
          </w:p>
        </w:tc>
        <w:tc>
          <w:tcPr>
            <w:tcW w:w="7590" w:type="dxa"/>
          </w:tcPr>
          <w:p w14:paraId="1744334D" w14:textId="20D34E8E"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1.2.1.2 encumbered </w:t>
            </w:r>
            <w:r w:rsidR="00FF64DD">
              <w:rPr>
                <w:rFonts w:ascii="Times New Roman"/>
                <w:b/>
                <w:sz w:val="18"/>
                <w:szCs w:val="18"/>
                <w:u w:val="thick" w:color="000000"/>
              </w:rPr>
              <w:t>for a residual maturity of at least six months but less than one year</w:t>
            </w:r>
          </w:p>
          <w:p w14:paraId="2E70D442" w14:textId="790D5CCF"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3B8E2841" w14:textId="726C7CDC"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7D3A08A7" w14:textId="77777777" w:rsidTr="00FE0FF1">
        <w:trPr>
          <w:trHeight w:val="304"/>
        </w:trPr>
        <w:tc>
          <w:tcPr>
            <w:tcW w:w="1418" w:type="dxa"/>
          </w:tcPr>
          <w:p w14:paraId="2C71A30B" w14:textId="55D4C3D7"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0120</w:t>
            </w:r>
          </w:p>
        </w:tc>
        <w:tc>
          <w:tcPr>
            <w:tcW w:w="7590" w:type="dxa"/>
          </w:tcPr>
          <w:p w14:paraId="398BC62A" w14:textId="657954A8"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1.2.1.3 encumbered for </w:t>
            </w:r>
            <w:r w:rsidR="00FF64DD">
              <w:rPr>
                <w:rFonts w:ascii="Times New Roman"/>
                <w:b/>
                <w:sz w:val="18"/>
                <w:szCs w:val="18"/>
                <w:u w:val="thick" w:color="000000"/>
              </w:rPr>
              <w:t>a residual maturity of one year or more</w:t>
            </w:r>
          </w:p>
          <w:p w14:paraId="423DF919" w14:textId="0E619673"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1E88B2A4" w14:textId="06D30C47"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642E96" w:rsidRPr="00CF4E2F" w14:paraId="44852D57" w14:textId="77777777" w:rsidTr="00FE0FF1">
        <w:trPr>
          <w:trHeight w:val="304"/>
        </w:trPr>
        <w:tc>
          <w:tcPr>
            <w:tcW w:w="1418" w:type="dxa"/>
          </w:tcPr>
          <w:p w14:paraId="56379D2E" w14:textId="192B7273" w:rsidR="00642E96"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0130</w:t>
            </w:r>
          </w:p>
        </w:tc>
        <w:tc>
          <w:tcPr>
            <w:tcW w:w="7590" w:type="dxa"/>
          </w:tcPr>
          <w:p w14:paraId="2A16569E" w14:textId="3ED2B351" w:rsidR="006E4F3C" w:rsidRPr="00CF4E2F" w:rsidRDefault="006E4F3C" w:rsidP="006E4F3C">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1.2.2 level 1 assets eligible for 5</w:t>
            </w:r>
            <w:r w:rsidR="007B3CB7" w:rsidRPr="00CF4E2F">
              <w:rPr>
                <w:rFonts w:ascii="Times New Roman"/>
                <w:b/>
                <w:sz w:val="18"/>
                <w:szCs w:val="18"/>
                <w:u w:val="thick" w:color="000000"/>
              </w:rPr>
              <w:t xml:space="preserve"> </w:t>
            </w:r>
            <w:r w:rsidRPr="00CF4E2F">
              <w:rPr>
                <w:rFonts w:ascii="Times New Roman"/>
                <w:b/>
                <w:sz w:val="18"/>
                <w:szCs w:val="18"/>
                <w:u w:val="thick" w:color="000000"/>
              </w:rPr>
              <w:t>% LCR haircut</w:t>
            </w:r>
          </w:p>
          <w:p w14:paraId="26F25032" w14:textId="6D7ADE9A" w:rsidR="00642E96" w:rsidRPr="00CF4E2F" w:rsidRDefault="006E4F3C" w:rsidP="006E4F3C">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shares or units in CIUs that are eligible for a 5</w:t>
            </w:r>
            <w:r w:rsidR="00731BFB"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 haircut pursuant to </w:t>
            </w:r>
            <w:r w:rsidR="003B66BD" w:rsidRPr="00CF4E2F">
              <w:rPr>
                <w:rFonts w:ascii="Times New Roman" w:eastAsia="Times New Roman" w:hAnsi="Times New Roman" w:cs="Times New Roman"/>
                <w:sz w:val="18"/>
                <w:szCs w:val="18"/>
              </w:rPr>
              <w:t xml:space="preserve">Delegated </w:t>
            </w:r>
            <w:r w:rsidR="00CE6A6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6FE07871" w14:textId="2D66D9A5" w:rsidR="00AE5491" w:rsidRPr="00CF4E2F" w:rsidRDefault="00AE5491" w:rsidP="00AE5491">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2E95D124" w14:textId="4AA5D3E3" w:rsidR="00382036" w:rsidRPr="00CF4E2F" w:rsidRDefault="00382036" w:rsidP="003022BA">
            <w:pPr>
              <w:pStyle w:val="TableParagraph"/>
              <w:ind w:left="102" w:right="101"/>
              <w:rPr>
                <w:rFonts w:ascii="Times New Roman" w:eastAsia="Times New Roman" w:hAnsi="Times New Roman" w:cs="Times New Roman"/>
                <w:sz w:val="18"/>
                <w:szCs w:val="18"/>
              </w:rPr>
            </w:pPr>
          </w:p>
        </w:tc>
      </w:tr>
      <w:tr w:rsidR="00AE5491" w:rsidRPr="00CF4E2F" w14:paraId="18629A52" w14:textId="77777777" w:rsidTr="00FE0FF1">
        <w:trPr>
          <w:trHeight w:val="304"/>
        </w:trPr>
        <w:tc>
          <w:tcPr>
            <w:tcW w:w="1418" w:type="dxa"/>
          </w:tcPr>
          <w:p w14:paraId="3E1E5B8E" w14:textId="576F656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0140</w:t>
            </w:r>
          </w:p>
        </w:tc>
        <w:tc>
          <w:tcPr>
            <w:tcW w:w="7590" w:type="dxa"/>
          </w:tcPr>
          <w:p w14:paraId="1B02B025" w14:textId="7AB1ACA9"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1.2.2.1 unencumbered or encumbered </w:t>
            </w:r>
            <w:r w:rsidR="00FF64DD">
              <w:rPr>
                <w:rFonts w:ascii="Times New Roman"/>
                <w:b/>
                <w:sz w:val="18"/>
                <w:szCs w:val="18"/>
                <w:u w:val="thick" w:color="000000"/>
              </w:rPr>
              <w:t>for a residual maturity of less than six months</w:t>
            </w:r>
          </w:p>
          <w:p w14:paraId="512C2D7E" w14:textId="27A58692"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2DAB1C1F" w14:textId="54720F57"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514CBCFC" w14:textId="77777777" w:rsidTr="00FE0FF1">
        <w:trPr>
          <w:trHeight w:val="304"/>
        </w:trPr>
        <w:tc>
          <w:tcPr>
            <w:tcW w:w="1418" w:type="dxa"/>
          </w:tcPr>
          <w:p w14:paraId="21B822FE" w14:textId="5424EF41"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0150</w:t>
            </w:r>
          </w:p>
        </w:tc>
        <w:tc>
          <w:tcPr>
            <w:tcW w:w="7590" w:type="dxa"/>
          </w:tcPr>
          <w:p w14:paraId="26DA2181" w14:textId="0D39C45C"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1.2.2.2 encumbered </w:t>
            </w:r>
            <w:r w:rsidR="00FF64DD">
              <w:rPr>
                <w:rFonts w:ascii="Times New Roman"/>
                <w:b/>
                <w:sz w:val="18"/>
                <w:szCs w:val="18"/>
                <w:u w:val="thick" w:color="000000"/>
              </w:rPr>
              <w:t>for a residual maturity of at least six months but less than one year</w:t>
            </w:r>
          </w:p>
          <w:p w14:paraId="19440677" w14:textId="4D883CC3"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30233248" w14:textId="3C5A3480"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0F7CB14B" w14:textId="77777777" w:rsidTr="00FE0FF1">
        <w:trPr>
          <w:trHeight w:val="304"/>
        </w:trPr>
        <w:tc>
          <w:tcPr>
            <w:tcW w:w="1418" w:type="dxa"/>
          </w:tcPr>
          <w:p w14:paraId="7307E0DC" w14:textId="4A952A0C"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0160</w:t>
            </w:r>
          </w:p>
        </w:tc>
        <w:tc>
          <w:tcPr>
            <w:tcW w:w="7590" w:type="dxa"/>
          </w:tcPr>
          <w:p w14:paraId="61B8CA56" w14:textId="7C2EC5B9"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1.2.2.3 encumbered for </w:t>
            </w:r>
            <w:r w:rsidR="00FF64DD">
              <w:rPr>
                <w:rFonts w:ascii="Times New Roman"/>
                <w:b/>
                <w:sz w:val="18"/>
                <w:szCs w:val="18"/>
                <w:u w:val="thick" w:color="000000"/>
              </w:rPr>
              <w:t>a residual maturity of one year or more</w:t>
            </w:r>
          </w:p>
          <w:p w14:paraId="09372D8C" w14:textId="65631D3E"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104A5A73" w14:textId="131B0D88"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B23E12" w:rsidRPr="00CF4E2F" w14:paraId="4656C454" w14:textId="77777777" w:rsidTr="00FE0FF1">
        <w:trPr>
          <w:trHeight w:val="304"/>
        </w:trPr>
        <w:tc>
          <w:tcPr>
            <w:tcW w:w="1418" w:type="dxa"/>
          </w:tcPr>
          <w:p w14:paraId="4071F8B9" w14:textId="01CDB4B3" w:rsidR="00B23E12"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0170</w:t>
            </w:r>
          </w:p>
        </w:tc>
        <w:tc>
          <w:tcPr>
            <w:tcW w:w="7590" w:type="dxa"/>
          </w:tcPr>
          <w:p w14:paraId="1EB6DF6A" w14:textId="4275DE01" w:rsidR="00B23E12" w:rsidRPr="00CF4E2F" w:rsidRDefault="00B23E12"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1.2.3 level 1 assets eligible for 7</w:t>
            </w:r>
            <w:r w:rsidR="007B3CB7" w:rsidRPr="00CF4E2F">
              <w:rPr>
                <w:rFonts w:ascii="Times New Roman"/>
                <w:b/>
                <w:sz w:val="18"/>
                <w:szCs w:val="18"/>
                <w:u w:val="thick" w:color="000000"/>
              </w:rPr>
              <w:t xml:space="preserve"> </w:t>
            </w:r>
            <w:r w:rsidRPr="00CF4E2F">
              <w:rPr>
                <w:rFonts w:ascii="Times New Roman"/>
                <w:b/>
                <w:sz w:val="18"/>
                <w:szCs w:val="18"/>
                <w:u w:val="thick" w:color="000000"/>
              </w:rPr>
              <w:t>% LCR haircut</w:t>
            </w:r>
          </w:p>
          <w:p w14:paraId="096691E3" w14:textId="79455A00" w:rsidR="00B23E12" w:rsidRPr="00CF4E2F" w:rsidRDefault="00B23E12" w:rsidP="003B66BD">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assets that are eligible as level 1 extremely high quality covered bonds 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p>
          <w:p w14:paraId="00CF4A44" w14:textId="073B5C01" w:rsidR="00AE5491" w:rsidRPr="00CF4E2F" w:rsidRDefault="00AE5491" w:rsidP="00AE5491">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6F5FB95B" w14:textId="4B04FEC4" w:rsidR="00382036" w:rsidRPr="00CF4E2F" w:rsidRDefault="00382036" w:rsidP="003022BA">
            <w:pPr>
              <w:pStyle w:val="TableParagraph"/>
              <w:ind w:left="102" w:right="101"/>
              <w:rPr>
                <w:rFonts w:ascii="Times New Roman" w:eastAsia="Times New Roman" w:hAnsi="Times New Roman" w:cs="Times New Roman"/>
                <w:sz w:val="18"/>
                <w:szCs w:val="18"/>
              </w:rPr>
            </w:pPr>
          </w:p>
        </w:tc>
      </w:tr>
      <w:tr w:rsidR="00AE5491" w:rsidRPr="00CF4E2F" w14:paraId="5240DD00" w14:textId="77777777" w:rsidTr="00FE0FF1">
        <w:trPr>
          <w:trHeight w:val="304"/>
        </w:trPr>
        <w:tc>
          <w:tcPr>
            <w:tcW w:w="1418" w:type="dxa"/>
          </w:tcPr>
          <w:p w14:paraId="0B236E44" w14:textId="6708E587"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0180</w:t>
            </w:r>
          </w:p>
        </w:tc>
        <w:tc>
          <w:tcPr>
            <w:tcW w:w="7590" w:type="dxa"/>
          </w:tcPr>
          <w:p w14:paraId="51A099BC" w14:textId="29645547"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1.2.3.1 unencumbered or encumbered </w:t>
            </w:r>
            <w:r w:rsidR="00FF64DD">
              <w:rPr>
                <w:rFonts w:ascii="Times New Roman"/>
                <w:b/>
                <w:sz w:val="18"/>
                <w:szCs w:val="18"/>
                <w:u w:val="thick" w:color="000000"/>
              </w:rPr>
              <w:t>for a residual maturity of less than six months</w:t>
            </w:r>
          </w:p>
          <w:p w14:paraId="1936AAE0" w14:textId="3588EFA8"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1.2.3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6949E0C5" w14:textId="4AB73255"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4594696B" w14:textId="77777777" w:rsidTr="00FE0FF1">
        <w:trPr>
          <w:trHeight w:val="304"/>
        </w:trPr>
        <w:tc>
          <w:tcPr>
            <w:tcW w:w="1418" w:type="dxa"/>
          </w:tcPr>
          <w:p w14:paraId="4B1C7907" w14:textId="127A1A30"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0190</w:t>
            </w:r>
          </w:p>
        </w:tc>
        <w:tc>
          <w:tcPr>
            <w:tcW w:w="7590" w:type="dxa"/>
          </w:tcPr>
          <w:p w14:paraId="61460FB1" w14:textId="09283D11"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1.2.3.2 encumbered </w:t>
            </w:r>
            <w:r w:rsidR="00FF64DD">
              <w:rPr>
                <w:rFonts w:ascii="Times New Roman"/>
                <w:b/>
                <w:sz w:val="18"/>
                <w:szCs w:val="18"/>
                <w:u w:val="thick" w:color="000000"/>
              </w:rPr>
              <w:t>for a residual maturity of at least six months but less than one year</w:t>
            </w:r>
          </w:p>
          <w:p w14:paraId="57D4DB9B" w14:textId="33B07BC0"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1.2.3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1E5BDF5B" w14:textId="0A4EA4DD"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2075996C" w14:textId="77777777" w:rsidTr="00FE0FF1">
        <w:trPr>
          <w:trHeight w:val="304"/>
        </w:trPr>
        <w:tc>
          <w:tcPr>
            <w:tcW w:w="1418" w:type="dxa"/>
          </w:tcPr>
          <w:p w14:paraId="0D134ACC" w14:textId="13A27113"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0200</w:t>
            </w:r>
          </w:p>
        </w:tc>
        <w:tc>
          <w:tcPr>
            <w:tcW w:w="7590" w:type="dxa"/>
          </w:tcPr>
          <w:p w14:paraId="1BF9AF23" w14:textId="67BB7876"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1.2.3.3 encumbered for </w:t>
            </w:r>
            <w:r w:rsidR="00FF64DD">
              <w:rPr>
                <w:rFonts w:ascii="Times New Roman"/>
                <w:b/>
                <w:sz w:val="18"/>
                <w:szCs w:val="18"/>
                <w:u w:val="thick" w:color="000000"/>
              </w:rPr>
              <w:t>a residual maturity of one year or more</w:t>
            </w:r>
          </w:p>
          <w:p w14:paraId="54C0A5C9" w14:textId="5D3D08ED"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1.2.3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382938D2" w14:textId="7B1B83FD"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32303F06" w14:textId="77777777" w:rsidTr="00FE0FF1">
        <w:trPr>
          <w:trHeight w:val="304"/>
        </w:trPr>
        <w:tc>
          <w:tcPr>
            <w:tcW w:w="1418" w:type="dxa"/>
          </w:tcPr>
          <w:p w14:paraId="63EE276E" w14:textId="41A0130B"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0210</w:t>
            </w:r>
          </w:p>
        </w:tc>
        <w:tc>
          <w:tcPr>
            <w:tcW w:w="7590" w:type="dxa"/>
          </w:tcPr>
          <w:p w14:paraId="6F6D9371" w14:textId="77777777" w:rsidR="00AE5491" w:rsidRPr="00CF4E2F" w:rsidRDefault="00AE5491" w:rsidP="009E245E">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1.2.4 level 1 assets eligible for 12 % LCR haircut</w:t>
            </w:r>
          </w:p>
          <w:p w14:paraId="59BE4DC9" w14:textId="7DA78180"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shares or units in CIUs that are eligible for a 12 % haircut pursuant to Delegated </w:t>
            </w:r>
            <w:r>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egulation (EU) 2015/61.</w:t>
            </w:r>
          </w:p>
          <w:p w14:paraId="74BAFBE5" w14:textId="700B401D"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426B873E" w14:textId="5B03E3C7"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30EA2316" w14:textId="77777777" w:rsidTr="00FE0FF1">
        <w:trPr>
          <w:trHeight w:val="304"/>
        </w:trPr>
        <w:tc>
          <w:tcPr>
            <w:tcW w:w="1418" w:type="dxa"/>
          </w:tcPr>
          <w:p w14:paraId="1AFFD110" w14:textId="0FFFC4BD"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0220</w:t>
            </w:r>
          </w:p>
        </w:tc>
        <w:tc>
          <w:tcPr>
            <w:tcW w:w="7590" w:type="dxa"/>
          </w:tcPr>
          <w:p w14:paraId="15256FD2" w14:textId="1E09250E"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1.2.4.1 unencumbered or encumbered </w:t>
            </w:r>
            <w:r w:rsidR="00FF64DD">
              <w:rPr>
                <w:rFonts w:ascii="Times New Roman"/>
                <w:b/>
                <w:sz w:val="18"/>
                <w:szCs w:val="18"/>
                <w:u w:val="thick" w:color="000000"/>
              </w:rPr>
              <w:t>for a residual maturity of less than six months</w:t>
            </w:r>
          </w:p>
          <w:p w14:paraId="583F8FD9" w14:textId="3073434B"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1.2.4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6304241C" w14:textId="7F3BEE4F"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18DB88F0" w14:textId="77777777" w:rsidTr="00FE0FF1">
        <w:trPr>
          <w:trHeight w:val="304"/>
        </w:trPr>
        <w:tc>
          <w:tcPr>
            <w:tcW w:w="1418" w:type="dxa"/>
          </w:tcPr>
          <w:p w14:paraId="704C510D" w14:textId="1806B11F"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0230</w:t>
            </w:r>
          </w:p>
        </w:tc>
        <w:tc>
          <w:tcPr>
            <w:tcW w:w="7590" w:type="dxa"/>
          </w:tcPr>
          <w:p w14:paraId="197E5964" w14:textId="5FDF49EC"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1.2.4.2 encumbered </w:t>
            </w:r>
            <w:r w:rsidR="00FF64DD">
              <w:rPr>
                <w:rFonts w:ascii="Times New Roman"/>
                <w:b/>
                <w:sz w:val="18"/>
                <w:szCs w:val="18"/>
                <w:u w:val="thick" w:color="000000"/>
              </w:rPr>
              <w:t>for a residual maturity of at least six months but less than one year</w:t>
            </w:r>
          </w:p>
          <w:p w14:paraId="1F3817D7" w14:textId="421650E7"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1.2.4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3ACE568F" w14:textId="0EA795CE"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575F159B" w14:textId="77777777" w:rsidTr="00FE0FF1">
        <w:trPr>
          <w:trHeight w:val="304"/>
        </w:trPr>
        <w:tc>
          <w:tcPr>
            <w:tcW w:w="1418" w:type="dxa"/>
          </w:tcPr>
          <w:p w14:paraId="0720FBC0" w14:textId="34318AFD"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0240</w:t>
            </w:r>
          </w:p>
        </w:tc>
        <w:tc>
          <w:tcPr>
            <w:tcW w:w="7590" w:type="dxa"/>
          </w:tcPr>
          <w:p w14:paraId="45F743A9" w14:textId="1423D9A6"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1.2.4.3 encumbered for </w:t>
            </w:r>
            <w:r w:rsidR="00FF64DD">
              <w:rPr>
                <w:rFonts w:ascii="Times New Roman"/>
                <w:b/>
                <w:sz w:val="18"/>
                <w:szCs w:val="18"/>
                <w:u w:val="thick" w:color="000000"/>
              </w:rPr>
              <w:t>a residual maturity of one year or more</w:t>
            </w:r>
          </w:p>
          <w:p w14:paraId="39EB78D8" w14:textId="0BA2777C"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1.2.4 that is 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1766A1EF" w14:textId="7EBBFA92"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7B3CB7" w:rsidRPr="00CF4E2F" w14:paraId="106F8D9B" w14:textId="77777777" w:rsidTr="00FE0FF1">
        <w:trPr>
          <w:trHeight w:val="304"/>
        </w:trPr>
        <w:tc>
          <w:tcPr>
            <w:tcW w:w="1418" w:type="dxa"/>
          </w:tcPr>
          <w:p w14:paraId="52924DF2" w14:textId="23C71B5A" w:rsidR="007B3CB7"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0250</w:t>
            </w:r>
          </w:p>
        </w:tc>
        <w:tc>
          <w:tcPr>
            <w:tcW w:w="7590" w:type="dxa"/>
          </w:tcPr>
          <w:p w14:paraId="5BD26410" w14:textId="7243ED20" w:rsidR="007B3CB7" w:rsidRPr="00CF4E2F" w:rsidRDefault="007B3CB7"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 xml:space="preserve">1.2.5 </w:t>
            </w:r>
            <w:r w:rsidR="00DD7A4A" w:rsidRPr="00CF4E2F">
              <w:rPr>
                <w:rFonts w:ascii="Times New Roman"/>
                <w:b/>
                <w:sz w:val="18"/>
                <w:szCs w:val="18"/>
                <w:u w:val="thick" w:color="000000"/>
              </w:rPr>
              <w:t>level 2A</w:t>
            </w:r>
            <w:r w:rsidRPr="00CF4E2F">
              <w:rPr>
                <w:rFonts w:ascii="Times New Roman"/>
                <w:b/>
                <w:sz w:val="18"/>
                <w:szCs w:val="18"/>
                <w:u w:val="thick" w:color="000000"/>
              </w:rPr>
              <w:t xml:space="preserve"> assets eligible for 15 % LCR haircut</w:t>
            </w:r>
          </w:p>
          <w:p w14:paraId="1032C305" w14:textId="575B8DD3" w:rsidR="007B3CB7" w:rsidRPr="00CF4E2F" w:rsidRDefault="007B3CB7" w:rsidP="00A2403B">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A2403B" w:rsidRPr="00CF4E2F">
              <w:rPr>
                <w:rFonts w:ascii="Times New Roman" w:eastAsia="Times New Roman" w:hAnsi="Times New Roman" w:cs="Times New Roman"/>
                <w:sz w:val="18"/>
                <w:szCs w:val="18"/>
              </w:rPr>
              <w:t>assets</w:t>
            </w:r>
            <w:r w:rsidRPr="00CF4E2F">
              <w:rPr>
                <w:rFonts w:ascii="Times New Roman" w:eastAsia="Times New Roman" w:hAnsi="Times New Roman" w:cs="Times New Roman"/>
                <w:sz w:val="18"/>
                <w:szCs w:val="18"/>
              </w:rPr>
              <w:t xml:space="preserve"> that are el</w:t>
            </w:r>
            <w:r w:rsidR="00A2403B" w:rsidRPr="00CF4E2F">
              <w:rPr>
                <w:rFonts w:ascii="Times New Roman" w:eastAsia="Times New Roman" w:hAnsi="Times New Roman" w:cs="Times New Roman"/>
                <w:sz w:val="18"/>
                <w:szCs w:val="18"/>
              </w:rPr>
              <w:t xml:space="preserve">igible as Level 2A assets </w:t>
            </w:r>
            <w:r w:rsidRPr="00CF4E2F">
              <w:rPr>
                <w:rFonts w:ascii="Times New Roman" w:eastAsia="Times New Roman" w:hAnsi="Times New Roman" w:cs="Times New Roman"/>
                <w:sz w:val="18"/>
                <w:szCs w:val="18"/>
              </w:rPr>
              <w:t xml:space="preserve">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0B54CC9B" w14:textId="513795B7" w:rsidR="00AE5491" w:rsidRPr="00CF4E2F" w:rsidRDefault="00AE5491" w:rsidP="00AE5491">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51C512D0" w14:textId="5C5EDE80" w:rsidR="00382036" w:rsidRPr="00CF4E2F" w:rsidRDefault="00382036" w:rsidP="003022BA">
            <w:pPr>
              <w:pStyle w:val="TableParagraph"/>
              <w:ind w:left="102" w:right="101"/>
              <w:rPr>
                <w:rFonts w:ascii="Times New Roman" w:eastAsia="Times New Roman" w:hAnsi="Times New Roman" w:cs="Times New Roman"/>
                <w:sz w:val="18"/>
                <w:szCs w:val="18"/>
              </w:rPr>
            </w:pPr>
          </w:p>
        </w:tc>
      </w:tr>
      <w:tr w:rsidR="00AE5491" w:rsidRPr="00CF4E2F" w14:paraId="02C98116" w14:textId="77777777" w:rsidTr="00FE0FF1">
        <w:trPr>
          <w:trHeight w:val="304"/>
        </w:trPr>
        <w:tc>
          <w:tcPr>
            <w:tcW w:w="1418" w:type="dxa"/>
          </w:tcPr>
          <w:p w14:paraId="36F48ACA" w14:textId="4812ECEA"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0260</w:t>
            </w:r>
          </w:p>
        </w:tc>
        <w:tc>
          <w:tcPr>
            <w:tcW w:w="7590" w:type="dxa"/>
          </w:tcPr>
          <w:p w14:paraId="3117BBC3" w14:textId="3E6172E5"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1.2.5.1 unencumbered or encumbered </w:t>
            </w:r>
            <w:r w:rsidR="00FF64DD">
              <w:rPr>
                <w:rFonts w:ascii="Times New Roman"/>
                <w:b/>
                <w:sz w:val="18"/>
                <w:szCs w:val="18"/>
                <w:u w:val="thick" w:color="000000"/>
              </w:rPr>
              <w:t>for a residual maturity of less than six months</w:t>
            </w:r>
          </w:p>
          <w:p w14:paraId="768AE50E" w14:textId="0FD130C2" w:rsidR="00AE5491" w:rsidRPr="00CF4E2F" w:rsidRDefault="00AE5491" w:rsidP="009E245E">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5E7D2A38" w14:textId="38ED1D3F" w:rsidR="00AE5491" w:rsidRPr="00CF4E2F" w:rsidRDefault="00AE5491" w:rsidP="003022BA">
            <w:pPr>
              <w:pStyle w:val="TableParagraph"/>
              <w:ind w:left="102" w:right="101"/>
              <w:rPr>
                <w:rFonts w:ascii="Times New Roman" w:eastAsia="Times New Roman" w:hAnsi="Times New Roman" w:cs="Times New Roman"/>
                <w:sz w:val="18"/>
                <w:szCs w:val="18"/>
              </w:rPr>
            </w:pPr>
          </w:p>
        </w:tc>
      </w:tr>
      <w:tr w:rsidR="00AE5491" w:rsidRPr="00CF4E2F" w14:paraId="323A666E" w14:textId="77777777" w:rsidTr="00FE0FF1">
        <w:trPr>
          <w:trHeight w:val="304"/>
        </w:trPr>
        <w:tc>
          <w:tcPr>
            <w:tcW w:w="1418" w:type="dxa"/>
          </w:tcPr>
          <w:p w14:paraId="1690CAB4" w14:textId="5F92BB8A"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0270</w:t>
            </w:r>
          </w:p>
        </w:tc>
        <w:tc>
          <w:tcPr>
            <w:tcW w:w="7590" w:type="dxa"/>
          </w:tcPr>
          <w:p w14:paraId="49823349" w14:textId="3B81A0DF"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1.2.5.2 encumbered </w:t>
            </w:r>
            <w:r w:rsidR="00FF64DD">
              <w:rPr>
                <w:rFonts w:ascii="Times New Roman"/>
                <w:b/>
                <w:sz w:val="18"/>
                <w:szCs w:val="18"/>
                <w:u w:val="thick" w:color="000000"/>
              </w:rPr>
              <w:t>for a residual maturity of at least six months but less than one year</w:t>
            </w:r>
          </w:p>
          <w:p w14:paraId="22F65243" w14:textId="1F33E8FD"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that is 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4BBD24D2" w14:textId="10FCBDE6"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03FD70CF" w14:textId="77777777" w:rsidTr="00FE0FF1">
        <w:trPr>
          <w:trHeight w:val="304"/>
        </w:trPr>
        <w:tc>
          <w:tcPr>
            <w:tcW w:w="1418" w:type="dxa"/>
          </w:tcPr>
          <w:p w14:paraId="2D73C92F" w14:textId="3DF043C5"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0280</w:t>
            </w:r>
          </w:p>
        </w:tc>
        <w:tc>
          <w:tcPr>
            <w:tcW w:w="7590" w:type="dxa"/>
          </w:tcPr>
          <w:p w14:paraId="5EBE868A" w14:textId="77055124"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1.2.5.3 encumbered for </w:t>
            </w:r>
            <w:r w:rsidR="00FF64DD">
              <w:rPr>
                <w:rFonts w:ascii="Times New Roman"/>
                <w:b/>
                <w:sz w:val="18"/>
                <w:szCs w:val="18"/>
                <w:u w:val="thick" w:color="000000"/>
              </w:rPr>
              <w:t>a residual maturity of one year or more</w:t>
            </w:r>
          </w:p>
          <w:p w14:paraId="4E3C50CC" w14:textId="0AD1FB47"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4DF9D216" w14:textId="06196819" w:rsidR="00AE5491" w:rsidRPr="00CF4E2F" w:rsidRDefault="00AE5491" w:rsidP="003022BA">
            <w:pPr>
              <w:pStyle w:val="TableParagraph"/>
              <w:ind w:left="102" w:right="99"/>
              <w:jc w:val="both"/>
              <w:rPr>
                <w:rFonts w:ascii="Times New Roman"/>
                <w:b/>
                <w:sz w:val="18"/>
                <w:szCs w:val="18"/>
                <w:u w:val="thick" w:color="000000"/>
              </w:rPr>
            </w:pPr>
          </w:p>
        </w:tc>
      </w:tr>
      <w:tr w:rsidR="00A2403B" w:rsidRPr="00CF4E2F" w14:paraId="23053E2C" w14:textId="77777777" w:rsidTr="00FE0FF1">
        <w:trPr>
          <w:trHeight w:val="304"/>
        </w:trPr>
        <w:tc>
          <w:tcPr>
            <w:tcW w:w="1418" w:type="dxa"/>
          </w:tcPr>
          <w:p w14:paraId="4267819C" w14:textId="7C8A81D7" w:rsidR="00A2403B"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0290</w:t>
            </w:r>
          </w:p>
        </w:tc>
        <w:tc>
          <w:tcPr>
            <w:tcW w:w="7590" w:type="dxa"/>
          </w:tcPr>
          <w:p w14:paraId="4DF13FBC" w14:textId="0581F098" w:rsidR="00A2403B" w:rsidRPr="00CF4E2F" w:rsidRDefault="00A2403B"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 xml:space="preserve">1.2.6 </w:t>
            </w:r>
            <w:r w:rsidR="00DD7A4A" w:rsidRPr="00CF4E2F">
              <w:rPr>
                <w:rFonts w:ascii="Times New Roman"/>
                <w:b/>
                <w:sz w:val="18"/>
                <w:szCs w:val="18"/>
                <w:u w:val="thick" w:color="000000"/>
              </w:rPr>
              <w:t>level 2A</w:t>
            </w:r>
            <w:r w:rsidRPr="00CF4E2F">
              <w:rPr>
                <w:rFonts w:ascii="Times New Roman"/>
                <w:b/>
                <w:sz w:val="18"/>
                <w:szCs w:val="18"/>
                <w:u w:val="thick" w:color="000000"/>
              </w:rPr>
              <w:t xml:space="preserve"> assets eligible for 20 % LCR haircut</w:t>
            </w:r>
          </w:p>
          <w:p w14:paraId="10BEA040" w14:textId="07193990" w:rsidR="00A2403B" w:rsidRPr="00CF4E2F" w:rsidRDefault="00A2403B" w:rsidP="0045208D">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shares or units in CIUs that are eligible for a 20 % haircut 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34536C8D" w14:textId="5649C942"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17E40E4C" w14:textId="00067BA8" w:rsidR="00382036" w:rsidRPr="00CF4E2F" w:rsidRDefault="00382036" w:rsidP="003022BA">
            <w:pPr>
              <w:pStyle w:val="TableParagraph"/>
              <w:ind w:left="102" w:right="99"/>
              <w:jc w:val="both"/>
              <w:rPr>
                <w:rFonts w:ascii="Times New Roman"/>
                <w:b/>
                <w:sz w:val="18"/>
                <w:szCs w:val="18"/>
                <w:u w:val="thick" w:color="000000"/>
              </w:rPr>
            </w:pPr>
          </w:p>
        </w:tc>
      </w:tr>
      <w:tr w:rsidR="00AE5491" w:rsidRPr="00CF4E2F" w14:paraId="6E587B53" w14:textId="77777777" w:rsidTr="00FE0FF1">
        <w:trPr>
          <w:trHeight w:val="304"/>
        </w:trPr>
        <w:tc>
          <w:tcPr>
            <w:tcW w:w="1418" w:type="dxa"/>
          </w:tcPr>
          <w:p w14:paraId="064C7E78" w14:textId="7003ACCA"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0300</w:t>
            </w:r>
          </w:p>
        </w:tc>
        <w:tc>
          <w:tcPr>
            <w:tcW w:w="7590" w:type="dxa"/>
          </w:tcPr>
          <w:p w14:paraId="09F96667" w14:textId="7AD4E4DD"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1.2.6.1 unencumbered or encumbered </w:t>
            </w:r>
            <w:r w:rsidR="00FF64DD">
              <w:rPr>
                <w:rFonts w:ascii="Times New Roman"/>
                <w:b/>
                <w:sz w:val="18"/>
                <w:szCs w:val="18"/>
                <w:u w:val="thick" w:color="000000"/>
              </w:rPr>
              <w:t>for a residual maturity of less than six months</w:t>
            </w:r>
          </w:p>
          <w:p w14:paraId="3FDA443A" w14:textId="50B9F834" w:rsidR="00AE5491" w:rsidRPr="00CF4E2F" w:rsidRDefault="00AE5491" w:rsidP="009E245E">
            <w:pPr>
              <w:pStyle w:val="TableParagraph"/>
              <w:spacing w:before="119"/>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1.2.6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3F9C6842" w14:textId="7CDACB0A" w:rsidR="00AE5491" w:rsidRPr="00CF4E2F" w:rsidRDefault="00AE5491" w:rsidP="003022BA">
            <w:pPr>
              <w:pStyle w:val="TableParagraph"/>
              <w:ind w:left="102"/>
              <w:rPr>
                <w:rFonts w:ascii="Times New Roman"/>
                <w:b/>
                <w:sz w:val="18"/>
                <w:szCs w:val="18"/>
                <w:u w:val="thick" w:color="000000"/>
              </w:rPr>
            </w:pPr>
          </w:p>
        </w:tc>
      </w:tr>
      <w:tr w:rsidR="00AE5491" w:rsidRPr="00CF4E2F" w14:paraId="7BB55F26" w14:textId="77777777" w:rsidTr="00FE0FF1">
        <w:trPr>
          <w:trHeight w:val="304"/>
        </w:trPr>
        <w:tc>
          <w:tcPr>
            <w:tcW w:w="1418" w:type="dxa"/>
          </w:tcPr>
          <w:p w14:paraId="74B6BCAA" w14:textId="7FDF2B5F"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0310</w:t>
            </w:r>
          </w:p>
        </w:tc>
        <w:tc>
          <w:tcPr>
            <w:tcW w:w="7590" w:type="dxa"/>
          </w:tcPr>
          <w:p w14:paraId="250FB978" w14:textId="545CFE66"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1.2.6.2 encumbered </w:t>
            </w:r>
            <w:r w:rsidR="00FF64DD">
              <w:rPr>
                <w:rFonts w:ascii="Times New Roman"/>
                <w:b/>
                <w:sz w:val="18"/>
                <w:szCs w:val="18"/>
                <w:u w:val="thick" w:color="000000"/>
              </w:rPr>
              <w:t>for a residual maturity of at least six months but less than one year</w:t>
            </w:r>
          </w:p>
          <w:p w14:paraId="674AEC62" w14:textId="59C4D86B"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1.2.6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2170B3FB" w14:textId="31AC27E4"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341DE8F3" w14:textId="77777777" w:rsidTr="00FE0FF1">
        <w:trPr>
          <w:trHeight w:val="304"/>
        </w:trPr>
        <w:tc>
          <w:tcPr>
            <w:tcW w:w="1418" w:type="dxa"/>
          </w:tcPr>
          <w:p w14:paraId="44B4C4FF" w14:textId="619C4040"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0320</w:t>
            </w:r>
          </w:p>
        </w:tc>
        <w:tc>
          <w:tcPr>
            <w:tcW w:w="7590" w:type="dxa"/>
          </w:tcPr>
          <w:p w14:paraId="405B69DB" w14:textId="0E9882AC"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1.2.6.3 encumbered for </w:t>
            </w:r>
            <w:r w:rsidR="00FF64DD">
              <w:rPr>
                <w:rFonts w:ascii="Times New Roman"/>
                <w:b/>
                <w:sz w:val="18"/>
                <w:szCs w:val="18"/>
                <w:u w:val="thick" w:color="000000"/>
              </w:rPr>
              <w:t>a residual maturity of one year or more</w:t>
            </w:r>
          </w:p>
          <w:p w14:paraId="0DF8D2E0" w14:textId="2A4AF9E7"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1.2.6 that is </w:t>
            </w:r>
            <w:r w:rsidR="008325DA">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sidR="008325DA">
              <w:rPr>
                <w:rFonts w:ascii="Times New Roman" w:eastAsia="Times New Roman" w:hAnsi="Times New Roman" w:cs="Times New Roman"/>
                <w:sz w:val="18"/>
                <w:szCs w:val="18"/>
              </w:rPr>
              <w:t>are</w:t>
            </w:r>
            <w:r w:rsidR="008325DA"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65F64765" w14:textId="611948AD" w:rsidR="00AE5491" w:rsidRPr="00CF4E2F" w:rsidRDefault="00AE5491" w:rsidP="003022BA">
            <w:pPr>
              <w:pStyle w:val="TableParagraph"/>
              <w:ind w:left="102" w:right="99"/>
              <w:jc w:val="both"/>
              <w:rPr>
                <w:rFonts w:ascii="Times New Roman"/>
                <w:b/>
                <w:sz w:val="18"/>
                <w:szCs w:val="18"/>
                <w:u w:val="thick" w:color="000000"/>
              </w:rPr>
            </w:pPr>
          </w:p>
        </w:tc>
      </w:tr>
      <w:tr w:rsidR="00DD7A4A" w:rsidRPr="00CF4E2F" w14:paraId="7E2F5915" w14:textId="77777777" w:rsidTr="00FE0FF1">
        <w:trPr>
          <w:trHeight w:val="304"/>
        </w:trPr>
        <w:tc>
          <w:tcPr>
            <w:tcW w:w="1418" w:type="dxa"/>
          </w:tcPr>
          <w:p w14:paraId="4DB697E6" w14:textId="37D0EAD6" w:rsidR="00DD7A4A"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w:t>
            </w:r>
            <w:r w:rsidRPr="001A257C">
              <w:rPr>
                <w:rFonts w:ascii="Times New Roman" w:eastAsia="Times New Roman" w:hAnsi="Times New Roman" w:cs="Times New Roman"/>
                <w:sz w:val="18"/>
                <w:szCs w:val="18"/>
              </w:rPr>
              <w:t>30</w:t>
            </w:r>
          </w:p>
        </w:tc>
        <w:tc>
          <w:tcPr>
            <w:tcW w:w="7590" w:type="dxa"/>
          </w:tcPr>
          <w:p w14:paraId="7524BF8C" w14:textId="11416EBF" w:rsidR="00DD7A4A" w:rsidRPr="00CF4E2F" w:rsidRDefault="00DD7A4A"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1.2.7 level 2B securitizations eligible for 25 % LCR haircu</w:t>
            </w:r>
            <w:r w:rsidR="009D22A7" w:rsidRPr="00CF4E2F">
              <w:rPr>
                <w:rFonts w:ascii="Times New Roman"/>
                <w:b/>
                <w:sz w:val="18"/>
                <w:szCs w:val="18"/>
                <w:u w:val="thick" w:color="000000"/>
              </w:rPr>
              <w:t>t</w:t>
            </w:r>
          </w:p>
          <w:p w14:paraId="4E82DA27" w14:textId="05056859" w:rsidR="00DD7A4A" w:rsidRPr="00CF4E2F" w:rsidRDefault="00DD7A4A" w:rsidP="00DD7A4A">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level 2B s</w:t>
            </w:r>
            <w:r w:rsidR="005B6DDB" w:rsidRPr="00CF4E2F">
              <w:rPr>
                <w:rFonts w:ascii="Times New Roman" w:eastAsia="Times New Roman" w:hAnsi="Times New Roman" w:cs="Times New Roman"/>
                <w:sz w:val="18"/>
                <w:szCs w:val="18"/>
              </w:rPr>
              <w:t>ecuritizations</w:t>
            </w:r>
            <w:r w:rsidRPr="00CF4E2F">
              <w:rPr>
                <w:rFonts w:ascii="Times New Roman" w:eastAsia="Times New Roman" w:hAnsi="Times New Roman" w:cs="Times New Roman"/>
                <w:sz w:val="18"/>
                <w:szCs w:val="18"/>
              </w:rPr>
              <w:t xml:space="preserve"> </w:t>
            </w:r>
            <w:r w:rsidR="00904177">
              <w:rPr>
                <w:rFonts w:ascii="Times New Roman" w:eastAsia="Times New Roman" w:hAnsi="Times New Roman" w:cs="Times New Roman"/>
                <w:sz w:val="18"/>
                <w:szCs w:val="18"/>
              </w:rPr>
              <w:t xml:space="preserve">that are eligible for a 25% haircut </w:t>
            </w:r>
            <w:r w:rsidRPr="00CF4E2F">
              <w:rPr>
                <w:rFonts w:ascii="Times New Roman" w:eastAsia="Times New Roman" w:hAnsi="Times New Roman" w:cs="Times New Roman"/>
                <w:sz w:val="18"/>
                <w:szCs w:val="18"/>
              </w:rPr>
              <w:t xml:space="preserve">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3139215A" w14:textId="05CD6D79"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70EE39E1" w14:textId="688E2B09" w:rsidR="00382036" w:rsidRPr="00CF4E2F" w:rsidRDefault="00382036" w:rsidP="003022BA">
            <w:pPr>
              <w:pStyle w:val="TableParagraph"/>
              <w:ind w:left="102" w:right="99"/>
              <w:jc w:val="both"/>
              <w:rPr>
                <w:rFonts w:ascii="Times New Roman"/>
                <w:b/>
                <w:sz w:val="18"/>
                <w:szCs w:val="18"/>
                <w:u w:val="thick" w:color="000000"/>
              </w:rPr>
            </w:pPr>
          </w:p>
        </w:tc>
      </w:tr>
      <w:tr w:rsidR="00AE5491" w:rsidRPr="00CF4E2F" w14:paraId="2B563D6D" w14:textId="77777777" w:rsidTr="00FE0FF1">
        <w:trPr>
          <w:trHeight w:val="304"/>
        </w:trPr>
        <w:tc>
          <w:tcPr>
            <w:tcW w:w="1418" w:type="dxa"/>
          </w:tcPr>
          <w:p w14:paraId="20FCD37F" w14:textId="37AC185A"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0340</w:t>
            </w:r>
          </w:p>
        </w:tc>
        <w:tc>
          <w:tcPr>
            <w:tcW w:w="7590" w:type="dxa"/>
          </w:tcPr>
          <w:p w14:paraId="5F87F37E" w14:textId="0BD9BE61"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1.2.7.1 unencumbered or encumbered </w:t>
            </w:r>
            <w:r w:rsidR="00FF64DD">
              <w:rPr>
                <w:rFonts w:ascii="Times New Roman"/>
                <w:b/>
                <w:sz w:val="18"/>
                <w:szCs w:val="18"/>
                <w:u w:val="thick" w:color="000000"/>
              </w:rPr>
              <w:t>for a residual maturity of less than six months</w:t>
            </w:r>
          </w:p>
          <w:p w14:paraId="7D950382" w14:textId="0C14FAAD"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1.2.7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1E4A817C" w14:textId="47FF66BD"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14752CEB" w14:textId="77777777" w:rsidTr="00FE0FF1">
        <w:trPr>
          <w:trHeight w:val="304"/>
        </w:trPr>
        <w:tc>
          <w:tcPr>
            <w:tcW w:w="1418" w:type="dxa"/>
          </w:tcPr>
          <w:p w14:paraId="1C6A84AA" w14:textId="6507834F"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0350</w:t>
            </w:r>
          </w:p>
        </w:tc>
        <w:tc>
          <w:tcPr>
            <w:tcW w:w="7590" w:type="dxa"/>
          </w:tcPr>
          <w:p w14:paraId="58B49127" w14:textId="3B694410"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1.2.7.2 encumbered </w:t>
            </w:r>
            <w:r w:rsidR="00FF64DD">
              <w:rPr>
                <w:rFonts w:ascii="Times New Roman"/>
                <w:b/>
                <w:sz w:val="18"/>
                <w:szCs w:val="18"/>
                <w:u w:val="thick" w:color="000000"/>
              </w:rPr>
              <w:t>for a residual maturity of at least six months but less than one year</w:t>
            </w:r>
          </w:p>
          <w:p w14:paraId="223179D5" w14:textId="3FA13E43"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1.2.7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3D703384" w14:textId="6D4EF814"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3B4DA208" w14:textId="77777777" w:rsidTr="00FE0FF1">
        <w:trPr>
          <w:trHeight w:val="304"/>
        </w:trPr>
        <w:tc>
          <w:tcPr>
            <w:tcW w:w="1418" w:type="dxa"/>
          </w:tcPr>
          <w:p w14:paraId="2ABD0CAA" w14:textId="3A2E1F62"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0360</w:t>
            </w:r>
          </w:p>
        </w:tc>
        <w:tc>
          <w:tcPr>
            <w:tcW w:w="7590" w:type="dxa"/>
          </w:tcPr>
          <w:p w14:paraId="5F1BB319" w14:textId="5064F5D3"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1.2.7.3 encumbered for </w:t>
            </w:r>
            <w:r w:rsidR="00FF64DD">
              <w:rPr>
                <w:rFonts w:ascii="Times New Roman"/>
                <w:b/>
                <w:sz w:val="18"/>
                <w:szCs w:val="18"/>
                <w:u w:val="thick" w:color="000000"/>
              </w:rPr>
              <w:t>a residual maturity of one year or more</w:t>
            </w:r>
          </w:p>
          <w:p w14:paraId="44B2B44D" w14:textId="7E77EA5F"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1.2.7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319BA675" w14:textId="0ACE38B1" w:rsidR="00AE5491" w:rsidRPr="00CF4E2F" w:rsidRDefault="00AE5491" w:rsidP="003022BA">
            <w:pPr>
              <w:pStyle w:val="TableParagraph"/>
              <w:ind w:left="102" w:right="99"/>
              <w:jc w:val="both"/>
              <w:rPr>
                <w:rFonts w:ascii="Times New Roman"/>
                <w:b/>
                <w:sz w:val="18"/>
                <w:szCs w:val="18"/>
                <w:u w:val="thick" w:color="000000"/>
              </w:rPr>
            </w:pPr>
          </w:p>
        </w:tc>
      </w:tr>
      <w:tr w:rsidR="000939BC" w:rsidRPr="00CF4E2F" w14:paraId="7FEF102C" w14:textId="77777777" w:rsidTr="00FE0FF1">
        <w:trPr>
          <w:trHeight w:val="304"/>
        </w:trPr>
        <w:tc>
          <w:tcPr>
            <w:tcW w:w="1418" w:type="dxa"/>
          </w:tcPr>
          <w:p w14:paraId="4A81D6E5" w14:textId="155E6E86" w:rsidR="000939BC"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0370</w:t>
            </w:r>
          </w:p>
        </w:tc>
        <w:tc>
          <w:tcPr>
            <w:tcW w:w="7590" w:type="dxa"/>
          </w:tcPr>
          <w:p w14:paraId="14071648" w14:textId="1F9F6D57" w:rsidR="000939BC" w:rsidRPr="00CF4E2F" w:rsidRDefault="000939BC"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1.2.8 level 2B assets eligible for 30 % LCR haircut</w:t>
            </w:r>
          </w:p>
          <w:p w14:paraId="1E29646F" w14:textId="25DCA42D" w:rsidR="000939BC" w:rsidRPr="00CF4E2F" w:rsidRDefault="000939BC" w:rsidP="003B66BD">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71300E" w:rsidRPr="00CF4E2F">
              <w:rPr>
                <w:rFonts w:ascii="Times New Roman" w:eastAsia="Times New Roman" w:hAnsi="Times New Roman" w:cs="Times New Roman"/>
                <w:sz w:val="18"/>
                <w:szCs w:val="18"/>
              </w:rPr>
              <w:t>high quality covered bonds</w:t>
            </w:r>
            <w:r w:rsidRPr="00CF4E2F">
              <w:rPr>
                <w:rFonts w:ascii="Times New Roman" w:eastAsia="Times New Roman" w:hAnsi="Times New Roman" w:cs="Times New Roman"/>
                <w:sz w:val="18"/>
                <w:szCs w:val="18"/>
              </w:rPr>
              <w:t xml:space="preserve"> </w:t>
            </w:r>
            <w:r w:rsidR="0071300E" w:rsidRPr="00CF4E2F">
              <w:rPr>
                <w:rFonts w:ascii="Times New Roman" w:eastAsia="Times New Roman" w:hAnsi="Times New Roman" w:cs="Times New Roman"/>
                <w:sz w:val="18"/>
                <w:szCs w:val="18"/>
              </w:rPr>
              <w:t xml:space="preserve">and shares or units in CIUs that are eligible for a 30 % haircut </w:t>
            </w:r>
            <w:r w:rsidRPr="00CF4E2F">
              <w:rPr>
                <w:rFonts w:ascii="Times New Roman" w:eastAsia="Times New Roman" w:hAnsi="Times New Roman" w:cs="Times New Roman"/>
                <w:sz w:val="18"/>
                <w:szCs w:val="18"/>
              </w:rPr>
              <w:t xml:space="preserve">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3E09DB6E" w14:textId="226EB96D"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721DE535" w14:textId="35C8C0F0" w:rsidR="00382036" w:rsidRPr="00CF4E2F" w:rsidRDefault="00382036" w:rsidP="003022BA">
            <w:pPr>
              <w:pStyle w:val="TableParagraph"/>
              <w:ind w:left="102" w:right="99"/>
              <w:jc w:val="both"/>
              <w:rPr>
                <w:rFonts w:ascii="Times New Roman"/>
                <w:b/>
                <w:sz w:val="18"/>
                <w:szCs w:val="18"/>
                <w:u w:val="thick" w:color="000000"/>
              </w:rPr>
            </w:pPr>
          </w:p>
        </w:tc>
      </w:tr>
      <w:tr w:rsidR="00AE5491" w:rsidRPr="00CF4E2F" w14:paraId="027C387B" w14:textId="77777777" w:rsidTr="00FE0FF1">
        <w:trPr>
          <w:trHeight w:val="304"/>
        </w:trPr>
        <w:tc>
          <w:tcPr>
            <w:tcW w:w="1418" w:type="dxa"/>
          </w:tcPr>
          <w:p w14:paraId="19965161" w14:textId="757ADD6B"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0380</w:t>
            </w:r>
          </w:p>
        </w:tc>
        <w:tc>
          <w:tcPr>
            <w:tcW w:w="7590" w:type="dxa"/>
          </w:tcPr>
          <w:p w14:paraId="3CA71872" w14:textId="4C377B97"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1.2.8.1 unencumbered or encumbered </w:t>
            </w:r>
            <w:r w:rsidR="00FF64DD">
              <w:rPr>
                <w:rFonts w:ascii="Times New Roman"/>
                <w:b/>
                <w:sz w:val="18"/>
                <w:szCs w:val="18"/>
                <w:u w:val="thick" w:color="000000"/>
              </w:rPr>
              <w:t>for a residual maturity of less than six months</w:t>
            </w:r>
          </w:p>
          <w:p w14:paraId="7161A454" w14:textId="0F4A199D" w:rsidR="00AE5491" w:rsidRPr="00CF4E2F" w:rsidRDefault="00AE5491" w:rsidP="009E245E">
            <w:pPr>
              <w:pStyle w:val="TableParagraph"/>
              <w:spacing w:before="119"/>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1.2.8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36BCC271" w14:textId="4DB25804" w:rsidR="00AE5491" w:rsidRPr="00CF4E2F" w:rsidRDefault="00AE5491" w:rsidP="006A093C">
            <w:pPr>
              <w:pStyle w:val="TableParagraph"/>
              <w:spacing w:before="119"/>
              <w:ind w:left="102"/>
              <w:rPr>
                <w:rFonts w:ascii="Times New Roman"/>
                <w:b/>
                <w:sz w:val="18"/>
                <w:szCs w:val="18"/>
                <w:u w:val="thick" w:color="000000"/>
              </w:rPr>
            </w:pPr>
          </w:p>
        </w:tc>
      </w:tr>
      <w:tr w:rsidR="00AE5491" w:rsidRPr="00CF4E2F" w14:paraId="57AF2341" w14:textId="77777777" w:rsidTr="00FE0FF1">
        <w:trPr>
          <w:trHeight w:val="304"/>
        </w:trPr>
        <w:tc>
          <w:tcPr>
            <w:tcW w:w="1418" w:type="dxa"/>
          </w:tcPr>
          <w:p w14:paraId="4721A78F" w14:textId="5EC4327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0390</w:t>
            </w:r>
          </w:p>
        </w:tc>
        <w:tc>
          <w:tcPr>
            <w:tcW w:w="7590" w:type="dxa"/>
          </w:tcPr>
          <w:p w14:paraId="49EA1F54" w14:textId="078D24D4"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1.2.8.2 encumbered </w:t>
            </w:r>
            <w:r w:rsidR="00FF64DD">
              <w:rPr>
                <w:rFonts w:ascii="Times New Roman"/>
                <w:b/>
                <w:sz w:val="18"/>
                <w:szCs w:val="18"/>
                <w:u w:val="thick" w:color="000000"/>
              </w:rPr>
              <w:t>for a residual maturity of at least six months but less than one year</w:t>
            </w:r>
          </w:p>
          <w:p w14:paraId="35C0BA40" w14:textId="073D939E"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1.2.8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7125F183" w14:textId="2A181CC9"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56E942ED" w14:textId="77777777" w:rsidTr="00FE0FF1">
        <w:trPr>
          <w:trHeight w:val="304"/>
        </w:trPr>
        <w:tc>
          <w:tcPr>
            <w:tcW w:w="1418" w:type="dxa"/>
          </w:tcPr>
          <w:p w14:paraId="02FDF2B8" w14:textId="27A7704F"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0400</w:t>
            </w:r>
          </w:p>
        </w:tc>
        <w:tc>
          <w:tcPr>
            <w:tcW w:w="7590" w:type="dxa"/>
          </w:tcPr>
          <w:p w14:paraId="3DB5EFD5" w14:textId="4CCA8BBE"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1.2.8.3 encumbered for </w:t>
            </w:r>
            <w:r w:rsidR="00FF64DD">
              <w:rPr>
                <w:rFonts w:ascii="Times New Roman"/>
                <w:b/>
                <w:sz w:val="18"/>
                <w:szCs w:val="18"/>
                <w:u w:val="thick" w:color="000000"/>
              </w:rPr>
              <w:t>a residual maturity of one year or more</w:t>
            </w:r>
          </w:p>
          <w:p w14:paraId="07BE9C45" w14:textId="65521413"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1.2.8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63553543" w14:textId="4A043787" w:rsidR="00AE5491" w:rsidRPr="00CF4E2F" w:rsidRDefault="00AE5491" w:rsidP="003022BA">
            <w:pPr>
              <w:pStyle w:val="TableParagraph"/>
              <w:ind w:left="102" w:right="99"/>
              <w:jc w:val="both"/>
              <w:rPr>
                <w:rFonts w:ascii="Times New Roman"/>
                <w:b/>
                <w:sz w:val="18"/>
                <w:szCs w:val="18"/>
                <w:u w:val="thick" w:color="000000"/>
              </w:rPr>
            </w:pPr>
          </w:p>
        </w:tc>
      </w:tr>
      <w:tr w:rsidR="004826B1" w:rsidRPr="00CF4E2F" w14:paraId="4CA690CA" w14:textId="77777777" w:rsidTr="00FE0FF1">
        <w:trPr>
          <w:trHeight w:val="304"/>
        </w:trPr>
        <w:tc>
          <w:tcPr>
            <w:tcW w:w="1418" w:type="dxa"/>
          </w:tcPr>
          <w:p w14:paraId="07B09381" w14:textId="1E15B8B2" w:rsidR="004826B1"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0410</w:t>
            </w:r>
          </w:p>
        </w:tc>
        <w:tc>
          <w:tcPr>
            <w:tcW w:w="7590" w:type="dxa"/>
          </w:tcPr>
          <w:p w14:paraId="73791155" w14:textId="5A56C3CF" w:rsidR="004826B1" w:rsidRPr="00CF4E2F" w:rsidRDefault="004826B1"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1.2.9 level 2B assets eligible for 35 % LCR haircut</w:t>
            </w:r>
          </w:p>
          <w:p w14:paraId="2AFE158A" w14:textId="49FBBE8F" w:rsidR="004826B1" w:rsidRPr="00CF4E2F" w:rsidRDefault="004826B1" w:rsidP="004826B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level 2B securitizations and shares or units in CIUs that are eligible for a 35 % haircut 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0D7DBEF1" w14:textId="731114E4"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1C17806D" w14:textId="4FE29DB4" w:rsidR="00382036" w:rsidRPr="00CF4E2F" w:rsidRDefault="00382036" w:rsidP="003022BA">
            <w:pPr>
              <w:pStyle w:val="TableParagraph"/>
              <w:ind w:left="102" w:right="99"/>
              <w:jc w:val="both"/>
              <w:rPr>
                <w:rFonts w:ascii="Times New Roman"/>
                <w:b/>
                <w:sz w:val="18"/>
                <w:szCs w:val="18"/>
                <w:u w:val="thick" w:color="000000"/>
              </w:rPr>
            </w:pPr>
          </w:p>
        </w:tc>
      </w:tr>
      <w:tr w:rsidR="00AE5491" w:rsidRPr="00CF4E2F" w14:paraId="53E6CA32" w14:textId="77777777" w:rsidTr="00FE0FF1">
        <w:trPr>
          <w:trHeight w:val="304"/>
        </w:trPr>
        <w:tc>
          <w:tcPr>
            <w:tcW w:w="1418" w:type="dxa"/>
          </w:tcPr>
          <w:p w14:paraId="29A4DC57" w14:textId="09169450"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0420</w:t>
            </w:r>
          </w:p>
        </w:tc>
        <w:tc>
          <w:tcPr>
            <w:tcW w:w="7590" w:type="dxa"/>
          </w:tcPr>
          <w:p w14:paraId="21AB459E" w14:textId="115FD0BE"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1.2.9.1 unencumbered or encumbered </w:t>
            </w:r>
            <w:r w:rsidR="00FF64DD">
              <w:rPr>
                <w:rFonts w:ascii="Times New Roman"/>
                <w:b/>
                <w:sz w:val="18"/>
                <w:szCs w:val="18"/>
                <w:u w:val="thick" w:color="000000"/>
              </w:rPr>
              <w:t>for a residual maturity of less than six months</w:t>
            </w:r>
          </w:p>
          <w:p w14:paraId="429A8581" w14:textId="08B6D818"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1.2.9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34A5B392" w14:textId="16A4CE8E"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0D2810D9" w14:textId="77777777" w:rsidTr="00FE0FF1">
        <w:trPr>
          <w:trHeight w:val="304"/>
        </w:trPr>
        <w:tc>
          <w:tcPr>
            <w:tcW w:w="1418" w:type="dxa"/>
          </w:tcPr>
          <w:p w14:paraId="02447575" w14:textId="4625737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0430</w:t>
            </w:r>
          </w:p>
        </w:tc>
        <w:tc>
          <w:tcPr>
            <w:tcW w:w="7590" w:type="dxa"/>
          </w:tcPr>
          <w:p w14:paraId="3D008E2A" w14:textId="23D7BEE6"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1.2.9.2 encumbered </w:t>
            </w:r>
            <w:r w:rsidR="00FF64DD">
              <w:rPr>
                <w:rFonts w:ascii="Times New Roman"/>
                <w:b/>
                <w:sz w:val="18"/>
                <w:szCs w:val="18"/>
                <w:u w:val="thick" w:color="000000"/>
              </w:rPr>
              <w:t>for a residual maturity of at least six months but less than one year</w:t>
            </w:r>
          </w:p>
          <w:p w14:paraId="595AB51A" w14:textId="1961D263"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1.2.9 that is </w:t>
            </w:r>
            <w:r w:rsidR="008325DA">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sidR="008325DA">
              <w:rPr>
                <w:rFonts w:ascii="Times New Roman" w:eastAsia="Times New Roman" w:hAnsi="Times New Roman" w:cs="Times New Roman"/>
                <w:sz w:val="18"/>
                <w:szCs w:val="18"/>
              </w:rPr>
              <w:t>are</w:t>
            </w:r>
            <w:r w:rsidR="008325DA"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175AB03F" w14:textId="1F6EF738"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32043C12" w14:textId="77777777" w:rsidTr="00FE0FF1">
        <w:trPr>
          <w:trHeight w:val="304"/>
        </w:trPr>
        <w:tc>
          <w:tcPr>
            <w:tcW w:w="1418" w:type="dxa"/>
          </w:tcPr>
          <w:p w14:paraId="16BD18C9" w14:textId="216097CF"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0440</w:t>
            </w:r>
          </w:p>
        </w:tc>
        <w:tc>
          <w:tcPr>
            <w:tcW w:w="7590" w:type="dxa"/>
          </w:tcPr>
          <w:p w14:paraId="07E28A1B" w14:textId="26C34809"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1.2.9.3 encumbered for </w:t>
            </w:r>
            <w:r w:rsidR="00FF64DD">
              <w:rPr>
                <w:rFonts w:ascii="Times New Roman"/>
                <w:b/>
                <w:sz w:val="18"/>
                <w:szCs w:val="18"/>
                <w:u w:val="thick" w:color="000000"/>
              </w:rPr>
              <w:t>a residual maturity of one year or more</w:t>
            </w:r>
          </w:p>
          <w:p w14:paraId="18D8D141" w14:textId="78C4A6DB"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1.2.9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6F6C8A58" w14:textId="68B68C82" w:rsidR="00AE5491" w:rsidRPr="00CF4E2F" w:rsidRDefault="00AE5491" w:rsidP="003022BA">
            <w:pPr>
              <w:pStyle w:val="TableParagraph"/>
              <w:ind w:left="102" w:right="99"/>
              <w:jc w:val="both"/>
              <w:rPr>
                <w:rFonts w:ascii="Times New Roman"/>
                <w:b/>
                <w:sz w:val="18"/>
                <w:szCs w:val="18"/>
                <w:u w:val="thick" w:color="000000"/>
              </w:rPr>
            </w:pPr>
          </w:p>
        </w:tc>
      </w:tr>
      <w:tr w:rsidR="00D07E43" w:rsidRPr="00CF4E2F" w14:paraId="0DB5203A" w14:textId="77777777" w:rsidTr="00FE0FF1">
        <w:trPr>
          <w:trHeight w:val="304"/>
        </w:trPr>
        <w:tc>
          <w:tcPr>
            <w:tcW w:w="1418" w:type="dxa"/>
          </w:tcPr>
          <w:p w14:paraId="23CC953F" w14:textId="63CED5D2" w:rsidR="00D07E43" w:rsidRPr="001A257C" w:rsidRDefault="0038203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0450</w:t>
            </w:r>
          </w:p>
        </w:tc>
        <w:tc>
          <w:tcPr>
            <w:tcW w:w="7590" w:type="dxa"/>
          </w:tcPr>
          <w:p w14:paraId="5510261F" w14:textId="780F5197" w:rsidR="00D07E43" w:rsidRPr="00CF4E2F" w:rsidRDefault="00D07E43"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w:t>
            </w:r>
            <w:r w:rsidR="00F45773" w:rsidRPr="00CF4E2F">
              <w:rPr>
                <w:rFonts w:ascii="Times New Roman"/>
                <w:b/>
                <w:sz w:val="18"/>
                <w:szCs w:val="18"/>
                <w:u w:val="thick" w:color="000000"/>
              </w:rPr>
              <w:t>10</w:t>
            </w:r>
            <w:r w:rsidRPr="00CF4E2F">
              <w:rPr>
                <w:rFonts w:ascii="Times New Roman"/>
                <w:b/>
                <w:sz w:val="18"/>
                <w:szCs w:val="18"/>
                <w:u w:val="thick" w:color="000000"/>
              </w:rPr>
              <w:t xml:space="preserve"> level 2B assets eligible for 40 % LCR haircut</w:t>
            </w:r>
          </w:p>
          <w:p w14:paraId="70CBBCC0" w14:textId="4106D974" w:rsidR="00D07E43" w:rsidRPr="00CF4E2F" w:rsidRDefault="00D07E43" w:rsidP="00F45773">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shares or units in CIUs that are eligible for a </w:t>
            </w:r>
            <w:r w:rsidR="00F45773" w:rsidRPr="00CF4E2F">
              <w:rPr>
                <w:rFonts w:ascii="Times New Roman" w:eastAsia="Times New Roman" w:hAnsi="Times New Roman" w:cs="Times New Roman"/>
                <w:sz w:val="18"/>
                <w:szCs w:val="18"/>
              </w:rPr>
              <w:t>40</w:t>
            </w:r>
            <w:r w:rsidRPr="00CF4E2F">
              <w:rPr>
                <w:rFonts w:ascii="Times New Roman" w:eastAsia="Times New Roman" w:hAnsi="Times New Roman" w:cs="Times New Roman"/>
                <w:sz w:val="18"/>
                <w:szCs w:val="18"/>
              </w:rPr>
              <w:t xml:space="preserve"> % haircut 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4A0ACF97" w14:textId="09FEE7CA"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7A864FED" w14:textId="66DB8762" w:rsidR="00382036" w:rsidRPr="00CF4E2F" w:rsidRDefault="00382036" w:rsidP="003022BA">
            <w:pPr>
              <w:pStyle w:val="TableParagraph"/>
              <w:ind w:left="102" w:right="99"/>
              <w:jc w:val="both"/>
              <w:rPr>
                <w:rFonts w:ascii="Times New Roman"/>
                <w:b/>
                <w:sz w:val="18"/>
                <w:szCs w:val="18"/>
                <w:u w:val="thick" w:color="000000"/>
              </w:rPr>
            </w:pPr>
          </w:p>
        </w:tc>
      </w:tr>
      <w:tr w:rsidR="00AE5491" w:rsidRPr="00CF4E2F" w14:paraId="1A850DD4" w14:textId="77777777" w:rsidTr="00FE0FF1">
        <w:trPr>
          <w:trHeight w:val="304"/>
        </w:trPr>
        <w:tc>
          <w:tcPr>
            <w:tcW w:w="1418" w:type="dxa"/>
          </w:tcPr>
          <w:p w14:paraId="6CB3B18E" w14:textId="106D5F3E"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0460</w:t>
            </w:r>
          </w:p>
        </w:tc>
        <w:tc>
          <w:tcPr>
            <w:tcW w:w="7590" w:type="dxa"/>
          </w:tcPr>
          <w:p w14:paraId="5EF27F2C" w14:textId="5BB1F096"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1.2.10.1 unencumbered or encumbered </w:t>
            </w:r>
            <w:r w:rsidR="00FF64DD">
              <w:rPr>
                <w:rFonts w:ascii="Times New Roman"/>
                <w:b/>
                <w:sz w:val="18"/>
                <w:szCs w:val="18"/>
                <w:u w:val="thick" w:color="000000"/>
              </w:rPr>
              <w:t>for a residual maturity of less than six months</w:t>
            </w:r>
          </w:p>
          <w:p w14:paraId="1805961A" w14:textId="7EA560A0"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1.2.10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44AF776B" w14:textId="6198445D" w:rsidR="00AE5491" w:rsidRPr="00CF4E2F" w:rsidRDefault="00AE5491" w:rsidP="003022BA">
            <w:pPr>
              <w:pStyle w:val="TableParagraph"/>
              <w:ind w:left="102" w:right="99"/>
              <w:jc w:val="both"/>
              <w:rPr>
                <w:rFonts w:ascii="Times New Roman"/>
                <w:b/>
                <w:sz w:val="18"/>
                <w:szCs w:val="18"/>
                <w:u w:val="thick" w:color="000000"/>
              </w:rPr>
            </w:pPr>
          </w:p>
        </w:tc>
      </w:tr>
      <w:tr w:rsidR="00AE5491" w:rsidRPr="00F245CC" w14:paraId="1872F72A" w14:textId="77777777" w:rsidTr="00FE0FF1">
        <w:trPr>
          <w:trHeight w:val="304"/>
        </w:trPr>
        <w:tc>
          <w:tcPr>
            <w:tcW w:w="1418" w:type="dxa"/>
          </w:tcPr>
          <w:p w14:paraId="067DE4B8" w14:textId="5489666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0470</w:t>
            </w:r>
          </w:p>
        </w:tc>
        <w:tc>
          <w:tcPr>
            <w:tcW w:w="7590" w:type="dxa"/>
          </w:tcPr>
          <w:p w14:paraId="295C1221" w14:textId="54679F01"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1.2.10.2 encumbered </w:t>
            </w:r>
            <w:r w:rsidR="00FF64DD">
              <w:rPr>
                <w:rFonts w:ascii="Times New Roman"/>
                <w:b/>
                <w:sz w:val="18"/>
                <w:szCs w:val="18"/>
                <w:u w:val="thick" w:color="000000"/>
              </w:rPr>
              <w:t>for a residual maturity of at least six months but less than one year</w:t>
            </w:r>
          </w:p>
          <w:p w14:paraId="4C3035AF" w14:textId="0063756D"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1.2.10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26BC14B4" w14:textId="3176657A"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71D72F28" w14:textId="77777777" w:rsidTr="00FE0FF1">
        <w:trPr>
          <w:trHeight w:val="304"/>
        </w:trPr>
        <w:tc>
          <w:tcPr>
            <w:tcW w:w="1418" w:type="dxa"/>
          </w:tcPr>
          <w:p w14:paraId="3F19EEAB" w14:textId="30D76B29"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0480</w:t>
            </w:r>
          </w:p>
        </w:tc>
        <w:tc>
          <w:tcPr>
            <w:tcW w:w="7590" w:type="dxa"/>
          </w:tcPr>
          <w:p w14:paraId="70884F2A" w14:textId="264BD483"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1.2.10.3 encumbered for </w:t>
            </w:r>
            <w:r w:rsidR="00FF64DD">
              <w:rPr>
                <w:rFonts w:ascii="Times New Roman"/>
                <w:b/>
                <w:sz w:val="18"/>
                <w:szCs w:val="18"/>
                <w:u w:val="thick" w:color="000000"/>
              </w:rPr>
              <w:t>a residual maturity of one year or more</w:t>
            </w:r>
          </w:p>
          <w:p w14:paraId="3852013C" w14:textId="32D204E6"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1.2.10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60E5FAE6" w14:textId="1650336C" w:rsidR="00AE5491" w:rsidRPr="00CF4E2F" w:rsidRDefault="00AE5491" w:rsidP="003022BA">
            <w:pPr>
              <w:pStyle w:val="TableParagraph"/>
              <w:ind w:left="102" w:right="99"/>
              <w:jc w:val="both"/>
              <w:rPr>
                <w:rFonts w:ascii="Times New Roman"/>
                <w:b/>
                <w:sz w:val="18"/>
                <w:szCs w:val="18"/>
                <w:u w:val="thick" w:color="000000"/>
              </w:rPr>
            </w:pPr>
          </w:p>
        </w:tc>
      </w:tr>
      <w:tr w:rsidR="001A3988" w:rsidRPr="00CF4E2F" w14:paraId="477259EB" w14:textId="77777777" w:rsidTr="00FE0FF1">
        <w:trPr>
          <w:trHeight w:val="304"/>
        </w:trPr>
        <w:tc>
          <w:tcPr>
            <w:tcW w:w="1418" w:type="dxa"/>
          </w:tcPr>
          <w:p w14:paraId="09FFE77E" w14:textId="667A0325" w:rsidR="001A3988"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w:t>
            </w:r>
            <w:r w:rsidRPr="001A257C">
              <w:rPr>
                <w:rFonts w:ascii="Times New Roman" w:eastAsia="Times New Roman" w:hAnsi="Times New Roman" w:cs="Times New Roman"/>
                <w:sz w:val="18"/>
                <w:szCs w:val="18"/>
              </w:rPr>
              <w:t>90</w:t>
            </w:r>
          </w:p>
        </w:tc>
        <w:tc>
          <w:tcPr>
            <w:tcW w:w="7590" w:type="dxa"/>
          </w:tcPr>
          <w:p w14:paraId="268C2B83" w14:textId="41D4ACD5" w:rsidR="001A3988" w:rsidRPr="00CF4E2F" w:rsidRDefault="001A3988" w:rsidP="0045208D">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1.2.11 level 2B assets eligible for 50 % LCR haircut</w:t>
            </w:r>
          </w:p>
          <w:p w14:paraId="67453314" w14:textId="58511926" w:rsidR="001A3988" w:rsidRPr="00CF4E2F" w:rsidRDefault="001A3988" w:rsidP="00E70B8B">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E70B8B" w:rsidRPr="00CF4E2F">
              <w:rPr>
                <w:rFonts w:ascii="Times New Roman" w:eastAsia="Times New Roman" w:hAnsi="Times New Roman" w:cs="Times New Roman"/>
                <w:sz w:val="18"/>
                <w:szCs w:val="18"/>
              </w:rPr>
              <w:t xml:space="preserve">level 2B assets </w:t>
            </w:r>
            <w:r w:rsidRPr="00CF4E2F">
              <w:rPr>
                <w:rFonts w:ascii="Times New Roman" w:eastAsia="Times New Roman" w:hAnsi="Times New Roman" w:cs="Times New Roman"/>
                <w:sz w:val="18"/>
                <w:szCs w:val="18"/>
              </w:rPr>
              <w:t xml:space="preserve">pursuant to </w:t>
            </w:r>
            <w:r w:rsidR="00E70A56">
              <w:rPr>
                <w:rFonts w:ascii="Times New Roman" w:eastAsia="Times New Roman" w:hAnsi="Times New Roman" w:cs="Times New Roman"/>
                <w:sz w:val="18"/>
                <w:szCs w:val="18"/>
              </w:rPr>
              <w:t>Delegated Regulation (EU) 2015/61</w:t>
            </w:r>
            <w:r w:rsidR="00E70B8B" w:rsidRPr="00CF4E2F">
              <w:rPr>
                <w:rFonts w:ascii="Times New Roman" w:eastAsia="Times New Roman" w:hAnsi="Times New Roman" w:cs="Times New Roman"/>
                <w:sz w:val="18"/>
                <w:szCs w:val="18"/>
              </w:rPr>
              <w:t>, excluding level 2B securitizations and high quality covered bonds.</w:t>
            </w:r>
          </w:p>
          <w:p w14:paraId="2F49C37A" w14:textId="713804B4"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396088F1" w14:textId="02552C26" w:rsidR="000A1E56" w:rsidRPr="00CF4E2F" w:rsidRDefault="000A1E56" w:rsidP="003022BA">
            <w:pPr>
              <w:pStyle w:val="TableParagraph"/>
              <w:ind w:left="102" w:right="99"/>
              <w:jc w:val="both"/>
              <w:rPr>
                <w:rFonts w:ascii="Times New Roman"/>
                <w:b/>
                <w:sz w:val="18"/>
                <w:szCs w:val="18"/>
                <w:u w:val="thick" w:color="000000"/>
              </w:rPr>
            </w:pPr>
          </w:p>
        </w:tc>
      </w:tr>
      <w:tr w:rsidR="00AE5491" w:rsidRPr="00CF4E2F" w14:paraId="6B8D8CB1" w14:textId="77777777" w:rsidTr="00FE0FF1">
        <w:trPr>
          <w:trHeight w:val="304"/>
        </w:trPr>
        <w:tc>
          <w:tcPr>
            <w:tcW w:w="1418" w:type="dxa"/>
          </w:tcPr>
          <w:p w14:paraId="2761E19D" w14:textId="7212076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0500</w:t>
            </w:r>
          </w:p>
        </w:tc>
        <w:tc>
          <w:tcPr>
            <w:tcW w:w="7590" w:type="dxa"/>
          </w:tcPr>
          <w:p w14:paraId="4410A044" w14:textId="462475B0" w:rsidR="00AE5491" w:rsidRPr="00CF4E2F" w:rsidRDefault="00AE5491"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1.2.11.1 unencumbered or encumbered </w:t>
            </w:r>
            <w:r w:rsidR="00635F69">
              <w:rPr>
                <w:rFonts w:ascii="Times New Roman"/>
                <w:b/>
                <w:sz w:val="18"/>
                <w:szCs w:val="18"/>
                <w:u w:val="thick" w:color="000000"/>
              </w:rPr>
              <w:t>for a residual maturity of less than one year</w:t>
            </w:r>
          </w:p>
          <w:p w14:paraId="4CE11902" w14:textId="4D3D6E23"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r w:rsidRPr="00CF4E2F">
              <w:rPr>
                <w:rFonts w:ascii="Times New Roman" w:eastAsia="Times New Roman" w:hAnsi="Times New Roman" w:cs="Times New Roman"/>
                <w:sz w:val="18"/>
                <w:szCs w:val="18"/>
              </w:rPr>
              <w:t>.</w:t>
            </w:r>
          </w:p>
          <w:p w14:paraId="71191D7F" w14:textId="0559FB03" w:rsidR="00AE5491" w:rsidRPr="00CF4E2F" w:rsidRDefault="00AE5491" w:rsidP="003022BA">
            <w:pPr>
              <w:pStyle w:val="TableParagraph"/>
              <w:ind w:left="102" w:right="99"/>
              <w:jc w:val="both"/>
              <w:rPr>
                <w:rFonts w:ascii="Times New Roman"/>
                <w:b/>
                <w:sz w:val="18"/>
                <w:szCs w:val="18"/>
                <w:u w:val="thick" w:color="000000"/>
              </w:rPr>
            </w:pPr>
          </w:p>
        </w:tc>
      </w:tr>
      <w:tr w:rsidR="00AE5491" w:rsidRPr="00CF4E2F" w14:paraId="4F053EB9" w14:textId="77777777" w:rsidTr="00FE0FF1">
        <w:trPr>
          <w:trHeight w:val="304"/>
        </w:trPr>
        <w:tc>
          <w:tcPr>
            <w:tcW w:w="1418" w:type="dxa"/>
          </w:tcPr>
          <w:p w14:paraId="561D3EC9" w14:textId="6F52F024"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0510</w:t>
            </w:r>
          </w:p>
        </w:tc>
        <w:tc>
          <w:tcPr>
            <w:tcW w:w="7590" w:type="dxa"/>
          </w:tcPr>
          <w:p w14:paraId="7289466D" w14:textId="7FC3C171"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1.2.11.2 encumbered for </w:t>
            </w:r>
            <w:r w:rsidR="00FF64DD">
              <w:rPr>
                <w:rFonts w:ascii="Times New Roman"/>
                <w:b/>
                <w:sz w:val="18"/>
                <w:szCs w:val="18"/>
                <w:u w:val="thick" w:color="000000"/>
              </w:rPr>
              <w:t>a residual maturity of one year or more</w:t>
            </w:r>
          </w:p>
          <w:p w14:paraId="175FC899" w14:textId="407143D7"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3AFE7618" w14:textId="74C6925A" w:rsidR="00AE5491" w:rsidRPr="00CF4E2F" w:rsidRDefault="00AE5491" w:rsidP="003022BA">
            <w:pPr>
              <w:pStyle w:val="TableParagraph"/>
              <w:ind w:left="102" w:right="99"/>
              <w:jc w:val="both"/>
              <w:rPr>
                <w:rFonts w:ascii="Times New Roman"/>
                <w:b/>
                <w:sz w:val="18"/>
                <w:szCs w:val="18"/>
                <w:u w:val="thick" w:color="000000"/>
              </w:rPr>
            </w:pPr>
          </w:p>
        </w:tc>
      </w:tr>
      <w:tr w:rsidR="008D076B" w:rsidRPr="00CF4E2F" w14:paraId="5F292670" w14:textId="77777777" w:rsidTr="00FE0FF1">
        <w:trPr>
          <w:trHeight w:val="304"/>
        </w:trPr>
        <w:tc>
          <w:tcPr>
            <w:tcW w:w="1418" w:type="dxa"/>
          </w:tcPr>
          <w:p w14:paraId="2D9059A9" w14:textId="39FAC78B" w:rsidR="008D076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0520</w:t>
            </w:r>
          </w:p>
        </w:tc>
        <w:tc>
          <w:tcPr>
            <w:tcW w:w="7590" w:type="dxa"/>
          </w:tcPr>
          <w:p w14:paraId="5BE7FF84" w14:textId="0A1AA269" w:rsidR="008D076B" w:rsidRPr="00CF4E2F" w:rsidRDefault="008D076B" w:rsidP="00BB332B">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1.2.12 level 2B assets eligible for 55 % LCR haircut</w:t>
            </w:r>
          </w:p>
          <w:p w14:paraId="07B9274C" w14:textId="2B1CA2A2" w:rsidR="008D076B" w:rsidRPr="00CF4E2F" w:rsidRDefault="008D076B" w:rsidP="0045208D">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shares or units in</w:t>
            </w:r>
            <w:r w:rsidR="00C441F1" w:rsidRPr="00CF4E2F">
              <w:rPr>
                <w:rFonts w:ascii="Times New Roman" w:eastAsia="Times New Roman" w:hAnsi="Times New Roman" w:cs="Times New Roman"/>
                <w:sz w:val="18"/>
                <w:szCs w:val="18"/>
              </w:rPr>
              <w:t xml:space="preserve"> CIUs that are eligible for a 55</w:t>
            </w:r>
            <w:r w:rsidRPr="00CF4E2F">
              <w:rPr>
                <w:rFonts w:ascii="Times New Roman" w:eastAsia="Times New Roman" w:hAnsi="Times New Roman" w:cs="Times New Roman"/>
                <w:sz w:val="18"/>
                <w:szCs w:val="18"/>
              </w:rPr>
              <w:t xml:space="preserve"> % haircut pursuant to </w:t>
            </w:r>
            <w:r w:rsidR="003B66BD" w:rsidRPr="00CF4E2F">
              <w:rPr>
                <w:rFonts w:ascii="Times New Roman" w:eastAsia="Times New Roman" w:hAnsi="Times New Roman" w:cs="Times New Roman"/>
                <w:sz w:val="18"/>
                <w:szCs w:val="18"/>
              </w:rPr>
              <w:t xml:space="preserve">Delegated </w:t>
            </w:r>
            <w:r w:rsidR="00E70A56">
              <w:rPr>
                <w:rFonts w:ascii="Times New Roman" w:eastAsia="Times New Roman" w:hAnsi="Times New Roman" w:cs="Times New Roman"/>
                <w:sz w:val="18"/>
                <w:szCs w:val="18"/>
              </w:rPr>
              <w:t>R</w:t>
            </w:r>
            <w:r w:rsidR="003B66BD" w:rsidRPr="00CF4E2F">
              <w:rPr>
                <w:rFonts w:ascii="Times New Roman" w:eastAsia="Times New Roman" w:hAnsi="Times New Roman" w:cs="Times New Roman"/>
                <w:sz w:val="18"/>
                <w:szCs w:val="18"/>
              </w:rPr>
              <w:t>egulation (EU) 2015/61</w:t>
            </w:r>
            <w:r w:rsidRPr="00CF4E2F">
              <w:rPr>
                <w:rFonts w:ascii="Times New Roman" w:eastAsia="Times New Roman" w:hAnsi="Times New Roman" w:cs="Times New Roman"/>
                <w:sz w:val="18"/>
                <w:szCs w:val="18"/>
              </w:rPr>
              <w:t>.</w:t>
            </w:r>
          </w:p>
          <w:p w14:paraId="0C23FAB5" w14:textId="22AE8C34" w:rsidR="00AE5491" w:rsidRPr="00CF4E2F" w:rsidRDefault="00AE5491" w:rsidP="00AE5491">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Note that assets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 xml:space="preserve"> in a cover pool of a covered bond referred to in Article 52(4) of Directive 2009/65/EC or covered bond which meet the eligibility requirements for the treatment as set out in Article 129(4) or (5) of CRR, shall not be reported here, but in item 1.2.13.</w:t>
            </w:r>
          </w:p>
          <w:p w14:paraId="15CC7174" w14:textId="597DEBBB" w:rsidR="000A1E56" w:rsidRPr="00CF4E2F" w:rsidRDefault="000A1E56" w:rsidP="003022BA">
            <w:pPr>
              <w:pStyle w:val="TableParagraph"/>
              <w:ind w:left="102" w:right="99"/>
              <w:jc w:val="both"/>
              <w:rPr>
                <w:rFonts w:ascii="Times New Roman"/>
                <w:b/>
                <w:sz w:val="18"/>
                <w:szCs w:val="18"/>
                <w:u w:val="thick" w:color="000000"/>
              </w:rPr>
            </w:pPr>
          </w:p>
        </w:tc>
      </w:tr>
      <w:tr w:rsidR="00AE5491" w:rsidRPr="00CF4E2F" w14:paraId="4CB19734" w14:textId="77777777" w:rsidTr="00FE0FF1">
        <w:trPr>
          <w:trHeight w:val="304"/>
        </w:trPr>
        <w:tc>
          <w:tcPr>
            <w:tcW w:w="1418" w:type="dxa"/>
          </w:tcPr>
          <w:p w14:paraId="18863FFA" w14:textId="0C881177"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0530</w:t>
            </w:r>
          </w:p>
        </w:tc>
        <w:tc>
          <w:tcPr>
            <w:tcW w:w="7590" w:type="dxa"/>
          </w:tcPr>
          <w:p w14:paraId="3A77615A" w14:textId="13E10A75" w:rsidR="00AE5491" w:rsidRPr="00CF4E2F" w:rsidRDefault="00AE5491"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1.2.12.1 unencumbered or encumbered </w:t>
            </w:r>
            <w:r w:rsidR="00635F69">
              <w:rPr>
                <w:rFonts w:ascii="Times New Roman"/>
                <w:b/>
                <w:sz w:val="18"/>
                <w:szCs w:val="18"/>
                <w:u w:val="thick" w:color="000000"/>
              </w:rPr>
              <w:t>for a residual maturity of less than one year</w:t>
            </w:r>
          </w:p>
          <w:p w14:paraId="10DE9C01" w14:textId="2193321D"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1.2.12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p>
          <w:p w14:paraId="71510820" w14:textId="7D5CFA03" w:rsidR="00AE5491" w:rsidRPr="00CF4E2F" w:rsidRDefault="00AE5491" w:rsidP="003022BA">
            <w:pPr>
              <w:pStyle w:val="TableParagraph"/>
              <w:ind w:left="102" w:right="99"/>
              <w:jc w:val="both"/>
              <w:rPr>
                <w:rFonts w:ascii="Times New Roman" w:eastAsia="Times New Roman" w:hAnsi="Times New Roman" w:cs="Times New Roman"/>
                <w:sz w:val="18"/>
                <w:szCs w:val="18"/>
              </w:rPr>
            </w:pPr>
          </w:p>
        </w:tc>
      </w:tr>
      <w:tr w:rsidR="00AE5491" w:rsidRPr="00CF4E2F" w14:paraId="12718551" w14:textId="77777777" w:rsidTr="00FE0FF1">
        <w:trPr>
          <w:trHeight w:val="304"/>
        </w:trPr>
        <w:tc>
          <w:tcPr>
            <w:tcW w:w="1418" w:type="dxa"/>
          </w:tcPr>
          <w:p w14:paraId="78D07298" w14:textId="597FA9C8"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0540</w:t>
            </w:r>
          </w:p>
        </w:tc>
        <w:tc>
          <w:tcPr>
            <w:tcW w:w="7590" w:type="dxa"/>
          </w:tcPr>
          <w:p w14:paraId="471391D4" w14:textId="3B5AEE77" w:rsidR="00AE5491" w:rsidRPr="00F245CC" w:rsidRDefault="00AE5491"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1.2.12.2 encumbered for </w:t>
            </w:r>
            <w:r w:rsidR="00FF64DD">
              <w:rPr>
                <w:rFonts w:ascii="Times New Roman"/>
                <w:b/>
                <w:sz w:val="18"/>
                <w:szCs w:val="18"/>
                <w:u w:val="thick" w:color="000000"/>
              </w:rPr>
              <w:t>a residual maturity of one year or more</w:t>
            </w:r>
          </w:p>
          <w:p w14:paraId="54CE4616" w14:textId="7365848C" w:rsidR="00AE5491" w:rsidRPr="00CF4E2F" w:rsidRDefault="00AE5491"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1.2.12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6FC923DB" w14:textId="26696182" w:rsidR="00AE5491" w:rsidRPr="00CF4E2F" w:rsidRDefault="00AE5491" w:rsidP="003022BA">
            <w:pPr>
              <w:pStyle w:val="TableParagraph"/>
              <w:ind w:left="102" w:right="99"/>
              <w:jc w:val="both"/>
              <w:rPr>
                <w:rFonts w:ascii="Times New Roman" w:eastAsia="Times New Roman" w:hAnsi="Times New Roman" w:cs="Times New Roman"/>
                <w:sz w:val="18"/>
                <w:szCs w:val="18"/>
              </w:rPr>
            </w:pPr>
          </w:p>
        </w:tc>
      </w:tr>
      <w:tr w:rsidR="00AE5491" w:rsidRPr="00CF4E2F" w14:paraId="64EBA807" w14:textId="77777777" w:rsidTr="00FE0FF1">
        <w:trPr>
          <w:trHeight w:val="304"/>
        </w:trPr>
        <w:tc>
          <w:tcPr>
            <w:tcW w:w="1418" w:type="dxa"/>
          </w:tcPr>
          <w:p w14:paraId="06BD4FB6" w14:textId="36859705" w:rsidR="00AE5491" w:rsidRPr="001A257C" w:rsidRDefault="00AE5491"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0550</w:t>
            </w:r>
          </w:p>
        </w:tc>
        <w:tc>
          <w:tcPr>
            <w:tcW w:w="7590" w:type="dxa"/>
          </w:tcPr>
          <w:p w14:paraId="24261F70" w14:textId="2A7B1B68" w:rsidR="00AE5491" w:rsidRPr="00CF4E2F" w:rsidRDefault="00AE5491"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1.2.13 HQLAs encumbered for </w:t>
            </w:r>
            <w:r w:rsidR="00FF64DD">
              <w:rPr>
                <w:rFonts w:ascii="Times New Roman"/>
                <w:b/>
                <w:sz w:val="18"/>
                <w:szCs w:val="18"/>
                <w:u w:val="thick" w:color="000000"/>
              </w:rPr>
              <w:t>a residual maturity of one year or more</w:t>
            </w:r>
            <w:r w:rsidRPr="00CF4E2F">
              <w:rPr>
                <w:rFonts w:ascii="Times New Roman"/>
                <w:b/>
                <w:sz w:val="18"/>
                <w:szCs w:val="18"/>
                <w:u w:val="thick" w:color="000000"/>
              </w:rPr>
              <w:t xml:space="preserve"> in </w:t>
            </w:r>
            <w:r>
              <w:rPr>
                <w:rFonts w:ascii="Times New Roman"/>
                <w:b/>
                <w:sz w:val="18"/>
                <w:szCs w:val="18"/>
                <w:u w:val="thick" w:color="000000"/>
              </w:rPr>
              <w:t xml:space="preserve">a </w:t>
            </w:r>
            <w:r w:rsidRPr="00CF4E2F">
              <w:rPr>
                <w:rFonts w:ascii="Times New Roman"/>
                <w:b/>
                <w:sz w:val="18"/>
                <w:szCs w:val="18"/>
                <w:u w:val="thick" w:color="000000"/>
              </w:rPr>
              <w:t>cover pool</w:t>
            </w:r>
          </w:p>
          <w:p w14:paraId="6590DCAF" w14:textId="77777777" w:rsidR="00AE5491" w:rsidRPr="00CF4E2F" w:rsidRDefault="00AE5491" w:rsidP="009E245E">
            <w:pPr>
              <w:pStyle w:val="TableParagraph"/>
              <w:spacing w:before="117"/>
              <w:ind w:left="102" w:right="99"/>
              <w:jc w:val="both"/>
              <w:rPr>
                <w:rFonts w:ascii="Times New Roman"/>
                <w:sz w:val="18"/>
                <w:szCs w:val="18"/>
              </w:rPr>
            </w:pPr>
            <w:r w:rsidRPr="00CF4E2F">
              <w:rPr>
                <w:rFonts w:ascii="Times New Roman"/>
                <w:sz w:val="18"/>
                <w:szCs w:val="18"/>
              </w:rPr>
              <w:t>Article 428ag(h)</w:t>
            </w:r>
            <w:r w:rsidRPr="00CF4E2F">
              <w:rPr>
                <w:sz w:val="18"/>
                <w:szCs w:val="18"/>
              </w:rPr>
              <w:t xml:space="preserve"> </w:t>
            </w:r>
            <w:r w:rsidRPr="00CF4E2F">
              <w:rPr>
                <w:rFonts w:ascii="Times New Roman"/>
                <w:sz w:val="18"/>
                <w:szCs w:val="18"/>
              </w:rPr>
              <w:t>of CRR</w:t>
            </w:r>
            <w:r>
              <w:rPr>
                <w:rFonts w:ascii="Times New Roman"/>
                <w:sz w:val="18"/>
                <w:szCs w:val="18"/>
              </w:rPr>
              <w:t>.</w:t>
            </w:r>
          </w:p>
          <w:p w14:paraId="016F0CFB" w14:textId="4CD15DFA" w:rsidR="00AE5491" w:rsidRPr="00CF4E2F" w:rsidRDefault="00AE5491" w:rsidP="009E245E">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1.2 which is </w:t>
            </w:r>
            <w:r>
              <w:rPr>
                <w:rFonts w:ascii="Times New Roman"/>
                <w:sz w:val="18"/>
                <w:szCs w:val="18"/>
              </w:rPr>
              <w:t xml:space="preserve">related to assets that are </w:t>
            </w:r>
            <w:r w:rsidRPr="00CF4E2F">
              <w:rPr>
                <w:rFonts w:ascii="Times New Roman"/>
                <w:sz w:val="18"/>
                <w:szCs w:val="18"/>
              </w:rPr>
              <w:t xml:space="preserve">encumbered for </w:t>
            </w:r>
            <w:r>
              <w:rPr>
                <w:rFonts w:ascii="Times New Roman" w:eastAsia="Times New Roman" w:hAnsi="Times New Roman" w:cs="Times New Roman"/>
                <w:sz w:val="18"/>
                <w:szCs w:val="18"/>
              </w:rPr>
              <w:t>a residual maturity of one year or more</w:t>
            </w:r>
            <w:r w:rsidRPr="00CF4E2F">
              <w:rPr>
                <w:rFonts w:ascii="Times New Roman"/>
                <w:sz w:val="18"/>
                <w:szCs w:val="18"/>
              </w:rPr>
              <w:t xml:space="preserve"> in a cover pool funded by covered bonds as referred to in Article 52(4) of Directive 2009/65/EC or covered bonds which meet the eligibility requirements for the treatment as set out in Article 129(4) or (5) of CRR.</w:t>
            </w:r>
          </w:p>
          <w:p w14:paraId="27A7A181" w14:textId="36E28BCC" w:rsidR="00AE5491" w:rsidRPr="00CF4E2F" w:rsidRDefault="00AE5491" w:rsidP="003022BA">
            <w:pPr>
              <w:pStyle w:val="TableParagraph"/>
              <w:ind w:left="102" w:right="99"/>
              <w:jc w:val="both"/>
              <w:rPr>
                <w:rFonts w:ascii="Times New Roman"/>
                <w:b/>
                <w:sz w:val="18"/>
                <w:szCs w:val="18"/>
                <w:u w:val="thick" w:color="000000"/>
              </w:rPr>
            </w:pPr>
          </w:p>
        </w:tc>
      </w:tr>
      <w:tr w:rsidR="00EE164B" w:rsidRPr="00CF4E2F" w14:paraId="3910139B" w14:textId="77777777" w:rsidTr="00FE0FF1">
        <w:trPr>
          <w:trHeight w:val="304"/>
        </w:trPr>
        <w:tc>
          <w:tcPr>
            <w:tcW w:w="1418" w:type="dxa"/>
          </w:tcPr>
          <w:p w14:paraId="7A2ACF55" w14:textId="18FAE579" w:rsidR="00EE164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0560</w:t>
            </w:r>
          </w:p>
        </w:tc>
        <w:tc>
          <w:tcPr>
            <w:tcW w:w="7590" w:type="dxa"/>
          </w:tcPr>
          <w:p w14:paraId="19196081" w14:textId="77777777" w:rsidR="00EE164B" w:rsidRPr="00CF4E2F" w:rsidRDefault="00EE164B" w:rsidP="00BB332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1.3 RSF from securities other than liquid assets</w:t>
            </w:r>
          </w:p>
          <w:p w14:paraId="4CE30084" w14:textId="2611B09D" w:rsidR="007048CF" w:rsidRPr="00CF4E2F" w:rsidRDefault="007048CF" w:rsidP="007048CF">
            <w:pPr>
              <w:pStyle w:val="TableParagraph"/>
              <w:spacing w:before="117"/>
              <w:ind w:left="102" w:right="99"/>
              <w:jc w:val="both"/>
              <w:rPr>
                <w:rFonts w:ascii="Times New Roman"/>
                <w:sz w:val="18"/>
                <w:szCs w:val="18"/>
              </w:rPr>
            </w:pPr>
            <w:r w:rsidRPr="00CF4E2F">
              <w:rPr>
                <w:rFonts w:ascii="Times New Roman"/>
                <w:sz w:val="18"/>
                <w:szCs w:val="18"/>
              </w:rPr>
              <w:t>Article</w:t>
            </w:r>
            <w:r w:rsidR="00883137">
              <w:rPr>
                <w:rFonts w:ascii="Times New Roman"/>
                <w:sz w:val="18"/>
                <w:szCs w:val="18"/>
              </w:rPr>
              <w:t>s</w:t>
            </w:r>
            <w:r w:rsidRPr="00CF4E2F">
              <w:rPr>
                <w:rFonts w:ascii="Times New Roman"/>
                <w:sz w:val="18"/>
                <w:szCs w:val="18"/>
              </w:rPr>
              <w:t xml:space="preserve"> 428ag(e) and </w:t>
            </w:r>
            <w:r w:rsidR="005010CB">
              <w:rPr>
                <w:rFonts w:ascii="Times New Roman"/>
                <w:sz w:val="18"/>
                <w:szCs w:val="18"/>
              </w:rPr>
              <w:t>428ag</w:t>
            </w:r>
            <w:r w:rsidRPr="00CF4E2F">
              <w:rPr>
                <w:rFonts w:ascii="Times New Roman"/>
                <w:sz w:val="18"/>
                <w:szCs w:val="18"/>
              </w:rPr>
              <w:t>(f)</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4DD3FD2F" w14:textId="0BD5961D" w:rsidR="00EE164B" w:rsidRPr="00CF4E2F" w:rsidRDefault="00EE164B" w:rsidP="007048CF">
            <w:pPr>
              <w:pStyle w:val="TableParagraph"/>
              <w:spacing w:before="117"/>
              <w:ind w:left="102" w:right="99"/>
              <w:jc w:val="both"/>
              <w:rPr>
                <w:rFonts w:ascii="Times New Roman"/>
                <w:sz w:val="18"/>
                <w:szCs w:val="18"/>
              </w:rPr>
            </w:pPr>
            <w:r w:rsidRPr="00CF4E2F">
              <w:rPr>
                <w:rFonts w:ascii="Times New Roman"/>
                <w:sz w:val="18"/>
                <w:szCs w:val="18"/>
              </w:rPr>
              <w:t xml:space="preserve">Institutions shall report here securities </w:t>
            </w:r>
            <w:r w:rsidR="007048CF" w:rsidRPr="00CF4E2F">
              <w:rPr>
                <w:rFonts w:ascii="Times New Roman"/>
                <w:sz w:val="18"/>
                <w:szCs w:val="18"/>
              </w:rPr>
              <w:t>that are n</w:t>
            </w:r>
            <w:r w:rsidR="007048CF" w:rsidRPr="00363567">
              <w:rPr>
                <w:rFonts w:ascii="Times New Roman"/>
                <w:sz w:val="18"/>
                <w:szCs w:val="18"/>
              </w:rPr>
              <w:t xml:space="preserve">ot in default </w:t>
            </w:r>
            <w:r w:rsidR="005B327F" w:rsidRPr="00363567">
              <w:rPr>
                <w:rFonts w:ascii="Times New Roman"/>
                <w:sz w:val="18"/>
                <w:szCs w:val="18"/>
              </w:rPr>
              <w:t>in a</w:t>
            </w:r>
            <w:r w:rsidR="005B327F" w:rsidRPr="00CF4E2F">
              <w:rPr>
                <w:rFonts w:ascii="Times New Roman"/>
                <w:sz w:val="18"/>
                <w:szCs w:val="18"/>
              </w:rPr>
              <w:t xml:space="preserve">ccordance with Article 178 of </w:t>
            </w:r>
            <w:r w:rsidR="00416B4D" w:rsidRPr="00CF4E2F">
              <w:rPr>
                <w:rFonts w:ascii="Times New Roman"/>
                <w:sz w:val="18"/>
                <w:szCs w:val="18"/>
              </w:rPr>
              <w:t>CRR</w:t>
            </w:r>
            <w:r w:rsidR="005B327F" w:rsidRPr="00CF4E2F">
              <w:rPr>
                <w:rFonts w:ascii="Times New Roman"/>
                <w:sz w:val="18"/>
                <w:szCs w:val="18"/>
              </w:rPr>
              <w:t xml:space="preserve"> </w:t>
            </w:r>
            <w:r w:rsidR="007048CF" w:rsidRPr="00CF4E2F">
              <w:rPr>
                <w:rFonts w:ascii="Times New Roman"/>
                <w:sz w:val="18"/>
                <w:szCs w:val="18"/>
              </w:rPr>
              <w:t xml:space="preserve">and </w:t>
            </w:r>
            <w:r w:rsidRPr="00CF4E2F">
              <w:rPr>
                <w:rFonts w:ascii="Times New Roman"/>
                <w:sz w:val="18"/>
                <w:szCs w:val="18"/>
              </w:rPr>
              <w:t xml:space="preserve">that are not liquid assets pursuant to </w:t>
            </w:r>
            <w:r w:rsidR="003B66BD" w:rsidRPr="00CF4E2F">
              <w:rPr>
                <w:rFonts w:ascii="Times New Roman"/>
                <w:sz w:val="18"/>
                <w:szCs w:val="18"/>
              </w:rPr>
              <w:t xml:space="preserve">Delegated </w:t>
            </w:r>
            <w:r w:rsidR="00401A13">
              <w:rPr>
                <w:rFonts w:ascii="Times New Roman"/>
                <w:sz w:val="18"/>
                <w:szCs w:val="18"/>
              </w:rPr>
              <w:t>R</w:t>
            </w:r>
            <w:r w:rsidR="003B66BD" w:rsidRPr="00CF4E2F">
              <w:rPr>
                <w:rFonts w:ascii="Times New Roman"/>
                <w:sz w:val="18"/>
                <w:szCs w:val="18"/>
              </w:rPr>
              <w:t>egulation (EU) 2015/61</w:t>
            </w:r>
            <w:r w:rsidR="006C452D">
              <w:rPr>
                <w:rFonts w:ascii="Times New Roman"/>
                <w:sz w:val="18"/>
                <w:szCs w:val="18"/>
              </w:rPr>
              <w:t>,</w:t>
            </w:r>
            <w:r w:rsidR="006C452D" w:rsidRPr="00CF4E2F">
              <w:rPr>
                <w:sz w:val="18"/>
                <w:szCs w:val="18"/>
              </w:rPr>
              <w:t xml:space="preserve"> </w:t>
            </w:r>
            <w:r w:rsidRPr="00CF4E2F">
              <w:rPr>
                <w:rFonts w:ascii="Times New Roman"/>
                <w:sz w:val="18"/>
                <w:szCs w:val="18"/>
              </w:rPr>
              <w:t>regardless if they comply with the operational requirements laid down therein.</w:t>
            </w:r>
          </w:p>
          <w:p w14:paraId="5760D674" w14:textId="7BECFDDD" w:rsidR="000A1E56" w:rsidRPr="00CF4E2F" w:rsidRDefault="000A1E56" w:rsidP="003022BA">
            <w:pPr>
              <w:pStyle w:val="TableParagraph"/>
              <w:ind w:left="102" w:right="99"/>
              <w:jc w:val="both"/>
              <w:rPr>
                <w:rFonts w:ascii="Times New Roman"/>
                <w:sz w:val="18"/>
                <w:szCs w:val="18"/>
              </w:rPr>
            </w:pPr>
          </w:p>
        </w:tc>
      </w:tr>
      <w:tr w:rsidR="00EE164B" w:rsidRPr="00CF4E2F" w14:paraId="57EF7D67" w14:textId="77777777" w:rsidTr="00FE0FF1">
        <w:trPr>
          <w:trHeight w:val="304"/>
        </w:trPr>
        <w:tc>
          <w:tcPr>
            <w:tcW w:w="1418" w:type="dxa"/>
          </w:tcPr>
          <w:p w14:paraId="3B663B96" w14:textId="48DD382D" w:rsidR="00EE164B" w:rsidRPr="001A257C" w:rsidRDefault="00047F14" w:rsidP="00047F14">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w:t>
            </w:r>
            <w:r>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6174F2F6" w14:textId="43A71D7F" w:rsidR="00FF1A17" w:rsidRPr="00CF4E2F" w:rsidRDefault="00FF1A17" w:rsidP="007048CF">
            <w:pPr>
              <w:pStyle w:val="TableParagraph"/>
              <w:spacing w:before="117"/>
              <w:ind w:left="102" w:right="99"/>
              <w:jc w:val="both"/>
              <w:rPr>
                <w:rFonts w:ascii="Times New Roman"/>
                <w:sz w:val="18"/>
                <w:szCs w:val="18"/>
              </w:rPr>
            </w:pPr>
            <w:r w:rsidRPr="00A66401">
              <w:rPr>
                <w:rFonts w:ascii="Times New Roman"/>
                <w:b/>
                <w:sz w:val="18"/>
                <w:szCs w:val="18"/>
                <w:u w:val="thick"/>
              </w:rPr>
              <w:t xml:space="preserve">1.3.1 non-HQLA securities </w:t>
            </w:r>
            <w:r w:rsidR="00B037DD" w:rsidRPr="00A66401">
              <w:rPr>
                <w:rFonts w:ascii="Times New Roman"/>
                <w:b/>
                <w:sz w:val="18"/>
                <w:szCs w:val="18"/>
                <w:u w:val="thick"/>
              </w:rPr>
              <w:t>and exchanged traded</w:t>
            </w:r>
            <w:r w:rsidRPr="00A66401">
              <w:rPr>
                <w:rFonts w:ascii="Times New Roman"/>
                <w:b/>
                <w:sz w:val="18"/>
                <w:szCs w:val="18"/>
                <w:u w:val="thick"/>
              </w:rPr>
              <w:t xml:space="preserve"> equities</w:t>
            </w:r>
          </w:p>
          <w:p w14:paraId="7F94E019" w14:textId="3C92A292" w:rsidR="007048CF" w:rsidRPr="00CF4E2F" w:rsidRDefault="007048CF" w:rsidP="007048CF">
            <w:pPr>
              <w:pStyle w:val="TableParagraph"/>
              <w:spacing w:before="117"/>
              <w:ind w:left="102" w:right="99"/>
              <w:jc w:val="both"/>
              <w:rPr>
                <w:rFonts w:ascii="Times New Roman"/>
                <w:sz w:val="18"/>
                <w:szCs w:val="18"/>
              </w:rPr>
            </w:pPr>
            <w:r w:rsidRPr="00CF4E2F">
              <w:rPr>
                <w:rFonts w:ascii="Times New Roman"/>
                <w:sz w:val="18"/>
                <w:szCs w:val="18"/>
              </w:rPr>
              <w:t xml:space="preserve">Article 428ag(e) </w:t>
            </w:r>
            <w:r w:rsidR="009258BF">
              <w:rPr>
                <w:rFonts w:ascii="Times New Roman"/>
                <w:sz w:val="18"/>
                <w:szCs w:val="18"/>
              </w:rPr>
              <w:t>and (f) and Article 428ah(1)(b) of CRR</w:t>
            </w:r>
            <w:r w:rsidR="00E7638A">
              <w:rPr>
                <w:rFonts w:ascii="Times New Roman"/>
                <w:sz w:val="18"/>
                <w:szCs w:val="18"/>
              </w:rPr>
              <w:t>.</w:t>
            </w:r>
          </w:p>
          <w:p w14:paraId="5835612C" w14:textId="58D0CDAB" w:rsidR="00EE164B" w:rsidRPr="00CF4E2F" w:rsidRDefault="00623701" w:rsidP="006A093C">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1.3 </w:t>
            </w:r>
            <w:r w:rsidRPr="00B67345">
              <w:rPr>
                <w:rFonts w:ascii="Times New Roman"/>
                <w:sz w:val="18"/>
              </w:rPr>
              <w:t xml:space="preserve">that is </w:t>
            </w:r>
            <w:r w:rsidR="00926B7C">
              <w:rPr>
                <w:rFonts w:ascii="Times New Roman" w:eastAsia="Times New Roman" w:hAnsi="Times New Roman" w:cs="Times New Roman"/>
                <w:sz w:val="18"/>
                <w:szCs w:val="18"/>
              </w:rPr>
              <w:t xml:space="preserve">related to </w:t>
            </w:r>
            <w:r w:rsidR="00B037DD" w:rsidRPr="00CF4E2F">
              <w:rPr>
                <w:rFonts w:ascii="Times New Roman"/>
                <w:sz w:val="18"/>
                <w:szCs w:val="18"/>
              </w:rPr>
              <w:t>non-HQLA securities other than non-exchange traded equities</w:t>
            </w:r>
            <w:r w:rsidR="0094402C">
              <w:rPr>
                <w:rFonts w:ascii="Times New Roman"/>
                <w:sz w:val="18"/>
                <w:szCs w:val="18"/>
              </w:rPr>
              <w:t>, excluding the securities reported under item 1.3.3</w:t>
            </w:r>
            <w:r w:rsidR="00B037DD" w:rsidRPr="00CF4E2F">
              <w:rPr>
                <w:rFonts w:ascii="Times New Roman"/>
                <w:sz w:val="18"/>
                <w:szCs w:val="18"/>
              </w:rPr>
              <w:t>.</w:t>
            </w:r>
          </w:p>
          <w:p w14:paraId="5C08C80D" w14:textId="7F43698E" w:rsidR="00B037DD" w:rsidRPr="00CF4E2F" w:rsidRDefault="00926B7C" w:rsidP="00B67345">
            <w:pPr>
              <w:pStyle w:val="TableParagraph"/>
              <w:tabs>
                <w:tab w:val="left" w:pos="2520"/>
              </w:tabs>
              <w:ind w:left="102" w:right="99"/>
              <w:jc w:val="both"/>
              <w:rPr>
                <w:rFonts w:ascii="Times New Roman"/>
                <w:b/>
                <w:sz w:val="18"/>
                <w:szCs w:val="18"/>
                <w:u w:val="thick" w:color="000000"/>
              </w:rPr>
            </w:pPr>
            <w:r>
              <w:rPr>
                <w:rFonts w:ascii="Times New Roman"/>
                <w:b/>
                <w:sz w:val="18"/>
                <w:szCs w:val="18"/>
                <w:u w:val="thick" w:color="000000"/>
              </w:rPr>
              <w:tab/>
            </w:r>
          </w:p>
        </w:tc>
      </w:tr>
      <w:tr w:rsidR="009E245E" w:rsidRPr="00CF4E2F" w14:paraId="3A182AC6" w14:textId="77777777" w:rsidTr="00FE0FF1">
        <w:trPr>
          <w:trHeight w:val="304"/>
        </w:trPr>
        <w:tc>
          <w:tcPr>
            <w:tcW w:w="1418" w:type="dxa"/>
          </w:tcPr>
          <w:p w14:paraId="218B7045" w14:textId="1EF0A9D1" w:rsidR="009E245E" w:rsidRPr="001A257C" w:rsidRDefault="009E245E" w:rsidP="008D34E3">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05</w:t>
            </w:r>
            <w:r w:rsidR="00047F14">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49EA9143" w14:textId="1BEC9ACC" w:rsidR="009E245E" w:rsidRPr="00CF4E2F" w:rsidRDefault="009E245E" w:rsidP="009E245E">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1.3.1.1 unencumbered or encumbered </w:t>
            </w:r>
            <w:r w:rsidR="00635F69">
              <w:rPr>
                <w:rFonts w:ascii="Times New Roman"/>
                <w:b/>
                <w:sz w:val="18"/>
                <w:szCs w:val="18"/>
                <w:u w:val="thick" w:color="000000"/>
              </w:rPr>
              <w:t>for a residual maturity of less than one year</w:t>
            </w:r>
          </w:p>
          <w:p w14:paraId="46D38FD4" w14:textId="1B04BAB1" w:rsidR="009E245E" w:rsidRPr="00CF4E2F" w:rsidRDefault="009E245E"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1.3.1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r w:rsidRPr="00CF4E2F">
              <w:rPr>
                <w:rFonts w:ascii="Times New Roman" w:eastAsia="Times New Roman" w:hAnsi="Times New Roman" w:cs="Times New Roman"/>
                <w:sz w:val="18"/>
                <w:szCs w:val="18"/>
              </w:rPr>
              <w:t>.</w:t>
            </w:r>
          </w:p>
          <w:p w14:paraId="7D5ED4D7" w14:textId="1C45AB1F" w:rsidR="009E245E" w:rsidRPr="00CF4E2F" w:rsidRDefault="009E245E" w:rsidP="003022BA">
            <w:pPr>
              <w:pStyle w:val="TableParagraph"/>
              <w:ind w:left="102" w:right="99"/>
              <w:jc w:val="both"/>
              <w:rPr>
                <w:rFonts w:ascii="Times New Roman"/>
                <w:b/>
                <w:sz w:val="18"/>
                <w:szCs w:val="18"/>
                <w:u w:val="thick" w:color="000000"/>
              </w:rPr>
            </w:pPr>
          </w:p>
        </w:tc>
      </w:tr>
      <w:tr w:rsidR="009E245E" w:rsidRPr="00CF4E2F" w14:paraId="3F102C64" w14:textId="77777777" w:rsidTr="00FE0FF1">
        <w:trPr>
          <w:trHeight w:val="304"/>
        </w:trPr>
        <w:tc>
          <w:tcPr>
            <w:tcW w:w="1418" w:type="dxa"/>
          </w:tcPr>
          <w:p w14:paraId="4640B0FD" w14:textId="3D74AE53" w:rsidR="009E245E" w:rsidRPr="001A257C" w:rsidRDefault="009E245E"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w:t>
            </w:r>
            <w:r w:rsidR="00047F14">
              <w:rPr>
                <w:rFonts w:ascii="Times New Roman" w:eastAsia="Times New Roman" w:hAnsi="Times New Roman" w:cs="Times New Roman"/>
                <w:sz w:val="18"/>
                <w:szCs w:val="18"/>
              </w:rPr>
              <w:t>59</w:t>
            </w:r>
            <w:r>
              <w:rPr>
                <w:rFonts w:ascii="Times New Roman" w:eastAsia="Times New Roman" w:hAnsi="Times New Roman" w:cs="Times New Roman"/>
                <w:sz w:val="18"/>
                <w:szCs w:val="18"/>
              </w:rPr>
              <w:t>0</w:t>
            </w:r>
          </w:p>
        </w:tc>
        <w:tc>
          <w:tcPr>
            <w:tcW w:w="7590" w:type="dxa"/>
          </w:tcPr>
          <w:p w14:paraId="3D41A5B6" w14:textId="5EFB49CB" w:rsidR="009E245E" w:rsidRPr="00F245CC" w:rsidRDefault="009E245E" w:rsidP="009E245E">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1.3.1.2 encumbered for </w:t>
            </w:r>
            <w:r w:rsidR="00FF64DD">
              <w:rPr>
                <w:rFonts w:ascii="Times New Roman"/>
                <w:b/>
                <w:sz w:val="18"/>
                <w:szCs w:val="18"/>
                <w:u w:val="thick" w:color="000000"/>
              </w:rPr>
              <w:t>a residual maturity of one year or more</w:t>
            </w:r>
          </w:p>
          <w:p w14:paraId="1A7F0DF6" w14:textId="5A5096A9" w:rsidR="009E245E" w:rsidRPr="00CF4E2F" w:rsidRDefault="009E245E" w:rsidP="009E245E">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1.3.1 that is </w:t>
            </w:r>
            <w:r w:rsidR="00464840">
              <w:rPr>
                <w:rFonts w:ascii="Times New Roman" w:eastAsia="Times New Roman" w:hAnsi="Times New Roman" w:cs="Times New Roman"/>
                <w:sz w:val="18"/>
                <w:szCs w:val="18"/>
              </w:rPr>
              <w:t>related to assets that are</w:t>
            </w:r>
            <w:r w:rsidR="00464840"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one year or more.</w:t>
            </w:r>
          </w:p>
          <w:p w14:paraId="3AD2ABA8" w14:textId="6601F68A" w:rsidR="009E245E" w:rsidRPr="00CF4E2F" w:rsidRDefault="009E245E" w:rsidP="003022BA">
            <w:pPr>
              <w:pStyle w:val="TableParagraph"/>
              <w:ind w:left="102" w:right="99"/>
              <w:jc w:val="both"/>
              <w:rPr>
                <w:rFonts w:ascii="Times New Roman" w:eastAsia="Times New Roman" w:hAnsi="Times New Roman" w:cs="Times New Roman"/>
                <w:sz w:val="18"/>
                <w:szCs w:val="18"/>
              </w:rPr>
            </w:pPr>
          </w:p>
        </w:tc>
      </w:tr>
      <w:tr w:rsidR="004727E7" w:rsidRPr="00CF4E2F" w14:paraId="1ED067B9" w14:textId="77777777" w:rsidTr="00FE0FF1">
        <w:trPr>
          <w:trHeight w:val="304"/>
        </w:trPr>
        <w:tc>
          <w:tcPr>
            <w:tcW w:w="1418" w:type="dxa"/>
          </w:tcPr>
          <w:p w14:paraId="00AAE5EA" w14:textId="7C38A06E"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sidR="00047F14">
              <w:rPr>
                <w:rFonts w:ascii="Times New Roman" w:eastAsia="Times New Roman" w:hAnsi="Times New Roman" w:cs="Times New Roman"/>
                <w:sz w:val="18"/>
                <w:szCs w:val="18"/>
              </w:rPr>
              <w:t>0</w:t>
            </w:r>
            <w:r w:rsidRPr="00CF4E2F">
              <w:rPr>
                <w:rFonts w:ascii="Times New Roman" w:eastAsia="Times New Roman" w:hAnsi="Times New Roman" w:cs="Times New Roman"/>
                <w:sz w:val="18"/>
                <w:szCs w:val="18"/>
              </w:rPr>
              <w:t>0</w:t>
            </w:r>
          </w:p>
        </w:tc>
        <w:tc>
          <w:tcPr>
            <w:tcW w:w="7590" w:type="dxa"/>
          </w:tcPr>
          <w:p w14:paraId="7EBDBD4A" w14:textId="77777777" w:rsidR="004727E7" w:rsidRPr="0094402C" w:rsidRDefault="004727E7" w:rsidP="00047F14">
            <w:pPr>
              <w:pStyle w:val="TableParagraph"/>
              <w:spacing w:before="117"/>
              <w:ind w:left="102" w:right="99"/>
              <w:jc w:val="both"/>
              <w:rPr>
                <w:rFonts w:ascii="Times New Roman"/>
                <w:sz w:val="18"/>
                <w:szCs w:val="18"/>
                <w:lang w:val="fr-FR"/>
              </w:rPr>
            </w:pPr>
            <w:r w:rsidRPr="0094402C">
              <w:rPr>
                <w:rFonts w:ascii="Times New Roman"/>
                <w:b/>
                <w:sz w:val="18"/>
                <w:szCs w:val="18"/>
                <w:u w:val="thick"/>
                <w:lang w:val="fr-FR"/>
              </w:rPr>
              <w:t>1.3.2 non-HQLA non-exchange traded equities</w:t>
            </w:r>
          </w:p>
          <w:p w14:paraId="5013BC30" w14:textId="77777777"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Article 428ah(1)(b)o of CRR</w:t>
            </w:r>
            <w:r>
              <w:rPr>
                <w:rFonts w:ascii="Times New Roman"/>
                <w:sz w:val="18"/>
                <w:szCs w:val="18"/>
              </w:rPr>
              <w:t>.</w:t>
            </w:r>
          </w:p>
          <w:p w14:paraId="20276477" w14:textId="7B913AD7"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1.3 </w:t>
            </w:r>
            <w:r w:rsidRPr="00DE20BF">
              <w:rPr>
                <w:rFonts w:ascii="Times New Roman" w:hAnsi="Times New Roman" w:cs="Times New Roman"/>
                <w:sz w:val="18"/>
                <w:szCs w:val="18"/>
              </w:rPr>
              <w:t>that is related to non-exchange traded equity</w:t>
            </w:r>
            <w:r w:rsidR="0094402C">
              <w:rPr>
                <w:rFonts w:ascii="Times New Roman" w:hAnsi="Times New Roman" w:cs="Times New Roman"/>
                <w:sz w:val="18"/>
                <w:szCs w:val="18"/>
              </w:rPr>
              <w:t xml:space="preserve">, </w:t>
            </w:r>
            <w:r w:rsidR="0094402C">
              <w:rPr>
                <w:rFonts w:ascii="Times New Roman"/>
                <w:sz w:val="18"/>
                <w:szCs w:val="18"/>
              </w:rPr>
              <w:t>excluding the securities reported under item 1.3.3</w:t>
            </w:r>
            <w:r w:rsidR="0094402C" w:rsidRPr="00CF4E2F">
              <w:rPr>
                <w:rFonts w:ascii="Times New Roman"/>
                <w:sz w:val="18"/>
                <w:szCs w:val="18"/>
              </w:rPr>
              <w:t>.</w:t>
            </w:r>
            <w:r w:rsidRPr="00DE20BF">
              <w:rPr>
                <w:rFonts w:ascii="Times New Roman" w:hAnsi="Times New Roman" w:cs="Times New Roman"/>
                <w:sz w:val="18"/>
                <w:szCs w:val="18"/>
              </w:rPr>
              <w:t>.</w:t>
            </w:r>
          </w:p>
          <w:p w14:paraId="3742F57C" w14:textId="16DC260F" w:rsidR="004727E7" w:rsidRPr="00CF4E2F" w:rsidRDefault="004727E7" w:rsidP="003022BA">
            <w:pPr>
              <w:pStyle w:val="TableParagraph"/>
              <w:ind w:left="102" w:right="99"/>
              <w:jc w:val="both"/>
              <w:rPr>
                <w:rFonts w:ascii="Times New Roman"/>
                <w:sz w:val="18"/>
                <w:szCs w:val="18"/>
              </w:rPr>
            </w:pPr>
          </w:p>
        </w:tc>
      </w:tr>
      <w:tr w:rsidR="00047F14" w:rsidRPr="00CF4E2F" w14:paraId="44032530" w14:textId="77777777" w:rsidTr="00FE0FF1">
        <w:trPr>
          <w:trHeight w:val="304"/>
        </w:trPr>
        <w:tc>
          <w:tcPr>
            <w:tcW w:w="1418" w:type="dxa"/>
          </w:tcPr>
          <w:p w14:paraId="1EBA3D24" w14:textId="7BCE0413" w:rsidR="00047F14" w:rsidRPr="00CF4E2F" w:rsidRDefault="00047F14" w:rsidP="00AE380B">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0610</w:t>
            </w:r>
          </w:p>
        </w:tc>
        <w:tc>
          <w:tcPr>
            <w:tcW w:w="7590" w:type="dxa"/>
          </w:tcPr>
          <w:p w14:paraId="0035B21A" w14:textId="5D6F11AE" w:rsidR="00047F14" w:rsidRDefault="00047F14" w:rsidP="00047F14">
            <w:pPr>
              <w:pStyle w:val="TableParagraph"/>
              <w:spacing w:before="117"/>
              <w:ind w:left="102" w:right="99"/>
              <w:jc w:val="both"/>
              <w:rPr>
                <w:rFonts w:ascii="Times New Roman"/>
                <w:b/>
                <w:sz w:val="18"/>
                <w:szCs w:val="18"/>
                <w:u w:val="thick" w:color="000000"/>
              </w:rPr>
            </w:pPr>
            <w:r>
              <w:rPr>
                <w:rFonts w:ascii="Times New Roman"/>
                <w:b/>
                <w:sz w:val="18"/>
                <w:szCs w:val="18"/>
                <w:u w:val="thick" w:color="000000"/>
              </w:rPr>
              <w:t xml:space="preserve">1.3.3 non-HQLA securities </w:t>
            </w:r>
            <w:r w:rsidRPr="00CF4E2F">
              <w:rPr>
                <w:rFonts w:ascii="Times New Roman"/>
                <w:b/>
                <w:sz w:val="18"/>
                <w:szCs w:val="18"/>
                <w:u w:val="thick" w:color="000000"/>
              </w:rPr>
              <w:t xml:space="preserve">encumbered for </w:t>
            </w:r>
            <w:r w:rsidR="00FF64DD">
              <w:rPr>
                <w:rFonts w:ascii="Times New Roman"/>
                <w:b/>
                <w:sz w:val="18"/>
                <w:szCs w:val="18"/>
                <w:u w:val="thick" w:color="000000"/>
              </w:rPr>
              <w:t>a residual maturity of one year or more</w:t>
            </w:r>
            <w:r w:rsidRPr="00CF4E2F">
              <w:rPr>
                <w:rFonts w:ascii="Times New Roman"/>
                <w:b/>
                <w:sz w:val="18"/>
                <w:szCs w:val="18"/>
                <w:u w:val="thick" w:color="000000"/>
              </w:rPr>
              <w:t xml:space="preserve"> in </w:t>
            </w:r>
            <w:r>
              <w:rPr>
                <w:rFonts w:ascii="Times New Roman"/>
                <w:b/>
                <w:sz w:val="18"/>
                <w:szCs w:val="18"/>
                <w:u w:val="thick" w:color="000000"/>
              </w:rPr>
              <w:t xml:space="preserve">a </w:t>
            </w:r>
            <w:r w:rsidRPr="00CF4E2F">
              <w:rPr>
                <w:rFonts w:ascii="Times New Roman"/>
                <w:b/>
                <w:sz w:val="18"/>
                <w:szCs w:val="18"/>
                <w:u w:val="thick" w:color="000000"/>
              </w:rPr>
              <w:t>cover pool</w:t>
            </w:r>
          </w:p>
          <w:p w14:paraId="26FE513C" w14:textId="77777777" w:rsidR="00047F14" w:rsidRDefault="00047F14" w:rsidP="00047F14">
            <w:pPr>
              <w:pStyle w:val="TableParagraph"/>
              <w:spacing w:before="117"/>
              <w:ind w:left="102" w:right="99"/>
              <w:jc w:val="both"/>
              <w:rPr>
                <w:rFonts w:ascii="Times New Roman"/>
                <w:sz w:val="18"/>
                <w:szCs w:val="18"/>
                <w:u w:val="thick" w:color="000000"/>
              </w:rPr>
            </w:pPr>
            <w:r w:rsidRPr="00CF4E2F">
              <w:rPr>
                <w:rFonts w:ascii="Times New Roman"/>
                <w:sz w:val="18"/>
                <w:szCs w:val="18"/>
              </w:rPr>
              <w:t>Article 428ag(h)</w:t>
            </w:r>
            <w:r w:rsidRPr="00CF4E2F">
              <w:rPr>
                <w:sz w:val="18"/>
                <w:szCs w:val="18"/>
              </w:rPr>
              <w:t xml:space="preserve"> </w:t>
            </w:r>
            <w:r w:rsidRPr="00CF4E2F">
              <w:rPr>
                <w:rFonts w:ascii="Times New Roman"/>
                <w:sz w:val="18"/>
                <w:szCs w:val="18"/>
              </w:rPr>
              <w:t>of CRR</w:t>
            </w:r>
            <w:r>
              <w:rPr>
                <w:rFonts w:ascii="Times New Roman"/>
                <w:sz w:val="18"/>
                <w:szCs w:val="18"/>
              </w:rPr>
              <w:t>.</w:t>
            </w:r>
          </w:p>
          <w:p w14:paraId="36C1835D" w14:textId="77777777" w:rsidR="00047F14" w:rsidRDefault="00047F14" w:rsidP="00047F14">
            <w:pPr>
              <w:pStyle w:val="TableParagraph"/>
              <w:spacing w:before="117"/>
              <w:ind w:left="102" w:right="99"/>
              <w:jc w:val="both"/>
              <w:rPr>
                <w:rFonts w:ascii="Times New Roman"/>
                <w:sz w:val="18"/>
                <w:szCs w:val="18"/>
              </w:rPr>
            </w:pPr>
            <w:r w:rsidRPr="00464840">
              <w:rPr>
                <w:rFonts w:ascii="Times New Roman"/>
                <w:sz w:val="18"/>
                <w:szCs w:val="18"/>
              </w:rPr>
              <w:t>The amount reported in 1.3 which is related to assets that are encumbered for a residual maturity of one year or more in a cover pool funded by covered bonds as referred to in Article 52(4) of Directive 2009/65/EC or covered bonds which meet the eligibility requirements for the treatment as set out in Article 129(4) or (5) of CRR.</w:t>
            </w:r>
          </w:p>
          <w:p w14:paraId="69C84B71" w14:textId="2BECCEAD" w:rsidR="00047F14" w:rsidRPr="0094402C" w:rsidRDefault="00047F14" w:rsidP="00047F14">
            <w:pPr>
              <w:pStyle w:val="TableParagraph"/>
              <w:spacing w:before="117"/>
              <w:ind w:left="102" w:right="99"/>
              <w:jc w:val="both"/>
              <w:rPr>
                <w:rFonts w:ascii="Times New Roman"/>
                <w:b/>
                <w:sz w:val="18"/>
                <w:szCs w:val="18"/>
                <w:u w:val="thick"/>
                <w:lang w:val="en-GB"/>
              </w:rPr>
            </w:pPr>
          </w:p>
        </w:tc>
      </w:tr>
      <w:tr w:rsidR="006628F2" w:rsidRPr="00CF4E2F" w14:paraId="0E95E08E" w14:textId="77777777" w:rsidTr="00FE0FF1">
        <w:trPr>
          <w:trHeight w:val="304"/>
        </w:trPr>
        <w:tc>
          <w:tcPr>
            <w:tcW w:w="1418" w:type="dxa"/>
          </w:tcPr>
          <w:p w14:paraId="64954250" w14:textId="41C53333" w:rsidR="006628F2"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sidR="008D34E3">
              <w:rPr>
                <w:rFonts w:ascii="Times New Roman" w:eastAsia="Times New Roman" w:hAnsi="Times New Roman" w:cs="Times New Roman"/>
                <w:sz w:val="18"/>
                <w:szCs w:val="18"/>
              </w:rPr>
              <w:t>2</w:t>
            </w:r>
            <w:r w:rsidRPr="00CF4E2F">
              <w:rPr>
                <w:rFonts w:ascii="Times New Roman" w:eastAsia="Times New Roman" w:hAnsi="Times New Roman" w:cs="Times New Roman"/>
                <w:sz w:val="18"/>
                <w:szCs w:val="18"/>
              </w:rPr>
              <w:t>0</w:t>
            </w:r>
          </w:p>
        </w:tc>
        <w:tc>
          <w:tcPr>
            <w:tcW w:w="7590" w:type="dxa"/>
          </w:tcPr>
          <w:p w14:paraId="26D46302" w14:textId="77777777" w:rsidR="006628F2" w:rsidRPr="00CF4E2F" w:rsidRDefault="006628F2" w:rsidP="00BB332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1.4 RSF from loans</w:t>
            </w:r>
          </w:p>
          <w:p w14:paraId="50B075FF" w14:textId="1CC79F5F" w:rsidR="007E265B" w:rsidRPr="00CF4E2F" w:rsidRDefault="006628F2" w:rsidP="00DB45B6">
            <w:pPr>
              <w:pStyle w:val="TableParagraph"/>
              <w:spacing w:before="117"/>
              <w:ind w:left="102" w:right="99"/>
              <w:jc w:val="both"/>
              <w:rPr>
                <w:rFonts w:ascii="Times New Roman"/>
                <w:sz w:val="18"/>
                <w:szCs w:val="18"/>
              </w:rPr>
            </w:pPr>
            <w:r w:rsidRPr="00CF4E2F">
              <w:rPr>
                <w:rFonts w:ascii="Times New Roman"/>
                <w:sz w:val="18"/>
                <w:szCs w:val="18"/>
              </w:rPr>
              <w:t xml:space="preserve">Institutions shall report here </w:t>
            </w:r>
            <w:r w:rsidR="00DB45B6" w:rsidRPr="00CF4E2F">
              <w:rPr>
                <w:rFonts w:ascii="Times New Roman"/>
                <w:sz w:val="18"/>
                <w:szCs w:val="18"/>
              </w:rPr>
              <w:t xml:space="preserve">monies due from </w:t>
            </w:r>
            <w:r w:rsidRPr="00CF4E2F">
              <w:rPr>
                <w:rFonts w:ascii="Times New Roman"/>
                <w:sz w:val="18"/>
                <w:szCs w:val="18"/>
              </w:rPr>
              <w:t xml:space="preserve">loans that </w:t>
            </w:r>
            <w:r w:rsidRPr="00363567">
              <w:rPr>
                <w:rFonts w:ascii="Times New Roman"/>
                <w:sz w:val="18"/>
                <w:szCs w:val="18"/>
              </w:rPr>
              <w:t>are not in default in a</w:t>
            </w:r>
            <w:r w:rsidRPr="00CF4E2F">
              <w:rPr>
                <w:rFonts w:ascii="Times New Roman"/>
                <w:sz w:val="18"/>
                <w:szCs w:val="18"/>
              </w:rPr>
              <w:t xml:space="preserve">ccordance with Article 178 of </w:t>
            </w:r>
            <w:r w:rsidR="00416B4D" w:rsidRPr="00CF4E2F">
              <w:rPr>
                <w:rFonts w:ascii="Times New Roman"/>
                <w:sz w:val="18"/>
                <w:szCs w:val="18"/>
              </w:rPr>
              <w:t>CRR</w:t>
            </w:r>
            <w:r w:rsidRPr="00CF4E2F">
              <w:rPr>
                <w:rFonts w:ascii="Times New Roman"/>
                <w:sz w:val="18"/>
                <w:szCs w:val="18"/>
              </w:rPr>
              <w:t>.</w:t>
            </w:r>
          </w:p>
          <w:p w14:paraId="6908553B" w14:textId="4BA08532" w:rsidR="006628F2" w:rsidRPr="00CF4E2F" w:rsidRDefault="00926B7C" w:rsidP="00DB45B6">
            <w:pPr>
              <w:pStyle w:val="TableParagraph"/>
              <w:spacing w:before="117"/>
              <w:ind w:left="102" w:right="99"/>
              <w:jc w:val="both"/>
              <w:rPr>
                <w:rFonts w:ascii="Times New Roman"/>
                <w:sz w:val="18"/>
                <w:szCs w:val="18"/>
              </w:rPr>
            </w:pPr>
            <w:r>
              <w:rPr>
                <w:rFonts w:ascii="Times New Roman"/>
                <w:sz w:val="18"/>
                <w:szCs w:val="18"/>
              </w:rPr>
              <w:t>As specified under Article</w:t>
            </w:r>
            <w:r>
              <w:rPr>
                <w:rFonts w:ascii="Times New Roman"/>
                <w:sz w:val="18"/>
                <w:szCs w:val="18"/>
              </w:rPr>
              <w:t> </w:t>
            </w:r>
            <w:r>
              <w:rPr>
                <w:rFonts w:ascii="Times New Roman"/>
                <w:sz w:val="18"/>
                <w:szCs w:val="18"/>
              </w:rPr>
              <w:t>428q(4) of CRR, f</w:t>
            </w:r>
            <w:r w:rsidR="007E265B" w:rsidRPr="00CF4E2F">
              <w:rPr>
                <w:rFonts w:ascii="Times New Roman"/>
                <w:sz w:val="18"/>
                <w:szCs w:val="18"/>
              </w:rPr>
              <w:t>or amortizing loans with a residual contractual maturity of one year or more, any portion that matures in less than six months and any portion that matures between six months and less than one year shall be treated as having a residual maturity of less than six months and between six months and less than one year respectively.</w:t>
            </w:r>
          </w:p>
          <w:p w14:paraId="4D1DE2E2" w14:textId="1B13FE1D" w:rsidR="000A1E56" w:rsidRPr="00CF4E2F" w:rsidRDefault="000A1E56" w:rsidP="003022BA">
            <w:pPr>
              <w:pStyle w:val="TableParagraph"/>
              <w:ind w:left="102" w:right="99"/>
              <w:jc w:val="both"/>
              <w:rPr>
                <w:rFonts w:ascii="Times New Roman"/>
                <w:sz w:val="18"/>
                <w:szCs w:val="18"/>
              </w:rPr>
            </w:pPr>
          </w:p>
        </w:tc>
      </w:tr>
      <w:tr w:rsidR="004727E7" w:rsidRPr="00CF4E2F" w14:paraId="0324B862" w14:textId="77777777" w:rsidTr="00FE0FF1">
        <w:trPr>
          <w:trHeight w:val="304"/>
        </w:trPr>
        <w:tc>
          <w:tcPr>
            <w:tcW w:w="1418" w:type="dxa"/>
          </w:tcPr>
          <w:p w14:paraId="6243801E" w14:textId="454A0BF6"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Pr>
                <w:rFonts w:ascii="Times New Roman" w:eastAsia="Times New Roman" w:hAnsi="Times New Roman" w:cs="Times New Roman"/>
                <w:sz w:val="18"/>
                <w:szCs w:val="18"/>
              </w:rPr>
              <w:t>3</w:t>
            </w:r>
            <w:r w:rsidRPr="00CF4E2F">
              <w:rPr>
                <w:rFonts w:ascii="Times New Roman" w:eastAsia="Times New Roman" w:hAnsi="Times New Roman" w:cs="Times New Roman"/>
                <w:sz w:val="18"/>
                <w:szCs w:val="18"/>
              </w:rPr>
              <w:t>0</w:t>
            </w:r>
          </w:p>
        </w:tc>
        <w:tc>
          <w:tcPr>
            <w:tcW w:w="7590" w:type="dxa"/>
          </w:tcPr>
          <w:p w14:paraId="0BFBD316" w14:textId="12E45B7F" w:rsidR="004727E7" w:rsidRPr="00CF4E2F" w:rsidRDefault="004727E7"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1.4.1 Operational deposits</w:t>
            </w:r>
          </w:p>
          <w:p w14:paraId="56DDA964" w14:textId="4DDBE29D"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Article</w:t>
            </w:r>
            <w:r>
              <w:rPr>
                <w:rFonts w:ascii="Times New Roman"/>
                <w:sz w:val="18"/>
                <w:szCs w:val="18"/>
              </w:rPr>
              <w:t>s</w:t>
            </w:r>
            <w:r w:rsidRPr="00CF4E2F">
              <w:rPr>
                <w:rFonts w:ascii="Times New Roman"/>
                <w:sz w:val="18"/>
                <w:szCs w:val="18"/>
              </w:rPr>
              <w:t xml:space="preserve"> 428ad(b)</w:t>
            </w:r>
            <w:r w:rsidRPr="00CF4E2F">
              <w:rPr>
                <w:sz w:val="18"/>
                <w:szCs w:val="18"/>
              </w:rPr>
              <w:t xml:space="preserve"> </w:t>
            </w:r>
            <w:r>
              <w:rPr>
                <w:rFonts w:ascii="Times New Roman"/>
                <w:sz w:val="18"/>
                <w:szCs w:val="18"/>
              </w:rPr>
              <w:t>and 428ah(1)(b)</w:t>
            </w:r>
            <w:r>
              <w:rPr>
                <w:sz w:val="18"/>
                <w:szCs w:val="18"/>
              </w:rPr>
              <w:t xml:space="preserve"> </w:t>
            </w:r>
            <w:r w:rsidRPr="00CF4E2F">
              <w:rPr>
                <w:rFonts w:ascii="Times New Roman"/>
                <w:sz w:val="18"/>
                <w:szCs w:val="18"/>
              </w:rPr>
              <w:t>of CRR</w:t>
            </w:r>
            <w:r>
              <w:rPr>
                <w:rFonts w:ascii="Times New Roman"/>
                <w:sz w:val="18"/>
                <w:szCs w:val="18"/>
              </w:rPr>
              <w:t>.</w:t>
            </w:r>
          </w:p>
          <w:p w14:paraId="10B8363A" w14:textId="68229D89"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sz w:val="18"/>
                <w:szCs w:val="18"/>
              </w:rPr>
              <w:t>that</w:t>
            </w:r>
            <w:r w:rsidR="001458F1" w:rsidRPr="00CF4E2F">
              <w:rPr>
                <w:rFonts w:ascii="Times New Roman"/>
                <w:sz w:val="18"/>
                <w:szCs w:val="18"/>
              </w:rPr>
              <w:t xml:space="preserve"> </w:t>
            </w:r>
            <w:r>
              <w:rPr>
                <w:rFonts w:ascii="Times New Roman"/>
                <w:sz w:val="18"/>
                <w:szCs w:val="18"/>
              </w:rPr>
              <w:t xml:space="preserve">is related to deposits that are classified as being </w:t>
            </w:r>
            <w:r w:rsidRPr="00CF4E2F">
              <w:rPr>
                <w:rFonts w:ascii="Times New Roman"/>
                <w:sz w:val="18"/>
                <w:szCs w:val="18"/>
              </w:rPr>
              <w:t xml:space="preserve">operational pursuant to Delegated </w:t>
            </w:r>
            <w:r>
              <w:rPr>
                <w:rFonts w:ascii="Times New Roman"/>
                <w:sz w:val="18"/>
                <w:szCs w:val="18"/>
              </w:rPr>
              <w:t>R</w:t>
            </w:r>
            <w:r w:rsidRPr="00CF4E2F">
              <w:rPr>
                <w:rFonts w:ascii="Times New Roman"/>
                <w:sz w:val="18"/>
                <w:szCs w:val="18"/>
              </w:rPr>
              <w:t>egulation (EU) 2015/61.</w:t>
            </w:r>
          </w:p>
          <w:p w14:paraId="5296ED91" w14:textId="2CA4197C" w:rsidR="004727E7" w:rsidRPr="00CF4E2F" w:rsidRDefault="004727E7" w:rsidP="003022BA">
            <w:pPr>
              <w:pStyle w:val="TableParagraph"/>
              <w:ind w:left="102" w:right="99"/>
              <w:jc w:val="both"/>
              <w:rPr>
                <w:rFonts w:ascii="Times New Roman"/>
                <w:sz w:val="18"/>
                <w:szCs w:val="18"/>
              </w:rPr>
            </w:pPr>
          </w:p>
        </w:tc>
      </w:tr>
      <w:tr w:rsidR="004727E7" w:rsidRPr="00CF4E2F" w14:paraId="74E099A9" w14:textId="77777777" w:rsidTr="00FE0FF1">
        <w:trPr>
          <w:trHeight w:val="304"/>
        </w:trPr>
        <w:tc>
          <w:tcPr>
            <w:tcW w:w="1418" w:type="dxa"/>
          </w:tcPr>
          <w:p w14:paraId="350DDBEE" w14:textId="44B9AD71"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w:t>
            </w:r>
          </w:p>
        </w:tc>
        <w:tc>
          <w:tcPr>
            <w:tcW w:w="7590" w:type="dxa"/>
          </w:tcPr>
          <w:p w14:paraId="6F4CEE49" w14:textId="3D3CB023" w:rsidR="004727E7" w:rsidRPr="00CF4E2F" w:rsidRDefault="004727E7"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1.4.2 securities financing transactions with financial customers</w:t>
            </w:r>
          </w:p>
          <w:p w14:paraId="755E4E5E" w14:textId="6E94A2CD"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Article</w:t>
            </w:r>
            <w:r>
              <w:rPr>
                <w:rFonts w:ascii="Times New Roman"/>
                <w:sz w:val="18"/>
                <w:szCs w:val="18"/>
              </w:rPr>
              <w:t>s</w:t>
            </w:r>
            <w:r w:rsidRPr="00CF4E2F">
              <w:rPr>
                <w:rFonts w:ascii="Times New Roman"/>
                <w:sz w:val="18"/>
                <w:szCs w:val="18"/>
              </w:rPr>
              <w:t xml:space="preserve"> 428e, </w:t>
            </w:r>
            <w:r w:rsidR="001F6F59">
              <w:rPr>
                <w:rFonts w:ascii="Times New Roman"/>
                <w:sz w:val="18"/>
                <w:szCs w:val="18"/>
              </w:rPr>
              <w:t>428r(1)</w:t>
            </w:r>
            <w:r w:rsidRPr="00CF4E2F">
              <w:rPr>
                <w:rFonts w:ascii="Times New Roman"/>
                <w:sz w:val="18"/>
                <w:szCs w:val="18"/>
              </w:rPr>
              <w:t xml:space="preserve">(g) and </w:t>
            </w:r>
            <w:r w:rsidR="003B7009">
              <w:rPr>
                <w:rFonts w:ascii="Times New Roman"/>
                <w:sz w:val="18"/>
                <w:szCs w:val="18"/>
              </w:rPr>
              <w:t>428s(1)</w:t>
            </w:r>
            <w:r w:rsidRPr="00CF4E2F">
              <w:rPr>
                <w:rFonts w:ascii="Times New Roman"/>
                <w:sz w:val="18"/>
                <w:szCs w:val="18"/>
              </w:rPr>
              <w:t>(b)</w:t>
            </w:r>
            <w:r w:rsidRPr="00CF4E2F">
              <w:rPr>
                <w:sz w:val="18"/>
                <w:szCs w:val="18"/>
              </w:rPr>
              <w:t xml:space="preserve"> </w:t>
            </w:r>
            <w:r w:rsidRPr="00CF4E2F">
              <w:rPr>
                <w:rFonts w:ascii="Times New Roman"/>
                <w:sz w:val="18"/>
                <w:szCs w:val="18"/>
              </w:rPr>
              <w:t>of CRR</w:t>
            </w:r>
            <w:r>
              <w:rPr>
                <w:rFonts w:ascii="Times New Roman"/>
                <w:sz w:val="18"/>
                <w:szCs w:val="18"/>
              </w:rPr>
              <w:t>.</w:t>
            </w:r>
          </w:p>
          <w:p w14:paraId="3DF162E9" w14:textId="130290D3"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sz w:val="18"/>
                <w:szCs w:val="18"/>
              </w:rPr>
              <w:t>that</w:t>
            </w:r>
            <w:r w:rsidR="001458F1" w:rsidRPr="00CF4E2F" w:rsidDel="001458F1">
              <w:rPr>
                <w:rFonts w:ascii="Times New Roman"/>
                <w:sz w:val="18"/>
                <w:szCs w:val="18"/>
              </w:rPr>
              <w:t xml:space="preserve"> </w:t>
            </w:r>
            <w:r>
              <w:rPr>
                <w:rFonts w:ascii="Times New Roman"/>
                <w:sz w:val="18"/>
                <w:szCs w:val="18"/>
              </w:rPr>
              <w:t>is related to</w:t>
            </w:r>
            <w:r w:rsidRPr="00CF4E2F">
              <w:rPr>
                <w:rFonts w:ascii="Times New Roman"/>
                <w:sz w:val="18"/>
                <w:szCs w:val="18"/>
              </w:rPr>
              <w:t xml:space="preserve"> monies due from securities financing transactions with financial customers.</w:t>
            </w:r>
          </w:p>
          <w:p w14:paraId="6FBB05F6" w14:textId="21323E85" w:rsidR="004727E7" w:rsidRPr="00CF4E2F" w:rsidRDefault="004727E7" w:rsidP="003022BA">
            <w:pPr>
              <w:pStyle w:val="TableParagraph"/>
              <w:ind w:left="102" w:right="99"/>
              <w:jc w:val="both"/>
              <w:rPr>
                <w:rFonts w:ascii="Times New Roman"/>
                <w:sz w:val="18"/>
                <w:szCs w:val="18"/>
              </w:rPr>
            </w:pPr>
          </w:p>
        </w:tc>
      </w:tr>
      <w:tr w:rsidR="00100484" w:rsidRPr="00CF4E2F" w14:paraId="263659AD" w14:textId="77777777" w:rsidTr="00FE0FF1">
        <w:trPr>
          <w:trHeight w:val="304"/>
        </w:trPr>
        <w:tc>
          <w:tcPr>
            <w:tcW w:w="1418" w:type="dxa"/>
          </w:tcPr>
          <w:p w14:paraId="16AE9BB1" w14:textId="223F900F" w:rsidR="00100484"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sidR="008D34E3">
              <w:rPr>
                <w:rFonts w:ascii="Times New Roman" w:eastAsia="Times New Roman" w:hAnsi="Times New Roman" w:cs="Times New Roman"/>
                <w:sz w:val="18"/>
                <w:szCs w:val="18"/>
              </w:rPr>
              <w:t>5</w:t>
            </w:r>
            <w:r w:rsidRPr="00CF4E2F">
              <w:rPr>
                <w:rFonts w:ascii="Times New Roman" w:eastAsia="Times New Roman" w:hAnsi="Times New Roman" w:cs="Times New Roman"/>
                <w:sz w:val="18"/>
                <w:szCs w:val="18"/>
              </w:rPr>
              <w:t>0</w:t>
            </w:r>
          </w:p>
        </w:tc>
        <w:tc>
          <w:tcPr>
            <w:tcW w:w="7590" w:type="dxa"/>
          </w:tcPr>
          <w:p w14:paraId="3B6CD5F0" w14:textId="2207289B" w:rsidR="00F96F22" w:rsidRPr="00CF4E2F" w:rsidRDefault="00F96F22" w:rsidP="00F96F22">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1.4.2.1 </w:t>
            </w:r>
            <w:r w:rsidR="003B66BD" w:rsidRPr="00CF4E2F">
              <w:rPr>
                <w:rFonts w:ascii="Times New Roman"/>
                <w:b/>
                <w:sz w:val="18"/>
                <w:szCs w:val="18"/>
                <w:u w:val="thick" w:color="000000"/>
              </w:rPr>
              <w:t>collateralized by level 1 assets eligible for 0 % LCR haircut</w:t>
            </w:r>
          </w:p>
          <w:p w14:paraId="4294F3E4" w14:textId="573678E6" w:rsidR="000129C7" w:rsidRPr="00CF4E2F" w:rsidRDefault="000129C7" w:rsidP="00A944B6">
            <w:pPr>
              <w:pStyle w:val="TableParagraph"/>
              <w:spacing w:before="117"/>
              <w:ind w:left="102" w:right="99"/>
              <w:jc w:val="both"/>
              <w:rPr>
                <w:rFonts w:ascii="Times New Roman"/>
                <w:sz w:val="18"/>
                <w:szCs w:val="18"/>
              </w:rPr>
            </w:pPr>
            <w:r w:rsidRPr="00CF4E2F">
              <w:rPr>
                <w:rFonts w:ascii="Times New Roman"/>
                <w:sz w:val="18"/>
                <w:szCs w:val="18"/>
              </w:rPr>
              <w:t>Article</w:t>
            </w:r>
            <w:r w:rsidR="005010CB">
              <w:rPr>
                <w:rFonts w:ascii="Times New Roman"/>
                <w:sz w:val="18"/>
                <w:szCs w:val="18"/>
              </w:rPr>
              <w:t>s</w:t>
            </w:r>
            <w:r w:rsidRPr="00CF4E2F">
              <w:rPr>
                <w:rFonts w:ascii="Times New Roman"/>
                <w:sz w:val="18"/>
                <w:szCs w:val="18"/>
              </w:rPr>
              <w:t xml:space="preserve"> </w:t>
            </w:r>
            <w:r w:rsidR="001F6F59">
              <w:rPr>
                <w:rFonts w:ascii="Times New Roman"/>
                <w:sz w:val="18"/>
                <w:szCs w:val="18"/>
              </w:rPr>
              <w:t>428r(1)</w:t>
            </w:r>
            <w:r w:rsidRPr="00CF4E2F">
              <w:rPr>
                <w:rFonts w:ascii="Times New Roman"/>
                <w:sz w:val="18"/>
                <w:szCs w:val="18"/>
              </w:rPr>
              <w:t>(g)</w:t>
            </w:r>
            <w:r w:rsidR="009258BF">
              <w:rPr>
                <w:rFonts w:ascii="Times New Roman"/>
                <w:sz w:val="18"/>
                <w:szCs w:val="18"/>
              </w:rPr>
              <w:t>, 428ad(d) and 428ah(1)(b)</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2C47EC">
              <w:rPr>
                <w:rFonts w:ascii="Times New Roman"/>
                <w:sz w:val="18"/>
                <w:szCs w:val="18"/>
              </w:rPr>
              <w:t>.</w:t>
            </w:r>
          </w:p>
          <w:p w14:paraId="74EC6B6B" w14:textId="647AB263"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1.4.2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transactions </w:t>
            </w:r>
            <w:r w:rsidRPr="00CF4E2F">
              <w:rPr>
                <w:rFonts w:ascii="Times New Roman"/>
                <w:sz w:val="18"/>
                <w:szCs w:val="18"/>
              </w:rPr>
              <w:t xml:space="preserve">collateralized by level 1 assets eligible for 0 % haircut pursuant to Delegated </w:t>
            </w:r>
            <w:r>
              <w:rPr>
                <w:rFonts w:ascii="Times New Roman"/>
                <w:sz w:val="18"/>
                <w:szCs w:val="18"/>
              </w:rPr>
              <w:t>R</w:t>
            </w:r>
            <w:r w:rsidRPr="00CF4E2F">
              <w:rPr>
                <w:rFonts w:ascii="Times New Roman"/>
                <w:sz w:val="18"/>
                <w:szCs w:val="18"/>
              </w:rPr>
              <w:t>egulation (EU) 2015/61.</w:t>
            </w:r>
          </w:p>
          <w:p w14:paraId="439780D6" w14:textId="20B3732C" w:rsidR="000A1E56" w:rsidRPr="00CF4E2F" w:rsidRDefault="000A1E56" w:rsidP="003022BA">
            <w:pPr>
              <w:pStyle w:val="TableParagraph"/>
              <w:ind w:left="102" w:right="99"/>
              <w:jc w:val="both"/>
              <w:rPr>
                <w:rFonts w:ascii="Times New Roman"/>
                <w:b/>
                <w:sz w:val="18"/>
                <w:szCs w:val="18"/>
                <w:u w:val="thick" w:color="000000"/>
              </w:rPr>
            </w:pPr>
          </w:p>
        </w:tc>
      </w:tr>
      <w:tr w:rsidR="004727E7" w:rsidRPr="00CF4E2F" w14:paraId="69FCA819" w14:textId="77777777" w:rsidTr="00FE0FF1">
        <w:trPr>
          <w:trHeight w:val="304"/>
        </w:trPr>
        <w:tc>
          <w:tcPr>
            <w:tcW w:w="1418" w:type="dxa"/>
          </w:tcPr>
          <w:p w14:paraId="34C7E4C6" w14:textId="7B865847"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Pr>
                <w:rFonts w:ascii="Times New Roman" w:eastAsia="Times New Roman" w:hAnsi="Times New Roman" w:cs="Times New Roman"/>
                <w:sz w:val="18"/>
                <w:szCs w:val="18"/>
              </w:rPr>
              <w:t>6</w:t>
            </w:r>
            <w:r w:rsidRPr="00CF4E2F">
              <w:rPr>
                <w:rFonts w:ascii="Times New Roman" w:eastAsia="Times New Roman" w:hAnsi="Times New Roman" w:cs="Times New Roman"/>
                <w:sz w:val="18"/>
                <w:szCs w:val="18"/>
              </w:rPr>
              <w:t>0</w:t>
            </w:r>
          </w:p>
        </w:tc>
        <w:tc>
          <w:tcPr>
            <w:tcW w:w="7590" w:type="dxa"/>
          </w:tcPr>
          <w:p w14:paraId="181B34D0" w14:textId="5FC8F515"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1.4.2.1.1 unencumbered or encumbered </w:t>
            </w:r>
            <w:r w:rsidR="00FF64DD">
              <w:rPr>
                <w:rFonts w:ascii="Times New Roman"/>
                <w:b/>
                <w:sz w:val="18"/>
                <w:szCs w:val="18"/>
                <w:u w:val="thick" w:color="000000"/>
              </w:rPr>
              <w:t>for a residual maturity of less than six months</w:t>
            </w:r>
          </w:p>
          <w:p w14:paraId="66C5D791" w14:textId="1FB4484F"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1.4.2.1 </w:t>
            </w:r>
            <w:r>
              <w:rPr>
                <w:rFonts w:ascii="Times New Roman" w:eastAsia="Times New Roman" w:hAnsi="Times New Roman" w:cs="Times New Roman"/>
                <w:sz w:val="18"/>
                <w:szCs w:val="18"/>
              </w:rPr>
              <w:t xml:space="preserve">related to </w:t>
            </w:r>
            <w:r w:rsidR="00464840">
              <w:rPr>
                <w:rFonts w:ascii="Times New Roman" w:eastAsia="Times New Roman" w:hAnsi="Times New Roman" w:cs="Times New Roman"/>
                <w:sz w:val="18"/>
                <w:szCs w:val="18"/>
              </w:rPr>
              <w:t>assets</w:t>
            </w:r>
            <w:r>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73A05C2A" w14:textId="2B0D9EBA"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282F6ACC" w14:textId="77777777" w:rsidTr="00FE0FF1">
        <w:trPr>
          <w:trHeight w:val="304"/>
        </w:trPr>
        <w:tc>
          <w:tcPr>
            <w:tcW w:w="1418" w:type="dxa"/>
          </w:tcPr>
          <w:p w14:paraId="4280301D" w14:textId="6BF58AE9"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4EEBC4DE" w14:textId="3B6F0530"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1.4.2.1.2 encumbered </w:t>
            </w:r>
            <w:r w:rsidR="00FF64DD">
              <w:rPr>
                <w:rFonts w:ascii="Times New Roman"/>
                <w:b/>
                <w:sz w:val="18"/>
                <w:szCs w:val="18"/>
                <w:u w:val="thick" w:color="000000"/>
              </w:rPr>
              <w:t>for a residual maturity of at least six months but less than one year</w:t>
            </w:r>
          </w:p>
          <w:p w14:paraId="45EC67C4" w14:textId="07EC646D"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1.4.2.1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4AC2A48C" w14:textId="7539D195"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6E317A6A" w14:textId="77777777" w:rsidTr="00FE0FF1">
        <w:trPr>
          <w:trHeight w:val="304"/>
        </w:trPr>
        <w:tc>
          <w:tcPr>
            <w:tcW w:w="1418" w:type="dxa"/>
          </w:tcPr>
          <w:p w14:paraId="0BCDE56E" w14:textId="45DEF4DF"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1955B25B" w14:textId="2D26E51F"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1.4.2.1.3 encumbered for </w:t>
            </w:r>
            <w:r w:rsidR="00FF64DD">
              <w:rPr>
                <w:rFonts w:ascii="Times New Roman"/>
                <w:b/>
                <w:sz w:val="18"/>
                <w:szCs w:val="18"/>
                <w:u w:val="thick" w:color="000000"/>
              </w:rPr>
              <w:t>a residual maturity of one year or more</w:t>
            </w:r>
          </w:p>
          <w:p w14:paraId="07A812F8" w14:textId="6F508A56"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1.4.2.1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74E772F1" w14:textId="69844E25" w:rsidR="004727E7" w:rsidRPr="00CF4E2F" w:rsidRDefault="004727E7" w:rsidP="003022BA">
            <w:pPr>
              <w:pStyle w:val="TableParagraph"/>
              <w:ind w:left="102" w:right="99"/>
              <w:jc w:val="both"/>
              <w:rPr>
                <w:rFonts w:ascii="Times New Roman"/>
                <w:b/>
                <w:sz w:val="18"/>
                <w:szCs w:val="18"/>
                <w:u w:val="thick" w:color="000000"/>
              </w:rPr>
            </w:pPr>
          </w:p>
        </w:tc>
      </w:tr>
      <w:tr w:rsidR="00237BC2" w:rsidRPr="00CF4E2F" w14:paraId="311B4FBF" w14:textId="77777777" w:rsidTr="00FE0FF1">
        <w:trPr>
          <w:trHeight w:val="304"/>
        </w:trPr>
        <w:tc>
          <w:tcPr>
            <w:tcW w:w="1418" w:type="dxa"/>
          </w:tcPr>
          <w:p w14:paraId="215A7410" w14:textId="1564DBF7" w:rsidR="00237BC2"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06</w:t>
            </w:r>
            <w:r w:rsidR="008D34E3">
              <w:rPr>
                <w:rFonts w:ascii="Times New Roman" w:eastAsia="Times New Roman" w:hAnsi="Times New Roman" w:cs="Times New Roman"/>
                <w:sz w:val="18"/>
                <w:szCs w:val="18"/>
              </w:rPr>
              <w:t>9</w:t>
            </w:r>
            <w:r w:rsidRPr="00CF4E2F">
              <w:rPr>
                <w:rFonts w:ascii="Times New Roman" w:eastAsia="Times New Roman" w:hAnsi="Times New Roman" w:cs="Times New Roman"/>
                <w:sz w:val="18"/>
                <w:szCs w:val="18"/>
              </w:rPr>
              <w:t>0</w:t>
            </w:r>
          </w:p>
        </w:tc>
        <w:tc>
          <w:tcPr>
            <w:tcW w:w="7590" w:type="dxa"/>
          </w:tcPr>
          <w:p w14:paraId="7311106A" w14:textId="35E370C7" w:rsidR="00E85CFA" w:rsidRPr="00CF4E2F" w:rsidRDefault="00E85CFA" w:rsidP="00E85CFA">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1.4.2.2 collateralized by </w:t>
            </w:r>
            <w:r w:rsidR="0003569C" w:rsidRPr="00CF4E2F">
              <w:rPr>
                <w:rFonts w:ascii="Times New Roman"/>
                <w:b/>
                <w:sz w:val="18"/>
                <w:szCs w:val="18"/>
                <w:u w:val="thick" w:color="000000"/>
              </w:rPr>
              <w:t>other assets</w:t>
            </w:r>
          </w:p>
          <w:p w14:paraId="1BDBA88E" w14:textId="48309234" w:rsidR="004A2956" w:rsidRPr="00CF4E2F" w:rsidRDefault="004A2956" w:rsidP="00E85CFA">
            <w:pPr>
              <w:pStyle w:val="TableParagraph"/>
              <w:spacing w:before="117"/>
              <w:ind w:left="102" w:right="99"/>
              <w:jc w:val="both"/>
              <w:rPr>
                <w:rFonts w:ascii="Times New Roman"/>
                <w:b/>
                <w:sz w:val="18"/>
                <w:szCs w:val="18"/>
                <w:u w:val="thick" w:color="000000"/>
              </w:rPr>
            </w:pPr>
            <w:r w:rsidRPr="00CF4E2F">
              <w:rPr>
                <w:rFonts w:ascii="Times New Roman"/>
                <w:sz w:val="18"/>
                <w:szCs w:val="18"/>
              </w:rPr>
              <w:t xml:space="preserve">Article </w:t>
            </w:r>
            <w:r w:rsidR="003B7009">
              <w:rPr>
                <w:rFonts w:ascii="Times New Roman"/>
                <w:sz w:val="18"/>
                <w:szCs w:val="18"/>
              </w:rPr>
              <w:t>428s(1)</w:t>
            </w:r>
            <w:r w:rsidRPr="00CF4E2F">
              <w:rPr>
                <w:rFonts w:ascii="Times New Roman"/>
                <w:sz w:val="18"/>
                <w:szCs w:val="18"/>
              </w:rPr>
              <w:t>(b)</w:t>
            </w:r>
            <w:r w:rsidR="009258BF">
              <w:rPr>
                <w:rFonts w:ascii="Times New Roman"/>
                <w:sz w:val="18"/>
                <w:szCs w:val="18"/>
              </w:rPr>
              <w:t>, Article 428ad(d) and Article 428ah(1)(b)</w:t>
            </w:r>
            <w:r w:rsidR="009258B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3AB1ABCF" w14:textId="647D405D" w:rsidR="00237BC2"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1.4.2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sidR="00464840">
              <w:rPr>
                <w:rFonts w:ascii="Times New Roman" w:eastAsia="Times New Roman" w:hAnsi="Times New Roman" w:cs="Times New Roman"/>
                <w:sz w:val="18"/>
                <w:szCs w:val="18"/>
              </w:rPr>
              <w:t xml:space="preserve">related to assets </w:t>
            </w:r>
            <w:r w:rsidRPr="00CF4E2F">
              <w:rPr>
                <w:rFonts w:ascii="Times New Roman"/>
                <w:sz w:val="18"/>
                <w:szCs w:val="18"/>
              </w:rPr>
              <w:t xml:space="preserve">which </w:t>
            </w:r>
            <w:r>
              <w:rPr>
                <w:rFonts w:ascii="Times New Roman"/>
                <w:sz w:val="18"/>
                <w:szCs w:val="18"/>
              </w:rPr>
              <w:t>are</w:t>
            </w:r>
            <w:r w:rsidRPr="00CF4E2F">
              <w:rPr>
                <w:rFonts w:ascii="Times New Roman"/>
                <w:sz w:val="18"/>
                <w:szCs w:val="18"/>
              </w:rPr>
              <w:t xml:space="preserve"> collateralized by assets other than level 1 assets eligible for 0 % haircut pursuant to Delegated regulation (EU) 2015/61.</w:t>
            </w:r>
          </w:p>
          <w:p w14:paraId="26233E57" w14:textId="1B919299" w:rsidR="000A1E56" w:rsidRPr="00CF4E2F" w:rsidRDefault="000A1E56" w:rsidP="003022BA">
            <w:pPr>
              <w:pStyle w:val="TableParagraph"/>
              <w:ind w:left="102" w:right="99"/>
              <w:jc w:val="both"/>
              <w:rPr>
                <w:rFonts w:ascii="Times New Roman"/>
                <w:b/>
                <w:sz w:val="18"/>
                <w:szCs w:val="18"/>
                <w:u w:val="thick" w:color="000000"/>
              </w:rPr>
            </w:pPr>
          </w:p>
        </w:tc>
      </w:tr>
      <w:tr w:rsidR="004727E7" w:rsidRPr="00CF4E2F" w14:paraId="03A29301" w14:textId="77777777" w:rsidTr="00FE0FF1">
        <w:trPr>
          <w:trHeight w:val="304"/>
        </w:trPr>
        <w:tc>
          <w:tcPr>
            <w:tcW w:w="1418" w:type="dxa"/>
          </w:tcPr>
          <w:p w14:paraId="51FE9F1E" w14:textId="074F2CD9"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w:t>
            </w:r>
            <w:r>
              <w:rPr>
                <w:rFonts w:ascii="Times New Roman" w:eastAsia="Times New Roman" w:hAnsi="Times New Roman" w:cs="Times New Roman"/>
                <w:sz w:val="18"/>
                <w:szCs w:val="18"/>
              </w:rPr>
              <w:t>70</w:t>
            </w:r>
            <w:r w:rsidRPr="00CF4E2F">
              <w:rPr>
                <w:rFonts w:ascii="Times New Roman" w:eastAsia="Times New Roman" w:hAnsi="Times New Roman" w:cs="Times New Roman"/>
                <w:sz w:val="18"/>
                <w:szCs w:val="18"/>
              </w:rPr>
              <w:t>0</w:t>
            </w:r>
          </w:p>
        </w:tc>
        <w:tc>
          <w:tcPr>
            <w:tcW w:w="7590" w:type="dxa"/>
          </w:tcPr>
          <w:p w14:paraId="4C49610E" w14:textId="0A65BAB9"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1.4.2.2.1 unencumbered or encumbered </w:t>
            </w:r>
            <w:r w:rsidR="00FF64DD">
              <w:rPr>
                <w:rFonts w:ascii="Times New Roman"/>
                <w:b/>
                <w:sz w:val="18"/>
                <w:szCs w:val="18"/>
                <w:u w:val="thick" w:color="000000"/>
              </w:rPr>
              <w:t>for a residual maturity of less than six months</w:t>
            </w:r>
          </w:p>
          <w:p w14:paraId="361D27E9" w14:textId="710F6802"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1.4.2.2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302B2E79" w14:textId="78C90760"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38E95FB4" w14:textId="77777777" w:rsidTr="00FE0FF1">
        <w:trPr>
          <w:trHeight w:val="304"/>
        </w:trPr>
        <w:tc>
          <w:tcPr>
            <w:tcW w:w="1418" w:type="dxa"/>
          </w:tcPr>
          <w:p w14:paraId="5010072B" w14:textId="037834FC"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1</w:t>
            </w:r>
            <w:r w:rsidRPr="00CF4E2F">
              <w:rPr>
                <w:rFonts w:ascii="Times New Roman" w:eastAsia="Times New Roman" w:hAnsi="Times New Roman" w:cs="Times New Roman"/>
                <w:sz w:val="18"/>
                <w:szCs w:val="18"/>
              </w:rPr>
              <w:t>0</w:t>
            </w:r>
          </w:p>
        </w:tc>
        <w:tc>
          <w:tcPr>
            <w:tcW w:w="7590" w:type="dxa"/>
          </w:tcPr>
          <w:p w14:paraId="1790D69C" w14:textId="7BB8F8E9"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1.4.2.2.2 encumbered </w:t>
            </w:r>
            <w:r w:rsidR="00FF64DD">
              <w:rPr>
                <w:rFonts w:ascii="Times New Roman"/>
                <w:b/>
                <w:sz w:val="18"/>
                <w:szCs w:val="18"/>
                <w:u w:val="thick" w:color="000000"/>
              </w:rPr>
              <w:t>for a residual maturity of at least six months but less than one year</w:t>
            </w:r>
          </w:p>
          <w:p w14:paraId="2A85E4A8" w14:textId="1CCC9D76" w:rsidR="004727E7" w:rsidRPr="00A66401" w:rsidRDefault="004727E7" w:rsidP="00047F14">
            <w:pPr>
              <w:pStyle w:val="BodyText1"/>
              <w:spacing w:before="117" w:line="240" w:lineRule="auto"/>
              <w:ind w:left="102" w:right="96"/>
              <w:rPr>
                <w:rFonts w:ascii="Times New Roman" w:hAnsi="Times New Roman"/>
                <w:sz w:val="18"/>
                <w:szCs w:val="18"/>
                <w:lang w:val="en-US"/>
              </w:rPr>
            </w:pPr>
            <w:r w:rsidRPr="00A66401">
              <w:rPr>
                <w:rFonts w:ascii="Times New Roman" w:hAnsi="Times New Roman"/>
                <w:sz w:val="18"/>
                <w:szCs w:val="18"/>
                <w:lang w:val="en-US"/>
              </w:rPr>
              <w:t xml:space="preserve">The amount reported in 1.4.2.2 </w:t>
            </w:r>
            <w:r w:rsidR="001458F1">
              <w:rPr>
                <w:rFonts w:ascii="Times New Roman"/>
                <w:sz w:val="18"/>
                <w:szCs w:val="18"/>
              </w:rPr>
              <w:t>that</w:t>
            </w:r>
            <w:r w:rsidR="001458F1">
              <w:rPr>
                <w:rFonts w:ascii="Times New Roman" w:hAnsi="Times New Roman"/>
                <w:sz w:val="18"/>
                <w:szCs w:val="18"/>
              </w:rPr>
              <w:t xml:space="preserve"> is </w:t>
            </w:r>
            <w:r w:rsidR="00464840">
              <w:rPr>
                <w:rFonts w:ascii="Times New Roman" w:hAnsi="Times New Roman"/>
                <w:sz w:val="18"/>
                <w:szCs w:val="18"/>
              </w:rPr>
              <w:t xml:space="preserve">related to assets </w:t>
            </w:r>
            <w:r w:rsidRPr="00A66401">
              <w:rPr>
                <w:rFonts w:ascii="Times New Roman" w:hAnsi="Times New Roman"/>
                <w:sz w:val="18"/>
                <w:szCs w:val="18"/>
                <w:lang w:val="en-US"/>
              </w:rPr>
              <w:t xml:space="preserve">that </w:t>
            </w:r>
            <w:r>
              <w:rPr>
                <w:rFonts w:ascii="Times New Roman" w:hAnsi="Times New Roman"/>
                <w:sz w:val="18"/>
                <w:szCs w:val="18"/>
                <w:lang w:val="en-US"/>
              </w:rPr>
              <w:t xml:space="preserve">are </w:t>
            </w:r>
            <w:r w:rsidRPr="00CF4E2F">
              <w:rPr>
                <w:rFonts w:ascii="Times New Roman" w:hAnsi="Times New Roman"/>
                <w:sz w:val="18"/>
                <w:szCs w:val="18"/>
              </w:rPr>
              <w:t xml:space="preserve">encumbered </w:t>
            </w:r>
            <w:r>
              <w:rPr>
                <w:rFonts w:ascii="Times New Roman" w:hAnsi="Times New Roman"/>
                <w:sz w:val="18"/>
                <w:szCs w:val="18"/>
              </w:rPr>
              <w:t>for a residual maturity of at least six months but less than one year</w:t>
            </w:r>
            <w:r w:rsidRPr="00A66401">
              <w:rPr>
                <w:rFonts w:ascii="Times New Roman" w:hAnsi="Times New Roman"/>
                <w:sz w:val="18"/>
                <w:szCs w:val="18"/>
                <w:lang w:val="en-US"/>
              </w:rPr>
              <w:t>.</w:t>
            </w:r>
          </w:p>
          <w:p w14:paraId="11EFD5CA" w14:textId="59386959" w:rsidR="004727E7" w:rsidRPr="00A66401" w:rsidRDefault="004727E7" w:rsidP="003022BA">
            <w:pPr>
              <w:pStyle w:val="BodyText1"/>
              <w:ind w:left="102" w:right="99"/>
              <w:rPr>
                <w:rFonts w:ascii="Times New Roman"/>
                <w:b/>
                <w:sz w:val="18"/>
                <w:szCs w:val="18"/>
                <w:u w:val="thick" w:color="000000"/>
                <w:lang w:val="en-US"/>
              </w:rPr>
            </w:pPr>
          </w:p>
        </w:tc>
      </w:tr>
      <w:tr w:rsidR="004727E7" w:rsidRPr="00CF4E2F" w14:paraId="1736F7D4" w14:textId="77777777" w:rsidTr="00FE0FF1">
        <w:trPr>
          <w:trHeight w:val="304"/>
        </w:trPr>
        <w:tc>
          <w:tcPr>
            <w:tcW w:w="1418" w:type="dxa"/>
          </w:tcPr>
          <w:p w14:paraId="58588245" w14:textId="35956B35"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2</w:t>
            </w:r>
            <w:r w:rsidRPr="00CF4E2F">
              <w:rPr>
                <w:rFonts w:ascii="Times New Roman" w:eastAsia="Times New Roman" w:hAnsi="Times New Roman" w:cs="Times New Roman"/>
                <w:sz w:val="18"/>
                <w:szCs w:val="18"/>
              </w:rPr>
              <w:t>0</w:t>
            </w:r>
          </w:p>
        </w:tc>
        <w:tc>
          <w:tcPr>
            <w:tcW w:w="7590" w:type="dxa"/>
          </w:tcPr>
          <w:p w14:paraId="6DA1CD88" w14:textId="0231FB35"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1.4.2.2.3 encumbered for </w:t>
            </w:r>
            <w:r w:rsidR="00FF64DD">
              <w:rPr>
                <w:rFonts w:ascii="Times New Roman"/>
                <w:b/>
                <w:sz w:val="18"/>
                <w:szCs w:val="18"/>
                <w:u w:val="thick" w:color="000000"/>
              </w:rPr>
              <w:t>a residual maturity of one year or more</w:t>
            </w:r>
          </w:p>
          <w:p w14:paraId="7356C5B3" w14:textId="7332967F" w:rsidR="004727E7" w:rsidRPr="00A66401" w:rsidRDefault="004727E7" w:rsidP="00047F14">
            <w:pPr>
              <w:pStyle w:val="BodyText1"/>
              <w:spacing w:before="117" w:line="240" w:lineRule="auto"/>
              <w:ind w:left="102" w:right="96"/>
              <w:rPr>
                <w:rFonts w:ascii="Times New Roman" w:hAnsi="Times New Roman"/>
                <w:sz w:val="18"/>
                <w:szCs w:val="18"/>
                <w:lang w:val="en-US"/>
              </w:rPr>
            </w:pPr>
            <w:r w:rsidRPr="00A66401">
              <w:rPr>
                <w:rFonts w:ascii="Times New Roman" w:hAnsi="Times New Roman"/>
                <w:sz w:val="18"/>
                <w:szCs w:val="18"/>
                <w:lang w:val="en-US"/>
              </w:rPr>
              <w:t xml:space="preserve">The amount reported in 1.4.2.2 </w:t>
            </w:r>
            <w:r w:rsidR="001458F1">
              <w:rPr>
                <w:rFonts w:ascii="Times New Roman"/>
                <w:sz w:val="18"/>
                <w:szCs w:val="18"/>
              </w:rPr>
              <w:t>that</w:t>
            </w:r>
            <w:r w:rsidR="001458F1">
              <w:rPr>
                <w:rFonts w:ascii="Times New Roman" w:hAnsi="Times New Roman"/>
                <w:sz w:val="18"/>
                <w:szCs w:val="18"/>
              </w:rPr>
              <w:t xml:space="preserve"> is </w:t>
            </w:r>
            <w:r w:rsidR="00464840">
              <w:rPr>
                <w:rFonts w:ascii="Times New Roman" w:hAnsi="Times New Roman"/>
                <w:sz w:val="18"/>
                <w:szCs w:val="18"/>
              </w:rPr>
              <w:t xml:space="preserve">related to assets </w:t>
            </w:r>
            <w:r w:rsidRPr="00A66401">
              <w:rPr>
                <w:rFonts w:ascii="Times New Roman" w:hAnsi="Times New Roman"/>
                <w:sz w:val="18"/>
                <w:szCs w:val="18"/>
                <w:lang w:val="en-US"/>
              </w:rPr>
              <w:t xml:space="preserve">that </w:t>
            </w:r>
            <w:r>
              <w:rPr>
                <w:rFonts w:ascii="Times New Roman" w:hAnsi="Times New Roman"/>
                <w:sz w:val="18"/>
                <w:szCs w:val="18"/>
                <w:lang w:val="en-US"/>
              </w:rPr>
              <w:t xml:space="preserve">are </w:t>
            </w:r>
            <w:r w:rsidRPr="00CF4E2F">
              <w:rPr>
                <w:rFonts w:ascii="Times New Roman" w:hAnsi="Times New Roman"/>
                <w:sz w:val="18"/>
                <w:szCs w:val="18"/>
              </w:rPr>
              <w:t xml:space="preserve">encumbered for </w:t>
            </w:r>
            <w:r>
              <w:rPr>
                <w:rFonts w:ascii="Times New Roman" w:hAnsi="Times New Roman"/>
                <w:sz w:val="18"/>
                <w:szCs w:val="18"/>
              </w:rPr>
              <w:t xml:space="preserve">a residual maturity of one year or </w:t>
            </w:r>
            <w:r w:rsidRPr="00CF4E2F">
              <w:rPr>
                <w:rFonts w:ascii="Times New Roman" w:hAnsi="Times New Roman"/>
                <w:sz w:val="18"/>
                <w:szCs w:val="18"/>
              </w:rPr>
              <w:t>more</w:t>
            </w:r>
            <w:r w:rsidRPr="00A66401">
              <w:rPr>
                <w:rFonts w:ascii="Times New Roman" w:hAnsi="Times New Roman"/>
                <w:sz w:val="18"/>
                <w:szCs w:val="18"/>
                <w:lang w:val="en-US"/>
              </w:rPr>
              <w:t>.</w:t>
            </w:r>
          </w:p>
          <w:p w14:paraId="568A6AFB" w14:textId="1CCDFD77" w:rsidR="004727E7" w:rsidRPr="00A66401" w:rsidRDefault="004727E7" w:rsidP="003022BA">
            <w:pPr>
              <w:pStyle w:val="BodyText1"/>
              <w:ind w:left="102" w:right="99"/>
              <w:rPr>
                <w:rFonts w:ascii="Times New Roman"/>
                <w:b/>
                <w:sz w:val="18"/>
                <w:szCs w:val="18"/>
                <w:u w:val="thick" w:color="000000"/>
                <w:lang w:val="en-US"/>
              </w:rPr>
            </w:pPr>
          </w:p>
        </w:tc>
      </w:tr>
      <w:tr w:rsidR="00647823" w:rsidRPr="00CF4E2F" w14:paraId="3CC5ADF5" w14:textId="77777777" w:rsidTr="00FE0FF1">
        <w:trPr>
          <w:trHeight w:val="304"/>
        </w:trPr>
        <w:tc>
          <w:tcPr>
            <w:tcW w:w="1418" w:type="dxa"/>
          </w:tcPr>
          <w:p w14:paraId="5D535856" w14:textId="403EAAEB" w:rsidR="00647823"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sidR="008D34E3">
              <w:rPr>
                <w:rFonts w:ascii="Times New Roman" w:eastAsia="Times New Roman" w:hAnsi="Times New Roman" w:cs="Times New Roman"/>
                <w:sz w:val="18"/>
                <w:szCs w:val="18"/>
              </w:rPr>
              <w:t>3</w:t>
            </w:r>
            <w:r w:rsidRPr="00CF4E2F">
              <w:rPr>
                <w:rFonts w:ascii="Times New Roman" w:eastAsia="Times New Roman" w:hAnsi="Times New Roman" w:cs="Times New Roman"/>
                <w:sz w:val="18"/>
                <w:szCs w:val="18"/>
              </w:rPr>
              <w:t>0</w:t>
            </w:r>
          </w:p>
        </w:tc>
        <w:tc>
          <w:tcPr>
            <w:tcW w:w="7590" w:type="dxa"/>
          </w:tcPr>
          <w:p w14:paraId="01ED22DF" w14:textId="05017EE2" w:rsidR="000129C7" w:rsidRPr="00CF4E2F" w:rsidRDefault="000129C7" w:rsidP="000129C7">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1.4.3 </w:t>
            </w:r>
            <w:r w:rsidR="00DB45B6" w:rsidRPr="00CF4E2F">
              <w:rPr>
                <w:rFonts w:ascii="Times New Roman"/>
                <w:b/>
                <w:sz w:val="18"/>
                <w:szCs w:val="18"/>
                <w:u w:val="thick" w:color="000000"/>
              </w:rPr>
              <w:t>other loans and advances</w:t>
            </w:r>
            <w:r w:rsidR="000277C0">
              <w:rPr>
                <w:rFonts w:ascii="Times New Roman"/>
                <w:b/>
                <w:sz w:val="18"/>
                <w:szCs w:val="18"/>
                <w:u w:val="thick" w:color="000000"/>
              </w:rPr>
              <w:t xml:space="preserve"> to financial customers</w:t>
            </w:r>
          </w:p>
          <w:p w14:paraId="45A41056" w14:textId="16FF2925" w:rsidR="000129C7" w:rsidRPr="00CF4E2F" w:rsidRDefault="00DB45B6" w:rsidP="000129C7">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Article</w:t>
            </w:r>
            <w:r w:rsidR="00124C8E">
              <w:rPr>
                <w:rFonts w:ascii="Times New Roman" w:eastAsia="Times New Roman" w:hAnsi="Times New Roman" w:cs="Times New Roman"/>
                <w:sz w:val="18"/>
                <w:szCs w:val="18"/>
              </w:rPr>
              <w:t>s</w:t>
            </w:r>
            <w:r w:rsidRPr="00CF4E2F">
              <w:rPr>
                <w:rFonts w:ascii="Times New Roman" w:eastAsia="Times New Roman" w:hAnsi="Times New Roman" w:cs="Times New Roman"/>
                <w:sz w:val="18"/>
                <w:szCs w:val="18"/>
              </w:rPr>
              <w:t xml:space="preserve"> 428v(a) and 428ad(d)(iii)</w:t>
            </w:r>
            <w:r w:rsidR="003F1FD7" w:rsidRPr="00CF4E2F">
              <w:rPr>
                <w:sz w:val="18"/>
                <w:szCs w:val="18"/>
              </w:rPr>
              <w:t xml:space="preserve"> </w:t>
            </w:r>
            <w:r w:rsidR="003F1FD7" w:rsidRPr="00CF4E2F">
              <w:rPr>
                <w:rFonts w:ascii="Times New Roman" w:eastAsia="Times New Roman" w:hAnsi="Times New Roman" w:cs="Times New Roman"/>
                <w:sz w:val="18"/>
                <w:szCs w:val="18"/>
              </w:rPr>
              <w:t xml:space="preserve">of </w:t>
            </w:r>
            <w:r w:rsidR="00416B4D" w:rsidRPr="00CF4E2F">
              <w:rPr>
                <w:rFonts w:ascii="Times New Roman" w:eastAsia="Times New Roman" w:hAnsi="Times New Roman" w:cs="Times New Roman"/>
                <w:sz w:val="18"/>
                <w:szCs w:val="18"/>
              </w:rPr>
              <w:t>CRR</w:t>
            </w:r>
            <w:r w:rsidR="00E7638A">
              <w:rPr>
                <w:rFonts w:ascii="Times New Roman" w:eastAsia="Times New Roman" w:hAnsi="Times New Roman" w:cs="Times New Roman"/>
                <w:sz w:val="18"/>
                <w:szCs w:val="18"/>
              </w:rPr>
              <w:t>.</w:t>
            </w:r>
          </w:p>
          <w:p w14:paraId="7C11F5EF" w14:textId="4EE70C1D" w:rsidR="004727E7" w:rsidRPr="00CF4E2F" w:rsidRDefault="004727E7" w:rsidP="004727E7">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The amount reported in 1.4 arising from other loans and advances to financial customers</w:t>
            </w:r>
            <w:r>
              <w:rPr>
                <w:rFonts w:ascii="Times New Roman" w:eastAsia="Times New Roman" w:hAnsi="Times New Roman" w:cs="Times New Roman"/>
                <w:sz w:val="18"/>
                <w:szCs w:val="18"/>
              </w:rPr>
              <w:t xml:space="preserve"> not reported under 1.4.1 and 1.4.2</w:t>
            </w:r>
            <w:r w:rsidRPr="00CF4E2F">
              <w:rPr>
                <w:rFonts w:ascii="Times New Roman" w:eastAsia="Times New Roman" w:hAnsi="Times New Roman" w:cs="Times New Roman"/>
                <w:sz w:val="18"/>
                <w:szCs w:val="18"/>
              </w:rPr>
              <w:t>.</w:t>
            </w:r>
          </w:p>
          <w:p w14:paraId="6170BB13" w14:textId="3EEEA715" w:rsidR="000A1E56" w:rsidRPr="00CF4E2F" w:rsidRDefault="000A1E56" w:rsidP="003022BA">
            <w:pPr>
              <w:pStyle w:val="TableParagraph"/>
              <w:ind w:left="102" w:right="99"/>
              <w:jc w:val="both"/>
              <w:rPr>
                <w:rFonts w:ascii="Times New Roman"/>
                <w:b/>
                <w:sz w:val="18"/>
                <w:szCs w:val="18"/>
                <w:u w:val="thick" w:color="000000"/>
              </w:rPr>
            </w:pPr>
          </w:p>
        </w:tc>
      </w:tr>
      <w:tr w:rsidR="004727E7" w:rsidRPr="00CF4E2F" w14:paraId="75616E9F" w14:textId="77777777" w:rsidTr="00FE0FF1">
        <w:trPr>
          <w:trHeight w:val="304"/>
        </w:trPr>
        <w:tc>
          <w:tcPr>
            <w:tcW w:w="1418" w:type="dxa"/>
          </w:tcPr>
          <w:p w14:paraId="42086720" w14:textId="3F2FCAF8"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w:t>
            </w:r>
          </w:p>
        </w:tc>
        <w:tc>
          <w:tcPr>
            <w:tcW w:w="7590" w:type="dxa"/>
          </w:tcPr>
          <w:p w14:paraId="0E8A8C32" w14:textId="527EDDC5" w:rsidR="004727E7" w:rsidRPr="00CF4E2F" w:rsidRDefault="004727E7"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1.4.4 assets encumbered for </w:t>
            </w:r>
            <w:r w:rsidR="00FF64DD">
              <w:rPr>
                <w:rFonts w:ascii="Times New Roman"/>
                <w:b/>
                <w:sz w:val="18"/>
                <w:szCs w:val="18"/>
                <w:u w:val="thick" w:color="000000"/>
              </w:rPr>
              <w:t>a residual maturity of one year or more</w:t>
            </w:r>
            <w:r w:rsidRPr="00CF4E2F">
              <w:rPr>
                <w:rFonts w:ascii="Times New Roman"/>
                <w:b/>
                <w:sz w:val="18"/>
                <w:szCs w:val="18"/>
                <w:u w:val="thick" w:color="000000"/>
              </w:rPr>
              <w:t xml:space="preserve"> in </w:t>
            </w:r>
            <w:r>
              <w:rPr>
                <w:rFonts w:ascii="Times New Roman"/>
                <w:b/>
                <w:sz w:val="18"/>
                <w:szCs w:val="18"/>
                <w:u w:val="thick" w:color="000000"/>
              </w:rPr>
              <w:t xml:space="preserve">a </w:t>
            </w:r>
            <w:r w:rsidRPr="00CF4E2F">
              <w:rPr>
                <w:rFonts w:ascii="Times New Roman"/>
                <w:b/>
                <w:sz w:val="18"/>
                <w:szCs w:val="18"/>
                <w:u w:val="thick" w:color="000000"/>
              </w:rPr>
              <w:t>cover pool</w:t>
            </w:r>
          </w:p>
          <w:p w14:paraId="74311B6C" w14:textId="77777777"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Article 428ag(h)</w:t>
            </w:r>
            <w:r w:rsidRPr="00CF4E2F">
              <w:rPr>
                <w:sz w:val="18"/>
                <w:szCs w:val="18"/>
              </w:rPr>
              <w:t xml:space="preserve"> </w:t>
            </w:r>
            <w:r w:rsidRPr="00CF4E2F">
              <w:rPr>
                <w:rFonts w:ascii="Times New Roman"/>
                <w:sz w:val="18"/>
                <w:szCs w:val="18"/>
              </w:rPr>
              <w:t>of CRR</w:t>
            </w:r>
            <w:r>
              <w:rPr>
                <w:rFonts w:ascii="Times New Roman"/>
                <w:sz w:val="18"/>
                <w:szCs w:val="18"/>
              </w:rPr>
              <w:t>.</w:t>
            </w:r>
          </w:p>
          <w:p w14:paraId="1AF60675" w14:textId="521A6198" w:rsidR="004727E7" w:rsidRPr="00CF4E2F" w:rsidRDefault="004727E7"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sz w:val="18"/>
                <w:szCs w:val="18"/>
              </w:rPr>
              <w:t>that</w:t>
            </w:r>
            <w:r w:rsidRPr="00CF4E2F">
              <w:rPr>
                <w:rFonts w:ascii="Times New Roman"/>
                <w:sz w:val="18"/>
                <w:szCs w:val="18"/>
              </w:rPr>
              <w:t xml:space="preserve"> is </w:t>
            </w:r>
            <w:r>
              <w:rPr>
                <w:rFonts w:ascii="Times New Roman"/>
                <w:sz w:val="18"/>
                <w:szCs w:val="18"/>
              </w:rPr>
              <w:t xml:space="preserve">related to assets that are </w:t>
            </w:r>
            <w:r w:rsidRPr="00CF4E2F">
              <w:rPr>
                <w:rFonts w:ascii="Times New Roman"/>
                <w:sz w:val="18"/>
                <w:szCs w:val="18"/>
              </w:rPr>
              <w:t xml:space="preserve">encumbered for </w:t>
            </w:r>
            <w:r>
              <w:rPr>
                <w:rFonts w:ascii="Times New Roman" w:eastAsia="Times New Roman" w:hAnsi="Times New Roman" w:cs="Times New Roman"/>
                <w:sz w:val="18"/>
                <w:szCs w:val="18"/>
              </w:rPr>
              <w:t>a residual maturity of one year or more</w:t>
            </w:r>
            <w:r w:rsidRPr="00CF4E2F">
              <w:rPr>
                <w:rFonts w:ascii="Times New Roman"/>
                <w:sz w:val="18"/>
                <w:szCs w:val="18"/>
              </w:rPr>
              <w:t xml:space="preserve"> in a cover pool funded by covered bonds as referred to in Article 52(4) of Directive 2009/65/EC or covered bonds which meet the eligibility requirements for the treatment as set out in Article 129(4) or (5) of CRR.</w:t>
            </w:r>
          </w:p>
          <w:p w14:paraId="57691542" w14:textId="2A211CD5" w:rsidR="004727E7" w:rsidRPr="00CF4E2F" w:rsidRDefault="004727E7" w:rsidP="003022BA">
            <w:pPr>
              <w:pStyle w:val="TableParagraph"/>
              <w:ind w:left="102" w:right="99"/>
              <w:jc w:val="both"/>
              <w:rPr>
                <w:rFonts w:ascii="Times New Roman"/>
                <w:sz w:val="18"/>
                <w:szCs w:val="18"/>
              </w:rPr>
            </w:pPr>
          </w:p>
        </w:tc>
      </w:tr>
      <w:tr w:rsidR="00647823" w:rsidRPr="00CF4E2F" w14:paraId="7A9D40F3" w14:textId="77777777" w:rsidTr="00FE0FF1">
        <w:trPr>
          <w:trHeight w:val="304"/>
        </w:trPr>
        <w:tc>
          <w:tcPr>
            <w:tcW w:w="1418" w:type="dxa"/>
          </w:tcPr>
          <w:p w14:paraId="7D752CBF" w14:textId="278A5E84" w:rsidR="00647823"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sidR="008D34E3">
              <w:rPr>
                <w:rFonts w:ascii="Times New Roman" w:eastAsia="Times New Roman" w:hAnsi="Times New Roman" w:cs="Times New Roman"/>
                <w:sz w:val="18"/>
                <w:szCs w:val="18"/>
              </w:rPr>
              <w:t>5</w:t>
            </w:r>
            <w:r w:rsidRPr="00CF4E2F">
              <w:rPr>
                <w:rFonts w:ascii="Times New Roman" w:eastAsia="Times New Roman" w:hAnsi="Times New Roman" w:cs="Times New Roman"/>
                <w:sz w:val="18"/>
                <w:szCs w:val="18"/>
              </w:rPr>
              <w:t>0</w:t>
            </w:r>
          </w:p>
        </w:tc>
        <w:tc>
          <w:tcPr>
            <w:tcW w:w="7590" w:type="dxa"/>
          </w:tcPr>
          <w:p w14:paraId="62C90913" w14:textId="5C23DF93" w:rsidR="00647823" w:rsidRPr="00CF4E2F" w:rsidRDefault="003F1E48" w:rsidP="00BB332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1.4.5 </w:t>
            </w:r>
            <w:r w:rsidR="005714DF" w:rsidRPr="00CF4E2F">
              <w:rPr>
                <w:rFonts w:ascii="Times New Roman"/>
                <w:b/>
                <w:sz w:val="18"/>
                <w:szCs w:val="18"/>
                <w:u w:val="thick" w:color="000000"/>
              </w:rPr>
              <w:t>loans to non-financial</w:t>
            </w:r>
            <w:r w:rsidR="00E86F77" w:rsidRPr="00CF4E2F">
              <w:rPr>
                <w:rFonts w:ascii="Times New Roman"/>
                <w:b/>
                <w:sz w:val="18"/>
                <w:szCs w:val="18"/>
                <w:u w:val="thick" w:color="000000"/>
              </w:rPr>
              <w:t xml:space="preserve"> customers</w:t>
            </w:r>
            <w:r w:rsidR="005714DF" w:rsidRPr="00CF4E2F">
              <w:rPr>
                <w:rFonts w:ascii="Times New Roman"/>
                <w:b/>
                <w:sz w:val="18"/>
                <w:szCs w:val="18"/>
                <w:u w:val="thick" w:color="000000"/>
              </w:rPr>
              <w:t xml:space="preserve"> </w:t>
            </w:r>
            <w:r w:rsidR="00E86F77" w:rsidRPr="00CF4E2F">
              <w:rPr>
                <w:rFonts w:ascii="Times New Roman"/>
                <w:b/>
                <w:sz w:val="18"/>
                <w:szCs w:val="18"/>
                <w:u w:val="thick" w:color="000000"/>
              </w:rPr>
              <w:t xml:space="preserve">other than central banks </w:t>
            </w:r>
            <w:r w:rsidR="005714DF" w:rsidRPr="00CF4E2F">
              <w:rPr>
                <w:rFonts w:ascii="Times New Roman"/>
                <w:b/>
                <w:sz w:val="18"/>
                <w:szCs w:val="18"/>
                <w:u w:val="thick" w:color="000000"/>
              </w:rPr>
              <w:t>where those loans are assigned a risk weight of 35 % or less</w:t>
            </w:r>
          </w:p>
          <w:p w14:paraId="6D9C7BDD" w14:textId="77030DCC" w:rsidR="005714DF" w:rsidRPr="00CF4E2F" w:rsidRDefault="005714DF" w:rsidP="00BB332B">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w:t>
            </w:r>
            <w:r w:rsidR="00155E56" w:rsidRPr="00CF4E2F">
              <w:rPr>
                <w:rFonts w:ascii="Times New Roman"/>
                <w:sz w:val="18"/>
                <w:szCs w:val="18"/>
              </w:rPr>
              <w:t>428</w:t>
            </w:r>
            <w:r w:rsidR="009258BF">
              <w:rPr>
                <w:rFonts w:ascii="Times New Roman"/>
                <w:sz w:val="18"/>
                <w:szCs w:val="18"/>
              </w:rPr>
              <w:t>ad(c) and 428</w:t>
            </w:r>
            <w:r w:rsidR="00155E56" w:rsidRPr="00CF4E2F">
              <w:rPr>
                <w:rFonts w:ascii="Times New Roman"/>
                <w:sz w:val="18"/>
                <w:szCs w:val="18"/>
              </w:rPr>
              <w:t>af</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3AD0451D" w14:textId="591EF80F"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sz w:val="18"/>
                <w:szCs w:val="18"/>
              </w:rPr>
              <w:t>that</w:t>
            </w:r>
            <w:r w:rsidRPr="00CF4E2F">
              <w:rPr>
                <w:rFonts w:ascii="Times New Roman"/>
                <w:sz w:val="18"/>
                <w:szCs w:val="18"/>
              </w:rPr>
              <w:t xml:space="preserve"> is </w:t>
            </w:r>
            <w:r>
              <w:rPr>
                <w:rFonts w:ascii="Times New Roman"/>
                <w:sz w:val="18"/>
                <w:szCs w:val="18"/>
              </w:rPr>
              <w:t xml:space="preserve">related to </w:t>
            </w:r>
            <w:r w:rsidRPr="00CF4E2F">
              <w:rPr>
                <w:rFonts w:ascii="Times New Roman"/>
                <w:sz w:val="18"/>
                <w:szCs w:val="18"/>
              </w:rPr>
              <w:t>loans secured by mortgages on residential property or residential loans fully guaranteed by an eligible protection provider as referred to in point (e) of Article 129(1)</w:t>
            </w:r>
            <w:r w:rsidRPr="00CF4E2F">
              <w:rPr>
                <w:sz w:val="18"/>
                <w:szCs w:val="18"/>
              </w:rPr>
              <w:t xml:space="preserve"> </w:t>
            </w:r>
            <w:r w:rsidRPr="00CF4E2F">
              <w:rPr>
                <w:rFonts w:ascii="Times New Roman"/>
                <w:sz w:val="18"/>
                <w:szCs w:val="18"/>
              </w:rPr>
              <w:t xml:space="preserve">of CRR or loans, excluding loans to financial customers and loans referred to in Article </w:t>
            </w:r>
            <w:r w:rsidR="001F6F59">
              <w:rPr>
                <w:rFonts w:ascii="Times New Roman"/>
                <w:sz w:val="18"/>
                <w:szCs w:val="18"/>
              </w:rPr>
              <w:t>428r(1)</w:t>
            </w:r>
            <w:r w:rsidRPr="00CF4E2F">
              <w:rPr>
                <w:rFonts w:ascii="Times New Roman"/>
                <w:sz w:val="18"/>
                <w:szCs w:val="18"/>
              </w:rPr>
              <w:t xml:space="preserve"> to 428ad of CRR, provided that those loans are assigned a risk weight of 35 % or less in accordance with Chapter 2 of Title II</w:t>
            </w:r>
            <w:r>
              <w:rPr>
                <w:rFonts w:ascii="Times New Roman"/>
                <w:sz w:val="18"/>
                <w:szCs w:val="18"/>
              </w:rPr>
              <w:t xml:space="preserve"> </w:t>
            </w:r>
            <w:r w:rsidRPr="00CF4E2F">
              <w:rPr>
                <w:rFonts w:ascii="Times New Roman"/>
                <w:sz w:val="18"/>
                <w:szCs w:val="18"/>
              </w:rPr>
              <w:t>of Part Three of CRR.</w:t>
            </w:r>
          </w:p>
          <w:p w14:paraId="13428962" w14:textId="49E5E392" w:rsidR="000A1E56" w:rsidRPr="00CF4E2F" w:rsidRDefault="000A1E56" w:rsidP="003022BA">
            <w:pPr>
              <w:pStyle w:val="TableParagraph"/>
              <w:ind w:left="102" w:right="99"/>
              <w:jc w:val="both"/>
              <w:rPr>
                <w:rFonts w:ascii="Times New Roman"/>
                <w:sz w:val="18"/>
                <w:szCs w:val="18"/>
              </w:rPr>
            </w:pPr>
          </w:p>
        </w:tc>
      </w:tr>
      <w:tr w:rsidR="005074D1" w:rsidRPr="00CF4E2F" w14:paraId="1E23A5B5" w14:textId="77777777" w:rsidTr="00FE0FF1">
        <w:trPr>
          <w:trHeight w:val="304"/>
        </w:trPr>
        <w:tc>
          <w:tcPr>
            <w:tcW w:w="1418" w:type="dxa"/>
          </w:tcPr>
          <w:p w14:paraId="2DBF9D65" w14:textId="0258C04E" w:rsidR="005074D1"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sidR="008D34E3">
              <w:rPr>
                <w:rFonts w:ascii="Times New Roman" w:eastAsia="Times New Roman" w:hAnsi="Times New Roman" w:cs="Times New Roman"/>
                <w:sz w:val="18"/>
                <w:szCs w:val="18"/>
              </w:rPr>
              <w:t>6</w:t>
            </w:r>
            <w:r w:rsidRPr="00CF4E2F">
              <w:rPr>
                <w:rFonts w:ascii="Times New Roman" w:eastAsia="Times New Roman" w:hAnsi="Times New Roman" w:cs="Times New Roman"/>
                <w:sz w:val="18"/>
                <w:szCs w:val="18"/>
              </w:rPr>
              <w:t>0</w:t>
            </w:r>
          </w:p>
        </w:tc>
        <w:tc>
          <w:tcPr>
            <w:tcW w:w="7590" w:type="dxa"/>
          </w:tcPr>
          <w:p w14:paraId="442582CE" w14:textId="539A4672" w:rsidR="005074D1" w:rsidRPr="00CF4E2F" w:rsidRDefault="000A1E56" w:rsidP="00BB332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1.4.5.0.1. </w:t>
            </w:r>
            <w:r w:rsidR="005074D1" w:rsidRPr="00CF4E2F">
              <w:rPr>
                <w:rFonts w:ascii="Times New Roman"/>
                <w:b/>
                <w:sz w:val="18"/>
                <w:szCs w:val="18"/>
                <w:u w:val="thick" w:color="000000"/>
              </w:rPr>
              <w:t>of which, residential mortgages</w:t>
            </w:r>
          </w:p>
          <w:p w14:paraId="67C21C9E" w14:textId="141F2A3F" w:rsidR="004727E7" w:rsidRPr="00F245CC" w:rsidRDefault="004727E7" w:rsidP="004727E7">
            <w:pPr>
              <w:pStyle w:val="TableParagraph"/>
              <w:spacing w:before="117"/>
              <w:ind w:left="102" w:right="99"/>
              <w:jc w:val="both"/>
              <w:rPr>
                <w:rFonts w:ascii="Times New Roman"/>
                <w:sz w:val="18"/>
                <w:szCs w:val="18"/>
                <w:u w:val="single"/>
              </w:rPr>
            </w:pPr>
            <w:r w:rsidRPr="00F245CC">
              <w:rPr>
                <w:rFonts w:ascii="Times New Roman"/>
                <w:sz w:val="18"/>
                <w:szCs w:val="18"/>
              </w:rPr>
              <w:t xml:space="preserve">The amount reported in 1.4.5 </w:t>
            </w:r>
            <w:r w:rsidR="001458F1">
              <w:rPr>
                <w:rFonts w:ascii="Times New Roman"/>
                <w:sz w:val="18"/>
                <w:szCs w:val="18"/>
              </w:rPr>
              <w:t>that</w:t>
            </w:r>
            <w:r w:rsidR="001458F1" w:rsidRPr="00F245CC" w:rsidDel="001458F1">
              <w:rPr>
                <w:rFonts w:ascii="Times New Roman"/>
                <w:sz w:val="18"/>
                <w:szCs w:val="18"/>
              </w:rPr>
              <w:t xml:space="preserve"> </w:t>
            </w:r>
            <w:r w:rsidRPr="00F245CC">
              <w:rPr>
                <w:rFonts w:ascii="Times New Roman"/>
                <w:sz w:val="18"/>
                <w:szCs w:val="18"/>
              </w:rPr>
              <w:t>is related to exposures secured by mortgages on residential property.</w:t>
            </w:r>
          </w:p>
          <w:p w14:paraId="2B05F20D" w14:textId="78E6EF07" w:rsidR="00D6423A" w:rsidRPr="00D6423A" w:rsidRDefault="00D6423A" w:rsidP="003022BA">
            <w:pPr>
              <w:pStyle w:val="TableParagraph"/>
              <w:ind w:left="102" w:right="99"/>
              <w:jc w:val="both"/>
              <w:rPr>
                <w:rFonts w:ascii="Times New Roman"/>
                <w:sz w:val="18"/>
                <w:szCs w:val="18"/>
                <w:u w:val="single"/>
              </w:rPr>
            </w:pPr>
          </w:p>
        </w:tc>
      </w:tr>
      <w:tr w:rsidR="004727E7" w:rsidRPr="00CF4E2F" w14:paraId="5DBA22C9" w14:textId="77777777" w:rsidTr="00FE0FF1">
        <w:trPr>
          <w:trHeight w:val="304"/>
        </w:trPr>
        <w:tc>
          <w:tcPr>
            <w:tcW w:w="1418" w:type="dxa"/>
          </w:tcPr>
          <w:p w14:paraId="68ACE33B" w14:textId="21D6155A"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0496B515" w14:textId="161A5E0E"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1.4.5.1 unencumbered or encumbered </w:t>
            </w:r>
            <w:r w:rsidR="00FF64DD">
              <w:rPr>
                <w:rFonts w:ascii="Times New Roman"/>
                <w:b/>
                <w:sz w:val="18"/>
                <w:szCs w:val="18"/>
                <w:u w:val="thick" w:color="000000"/>
              </w:rPr>
              <w:t>for a residual maturity of less than six months</w:t>
            </w:r>
          </w:p>
          <w:p w14:paraId="24AD9623" w14:textId="1FF584EA"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1.4.5 </w:t>
            </w:r>
            <w:r w:rsidR="001458F1">
              <w:rPr>
                <w:rFonts w:ascii="Times New Roman"/>
                <w:sz w:val="18"/>
                <w:szCs w:val="18"/>
              </w:rPr>
              <w:t>that</w:t>
            </w:r>
            <w:r w:rsidR="001458F1">
              <w:rPr>
                <w:rFonts w:ascii="Times New Roman" w:eastAsia="Times New Roman" w:hAnsi="Times New Roman" w:cs="Times New Roman"/>
                <w:sz w:val="18"/>
                <w:szCs w:val="18"/>
              </w:rPr>
              <w:t xml:space="preserve"> </w:t>
            </w:r>
            <w:r w:rsidR="00926B7C">
              <w:rPr>
                <w:rFonts w:ascii="Times New Roman" w:eastAsia="Times New Roman" w:hAnsi="Times New Roman" w:cs="Times New Roman"/>
                <w:sz w:val="18"/>
                <w:szCs w:val="18"/>
              </w:rPr>
              <w:t xml:space="preserve">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4B963D4A" w14:textId="219B51DE"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2EBCAE42" w14:textId="77777777" w:rsidTr="00FE0FF1">
        <w:trPr>
          <w:trHeight w:val="304"/>
        </w:trPr>
        <w:tc>
          <w:tcPr>
            <w:tcW w:w="1418" w:type="dxa"/>
          </w:tcPr>
          <w:p w14:paraId="019DBE11" w14:textId="2CFDED33"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32657656" w14:textId="0C96E9B9"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1.4.5.2 encumbered </w:t>
            </w:r>
            <w:r w:rsidR="00FF64DD">
              <w:rPr>
                <w:rFonts w:ascii="Times New Roman"/>
                <w:b/>
                <w:sz w:val="18"/>
                <w:szCs w:val="18"/>
                <w:u w:val="thick" w:color="000000"/>
              </w:rPr>
              <w:t>for a residual maturity of at least six months but less than one year</w:t>
            </w:r>
          </w:p>
          <w:p w14:paraId="79798EDD" w14:textId="71A5FD8D" w:rsidR="004727E7" w:rsidRPr="00CF4E2F" w:rsidRDefault="004727E7" w:rsidP="00047F14">
            <w:pPr>
              <w:pStyle w:val="TableParagraph"/>
              <w:spacing w:before="117"/>
              <w:ind w:left="102" w:right="99"/>
              <w:jc w:val="both"/>
              <w:rPr>
                <w:rFonts w:ascii="Times New Roman" w:hAnsi="Times New Roman"/>
                <w:sz w:val="18"/>
                <w:szCs w:val="18"/>
              </w:rPr>
            </w:pPr>
            <w:r w:rsidRPr="00CF4E2F">
              <w:rPr>
                <w:rFonts w:ascii="Times New Roman" w:hAnsi="Times New Roman"/>
                <w:sz w:val="18"/>
                <w:szCs w:val="18"/>
              </w:rPr>
              <w:t xml:space="preserve">The amount reported in 1.4.5 </w:t>
            </w:r>
            <w:r w:rsidR="00926B7C">
              <w:rPr>
                <w:rFonts w:ascii="Times New Roman" w:hAnsi="Times New Roman"/>
                <w:sz w:val="18"/>
                <w:szCs w:val="18"/>
              </w:rPr>
              <w:t xml:space="preserve">which 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hAnsi="Times New Roman"/>
                <w:sz w:val="18"/>
                <w:szCs w:val="18"/>
              </w:rPr>
              <w:t>.</w:t>
            </w:r>
          </w:p>
          <w:p w14:paraId="1B9142CF" w14:textId="6A5F2EC6"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3068240B" w14:textId="77777777" w:rsidTr="00FE0FF1">
        <w:trPr>
          <w:trHeight w:val="304"/>
        </w:trPr>
        <w:tc>
          <w:tcPr>
            <w:tcW w:w="1418" w:type="dxa"/>
          </w:tcPr>
          <w:p w14:paraId="152666C0" w14:textId="24817D4B"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07</w:t>
            </w:r>
            <w:r>
              <w:rPr>
                <w:rFonts w:ascii="Times New Roman" w:eastAsia="Times New Roman" w:hAnsi="Times New Roman" w:cs="Times New Roman"/>
                <w:sz w:val="18"/>
                <w:szCs w:val="18"/>
              </w:rPr>
              <w:t>9</w:t>
            </w:r>
            <w:r w:rsidRPr="00CF4E2F">
              <w:rPr>
                <w:rFonts w:ascii="Times New Roman" w:eastAsia="Times New Roman" w:hAnsi="Times New Roman" w:cs="Times New Roman"/>
                <w:sz w:val="18"/>
                <w:szCs w:val="18"/>
              </w:rPr>
              <w:t>0</w:t>
            </w:r>
          </w:p>
        </w:tc>
        <w:tc>
          <w:tcPr>
            <w:tcW w:w="7590" w:type="dxa"/>
          </w:tcPr>
          <w:p w14:paraId="476ABB61" w14:textId="14911F3F"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1.4.5.3 encumbered for </w:t>
            </w:r>
            <w:r w:rsidR="00FF64DD">
              <w:rPr>
                <w:rFonts w:ascii="Times New Roman"/>
                <w:b/>
                <w:sz w:val="18"/>
                <w:szCs w:val="18"/>
                <w:u w:val="thick" w:color="000000"/>
              </w:rPr>
              <w:t>a residual maturity of one year or more</w:t>
            </w:r>
          </w:p>
          <w:p w14:paraId="64A36542" w14:textId="6E5E906C" w:rsidR="004727E7" w:rsidRPr="00CF4E2F" w:rsidRDefault="004727E7" w:rsidP="00047F14">
            <w:pPr>
              <w:pStyle w:val="TableParagraph"/>
              <w:spacing w:before="117"/>
              <w:ind w:left="102" w:right="99"/>
              <w:jc w:val="both"/>
              <w:rPr>
                <w:rFonts w:ascii="Times New Roman" w:hAnsi="Times New Roman"/>
                <w:sz w:val="18"/>
                <w:szCs w:val="18"/>
              </w:rPr>
            </w:pPr>
            <w:r w:rsidRPr="00CF4E2F">
              <w:rPr>
                <w:rFonts w:ascii="Times New Roman" w:hAnsi="Times New Roman"/>
                <w:sz w:val="18"/>
                <w:szCs w:val="18"/>
              </w:rPr>
              <w:t xml:space="preserve">The amount reported in 1.4.5 </w:t>
            </w:r>
            <w:r w:rsidR="001458F1">
              <w:rPr>
                <w:rFonts w:ascii="Times New Roman"/>
                <w:sz w:val="18"/>
                <w:szCs w:val="18"/>
              </w:rPr>
              <w:t>that</w:t>
            </w:r>
            <w:r w:rsidR="001458F1">
              <w:rPr>
                <w:rFonts w:ascii="Times New Roman" w:hAnsi="Times New Roman"/>
                <w:sz w:val="18"/>
                <w:szCs w:val="18"/>
              </w:rPr>
              <w:t xml:space="preserve"> </w:t>
            </w:r>
            <w:r w:rsidR="00926B7C">
              <w:rPr>
                <w:rFonts w:ascii="Times New Roman" w:hAnsi="Times New Roman"/>
                <w:sz w:val="18"/>
                <w:szCs w:val="18"/>
              </w:rPr>
              <w:t xml:space="preserve">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r w:rsidRPr="00CF4E2F">
              <w:rPr>
                <w:rFonts w:ascii="Times New Roman" w:hAnsi="Times New Roman"/>
                <w:sz w:val="18"/>
                <w:szCs w:val="18"/>
              </w:rPr>
              <w:t>.</w:t>
            </w:r>
          </w:p>
          <w:p w14:paraId="7D408CD8" w14:textId="7449DE0A" w:rsidR="004727E7" w:rsidRPr="00CF4E2F" w:rsidRDefault="004727E7" w:rsidP="003022BA">
            <w:pPr>
              <w:pStyle w:val="TableParagraph"/>
              <w:ind w:left="102" w:right="99"/>
              <w:jc w:val="both"/>
              <w:rPr>
                <w:rFonts w:ascii="Times New Roman"/>
                <w:b/>
                <w:sz w:val="18"/>
                <w:szCs w:val="18"/>
                <w:u w:val="thick" w:color="000000"/>
              </w:rPr>
            </w:pPr>
          </w:p>
        </w:tc>
      </w:tr>
      <w:tr w:rsidR="00107B7A" w:rsidRPr="00CF4E2F" w14:paraId="7E0BC0BB" w14:textId="77777777" w:rsidTr="00FE0FF1">
        <w:trPr>
          <w:trHeight w:val="304"/>
        </w:trPr>
        <w:tc>
          <w:tcPr>
            <w:tcW w:w="1418" w:type="dxa"/>
          </w:tcPr>
          <w:p w14:paraId="0FCC88D6" w14:textId="09BED9BB" w:rsidR="00107B7A"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w:t>
            </w:r>
            <w:r w:rsidR="008D34E3">
              <w:rPr>
                <w:rFonts w:ascii="Times New Roman" w:eastAsia="Times New Roman" w:hAnsi="Times New Roman" w:cs="Times New Roman"/>
                <w:sz w:val="18"/>
                <w:szCs w:val="18"/>
              </w:rPr>
              <w:t>80</w:t>
            </w:r>
            <w:r w:rsidRPr="00CF4E2F">
              <w:rPr>
                <w:rFonts w:ascii="Times New Roman" w:eastAsia="Times New Roman" w:hAnsi="Times New Roman" w:cs="Times New Roman"/>
                <w:sz w:val="18"/>
                <w:szCs w:val="18"/>
              </w:rPr>
              <w:t>0</w:t>
            </w:r>
          </w:p>
        </w:tc>
        <w:tc>
          <w:tcPr>
            <w:tcW w:w="7590" w:type="dxa"/>
          </w:tcPr>
          <w:p w14:paraId="41B5CF26" w14:textId="77777777" w:rsidR="00107B7A" w:rsidRPr="00CF4E2F" w:rsidRDefault="008C27AC"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1.4.6 other loans to non-financial customers other than central banks</w:t>
            </w:r>
          </w:p>
          <w:p w14:paraId="1C573A5B" w14:textId="242D41FE" w:rsidR="008C27AC" w:rsidRPr="001A257C" w:rsidRDefault="008C27AC" w:rsidP="009543CF">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428ad(c) and 428ag(c)</w:t>
            </w:r>
            <w:r w:rsidR="003F1FD7" w:rsidRPr="00CF4E2F">
              <w:rPr>
                <w:sz w:val="18"/>
                <w:szCs w:val="18"/>
              </w:rPr>
              <w:t xml:space="preserve"> </w:t>
            </w:r>
            <w:r w:rsidR="003F1FD7" w:rsidRPr="00CF4E2F">
              <w:rPr>
                <w:rFonts w:ascii="Times New Roman"/>
                <w:sz w:val="18"/>
                <w:szCs w:val="18"/>
              </w:rPr>
              <w:t xml:space="preserve">of </w:t>
            </w:r>
            <w:r w:rsidR="00416B4D" w:rsidRPr="001A257C">
              <w:rPr>
                <w:rFonts w:ascii="Times New Roman"/>
                <w:sz w:val="18"/>
                <w:szCs w:val="18"/>
              </w:rPr>
              <w:t>CRR</w:t>
            </w:r>
            <w:r w:rsidR="00E7638A">
              <w:rPr>
                <w:rFonts w:ascii="Times New Roman"/>
                <w:sz w:val="18"/>
                <w:szCs w:val="18"/>
              </w:rPr>
              <w:t>.</w:t>
            </w:r>
          </w:p>
          <w:p w14:paraId="54FEA696" w14:textId="0AA481B7" w:rsidR="004727E7" w:rsidRPr="00CF4E2F" w:rsidRDefault="00DD3D3D" w:rsidP="004727E7">
            <w:pPr>
              <w:pStyle w:val="TableParagraph"/>
              <w:spacing w:before="117"/>
              <w:ind w:left="102" w:right="99"/>
              <w:jc w:val="both"/>
              <w:rPr>
                <w:rFonts w:ascii="Times New Roman"/>
                <w:sz w:val="18"/>
                <w:szCs w:val="18"/>
              </w:rPr>
            </w:pPr>
            <w:r>
              <w:rPr>
                <w:rFonts w:ascii="Times New Roman"/>
                <w:sz w:val="18"/>
                <w:szCs w:val="18"/>
              </w:rPr>
              <w:t>The amount reported in 1.4</w:t>
            </w:r>
            <w:r w:rsidR="004727E7" w:rsidRPr="00CF4E2F">
              <w:rPr>
                <w:rFonts w:ascii="Times New Roman"/>
                <w:sz w:val="18"/>
                <w:szCs w:val="18"/>
              </w:rPr>
              <w:t xml:space="preserve">.5 </w:t>
            </w:r>
            <w:r w:rsidR="001458F1">
              <w:rPr>
                <w:rFonts w:ascii="Times New Roman"/>
                <w:sz w:val="18"/>
                <w:szCs w:val="18"/>
              </w:rPr>
              <w:t>that</w:t>
            </w:r>
            <w:r w:rsidR="004727E7" w:rsidRPr="00CF4E2F">
              <w:rPr>
                <w:rFonts w:ascii="Times New Roman"/>
                <w:sz w:val="18"/>
                <w:szCs w:val="18"/>
              </w:rPr>
              <w:t xml:space="preserve"> is </w:t>
            </w:r>
            <w:r w:rsidR="004727E7">
              <w:rPr>
                <w:rFonts w:ascii="Times New Roman"/>
                <w:sz w:val="18"/>
                <w:szCs w:val="18"/>
              </w:rPr>
              <w:t xml:space="preserve">related to </w:t>
            </w:r>
            <w:r w:rsidR="004727E7" w:rsidRPr="00CF4E2F">
              <w:rPr>
                <w:rFonts w:ascii="Times New Roman"/>
                <w:sz w:val="18"/>
                <w:szCs w:val="18"/>
              </w:rPr>
              <w:t>loans to non-financial customers other than central banks with a risk weight of more than 35 % in accordance with Chapter 2 of Title Ii of Part Three of CRR.</w:t>
            </w:r>
          </w:p>
          <w:p w14:paraId="34AA22F4" w14:textId="757076DE" w:rsidR="000A1E56" w:rsidRPr="00CF4E2F" w:rsidRDefault="000A1E56" w:rsidP="003022BA">
            <w:pPr>
              <w:pStyle w:val="TableParagraph"/>
              <w:ind w:left="102" w:right="99"/>
              <w:jc w:val="both"/>
              <w:rPr>
                <w:rFonts w:ascii="Times New Roman"/>
                <w:sz w:val="18"/>
                <w:szCs w:val="18"/>
              </w:rPr>
            </w:pPr>
          </w:p>
        </w:tc>
      </w:tr>
      <w:tr w:rsidR="005074D1" w:rsidRPr="00CF4E2F" w14:paraId="1B0A2920" w14:textId="77777777" w:rsidTr="00FE0FF1">
        <w:trPr>
          <w:trHeight w:val="304"/>
        </w:trPr>
        <w:tc>
          <w:tcPr>
            <w:tcW w:w="1418" w:type="dxa"/>
          </w:tcPr>
          <w:p w14:paraId="10455A07" w14:textId="79B399DF" w:rsidR="005074D1"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1</w:t>
            </w:r>
            <w:r w:rsidRPr="00CF4E2F">
              <w:rPr>
                <w:rFonts w:ascii="Times New Roman" w:eastAsia="Times New Roman" w:hAnsi="Times New Roman" w:cs="Times New Roman"/>
                <w:sz w:val="18"/>
                <w:szCs w:val="18"/>
              </w:rPr>
              <w:t>0</w:t>
            </w:r>
          </w:p>
        </w:tc>
        <w:tc>
          <w:tcPr>
            <w:tcW w:w="7590" w:type="dxa"/>
          </w:tcPr>
          <w:p w14:paraId="6C567FB4" w14:textId="2812CE05" w:rsidR="005074D1" w:rsidRPr="00CF4E2F" w:rsidRDefault="0052535F"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1.4.6.0.1 </w:t>
            </w:r>
            <w:r w:rsidR="005074D1" w:rsidRPr="00CF4E2F">
              <w:rPr>
                <w:rFonts w:ascii="Times New Roman"/>
                <w:b/>
                <w:sz w:val="18"/>
                <w:szCs w:val="18"/>
                <w:u w:val="thick" w:color="000000"/>
              </w:rPr>
              <w:t>of which, residential mortgages</w:t>
            </w:r>
          </w:p>
          <w:p w14:paraId="4D0A9B5C" w14:textId="64110040" w:rsidR="004727E7" w:rsidRDefault="004727E7" w:rsidP="004727E7">
            <w:pPr>
              <w:pStyle w:val="TableParagraph"/>
              <w:spacing w:before="117"/>
              <w:ind w:left="102" w:right="99"/>
              <w:jc w:val="both"/>
              <w:rPr>
                <w:rFonts w:ascii="Times New Roman"/>
                <w:b/>
                <w:sz w:val="18"/>
                <w:szCs w:val="18"/>
                <w:u w:val="thick" w:color="000000"/>
              </w:rPr>
            </w:pPr>
            <w:r w:rsidRPr="00D6423A">
              <w:rPr>
                <w:rFonts w:ascii="Times New Roman"/>
                <w:sz w:val="18"/>
                <w:szCs w:val="18"/>
              </w:rPr>
              <w:t xml:space="preserve">The amount reported in 1.4.6 </w:t>
            </w:r>
            <w:r w:rsidR="001458F1">
              <w:rPr>
                <w:rFonts w:ascii="Times New Roman"/>
                <w:sz w:val="18"/>
                <w:szCs w:val="18"/>
              </w:rPr>
              <w:t>that</w:t>
            </w:r>
            <w:r w:rsidR="001458F1" w:rsidRPr="00D6423A" w:rsidDel="001458F1">
              <w:rPr>
                <w:rFonts w:ascii="Times New Roman"/>
                <w:sz w:val="18"/>
                <w:szCs w:val="18"/>
              </w:rPr>
              <w:t xml:space="preserve"> </w:t>
            </w:r>
            <w:r w:rsidRPr="00D6423A">
              <w:rPr>
                <w:rFonts w:ascii="Times New Roman"/>
                <w:sz w:val="18"/>
                <w:szCs w:val="18"/>
              </w:rPr>
              <w:t xml:space="preserve">is </w:t>
            </w:r>
            <w:r>
              <w:rPr>
                <w:rFonts w:ascii="Times New Roman"/>
                <w:sz w:val="18"/>
                <w:szCs w:val="18"/>
              </w:rPr>
              <w:t xml:space="preserve">related to </w:t>
            </w:r>
            <w:r w:rsidRPr="00D6423A">
              <w:rPr>
                <w:rFonts w:ascii="Times New Roman"/>
                <w:sz w:val="18"/>
                <w:szCs w:val="18"/>
              </w:rPr>
              <w:t>exposures secured by mortgages on residential property</w:t>
            </w:r>
            <w:r>
              <w:rPr>
                <w:rFonts w:ascii="Times New Roman"/>
                <w:sz w:val="18"/>
                <w:szCs w:val="18"/>
              </w:rPr>
              <w:t>.</w:t>
            </w:r>
          </w:p>
          <w:p w14:paraId="4F9B7CA8" w14:textId="141170BA" w:rsidR="00D6423A" w:rsidRPr="00CF4E2F" w:rsidRDefault="00D6423A" w:rsidP="003022BA">
            <w:pPr>
              <w:pStyle w:val="TableParagraph"/>
              <w:ind w:left="102" w:right="99"/>
              <w:jc w:val="both"/>
              <w:rPr>
                <w:rFonts w:ascii="Times New Roman"/>
                <w:b/>
                <w:sz w:val="18"/>
                <w:szCs w:val="18"/>
                <w:u w:val="thick" w:color="000000"/>
              </w:rPr>
            </w:pPr>
          </w:p>
        </w:tc>
      </w:tr>
      <w:tr w:rsidR="004727E7" w:rsidRPr="00CF4E2F" w14:paraId="5531DD4B" w14:textId="77777777" w:rsidTr="00FE0FF1">
        <w:trPr>
          <w:trHeight w:val="304"/>
        </w:trPr>
        <w:tc>
          <w:tcPr>
            <w:tcW w:w="1418" w:type="dxa"/>
          </w:tcPr>
          <w:p w14:paraId="0E617FDE" w14:textId="7A22F007" w:rsidR="004727E7" w:rsidRPr="001A257C" w:rsidRDefault="004727E7" w:rsidP="008D34E3">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Pr>
                <w:rFonts w:ascii="Times New Roman" w:eastAsia="Times New Roman" w:hAnsi="Times New Roman" w:cs="Times New Roman"/>
                <w:sz w:val="18"/>
                <w:szCs w:val="18"/>
              </w:rPr>
              <w:t>2</w:t>
            </w:r>
            <w:r w:rsidRPr="00CF4E2F">
              <w:rPr>
                <w:rFonts w:ascii="Times New Roman" w:eastAsia="Times New Roman" w:hAnsi="Times New Roman" w:cs="Times New Roman"/>
                <w:sz w:val="18"/>
                <w:szCs w:val="18"/>
              </w:rPr>
              <w:t>0</w:t>
            </w:r>
          </w:p>
        </w:tc>
        <w:tc>
          <w:tcPr>
            <w:tcW w:w="7590" w:type="dxa"/>
          </w:tcPr>
          <w:p w14:paraId="473150BC" w14:textId="2F0500B8" w:rsidR="004727E7" w:rsidRPr="00CF4E2F" w:rsidRDefault="004727E7"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1.4.6.1 unencumbered or encumbered </w:t>
            </w:r>
            <w:r w:rsidR="00635F69">
              <w:rPr>
                <w:rFonts w:ascii="Times New Roman"/>
                <w:b/>
                <w:sz w:val="18"/>
                <w:szCs w:val="18"/>
                <w:u w:val="thick" w:color="000000"/>
              </w:rPr>
              <w:t>for a residual maturity of less than one year</w:t>
            </w:r>
          </w:p>
          <w:p w14:paraId="49F3172F" w14:textId="277E1ECA" w:rsidR="004727E7" w:rsidRPr="00CF4E2F" w:rsidRDefault="004727E7"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1.4.6 </w:t>
            </w:r>
            <w:r w:rsidR="001458F1">
              <w:rPr>
                <w:rFonts w:ascii="Times New Roman"/>
                <w:sz w:val="18"/>
                <w:szCs w:val="18"/>
              </w:rPr>
              <w:t>that</w:t>
            </w:r>
            <w:r w:rsidR="001458F1">
              <w:rPr>
                <w:rFonts w:ascii="Times New Roman" w:eastAsia="Times New Roman" w:hAnsi="Times New Roman" w:cs="Times New Roman"/>
                <w:sz w:val="18"/>
                <w:szCs w:val="18"/>
              </w:rPr>
              <w:t xml:space="preserve"> </w:t>
            </w:r>
            <w:r w:rsidR="00926B7C">
              <w:rPr>
                <w:rFonts w:ascii="Times New Roman" w:eastAsia="Times New Roman" w:hAnsi="Times New Roman" w:cs="Times New Roman"/>
                <w:sz w:val="18"/>
                <w:szCs w:val="18"/>
              </w:rPr>
              <w:t xml:space="preserve">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r w:rsidRPr="00CF4E2F">
              <w:rPr>
                <w:rFonts w:ascii="Times New Roman" w:eastAsia="Times New Roman" w:hAnsi="Times New Roman" w:cs="Times New Roman"/>
                <w:sz w:val="18"/>
                <w:szCs w:val="18"/>
              </w:rPr>
              <w:t>.</w:t>
            </w:r>
          </w:p>
          <w:p w14:paraId="4D7323D1" w14:textId="7CA6DE0A" w:rsidR="004727E7" w:rsidRPr="00CF4E2F" w:rsidRDefault="004727E7" w:rsidP="003022BA">
            <w:pPr>
              <w:pStyle w:val="TableParagraph"/>
              <w:ind w:left="102" w:right="99"/>
              <w:jc w:val="both"/>
              <w:rPr>
                <w:rFonts w:ascii="Times New Roman"/>
                <w:b/>
                <w:sz w:val="18"/>
                <w:szCs w:val="18"/>
                <w:u w:val="thick" w:color="000000"/>
              </w:rPr>
            </w:pPr>
          </w:p>
        </w:tc>
      </w:tr>
      <w:tr w:rsidR="004727E7" w:rsidRPr="00CF4E2F" w14:paraId="5156766D" w14:textId="77777777" w:rsidTr="00FE0FF1">
        <w:trPr>
          <w:trHeight w:val="304"/>
        </w:trPr>
        <w:tc>
          <w:tcPr>
            <w:tcW w:w="1418" w:type="dxa"/>
          </w:tcPr>
          <w:p w14:paraId="466ADF6B" w14:textId="295F2BAA" w:rsidR="004727E7" w:rsidRPr="001A257C" w:rsidRDefault="004727E7"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Pr>
                <w:rFonts w:ascii="Times New Roman" w:eastAsia="Times New Roman" w:hAnsi="Times New Roman" w:cs="Times New Roman"/>
                <w:sz w:val="18"/>
                <w:szCs w:val="18"/>
              </w:rPr>
              <w:t>3</w:t>
            </w:r>
            <w:r w:rsidRPr="00CF4E2F">
              <w:rPr>
                <w:rFonts w:ascii="Times New Roman" w:eastAsia="Times New Roman" w:hAnsi="Times New Roman" w:cs="Times New Roman"/>
                <w:sz w:val="18"/>
                <w:szCs w:val="18"/>
              </w:rPr>
              <w:t>0</w:t>
            </w:r>
          </w:p>
        </w:tc>
        <w:tc>
          <w:tcPr>
            <w:tcW w:w="7590" w:type="dxa"/>
          </w:tcPr>
          <w:p w14:paraId="0DCD4C94" w14:textId="14E52616" w:rsidR="004727E7" w:rsidRPr="00F245CC" w:rsidRDefault="004727E7"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1.4.6.2 encumbered </w:t>
            </w:r>
            <w:r w:rsidR="00FF64DD">
              <w:rPr>
                <w:rFonts w:ascii="Times New Roman"/>
                <w:b/>
                <w:sz w:val="18"/>
                <w:szCs w:val="18"/>
                <w:u w:val="thick" w:color="000000"/>
              </w:rPr>
              <w:t>a residual maturity of one year or more</w:t>
            </w:r>
          </w:p>
          <w:p w14:paraId="17FF8FD4" w14:textId="2496BEAC" w:rsidR="004727E7" w:rsidRPr="00CF4E2F" w:rsidRDefault="004727E7" w:rsidP="00047F14">
            <w:pPr>
              <w:pStyle w:val="TableParagraph"/>
              <w:spacing w:before="117"/>
              <w:ind w:left="102" w:right="99"/>
              <w:jc w:val="both"/>
              <w:rPr>
                <w:rFonts w:ascii="Times New Roman" w:hAnsi="Times New Roman"/>
                <w:sz w:val="18"/>
                <w:szCs w:val="18"/>
              </w:rPr>
            </w:pPr>
            <w:r w:rsidRPr="00CF4E2F">
              <w:rPr>
                <w:rFonts w:ascii="Times New Roman" w:hAnsi="Times New Roman"/>
                <w:sz w:val="18"/>
                <w:szCs w:val="18"/>
              </w:rPr>
              <w:t xml:space="preserve">The amount reported in 1.4.6 </w:t>
            </w:r>
            <w:r w:rsidR="001458F1">
              <w:rPr>
                <w:rFonts w:ascii="Times New Roman"/>
                <w:sz w:val="18"/>
                <w:szCs w:val="18"/>
              </w:rPr>
              <w:t>that</w:t>
            </w:r>
            <w:r w:rsidR="001458F1">
              <w:rPr>
                <w:rFonts w:ascii="Times New Roman" w:hAnsi="Times New Roman"/>
                <w:sz w:val="18"/>
                <w:szCs w:val="18"/>
              </w:rPr>
              <w:t xml:space="preserve"> </w:t>
            </w:r>
            <w:r w:rsidR="00926B7C">
              <w:rPr>
                <w:rFonts w:ascii="Times New Roman" w:hAnsi="Times New Roman"/>
                <w:sz w:val="18"/>
                <w:szCs w:val="18"/>
              </w:rPr>
              <w:t xml:space="preserve">is </w:t>
            </w:r>
            <w:r w:rsidR="00464840">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hAnsi="Times New Roman"/>
                <w:sz w:val="18"/>
                <w:szCs w:val="18"/>
              </w:rPr>
              <w:t xml:space="preserv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r w:rsidRPr="00CF4E2F">
              <w:rPr>
                <w:rFonts w:ascii="Times New Roman" w:hAnsi="Times New Roman"/>
                <w:sz w:val="18"/>
                <w:szCs w:val="18"/>
              </w:rPr>
              <w:t>.</w:t>
            </w:r>
          </w:p>
          <w:p w14:paraId="0D09F05A" w14:textId="69F388DE" w:rsidR="004727E7" w:rsidRPr="00CF4E2F" w:rsidRDefault="004727E7" w:rsidP="003022BA">
            <w:pPr>
              <w:pStyle w:val="TableParagraph"/>
              <w:ind w:left="102" w:right="99"/>
              <w:jc w:val="both"/>
              <w:rPr>
                <w:rFonts w:ascii="Times New Roman"/>
                <w:b/>
                <w:sz w:val="18"/>
                <w:szCs w:val="18"/>
                <w:u w:val="thick" w:color="000000"/>
              </w:rPr>
            </w:pPr>
          </w:p>
        </w:tc>
      </w:tr>
      <w:tr w:rsidR="005141D5" w:rsidRPr="00CF4E2F" w14:paraId="78A5A545" w14:textId="77777777" w:rsidTr="00FE0FF1">
        <w:trPr>
          <w:trHeight w:val="304"/>
        </w:trPr>
        <w:tc>
          <w:tcPr>
            <w:tcW w:w="1418" w:type="dxa"/>
          </w:tcPr>
          <w:p w14:paraId="33838805" w14:textId="431ADA9F" w:rsidR="005141D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w:t>
            </w:r>
          </w:p>
        </w:tc>
        <w:tc>
          <w:tcPr>
            <w:tcW w:w="7590" w:type="dxa"/>
          </w:tcPr>
          <w:p w14:paraId="5AB407A3" w14:textId="5EFB09FD" w:rsidR="005141D5" w:rsidRPr="00CF4E2F" w:rsidRDefault="005141D5" w:rsidP="009543CF">
            <w:pPr>
              <w:pStyle w:val="TableParagraph"/>
              <w:spacing w:before="117"/>
              <w:ind w:left="102" w:right="99"/>
              <w:jc w:val="both"/>
              <w:rPr>
                <w:rFonts w:ascii="Times New Roman"/>
                <w:b/>
                <w:sz w:val="18"/>
                <w:szCs w:val="18"/>
                <w:u w:val="thick" w:color="000000"/>
              </w:rPr>
            </w:pPr>
            <w:r w:rsidRPr="00D92095">
              <w:rPr>
                <w:rFonts w:ascii="Times New Roman"/>
                <w:b/>
                <w:sz w:val="18"/>
                <w:szCs w:val="18"/>
                <w:u w:val="thick" w:color="000000"/>
              </w:rPr>
              <w:t>1.4.</w:t>
            </w:r>
            <w:r w:rsidR="00D6423A" w:rsidRPr="00D92095">
              <w:rPr>
                <w:rFonts w:ascii="Times New Roman"/>
                <w:b/>
                <w:sz w:val="18"/>
                <w:szCs w:val="18"/>
                <w:u w:val="thick" w:color="000000"/>
              </w:rPr>
              <w:t>7</w:t>
            </w:r>
            <w:r w:rsidRPr="00D92095">
              <w:rPr>
                <w:rFonts w:ascii="Times New Roman"/>
                <w:b/>
                <w:sz w:val="18"/>
                <w:szCs w:val="18"/>
                <w:u w:val="thick" w:color="000000"/>
              </w:rPr>
              <w:t xml:space="preserve"> </w:t>
            </w:r>
            <w:r w:rsidR="00D6423A" w:rsidRPr="00D92095">
              <w:rPr>
                <w:rFonts w:ascii="Times New Roman"/>
                <w:b/>
                <w:sz w:val="18"/>
                <w:szCs w:val="18"/>
                <w:u w:val="thick" w:color="000000"/>
              </w:rPr>
              <w:t>trade finance on-balance sheet products</w:t>
            </w:r>
          </w:p>
          <w:p w14:paraId="6554BEB8" w14:textId="42FE6EC8" w:rsidR="000A1E56" w:rsidRDefault="00B37861" w:rsidP="00D6423A">
            <w:pPr>
              <w:pStyle w:val="TableParagraph"/>
              <w:spacing w:before="117"/>
              <w:ind w:left="102" w:right="99"/>
              <w:jc w:val="both"/>
              <w:rPr>
                <w:rFonts w:ascii="Times New Roman" w:hAnsi="Times New Roman"/>
                <w:sz w:val="18"/>
                <w:szCs w:val="18"/>
              </w:rPr>
            </w:pPr>
            <w:r>
              <w:rPr>
                <w:rFonts w:ascii="Times New Roman" w:hAnsi="Times New Roman"/>
                <w:sz w:val="18"/>
                <w:szCs w:val="18"/>
              </w:rPr>
              <w:t xml:space="preserve">Articles </w:t>
            </w:r>
            <w:r w:rsidRPr="00B37861">
              <w:rPr>
                <w:rFonts w:ascii="Times New Roman" w:hAnsi="Times New Roman"/>
                <w:sz w:val="18"/>
                <w:szCs w:val="18"/>
              </w:rPr>
              <w:t>428</w:t>
            </w:r>
            <w:r w:rsidR="00315B2F">
              <w:rPr>
                <w:rFonts w:ascii="Times New Roman" w:hAnsi="Times New Roman"/>
                <w:sz w:val="18"/>
                <w:szCs w:val="18"/>
              </w:rPr>
              <w:t>v</w:t>
            </w:r>
            <w:r w:rsidRPr="00B37861">
              <w:rPr>
                <w:rFonts w:ascii="Times New Roman" w:hAnsi="Times New Roman"/>
                <w:sz w:val="18"/>
                <w:szCs w:val="18"/>
              </w:rPr>
              <w:t>(b)</w:t>
            </w:r>
            <w:r>
              <w:rPr>
                <w:rFonts w:ascii="Times New Roman" w:hAnsi="Times New Roman"/>
                <w:sz w:val="18"/>
                <w:szCs w:val="18"/>
              </w:rPr>
              <w:t>,</w:t>
            </w:r>
            <w:r w:rsidRPr="00B37861">
              <w:rPr>
                <w:rFonts w:ascii="Times New Roman" w:hAnsi="Times New Roman"/>
                <w:sz w:val="18"/>
                <w:szCs w:val="18"/>
              </w:rPr>
              <w:t xml:space="preserve"> </w:t>
            </w:r>
            <w:r w:rsidR="00315B2F" w:rsidRPr="00B37861">
              <w:rPr>
                <w:rFonts w:ascii="Times New Roman" w:hAnsi="Times New Roman"/>
                <w:sz w:val="18"/>
                <w:szCs w:val="18"/>
              </w:rPr>
              <w:t>428a</w:t>
            </w:r>
            <w:r w:rsidR="00315B2F">
              <w:rPr>
                <w:rFonts w:ascii="Times New Roman" w:hAnsi="Times New Roman"/>
                <w:sz w:val="18"/>
                <w:szCs w:val="18"/>
              </w:rPr>
              <w:t>d</w:t>
            </w:r>
            <w:r w:rsidRPr="00B37861">
              <w:rPr>
                <w:rFonts w:ascii="Times New Roman" w:hAnsi="Times New Roman"/>
                <w:sz w:val="18"/>
                <w:szCs w:val="18"/>
              </w:rPr>
              <w:t>(e)</w:t>
            </w:r>
            <w:r>
              <w:rPr>
                <w:rFonts w:ascii="Times New Roman" w:hAnsi="Times New Roman"/>
                <w:sz w:val="18"/>
                <w:szCs w:val="18"/>
              </w:rPr>
              <w:t xml:space="preserve"> and</w:t>
            </w:r>
            <w:r w:rsidRPr="00B37861">
              <w:rPr>
                <w:rFonts w:ascii="Times New Roman" w:hAnsi="Times New Roman"/>
                <w:sz w:val="18"/>
                <w:szCs w:val="18"/>
              </w:rPr>
              <w:t xml:space="preserve"> </w:t>
            </w:r>
            <w:r w:rsidR="00315B2F" w:rsidRPr="00B37861">
              <w:rPr>
                <w:rFonts w:ascii="Times New Roman" w:hAnsi="Times New Roman"/>
                <w:sz w:val="18"/>
                <w:szCs w:val="18"/>
              </w:rPr>
              <w:t>428a</w:t>
            </w:r>
            <w:r w:rsidR="00315B2F">
              <w:rPr>
                <w:rFonts w:ascii="Times New Roman" w:hAnsi="Times New Roman"/>
                <w:sz w:val="18"/>
                <w:szCs w:val="18"/>
              </w:rPr>
              <w:t>g</w:t>
            </w:r>
            <w:r w:rsidRPr="00B37861">
              <w:rPr>
                <w:rFonts w:ascii="Times New Roman" w:hAnsi="Times New Roman"/>
                <w:sz w:val="18"/>
                <w:szCs w:val="18"/>
              </w:rPr>
              <w:t>(d)</w:t>
            </w:r>
            <w:r>
              <w:rPr>
                <w:rFonts w:ascii="Times New Roman" w:hAnsi="Times New Roman"/>
                <w:sz w:val="18"/>
                <w:szCs w:val="18"/>
              </w:rPr>
              <w:t xml:space="preserve"> of CRR</w:t>
            </w:r>
            <w:r w:rsidR="00E7638A">
              <w:rPr>
                <w:rFonts w:ascii="Times New Roman" w:hAnsi="Times New Roman"/>
                <w:sz w:val="18"/>
                <w:szCs w:val="18"/>
              </w:rPr>
              <w:t>.</w:t>
            </w:r>
          </w:p>
          <w:p w14:paraId="485D3D70" w14:textId="1193A032" w:rsidR="004727E7" w:rsidRDefault="004727E7" w:rsidP="004727E7">
            <w:pPr>
              <w:pStyle w:val="TableParagraph"/>
              <w:spacing w:before="117"/>
              <w:ind w:left="102" w:right="99"/>
              <w:jc w:val="both"/>
              <w:rPr>
                <w:rFonts w:ascii="Times New Roman" w:hAnsi="Times New Roman"/>
                <w:sz w:val="18"/>
                <w:szCs w:val="18"/>
              </w:rPr>
            </w:pPr>
            <w:r>
              <w:rPr>
                <w:rFonts w:ascii="Times New Roman" w:hAnsi="Times New Roman"/>
                <w:sz w:val="18"/>
                <w:szCs w:val="18"/>
              </w:rPr>
              <w:t>The amount related to trade finance on-balance sheet related products.</w:t>
            </w:r>
          </w:p>
          <w:p w14:paraId="5805FC1C" w14:textId="3156ADC2" w:rsidR="00D6423A" w:rsidRPr="00CF4E2F" w:rsidRDefault="00D6423A" w:rsidP="003022BA">
            <w:pPr>
              <w:pStyle w:val="TableParagraph"/>
              <w:ind w:left="102" w:right="99"/>
              <w:jc w:val="both"/>
              <w:rPr>
                <w:rFonts w:ascii="Times New Roman"/>
                <w:b/>
                <w:sz w:val="18"/>
                <w:szCs w:val="18"/>
                <w:u w:val="thick" w:color="000000"/>
              </w:rPr>
            </w:pPr>
          </w:p>
        </w:tc>
      </w:tr>
      <w:tr w:rsidR="005141D5" w:rsidRPr="00CF4E2F" w14:paraId="3FD2C281" w14:textId="77777777" w:rsidTr="00FE0FF1">
        <w:trPr>
          <w:trHeight w:val="304"/>
        </w:trPr>
        <w:tc>
          <w:tcPr>
            <w:tcW w:w="1418" w:type="dxa"/>
          </w:tcPr>
          <w:p w14:paraId="73E4AD59" w14:textId="7841D2A3" w:rsidR="005141D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5</w:t>
            </w:r>
            <w:r w:rsidRPr="00CF4E2F">
              <w:rPr>
                <w:rFonts w:ascii="Times New Roman" w:eastAsia="Times New Roman" w:hAnsi="Times New Roman" w:cs="Times New Roman"/>
                <w:sz w:val="18"/>
                <w:szCs w:val="18"/>
              </w:rPr>
              <w:t>0</w:t>
            </w:r>
          </w:p>
        </w:tc>
        <w:tc>
          <w:tcPr>
            <w:tcW w:w="7590" w:type="dxa"/>
          </w:tcPr>
          <w:p w14:paraId="4ED8C99B" w14:textId="1D1B9AEE" w:rsidR="004727E7" w:rsidRPr="00CF4E2F" w:rsidRDefault="004727E7" w:rsidP="004727E7">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1.5 RSF from interdependent assets</w:t>
            </w:r>
          </w:p>
          <w:p w14:paraId="79C582DC" w14:textId="35ECC161" w:rsidR="000F755B" w:rsidRPr="00CF4E2F" w:rsidRDefault="000F755B" w:rsidP="009543CF">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428f and </w:t>
            </w:r>
            <w:r w:rsidR="00315B2F">
              <w:rPr>
                <w:rFonts w:ascii="Times New Roman"/>
                <w:sz w:val="18"/>
                <w:szCs w:val="18"/>
              </w:rPr>
              <w:t>428r</w:t>
            </w:r>
            <w:r w:rsidRPr="00CF4E2F">
              <w:rPr>
                <w:rFonts w:ascii="Times New Roman"/>
                <w:sz w:val="18"/>
                <w:szCs w:val="18"/>
              </w:rPr>
              <w:t>(1)(f)</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3DF17647" w14:textId="7808F861"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Institutions shall report here assets authorized by competent authorities as being interdependent with liabilities in accordance with Article 428f of CRR.</w:t>
            </w:r>
          </w:p>
          <w:p w14:paraId="26DB22CC" w14:textId="78BC0E7A" w:rsidR="000A1E56" w:rsidRPr="00CF4E2F" w:rsidRDefault="000A1E56" w:rsidP="003022BA">
            <w:pPr>
              <w:pStyle w:val="TableParagraph"/>
              <w:ind w:left="102" w:right="99"/>
              <w:jc w:val="both"/>
              <w:rPr>
                <w:rFonts w:ascii="Times New Roman"/>
                <w:sz w:val="18"/>
                <w:szCs w:val="18"/>
              </w:rPr>
            </w:pPr>
          </w:p>
        </w:tc>
      </w:tr>
      <w:tr w:rsidR="000F755B" w:rsidRPr="00CF4E2F" w14:paraId="1A13F2EF" w14:textId="77777777" w:rsidTr="00FE0FF1">
        <w:trPr>
          <w:trHeight w:val="304"/>
        </w:trPr>
        <w:tc>
          <w:tcPr>
            <w:tcW w:w="1418" w:type="dxa"/>
          </w:tcPr>
          <w:p w14:paraId="24E9AA57" w14:textId="103A9EFE"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6</w:t>
            </w:r>
            <w:r w:rsidRPr="00CF4E2F">
              <w:rPr>
                <w:rFonts w:ascii="Times New Roman" w:eastAsia="Times New Roman" w:hAnsi="Times New Roman" w:cs="Times New Roman"/>
                <w:sz w:val="18"/>
                <w:szCs w:val="18"/>
              </w:rPr>
              <w:t>0</w:t>
            </w:r>
          </w:p>
        </w:tc>
        <w:tc>
          <w:tcPr>
            <w:tcW w:w="7590" w:type="dxa"/>
          </w:tcPr>
          <w:p w14:paraId="542E2B3F" w14:textId="3EB1314A" w:rsidR="000F755B" w:rsidRPr="00CF4E2F" w:rsidRDefault="00DF6379"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1.5.1 centralised regulated savings</w:t>
            </w:r>
          </w:p>
          <w:p w14:paraId="15B13AD3" w14:textId="4E16C9F6" w:rsidR="00DF6379" w:rsidRPr="00CF4E2F" w:rsidRDefault="00DF6379" w:rsidP="009543CF">
            <w:pPr>
              <w:pStyle w:val="TableParagraph"/>
              <w:spacing w:before="117"/>
              <w:ind w:left="102" w:right="99"/>
              <w:jc w:val="both"/>
              <w:rPr>
                <w:rFonts w:ascii="Times New Roman"/>
                <w:sz w:val="18"/>
                <w:szCs w:val="18"/>
              </w:rPr>
            </w:pPr>
            <w:r w:rsidRPr="00CF4E2F">
              <w:rPr>
                <w:rFonts w:ascii="Times New Roman"/>
                <w:sz w:val="18"/>
                <w:szCs w:val="18"/>
              </w:rPr>
              <w:t>Article 428f(2)(a)</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60E09CA9" w14:textId="7B438EFB"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1.5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centralized regulated savings.</w:t>
            </w:r>
          </w:p>
          <w:p w14:paraId="3338835A" w14:textId="6215850C" w:rsidR="000A1E56" w:rsidRPr="00CF4E2F" w:rsidRDefault="000A1E56" w:rsidP="003022BA">
            <w:pPr>
              <w:pStyle w:val="TableParagraph"/>
              <w:ind w:left="102" w:right="99"/>
              <w:jc w:val="both"/>
              <w:rPr>
                <w:rFonts w:ascii="Times New Roman"/>
                <w:sz w:val="18"/>
                <w:szCs w:val="18"/>
              </w:rPr>
            </w:pPr>
          </w:p>
        </w:tc>
      </w:tr>
      <w:tr w:rsidR="000F755B" w:rsidRPr="00CF4E2F" w14:paraId="7FBCA5B6" w14:textId="77777777" w:rsidTr="00FE0FF1">
        <w:trPr>
          <w:trHeight w:val="304"/>
        </w:trPr>
        <w:tc>
          <w:tcPr>
            <w:tcW w:w="1418" w:type="dxa"/>
          </w:tcPr>
          <w:p w14:paraId="5D42199B" w14:textId="33F23FC7"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63A26041" w14:textId="5160381D" w:rsidR="00F269EB" w:rsidRPr="00CF4E2F" w:rsidRDefault="00F269EB" w:rsidP="00F269E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1.5.2 promotional loans and credit and liquidity facilities  </w:t>
            </w:r>
          </w:p>
          <w:p w14:paraId="6753920D" w14:textId="4658724A" w:rsidR="00F269EB" w:rsidRPr="00CF4E2F" w:rsidRDefault="00F269EB" w:rsidP="00F269EB">
            <w:pPr>
              <w:pStyle w:val="TableParagraph"/>
              <w:spacing w:before="117"/>
              <w:ind w:left="102" w:right="99"/>
              <w:jc w:val="both"/>
              <w:rPr>
                <w:rFonts w:ascii="Times New Roman"/>
                <w:sz w:val="18"/>
                <w:szCs w:val="18"/>
              </w:rPr>
            </w:pPr>
            <w:r w:rsidRPr="00CF4E2F">
              <w:rPr>
                <w:rFonts w:ascii="Times New Roman"/>
                <w:sz w:val="18"/>
                <w:szCs w:val="18"/>
              </w:rPr>
              <w:t>Article 428f(2)(b)</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63076C">
              <w:rPr>
                <w:rFonts w:ascii="Times New Roman"/>
                <w:sz w:val="18"/>
                <w:szCs w:val="18"/>
              </w:rPr>
              <w:t>.</w:t>
            </w:r>
          </w:p>
          <w:p w14:paraId="49833402" w14:textId="69D13D6D" w:rsidR="000F755B"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1.5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promotional loans and credit and liquidity facilities.</w:t>
            </w:r>
          </w:p>
          <w:p w14:paraId="4BDD3164" w14:textId="15E33C0B" w:rsidR="000A1E56" w:rsidRPr="00CF4E2F" w:rsidRDefault="000A1E56" w:rsidP="003022BA">
            <w:pPr>
              <w:pStyle w:val="TableParagraph"/>
              <w:ind w:left="102" w:right="99"/>
              <w:jc w:val="both"/>
              <w:rPr>
                <w:rFonts w:ascii="Times New Roman"/>
                <w:b/>
                <w:sz w:val="18"/>
                <w:szCs w:val="18"/>
                <w:u w:val="thick" w:color="000000"/>
              </w:rPr>
            </w:pPr>
          </w:p>
        </w:tc>
      </w:tr>
      <w:tr w:rsidR="000F755B" w:rsidRPr="00CF4E2F" w14:paraId="7721D257" w14:textId="77777777" w:rsidTr="00FE0FF1">
        <w:trPr>
          <w:trHeight w:val="304"/>
        </w:trPr>
        <w:tc>
          <w:tcPr>
            <w:tcW w:w="1418" w:type="dxa"/>
          </w:tcPr>
          <w:p w14:paraId="20A365CA" w14:textId="6F859666"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70E7B7A3" w14:textId="269D5E58" w:rsidR="00F269EB" w:rsidRPr="00CF4E2F" w:rsidRDefault="00F269EB" w:rsidP="00F269EB">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1.5.3 </w:t>
            </w:r>
            <w:r w:rsidR="0094402C">
              <w:rPr>
                <w:rFonts w:ascii="Times New Roman"/>
                <w:b/>
                <w:sz w:val="18"/>
                <w:szCs w:val="18"/>
                <w:u w:val="thick" w:color="000000"/>
              </w:rPr>
              <w:t>eligible</w:t>
            </w:r>
            <w:r w:rsidR="000D7EA2" w:rsidRPr="00CF4E2F">
              <w:rPr>
                <w:rFonts w:ascii="Times New Roman"/>
                <w:b/>
                <w:sz w:val="18"/>
                <w:szCs w:val="18"/>
                <w:u w:val="thick" w:color="000000"/>
              </w:rPr>
              <w:t xml:space="preserve"> covered bonds</w:t>
            </w:r>
          </w:p>
          <w:p w14:paraId="047CE0EE" w14:textId="58CD81B3" w:rsidR="00F269EB" w:rsidRPr="00CF4E2F" w:rsidRDefault="00F269EB" w:rsidP="00F269EB">
            <w:pPr>
              <w:pStyle w:val="TableParagraph"/>
              <w:spacing w:before="117"/>
              <w:ind w:left="102" w:right="99"/>
              <w:jc w:val="both"/>
              <w:rPr>
                <w:rFonts w:ascii="Times New Roman"/>
                <w:sz w:val="18"/>
                <w:szCs w:val="18"/>
              </w:rPr>
            </w:pPr>
            <w:r w:rsidRPr="00CF4E2F">
              <w:rPr>
                <w:rFonts w:ascii="Times New Roman"/>
                <w:sz w:val="18"/>
                <w:szCs w:val="18"/>
              </w:rPr>
              <w:t>Article 428f(2)(c)</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72BF09C6" w14:textId="1B2E5D62"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1.5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00F12D29">
              <w:rPr>
                <w:rFonts w:ascii="Times New Roman"/>
                <w:sz w:val="18"/>
                <w:szCs w:val="18"/>
              </w:rPr>
              <w:t xml:space="preserve">eligible </w:t>
            </w:r>
            <w:r w:rsidRPr="00CF4E2F">
              <w:rPr>
                <w:rFonts w:ascii="Times New Roman"/>
                <w:sz w:val="18"/>
                <w:szCs w:val="18"/>
              </w:rPr>
              <w:t xml:space="preserve">covered bonds. </w:t>
            </w:r>
          </w:p>
          <w:p w14:paraId="3784A7B0" w14:textId="260BED1C" w:rsidR="000A1E56" w:rsidRPr="00CF4E2F" w:rsidRDefault="000A1E56" w:rsidP="003022BA">
            <w:pPr>
              <w:pStyle w:val="TableParagraph"/>
              <w:ind w:left="102" w:right="99"/>
              <w:jc w:val="both"/>
              <w:rPr>
                <w:rFonts w:ascii="Times New Roman"/>
                <w:b/>
                <w:sz w:val="18"/>
                <w:szCs w:val="18"/>
                <w:u w:val="thick" w:color="000000"/>
              </w:rPr>
            </w:pPr>
          </w:p>
        </w:tc>
      </w:tr>
      <w:tr w:rsidR="000F755B" w:rsidRPr="00CF4E2F" w14:paraId="38FA1554" w14:textId="77777777" w:rsidTr="00FE0FF1">
        <w:trPr>
          <w:trHeight w:val="304"/>
        </w:trPr>
        <w:tc>
          <w:tcPr>
            <w:tcW w:w="1418" w:type="dxa"/>
          </w:tcPr>
          <w:p w14:paraId="0588E66A" w14:textId="72E7B07A"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08</w:t>
            </w:r>
            <w:r w:rsidR="008D34E3">
              <w:rPr>
                <w:rFonts w:ascii="Times New Roman" w:eastAsia="Times New Roman" w:hAnsi="Times New Roman" w:cs="Times New Roman"/>
                <w:sz w:val="18"/>
                <w:szCs w:val="18"/>
              </w:rPr>
              <w:t>9</w:t>
            </w:r>
            <w:r w:rsidRPr="00CF4E2F">
              <w:rPr>
                <w:rFonts w:ascii="Times New Roman" w:eastAsia="Times New Roman" w:hAnsi="Times New Roman" w:cs="Times New Roman"/>
                <w:sz w:val="18"/>
                <w:szCs w:val="18"/>
              </w:rPr>
              <w:t>0</w:t>
            </w:r>
          </w:p>
        </w:tc>
        <w:tc>
          <w:tcPr>
            <w:tcW w:w="7590" w:type="dxa"/>
          </w:tcPr>
          <w:p w14:paraId="54B04368" w14:textId="5CC149D3" w:rsidR="00440A35" w:rsidRPr="00CF4E2F" w:rsidRDefault="00440A35" w:rsidP="00440A35">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1.5.4 </w:t>
            </w:r>
            <w:r w:rsidR="00DD3D3D" w:rsidRPr="00DD3D3D">
              <w:rPr>
                <w:rFonts w:ascii="Times New Roman"/>
                <w:b/>
                <w:sz w:val="18"/>
                <w:szCs w:val="18"/>
                <w:u w:val="thick" w:color="000000"/>
              </w:rPr>
              <w:t>derivatives client clearing activities</w:t>
            </w:r>
          </w:p>
          <w:p w14:paraId="0916C3ED" w14:textId="4805DD78" w:rsidR="00440A35" w:rsidRPr="00CF4E2F" w:rsidRDefault="00440A35" w:rsidP="00440A35">
            <w:pPr>
              <w:pStyle w:val="TableParagraph"/>
              <w:spacing w:before="117"/>
              <w:ind w:left="102" w:right="99"/>
              <w:jc w:val="both"/>
              <w:rPr>
                <w:rFonts w:ascii="Times New Roman"/>
                <w:sz w:val="18"/>
                <w:szCs w:val="18"/>
              </w:rPr>
            </w:pPr>
            <w:r w:rsidRPr="00CF4E2F">
              <w:rPr>
                <w:rFonts w:ascii="Times New Roman"/>
                <w:sz w:val="18"/>
                <w:szCs w:val="18"/>
              </w:rPr>
              <w:t>Article 428f(2)(d)</w:t>
            </w:r>
            <w:r w:rsidR="003F1FD7" w:rsidRPr="00CF4E2F">
              <w:rPr>
                <w:sz w:val="18"/>
                <w:szCs w:val="18"/>
              </w:rPr>
              <w:t xml:space="preserve"> </w:t>
            </w:r>
            <w:r w:rsidR="003F1FD7" w:rsidRPr="00CF4E2F">
              <w:rPr>
                <w:rFonts w:ascii="Times New Roman"/>
                <w:sz w:val="18"/>
                <w:szCs w:val="18"/>
              </w:rPr>
              <w:t xml:space="preserve">of </w:t>
            </w:r>
            <w:r w:rsidR="00416B4D" w:rsidRPr="00CF4E2F">
              <w:rPr>
                <w:rFonts w:ascii="Times New Roman"/>
                <w:sz w:val="18"/>
                <w:szCs w:val="18"/>
              </w:rPr>
              <w:t>CRR</w:t>
            </w:r>
            <w:r w:rsidR="00E7638A">
              <w:rPr>
                <w:rFonts w:ascii="Times New Roman"/>
                <w:sz w:val="18"/>
                <w:szCs w:val="18"/>
              </w:rPr>
              <w:t>.</w:t>
            </w:r>
          </w:p>
          <w:p w14:paraId="285B8FEA" w14:textId="7E39F997"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1.5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derivative client clearing activities.</w:t>
            </w:r>
          </w:p>
          <w:p w14:paraId="6FFC313E" w14:textId="54300EC5" w:rsidR="000A1E56" w:rsidRPr="00CF4E2F" w:rsidRDefault="000A1E56" w:rsidP="003022BA">
            <w:pPr>
              <w:pStyle w:val="TableParagraph"/>
              <w:ind w:left="102" w:right="99"/>
              <w:jc w:val="both"/>
              <w:rPr>
                <w:rFonts w:ascii="Times New Roman"/>
                <w:b/>
                <w:sz w:val="18"/>
                <w:szCs w:val="18"/>
                <w:u w:val="thick" w:color="000000"/>
              </w:rPr>
            </w:pPr>
          </w:p>
        </w:tc>
      </w:tr>
      <w:tr w:rsidR="000F755B" w:rsidRPr="00CF4E2F" w14:paraId="6A42268E" w14:textId="77777777" w:rsidTr="00FE0FF1">
        <w:trPr>
          <w:trHeight w:val="304"/>
        </w:trPr>
        <w:tc>
          <w:tcPr>
            <w:tcW w:w="1418" w:type="dxa"/>
          </w:tcPr>
          <w:p w14:paraId="2C87B9AD" w14:textId="2C8EDAE1"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w:t>
            </w:r>
            <w:r w:rsidR="008D34E3">
              <w:rPr>
                <w:rFonts w:ascii="Times New Roman" w:eastAsia="Times New Roman" w:hAnsi="Times New Roman" w:cs="Times New Roman"/>
                <w:sz w:val="18"/>
                <w:szCs w:val="18"/>
              </w:rPr>
              <w:t>90</w:t>
            </w:r>
            <w:r w:rsidRPr="00CF4E2F">
              <w:rPr>
                <w:rFonts w:ascii="Times New Roman" w:eastAsia="Times New Roman" w:hAnsi="Times New Roman" w:cs="Times New Roman"/>
                <w:sz w:val="18"/>
                <w:szCs w:val="18"/>
              </w:rPr>
              <w:t>0</w:t>
            </w:r>
          </w:p>
        </w:tc>
        <w:tc>
          <w:tcPr>
            <w:tcW w:w="7590" w:type="dxa"/>
          </w:tcPr>
          <w:p w14:paraId="66AD2159" w14:textId="0701D695" w:rsidR="000C1D08" w:rsidRPr="00CF4E2F" w:rsidRDefault="000C1D08" w:rsidP="000C1D08">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1.5.5 other</w:t>
            </w:r>
          </w:p>
          <w:p w14:paraId="332C1DE5" w14:textId="4464B52C" w:rsidR="00243337" w:rsidRDefault="00243337" w:rsidP="0099064C">
            <w:pPr>
              <w:pStyle w:val="TableParagraph"/>
              <w:spacing w:before="117"/>
              <w:ind w:left="102" w:right="99"/>
              <w:jc w:val="both"/>
              <w:rPr>
                <w:rFonts w:ascii="Times New Roman"/>
                <w:sz w:val="18"/>
                <w:szCs w:val="18"/>
              </w:rPr>
            </w:pPr>
            <w:r w:rsidRPr="00243337">
              <w:rPr>
                <w:rFonts w:ascii="Times New Roman"/>
                <w:sz w:val="18"/>
                <w:szCs w:val="18"/>
              </w:rPr>
              <w:t>Article 428f(1) of CRR</w:t>
            </w:r>
            <w:r>
              <w:rPr>
                <w:rFonts w:ascii="Times New Roman"/>
                <w:sz w:val="18"/>
                <w:szCs w:val="18"/>
              </w:rPr>
              <w:t xml:space="preserve">. </w:t>
            </w:r>
          </w:p>
          <w:p w14:paraId="0C7DBC6B" w14:textId="77777777"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1.5 </w:t>
            </w:r>
            <w:r w:rsidR="001458F1">
              <w:rPr>
                <w:rFonts w:ascii="Times New Roman"/>
                <w:sz w:val="18"/>
                <w:szCs w:val="18"/>
              </w:rPr>
              <w:t xml:space="preserve">that is </w:t>
            </w:r>
            <w:r>
              <w:rPr>
                <w:rFonts w:ascii="Times New Roman"/>
                <w:sz w:val="18"/>
                <w:szCs w:val="18"/>
              </w:rPr>
              <w:t xml:space="preserve">related to assets </w:t>
            </w:r>
            <w:r w:rsidRPr="00CF4E2F">
              <w:rPr>
                <w:rFonts w:ascii="Times New Roman"/>
                <w:sz w:val="18"/>
                <w:szCs w:val="18"/>
              </w:rPr>
              <w:t>not referred to in items 1.5.1 to 1.5.4.</w:t>
            </w:r>
          </w:p>
          <w:p w14:paraId="6DEAF83D" w14:textId="1EBD5152" w:rsidR="000A1E56" w:rsidRPr="00CF4E2F" w:rsidRDefault="000A1E56" w:rsidP="003022BA">
            <w:pPr>
              <w:pStyle w:val="TableParagraph"/>
              <w:ind w:left="102" w:right="99"/>
              <w:jc w:val="both"/>
              <w:rPr>
                <w:rFonts w:ascii="Times New Roman"/>
                <w:b/>
                <w:sz w:val="18"/>
                <w:szCs w:val="18"/>
                <w:u w:val="thick" w:color="000000"/>
              </w:rPr>
            </w:pPr>
          </w:p>
        </w:tc>
      </w:tr>
      <w:tr w:rsidR="000F755B" w:rsidRPr="00CF4E2F" w14:paraId="21F89DEA" w14:textId="77777777" w:rsidTr="00FE0FF1">
        <w:trPr>
          <w:trHeight w:val="304"/>
        </w:trPr>
        <w:tc>
          <w:tcPr>
            <w:tcW w:w="1418" w:type="dxa"/>
          </w:tcPr>
          <w:p w14:paraId="0B29851E" w14:textId="7F6FBC02" w:rsidR="000F755B"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1</w:t>
            </w:r>
            <w:r w:rsidRPr="00CF4E2F">
              <w:rPr>
                <w:rFonts w:ascii="Times New Roman" w:eastAsia="Times New Roman" w:hAnsi="Times New Roman" w:cs="Times New Roman"/>
                <w:sz w:val="18"/>
                <w:szCs w:val="18"/>
              </w:rPr>
              <w:t>0</w:t>
            </w:r>
          </w:p>
        </w:tc>
        <w:tc>
          <w:tcPr>
            <w:tcW w:w="7590" w:type="dxa"/>
          </w:tcPr>
          <w:p w14:paraId="07189618" w14:textId="135E1B69" w:rsidR="000F755B" w:rsidRPr="00CF4E2F" w:rsidRDefault="00BD55F9"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1.6</w:t>
            </w:r>
            <w:r w:rsidR="005E3D27" w:rsidRPr="00CF4E2F">
              <w:rPr>
                <w:rFonts w:ascii="Times New Roman"/>
                <w:b/>
                <w:sz w:val="18"/>
                <w:szCs w:val="18"/>
                <w:u w:val="thick" w:color="000000"/>
              </w:rPr>
              <w:t xml:space="preserve"> </w:t>
            </w:r>
            <w:r w:rsidR="003F1FD7" w:rsidRPr="00CF4E2F">
              <w:rPr>
                <w:rFonts w:ascii="Times New Roman"/>
                <w:b/>
                <w:sz w:val="18"/>
                <w:szCs w:val="18"/>
                <w:u w:val="thick" w:color="000000"/>
              </w:rPr>
              <w:t>RSF from assets within a group or an IPS if subject to preferential treatment</w:t>
            </w:r>
          </w:p>
          <w:p w14:paraId="4CB14878" w14:textId="142ED46E" w:rsidR="003F1FD7" w:rsidRPr="00CF4E2F" w:rsidRDefault="003F1FD7" w:rsidP="009543CF">
            <w:pPr>
              <w:pStyle w:val="TableParagraph"/>
              <w:spacing w:before="117"/>
              <w:ind w:left="102" w:right="99"/>
              <w:jc w:val="both"/>
              <w:rPr>
                <w:rFonts w:ascii="Times New Roman"/>
                <w:sz w:val="18"/>
                <w:szCs w:val="18"/>
              </w:rPr>
            </w:pPr>
            <w:r w:rsidRPr="00CF4E2F">
              <w:rPr>
                <w:rFonts w:ascii="Times New Roman"/>
                <w:sz w:val="18"/>
                <w:szCs w:val="18"/>
              </w:rPr>
              <w:t xml:space="preserve">Article 428h of </w:t>
            </w:r>
            <w:r w:rsidR="00416B4D" w:rsidRPr="00CF4E2F">
              <w:rPr>
                <w:rFonts w:ascii="Times New Roman"/>
                <w:sz w:val="18"/>
                <w:szCs w:val="18"/>
              </w:rPr>
              <w:t>CRR</w:t>
            </w:r>
            <w:r w:rsidR="004134ED" w:rsidRPr="00CF4E2F">
              <w:rPr>
                <w:rFonts w:ascii="Times New Roman"/>
                <w:sz w:val="18"/>
                <w:szCs w:val="18"/>
              </w:rPr>
              <w:t>.</w:t>
            </w:r>
          </w:p>
          <w:p w14:paraId="22528956" w14:textId="1129232C" w:rsidR="004727E7" w:rsidRPr="00CF4E2F" w:rsidRDefault="004727E7" w:rsidP="004727E7">
            <w:pPr>
              <w:pStyle w:val="TableParagraph"/>
              <w:spacing w:before="117"/>
              <w:ind w:left="102" w:right="99"/>
              <w:jc w:val="both"/>
              <w:rPr>
                <w:rFonts w:ascii="Times New Roman"/>
                <w:sz w:val="18"/>
                <w:szCs w:val="18"/>
              </w:rPr>
            </w:pPr>
            <w:r w:rsidRPr="00CF4E2F">
              <w:rPr>
                <w:rFonts w:ascii="Times New Roman"/>
                <w:sz w:val="18"/>
                <w:szCs w:val="18"/>
              </w:rPr>
              <w:t>Institutions shall report here assets authorized by competent authorities for the preferential treatment in accordance with Article 428h of CRR.</w:t>
            </w:r>
          </w:p>
          <w:p w14:paraId="52E478BC" w14:textId="656CF3F4" w:rsidR="000A1E56" w:rsidRPr="00CF4E2F" w:rsidRDefault="000A1E56" w:rsidP="003022BA">
            <w:pPr>
              <w:pStyle w:val="TableParagraph"/>
              <w:ind w:left="102" w:right="99"/>
              <w:jc w:val="both"/>
              <w:rPr>
                <w:rFonts w:ascii="Times New Roman"/>
                <w:sz w:val="18"/>
                <w:szCs w:val="18"/>
              </w:rPr>
            </w:pPr>
          </w:p>
        </w:tc>
      </w:tr>
      <w:tr w:rsidR="00895545" w:rsidRPr="00CF4E2F" w14:paraId="155CDF19" w14:textId="77777777" w:rsidTr="00FE0FF1">
        <w:trPr>
          <w:trHeight w:val="304"/>
        </w:trPr>
        <w:tc>
          <w:tcPr>
            <w:tcW w:w="1418" w:type="dxa"/>
          </w:tcPr>
          <w:p w14:paraId="156A4C91" w14:textId="7C8C837F" w:rsidR="0089554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2</w:t>
            </w:r>
            <w:r w:rsidRPr="00CF4E2F">
              <w:rPr>
                <w:rFonts w:ascii="Times New Roman" w:eastAsia="Times New Roman" w:hAnsi="Times New Roman" w:cs="Times New Roman"/>
                <w:sz w:val="18"/>
                <w:szCs w:val="18"/>
              </w:rPr>
              <w:t>0</w:t>
            </w:r>
          </w:p>
        </w:tc>
        <w:tc>
          <w:tcPr>
            <w:tcW w:w="7590" w:type="dxa"/>
          </w:tcPr>
          <w:p w14:paraId="0677F78C" w14:textId="77777777" w:rsidR="00895545" w:rsidRPr="00CF4E2F" w:rsidRDefault="009E6353"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1.7 RSF from derivatives</w:t>
            </w:r>
          </w:p>
          <w:p w14:paraId="1C9C8FE1" w14:textId="56C36E18" w:rsidR="008D1E59" w:rsidRPr="00CF4E2F" w:rsidRDefault="004134ED" w:rsidP="009543CF">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428d, </w:t>
            </w:r>
            <w:r w:rsidR="00642C09">
              <w:rPr>
                <w:rFonts w:ascii="Times New Roman"/>
                <w:sz w:val="18"/>
                <w:szCs w:val="18"/>
              </w:rPr>
              <w:t>428s</w:t>
            </w:r>
            <w:r w:rsidRPr="00CF4E2F">
              <w:rPr>
                <w:rFonts w:ascii="Times New Roman"/>
                <w:sz w:val="18"/>
                <w:szCs w:val="18"/>
              </w:rPr>
              <w:t>(2), 428ag(a) and 428ah(2)</w:t>
            </w:r>
            <w:r w:rsidRPr="00CF4E2F">
              <w:rPr>
                <w:sz w:val="18"/>
                <w:szCs w:val="18"/>
              </w:rPr>
              <w:t xml:space="preserve"> </w:t>
            </w:r>
            <w:r w:rsidRPr="00CF4E2F">
              <w:rPr>
                <w:rFonts w:ascii="Times New Roman"/>
                <w:sz w:val="18"/>
                <w:szCs w:val="18"/>
              </w:rPr>
              <w:t xml:space="preserve">of </w:t>
            </w:r>
            <w:r w:rsidR="00416B4D" w:rsidRPr="00CF4E2F">
              <w:rPr>
                <w:rFonts w:ascii="Times New Roman"/>
                <w:sz w:val="18"/>
                <w:szCs w:val="18"/>
              </w:rPr>
              <w:t>CRR</w:t>
            </w:r>
            <w:r w:rsidRPr="00CF4E2F">
              <w:rPr>
                <w:rFonts w:ascii="Times New Roman"/>
                <w:sz w:val="18"/>
                <w:szCs w:val="18"/>
              </w:rPr>
              <w:t>.</w:t>
            </w:r>
          </w:p>
          <w:p w14:paraId="0F617F4D" w14:textId="179F8D08" w:rsidR="004134ED" w:rsidRPr="00CF4E2F" w:rsidRDefault="004134ED" w:rsidP="009543CF">
            <w:pPr>
              <w:pStyle w:val="TableParagraph"/>
              <w:spacing w:before="117"/>
              <w:ind w:left="102" w:right="99"/>
              <w:jc w:val="both"/>
              <w:rPr>
                <w:rFonts w:ascii="Times New Roman"/>
                <w:sz w:val="18"/>
                <w:szCs w:val="18"/>
              </w:rPr>
            </w:pPr>
            <w:r w:rsidRPr="00CF4E2F">
              <w:rPr>
                <w:rFonts w:ascii="Times New Roman"/>
                <w:sz w:val="18"/>
                <w:szCs w:val="18"/>
              </w:rPr>
              <w:t>Institutions shall report here the amount of required stable funding arising from derivatives.</w:t>
            </w:r>
          </w:p>
          <w:p w14:paraId="2A082414" w14:textId="43AAED61" w:rsidR="000A1E56" w:rsidRPr="00CF4E2F" w:rsidRDefault="000A1E56" w:rsidP="003022BA">
            <w:pPr>
              <w:pStyle w:val="TableParagraph"/>
              <w:ind w:left="102" w:right="99"/>
              <w:jc w:val="both"/>
              <w:rPr>
                <w:rFonts w:ascii="Times New Roman"/>
                <w:sz w:val="18"/>
                <w:szCs w:val="18"/>
              </w:rPr>
            </w:pPr>
          </w:p>
        </w:tc>
      </w:tr>
      <w:tr w:rsidR="00895545" w:rsidRPr="00CF4E2F" w14:paraId="4A118540" w14:textId="77777777" w:rsidTr="00FE0FF1">
        <w:trPr>
          <w:trHeight w:val="304"/>
        </w:trPr>
        <w:tc>
          <w:tcPr>
            <w:tcW w:w="1418" w:type="dxa"/>
          </w:tcPr>
          <w:p w14:paraId="0B51295C" w14:textId="359D9932" w:rsidR="0089554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3</w:t>
            </w:r>
            <w:r w:rsidRPr="00CF4E2F">
              <w:rPr>
                <w:rFonts w:ascii="Times New Roman" w:eastAsia="Times New Roman" w:hAnsi="Times New Roman" w:cs="Times New Roman"/>
                <w:sz w:val="18"/>
                <w:szCs w:val="18"/>
              </w:rPr>
              <w:t>0</w:t>
            </w:r>
          </w:p>
        </w:tc>
        <w:tc>
          <w:tcPr>
            <w:tcW w:w="7590" w:type="dxa"/>
          </w:tcPr>
          <w:p w14:paraId="36951BD9" w14:textId="0A871824" w:rsidR="00895545" w:rsidRPr="00CF4E2F" w:rsidRDefault="00B60C30"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1.7.1 required stable funding for derivative liabilities</w:t>
            </w:r>
          </w:p>
          <w:p w14:paraId="6CB07883" w14:textId="22636FFA" w:rsidR="00B60C30" w:rsidRPr="00CF4E2F" w:rsidRDefault="00B60C30" w:rsidP="009543CF">
            <w:pPr>
              <w:pStyle w:val="TableParagraph"/>
              <w:spacing w:before="117"/>
              <w:ind w:left="102" w:right="99"/>
              <w:jc w:val="both"/>
              <w:rPr>
                <w:rFonts w:ascii="Times New Roman"/>
                <w:sz w:val="18"/>
                <w:szCs w:val="18"/>
              </w:rPr>
            </w:pPr>
            <w:r w:rsidRPr="00CF4E2F">
              <w:rPr>
                <w:rFonts w:ascii="Times New Roman"/>
                <w:sz w:val="18"/>
                <w:szCs w:val="18"/>
              </w:rPr>
              <w:t xml:space="preserve">Article </w:t>
            </w:r>
            <w:r w:rsidR="00642C09">
              <w:rPr>
                <w:rFonts w:ascii="Times New Roman"/>
                <w:sz w:val="18"/>
                <w:szCs w:val="18"/>
              </w:rPr>
              <w:t>428s</w:t>
            </w:r>
            <w:r w:rsidRPr="00CF4E2F">
              <w:rPr>
                <w:rFonts w:ascii="Times New Roman"/>
                <w:sz w:val="18"/>
                <w:szCs w:val="18"/>
              </w:rPr>
              <w:t>(2)</w:t>
            </w:r>
            <w:r w:rsidRPr="00CF4E2F">
              <w:rPr>
                <w:sz w:val="18"/>
                <w:szCs w:val="18"/>
              </w:rPr>
              <w:t xml:space="preserve"> </w:t>
            </w:r>
            <w:r w:rsidRPr="00CF4E2F">
              <w:rPr>
                <w:rFonts w:ascii="Times New Roman"/>
                <w:sz w:val="18"/>
                <w:szCs w:val="18"/>
              </w:rPr>
              <w:t xml:space="preserve">of </w:t>
            </w:r>
            <w:r w:rsidR="00416B4D" w:rsidRPr="00CF4E2F">
              <w:rPr>
                <w:rFonts w:ascii="Times New Roman"/>
                <w:sz w:val="18"/>
                <w:szCs w:val="18"/>
              </w:rPr>
              <w:t>CRR</w:t>
            </w:r>
            <w:r w:rsidRPr="00CF4E2F">
              <w:rPr>
                <w:rFonts w:ascii="Times New Roman"/>
                <w:sz w:val="18"/>
                <w:szCs w:val="18"/>
              </w:rPr>
              <w:t>.</w:t>
            </w:r>
          </w:p>
          <w:p w14:paraId="73B7FB10" w14:textId="5BCB9AD1" w:rsidR="00B60C30" w:rsidRPr="00CF4E2F" w:rsidRDefault="003724C3" w:rsidP="00956D4B">
            <w:pPr>
              <w:pStyle w:val="TableParagraph"/>
              <w:spacing w:before="117"/>
              <w:ind w:left="102" w:right="99"/>
              <w:jc w:val="both"/>
              <w:rPr>
                <w:rFonts w:ascii="Times New Roman"/>
                <w:sz w:val="18"/>
                <w:szCs w:val="18"/>
              </w:rPr>
            </w:pPr>
            <w:r w:rsidRPr="00CF4E2F">
              <w:rPr>
                <w:rFonts w:ascii="Times New Roman"/>
                <w:sz w:val="18"/>
                <w:szCs w:val="18"/>
              </w:rPr>
              <w:t>The amount reported in 1.7 which is</w:t>
            </w:r>
            <w:r w:rsidR="00956D4B" w:rsidRPr="00CF4E2F">
              <w:rPr>
                <w:rFonts w:ascii="Times New Roman"/>
                <w:sz w:val="18"/>
                <w:szCs w:val="18"/>
              </w:rPr>
              <w:t xml:space="preserve"> the absolute fair value of netting sets with a negative fair value calculated in accordance with Article </w:t>
            </w:r>
            <w:r w:rsidR="003B7009">
              <w:rPr>
                <w:rFonts w:ascii="Times New Roman"/>
                <w:sz w:val="18"/>
                <w:szCs w:val="18"/>
              </w:rPr>
              <w:t>428s(1)</w:t>
            </w:r>
            <w:r w:rsidR="00956D4B" w:rsidRPr="00CF4E2F">
              <w:rPr>
                <w:rFonts w:ascii="Times New Roman"/>
                <w:sz w:val="18"/>
                <w:szCs w:val="18"/>
              </w:rPr>
              <w:t xml:space="preserve">(2) of </w:t>
            </w:r>
            <w:r w:rsidR="00416B4D" w:rsidRPr="00CF4E2F">
              <w:rPr>
                <w:rFonts w:ascii="Times New Roman"/>
                <w:sz w:val="18"/>
                <w:szCs w:val="18"/>
              </w:rPr>
              <w:t>CRR</w:t>
            </w:r>
            <w:r w:rsidR="00956D4B" w:rsidRPr="00CF4E2F">
              <w:rPr>
                <w:rFonts w:ascii="Times New Roman"/>
                <w:sz w:val="18"/>
                <w:szCs w:val="18"/>
              </w:rPr>
              <w:t>.</w:t>
            </w:r>
          </w:p>
          <w:p w14:paraId="43AC7501" w14:textId="6AF92972" w:rsidR="000A1E56" w:rsidRPr="00CF4E2F" w:rsidRDefault="000A1E56" w:rsidP="003022BA">
            <w:pPr>
              <w:pStyle w:val="TableParagraph"/>
              <w:ind w:left="102" w:right="99"/>
              <w:jc w:val="both"/>
              <w:rPr>
                <w:rFonts w:ascii="Times New Roman"/>
                <w:b/>
                <w:sz w:val="18"/>
                <w:szCs w:val="18"/>
                <w:u w:val="thick" w:color="000000"/>
              </w:rPr>
            </w:pPr>
          </w:p>
        </w:tc>
      </w:tr>
      <w:tr w:rsidR="00895545" w:rsidRPr="00CF4E2F" w14:paraId="071FB3E9" w14:textId="77777777" w:rsidTr="00FE0FF1">
        <w:trPr>
          <w:trHeight w:val="304"/>
        </w:trPr>
        <w:tc>
          <w:tcPr>
            <w:tcW w:w="1418" w:type="dxa"/>
          </w:tcPr>
          <w:p w14:paraId="68FB1484" w14:textId="7A0AE8F4" w:rsidR="0089554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w:t>
            </w:r>
          </w:p>
        </w:tc>
        <w:tc>
          <w:tcPr>
            <w:tcW w:w="7590" w:type="dxa"/>
          </w:tcPr>
          <w:p w14:paraId="6ED7C6C1" w14:textId="1FE9375A" w:rsidR="00895545" w:rsidRPr="00CF4E2F" w:rsidRDefault="009D3C0F"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1.7.2 </w:t>
            </w:r>
            <w:r w:rsidR="003724C3" w:rsidRPr="00CF4E2F">
              <w:rPr>
                <w:rFonts w:ascii="Times New Roman"/>
                <w:b/>
                <w:sz w:val="18"/>
                <w:szCs w:val="18"/>
                <w:u w:val="thick" w:color="000000"/>
              </w:rPr>
              <w:t>NSFR derivative assets</w:t>
            </w:r>
          </w:p>
          <w:p w14:paraId="3285F2CE" w14:textId="7744B15E" w:rsidR="009D3C0F" w:rsidRPr="00CF4E2F" w:rsidRDefault="00590C6A" w:rsidP="009543CF">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428d and </w:t>
            </w:r>
            <w:r w:rsidR="003724C3" w:rsidRPr="00CF4E2F">
              <w:rPr>
                <w:rFonts w:ascii="Times New Roman"/>
                <w:sz w:val="18"/>
                <w:szCs w:val="18"/>
              </w:rPr>
              <w:t>428ah(2)</w:t>
            </w:r>
            <w:r w:rsidR="003724C3" w:rsidRPr="00CF4E2F">
              <w:rPr>
                <w:sz w:val="18"/>
                <w:szCs w:val="18"/>
              </w:rPr>
              <w:t xml:space="preserve"> </w:t>
            </w:r>
            <w:r w:rsidR="003724C3" w:rsidRPr="00CF4E2F">
              <w:rPr>
                <w:rFonts w:ascii="Times New Roman"/>
                <w:sz w:val="18"/>
                <w:szCs w:val="18"/>
              </w:rPr>
              <w:t xml:space="preserve">of </w:t>
            </w:r>
            <w:r w:rsidR="00416B4D" w:rsidRPr="00CF4E2F">
              <w:rPr>
                <w:rFonts w:ascii="Times New Roman"/>
                <w:sz w:val="18"/>
                <w:szCs w:val="18"/>
              </w:rPr>
              <w:t>CRR</w:t>
            </w:r>
            <w:r w:rsidR="003724C3" w:rsidRPr="00CF4E2F">
              <w:rPr>
                <w:rFonts w:ascii="Times New Roman"/>
                <w:sz w:val="18"/>
                <w:szCs w:val="18"/>
              </w:rPr>
              <w:t>.</w:t>
            </w:r>
          </w:p>
          <w:p w14:paraId="4F4293FE" w14:textId="2C642061" w:rsidR="003724C3" w:rsidRPr="00CF4E2F" w:rsidRDefault="003724C3" w:rsidP="009543CF">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1.7 which is </w:t>
            </w:r>
            <w:r w:rsidR="00C801EF">
              <w:rPr>
                <w:rFonts w:ascii="Times New Roman"/>
                <w:sz w:val="18"/>
                <w:szCs w:val="18"/>
              </w:rPr>
              <w:t xml:space="preserve">calculated as </w:t>
            </w:r>
            <w:r w:rsidRPr="00CF4E2F">
              <w:rPr>
                <w:rFonts w:ascii="Times New Roman"/>
                <w:sz w:val="18"/>
                <w:szCs w:val="18"/>
              </w:rPr>
              <w:t xml:space="preserve">the positive difference </w:t>
            </w:r>
            <w:r w:rsidR="00590C6A" w:rsidRPr="00CF4E2F">
              <w:rPr>
                <w:rFonts w:ascii="Times New Roman"/>
                <w:sz w:val="18"/>
                <w:szCs w:val="18"/>
              </w:rPr>
              <w:t xml:space="preserve">between netting sets calculated in accordance with Article 428ah(2) of </w:t>
            </w:r>
            <w:r w:rsidR="00416B4D" w:rsidRPr="00CF4E2F">
              <w:rPr>
                <w:rFonts w:ascii="Times New Roman"/>
                <w:sz w:val="18"/>
                <w:szCs w:val="18"/>
              </w:rPr>
              <w:t>CRR</w:t>
            </w:r>
            <w:r w:rsidR="00590C6A" w:rsidRPr="00CF4E2F">
              <w:rPr>
                <w:rFonts w:ascii="Times New Roman"/>
                <w:sz w:val="18"/>
                <w:szCs w:val="18"/>
              </w:rPr>
              <w:t>.</w:t>
            </w:r>
          </w:p>
          <w:p w14:paraId="034EF528" w14:textId="3921583B" w:rsidR="000A1E56" w:rsidRPr="00CF4E2F" w:rsidRDefault="000A1E56" w:rsidP="003022BA">
            <w:pPr>
              <w:pStyle w:val="TableParagraph"/>
              <w:ind w:left="102" w:right="99"/>
              <w:jc w:val="both"/>
              <w:rPr>
                <w:rFonts w:ascii="Times New Roman"/>
                <w:b/>
                <w:sz w:val="18"/>
                <w:szCs w:val="18"/>
                <w:u w:val="thick" w:color="000000"/>
              </w:rPr>
            </w:pPr>
          </w:p>
        </w:tc>
      </w:tr>
      <w:tr w:rsidR="00895545" w:rsidRPr="00CF4E2F" w14:paraId="0E80C97C" w14:textId="77777777" w:rsidTr="00FE0FF1">
        <w:trPr>
          <w:trHeight w:val="304"/>
        </w:trPr>
        <w:tc>
          <w:tcPr>
            <w:tcW w:w="1418" w:type="dxa"/>
          </w:tcPr>
          <w:p w14:paraId="4F3E1C38" w14:textId="0F97D806" w:rsidR="00895545"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5</w:t>
            </w:r>
            <w:r w:rsidRPr="00CF4E2F">
              <w:rPr>
                <w:rFonts w:ascii="Times New Roman" w:eastAsia="Times New Roman" w:hAnsi="Times New Roman" w:cs="Times New Roman"/>
                <w:sz w:val="18"/>
                <w:szCs w:val="18"/>
              </w:rPr>
              <w:t>0</w:t>
            </w:r>
          </w:p>
        </w:tc>
        <w:tc>
          <w:tcPr>
            <w:tcW w:w="7590" w:type="dxa"/>
          </w:tcPr>
          <w:p w14:paraId="2BFF9921" w14:textId="77777777" w:rsidR="00895545" w:rsidRPr="00CF4E2F" w:rsidRDefault="003058EC"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1.7.3 initial margin posted</w:t>
            </w:r>
          </w:p>
          <w:p w14:paraId="5E7D5901" w14:textId="02640EA0" w:rsidR="003058EC" w:rsidRPr="00CF4E2F" w:rsidRDefault="0063076C" w:rsidP="009543CF">
            <w:pPr>
              <w:pStyle w:val="TableParagraph"/>
              <w:spacing w:before="117"/>
              <w:ind w:left="102" w:right="99"/>
              <w:jc w:val="both"/>
              <w:rPr>
                <w:rFonts w:ascii="Times New Roman"/>
                <w:sz w:val="18"/>
                <w:szCs w:val="18"/>
              </w:rPr>
            </w:pPr>
            <w:r>
              <w:rPr>
                <w:rFonts w:ascii="Times New Roman"/>
                <w:sz w:val="18"/>
                <w:szCs w:val="18"/>
              </w:rPr>
              <w:t xml:space="preserve">Article </w:t>
            </w:r>
            <w:r w:rsidR="00E94D31" w:rsidRPr="00CF4E2F">
              <w:rPr>
                <w:rFonts w:ascii="Times New Roman"/>
                <w:sz w:val="18"/>
                <w:szCs w:val="18"/>
              </w:rPr>
              <w:t>428ag(a)</w:t>
            </w:r>
            <w:r w:rsidR="00E94D31" w:rsidRPr="00CF4E2F">
              <w:rPr>
                <w:sz w:val="18"/>
                <w:szCs w:val="18"/>
              </w:rPr>
              <w:t xml:space="preserve"> </w:t>
            </w:r>
            <w:r w:rsidR="00E94D31" w:rsidRPr="00CF4E2F">
              <w:rPr>
                <w:rFonts w:ascii="Times New Roman"/>
                <w:sz w:val="18"/>
                <w:szCs w:val="18"/>
              </w:rPr>
              <w:t xml:space="preserve">of </w:t>
            </w:r>
            <w:r w:rsidR="00416B4D" w:rsidRPr="00CF4E2F">
              <w:rPr>
                <w:rFonts w:ascii="Times New Roman"/>
                <w:sz w:val="18"/>
                <w:szCs w:val="18"/>
              </w:rPr>
              <w:t>CRR</w:t>
            </w:r>
            <w:r w:rsidR="00E94D31" w:rsidRPr="00CF4E2F">
              <w:rPr>
                <w:rFonts w:ascii="Times New Roman"/>
                <w:sz w:val="18"/>
                <w:szCs w:val="18"/>
              </w:rPr>
              <w:t>.</w:t>
            </w:r>
          </w:p>
          <w:p w14:paraId="44FA0A29" w14:textId="723718A3" w:rsidR="00AF423D" w:rsidRPr="00CF4E2F" w:rsidRDefault="00AF423D" w:rsidP="00AF423D">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1.7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initial margin for derivative contracts.</w:t>
            </w:r>
          </w:p>
          <w:p w14:paraId="1CCD63F7" w14:textId="4E61F788" w:rsidR="000A1E56" w:rsidRPr="00CF4E2F" w:rsidRDefault="000A1E56" w:rsidP="003022BA">
            <w:pPr>
              <w:pStyle w:val="TableParagraph"/>
              <w:ind w:left="102" w:right="99"/>
              <w:jc w:val="both"/>
              <w:rPr>
                <w:rFonts w:ascii="Times New Roman"/>
                <w:b/>
                <w:sz w:val="18"/>
                <w:szCs w:val="18"/>
                <w:u w:val="thick" w:color="000000"/>
              </w:rPr>
            </w:pPr>
          </w:p>
        </w:tc>
      </w:tr>
      <w:tr w:rsidR="00F065B1" w:rsidRPr="00CF4E2F" w14:paraId="57927A8D" w14:textId="77777777" w:rsidTr="00FE0FF1">
        <w:trPr>
          <w:trHeight w:val="304"/>
        </w:trPr>
        <w:tc>
          <w:tcPr>
            <w:tcW w:w="1418" w:type="dxa"/>
          </w:tcPr>
          <w:p w14:paraId="7E8174CA" w14:textId="4F470990" w:rsidR="00F065B1"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6</w:t>
            </w:r>
            <w:r w:rsidRPr="00CF4E2F">
              <w:rPr>
                <w:rFonts w:ascii="Times New Roman" w:eastAsia="Times New Roman" w:hAnsi="Times New Roman" w:cs="Times New Roman"/>
                <w:sz w:val="18"/>
                <w:szCs w:val="18"/>
              </w:rPr>
              <w:t>0</w:t>
            </w:r>
          </w:p>
        </w:tc>
        <w:tc>
          <w:tcPr>
            <w:tcW w:w="7590" w:type="dxa"/>
          </w:tcPr>
          <w:p w14:paraId="3BEF1E46" w14:textId="6C997AF6" w:rsidR="00F065B1" w:rsidRPr="00CF4E2F" w:rsidRDefault="00F065B1" w:rsidP="00F065B1">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1.8 RSF from contributions to CCP default fund</w:t>
            </w:r>
          </w:p>
          <w:p w14:paraId="5F693121" w14:textId="614C2821" w:rsidR="00F065B1" w:rsidRPr="00CF4E2F" w:rsidRDefault="00F065B1" w:rsidP="00F065B1">
            <w:pPr>
              <w:pStyle w:val="TableParagraph"/>
              <w:spacing w:before="117"/>
              <w:ind w:left="102" w:right="99"/>
              <w:jc w:val="both"/>
              <w:rPr>
                <w:rFonts w:ascii="Times New Roman"/>
                <w:sz w:val="18"/>
                <w:szCs w:val="18"/>
              </w:rPr>
            </w:pPr>
            <w:r w:rsidRPr="00CF4E2F">
              <w:rPr>
                <w:rFonts w:ascii="Times New Roman"/>
                <w:sz w:val="18"/>
                <w:szCs w:val="18"/>
              </w:rPr>
              <w:t>Article 428ag(b)</w:t>
            </w:r>
            <w:r w:rsidRPr="00CF4E2F">
              <w:rPr>
                <w:sz w:val="18"/>
                <w:szCs w:val="18"/>
              </w:rPr>
              <w:t xml:space="preserve"> </w:t>
            </w:r>
            <w:r w:rsidRPr="00CF4E2F">
              <w:rPr>
                <w:rFonts w:ascii="Times New Roman"/>
                <w:sz w:val="18"/>
                <w:szCs w:val="18"/>
              </w:rPr>
              <w:t xml:space="preserve">of </w:t>
            </w:r>
            <w:r w:rsidR="00416B4D" w:rsidRPr="00CF4E2F">
              <w:rPr>
                <w:rFonts w:ascii="Times New Roman"/>
                <w:sz w:val="18"/>
                <w:szCs w:val="18"/>
              </w:rPr>
              <w:t>CRR</w:t>
            </w:r>
            <w:r w:rsidRPr="00CF4E2F">
              <w:rPr>
                <w:rFonts w:ascii="Times New Roman"/>
                <w:sz w:val="18"/>
                <w:szCs w:val="18"/>
              </w:rPr>
              <w:t>.</w:t>
            </w:r>
          </w:p>
          <w:p w14:paraId="18771102" w14:textId="77777777" w:rsidR="00F065B1" w:rsidRPr="001A257C" w:rsidRDefault="00F065B1" w:rsidP="005B3463">
            <w:pPr>
              <w:pStyle w:val="TableParagraph"/>
              <w:spacing w:before="117"/>
              <w:ind w:left="102" w:right="99"/>
              <w:jc w:val="both"/>
              <w:rPr>
                <w:rFonts w:ascii="Times New Roman"/>
                <w:sz w:val="18"/>
                <w:szCs w:val="18"/>
              </w:rPr>
            </w:pPr>
            <w:r w:rsidRPr="00CF4E2F">
              <w:rPr>
                <w:rFonts w:ascii="Times New Roman"/>
                <w:sz w:val="18"/>
                <w:szCs w:val="18"/>
              </w:rPr>
              <w:t>Institutions shall report here items posted as contribution to the default fund of a CCP.</w:t>
            </w:r>
          </w:p>
          <w:p w14:paraId="476A6431" w14:textId="24CE4699" w:rsidR="000A1E56" w:rsidRPr="00CF4E2F" w:rsidRDefault="000A1E56" w:rsidP="003022BA">
            <w:pPr>
              <w:pStyle w:val="TableParagraph"/>
              <w:ind w:left="102" w:right="99"/>
              <w:jc w:val="both"/>
              <w:rPr>
                <w:rFonts w:ascii="Times New Roman"/>
                <w:b/>
                <w:sz w:val="18"/>
                <w:szCs w:val="18"/>
                <w:u w:val="thick" w:color="000000"/>
              </w:rPr>
            </w:pPr>
          </w:p>
        </w:tc>
      </w:tr>
      <w:tr w:rsidR="0015592F" w:rsidRPr="00CF4E2F" w14:paraId="2E465B8E" w14:textId="77777777" w:rsidTr="00FE0FF1">
        <w:trPr>
          <w:trHeight w:val="304"/>
        </w:trPr>
        <w:tc>
          <w:tcPr>
            <w:tcW w:w="1418" w:type="dxa"/>
          </w:tcPr>
          <w:p w14:paraId="29C5D35C" w14:textId="7346B9AB" w:rsidR="0015592F"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0EC0D9D1" w14:textId="63081495" w:rsidR="0015592F" w:rsidRPr="00CF4E2F" w:rsidRDefault="0015592F"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w:t>
            </w:r>
            <w:r w:rsidR="00296111" w:rsidRPr="00CF4E2F">
              <w:rPr>
                <w:rFonts w:ascii="Times New Roman"/>
                <w:b/>
                <w:sz w:val="18"/>
                <w:szCs w:val="18"/>
                <w:u w:val="thick" w:color="000000"/>
              </w:rPr>
              <w:t>9</w:t>
            </w:r>
            <w:r w:rsidRPr="00CF4E2F">
              <w:rPr>
                <w:rFonts w:ascii="Times New Roman"/>
                <w:b/>
                <w:sz w:val="18"/>
                <w:szCs w:val="18"/>
                <w:u w:val="thick" w:color="000000"/>
              </w:rPr>
              <w:t xml:space="preserve"> RSF from other assets</w:t>
            </w:r>
          </w:p>
          <w:p w14:paraId="63571E33" w14:textId="2398999E" w:rsidR="0015592F" w:rsidRPr="00CF4E2F" w:rsidRDefault="00C77EB8" w:rsidP="009543CF">
            <w:pPr>
              <w:pStyle w:val="TableParagraph"/>
              <w:spacing w:before="117"/>
              <w:ind w:left="102" w:right="99"/>
              <w:jc w:val="both"/>
              <w:rPr>
                <w:rFonts w:ascii="Times New Roman"/>
                <w:sz w:val="18"/>
                <w:szCs w:val="18"/>
              </w:rPr>
            </w:pPr>
            <w:r w:rsidRPr="00CF4E2F">
              <w:rPr>
                <w:rFonts w:ascii="Times New Roman"/>
                <w:sz w:val="18"/>
                <w:szCs w:val="18"/>
              </w:rPr>
              <w:t>Institutions shall report here any asset not referred to in items 1.1 to 1.</w:t>
            </w:r>
            <w:r w:rsidR="00296111" w:rsidRPr="00CF4E2F">
              <w:rPr>
                <w:rFonts w:ascii="Times New Roman"/>
                <w:sz w:val="18"/>
                <w:szCs w:val="18"/>
              </w:rPr>
              <w:t>8</w:t>
            </w:r>
            <w:r w:rsidRPr="00CF4E2F">
              <w:rPr>
                <w:rFonts w:ascii="Times New Roman"/>
                <w:sz w:val="18"/>
                <w:szCs w:val="18"/>
              </w:rPr>
              <w:t>.</w:t>
            </w:r>
          </w:p>
          <w:p w14:paraId="254A4BB0" w14:textId="2DCE6DCD" w:rsidR="000A1E56" w:rsidRPr="00CF4E2F" w:rsidRDefault="000A1E56" w:rsidP="003022BA">
            <w:pPr>
              <w:pStyle w:val="TableParagraph"/>
              <w:ind w:left="102" w:right="99"/>
              <w:jc w:val="both"/>
              <w:rPr>
                <w:rFonts w:ascii="Times New Roman"/>
                <w:sz w:val="18"/>
                <w:szCs w:val="18"/>
              </w:rPr>
            </w:pPr>
          </w:p>
        </w:tc>
      </w:tr>
      <w:tr w:rsidR="0015592F" w:rsidRPr="00CF4E2F" w14:paraId="67B48AEA" w14:textId="77777777" w:rsidTr="00FE0FF1">
        <w:trPr>
          <w:trHeight w:val="304"/>
        </w:trPr>
        <w:tc>
          <w:tcPr>
            <w:tcW w:w="1418" w:type="dxa"/>
          </w:tcPr>
          <w:p w14:paraId="015A2405" w14:textId="7B4DC596" w:rsidR="0015592F"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sidR="008D34E3">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0CDEB5E4" w14:textId="579FDC47" w:rsidR="0015592F" w:rsidRPr="00CF4E2F" w:rsidRDefault="00CD7880"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w:t>
            </w:r>
            <w:r w:rsidR="00296111" w:rsidRPr="00CF4E2F">
              <w:rPr>
                <w:rFonts w:ascii="Times New Roman"/>
                <w:b/>
                <w:sz w:val="18"/>
                <w:szCs w:val="18"/>
                <w:u w:val="thick" w:color="000000"/>
              </w:rPr>
              <w:t>9</w:t>
            </w:r>
            <w:r w:rsidRPr="00CF4E2F">
              <w:rPr>
                <w:rFonts w:ascii="Times New Roman"/>
                <w:b/>
                <w:sz w:val="18"/>
                <w:szCs w:val="18"/>
                <w:u w:val="thick" w:color="000000"/>
              </w:rPr>
              <w:t>.1 physically traded commodities</w:t>
            </w:r>
          </w:p>
          <w:p w14:paraId="13CFB137" w14:textId="41AC75EB" w:rsidR="00CD7880" w:rsidRPr="00CF4E2F" w:rsidRDefault="00CD7880" w:rsidP="009543CF">
            <w:pPr>
              <w:pStyle w:val="TableParagraph"/>
              <w:spacing w:before="117"/>
              <w:ind w:left="102" w:right="99"/>
              <w:jc w:val="both"/>
              <w:rPr>
                <w:rFonts w:ascii="Times New Roman"/>
                <w:sz w:val="18"/>
                <w:szCs w:val="18"/>
              </w:rPr>
            </w:pPr>
            <w:r w:rsidRPr="00CF4E2F">
              <w:rPr>
                <w:rFonts w:ascii="Times New Roman"/>
                <w:sz w:val="18"/>
                <w:szCs w:val="18"/>
              </w:rPr>
              <w:t>Article 428ag(</w:t>
            </w:r>
            <w:r w:rsidR="00D643AE" w:rsidRPr="00CF4E2F">
              <w:rPr>
                <w:rFonts w:ascii="Times New Roman"/>
                <w:sz w:val="18"/>
                <w:szCs w:val="18"/>
              </w:rPr>
              <w:t xml:space="preserve">g) of </w:t>
            </w:r>
            <w:r w:rsidR="00416B4D" w:rsidRPr="00CF4E2F">
              <w:rPr>
                <w:rFonts w:ascii="Times New Roman"/>
                <w:sz w:val="18"/>
                <w:szCs w:val="18"/>
              </w:rPr>
              <w:t>CRR</w:t>
            </w:r>
            <w:r w:rsidR="00E92BA4" w:rsidRPr="00CF4E2F">
              <w:rPr>
                <w:rFonts w:ascii="Times New Roman"/>
                <w:sz w:val="18"/>
                <w:szCs w:val="18"/>
              </w:rPr>
              <w:t>.</w:t>
            </w:r>
          </w:p>
          <w:p w14:paraId="6EAB3CCD" w14:textId="46B91442" w:rsidR="00D643AE" w:rsidRPr="00CF4E2F" w:rsidRDefault="0085679A" w:rsidP="009543CF">
            <w:pPr>
              <w:pStyle w:val="TableParagraph"/>
              <w:spacing w:before="117"/>
              <w:ind w:left="102" w:right="99"/>
              <w:jc w:val="both"/>
              <w:rPr>
                <w:rFonts w:ascii="Times New Roman"/>
                <w:sz w:val="18"/>
                <w:szCs w:val="18"/>
              </w:rPr>
            </w:pPr>
            <w:r w:rsidRPr="00CF4E2F">
              <w:rPr>
                <w:rFonts w:ascii="Times New Roman"/>
                <w:sz w:val="18"/>
                <w:szCs w:val="18"/>
              </w:rPr>
              <w:t>The amount reported in 1.</w:t>
            </w:r>
            <w:r w:rsidR="00296111" w:rsidRPr="00CF4E2F">
              <w:rPr>
                <w:rFonts w:ascii="Times New Roman"/>
                <w:sz w:val="18"/>
                <w:szCs w:val="18"/>
              </w:rPr>
              <w:t>9</w:t>
            </w:r>
            <w:r w:rsidRPr="00CF4E2F">
              <w:rPr>
                <w:rFonts w:ascii="Times New Roman"/>
                <w:sz w:val="18"/>
                <w:szCs w:val="18"/>
              </w:rPr>
              <w:t xml:space="preserve">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sidR="00AF423D">
              <w:rPr>
                <w:rFonts w:ascii="Times New Roman"/>
                <w:sz w:val="18"/>
                <w:szCs w:val="18"/>
              </w:rPr>
              <w:t xml:space="preserve">related to </w:t>
            </w:r>
            <w:r w:rsidRPr="00CF4E2F">
              <w:rPr>
                <w:rFonts w:ascii="Times New Roman"/>
                <w:sz w:val="18"/>
                <w:szCs w:val="18"/>
              </w:rPr>
              <w:t>physically traded commodities. This item does not include commodity derivatives</w:t>
            </w:r>
            <w:r w:rsidR="00C10C7B">
              <w:rPr>
                <w:rFonts w:ascii="Times New Roman"/>
                <w:sz w:val="18"/>
                <w:szCs w:val="18"/>
              </w:rPr>
              <w:t xml:space="preserve"> which are to be considered under item 1.7.</w:t>
            </w:r>
          </w:p>
          <w:p w14:paraId="7A248FFB" w14:textId="5EDA102B" w:rsidR="000A1E56" w:rsidRPr="00CF4E2F" w:rsidRDefault="000A1E56" w:rsidP="003022BA">
            <w:pPr>
              <w:pStyle w:val="TableParagraph"/>
              <w:ind w:left="102" w:right="99"/>
              <w:jc w:val="both"/>
              <w:rPr>
                <w:rFonts w:ascii="Times New Roman"/>
                <w:sz w:val="18"/>
                <w:szCs w:val="18"/>
              </w:rPr>
            </w:pPr>
          </w:p>
        </w:tc>
      </w:tr>
      <w:tr w:rsidR="00AF423D" w:rsidRPr="00CF4E2F" w14:paraId="1A9851BC" w14:textId="77777777" w:rsidTr="00FE0FF1">
        <w:trPr>
          <w:trHeight w:val="304"/>
        </w:trPr>
        <w:tc>
          <w:tcPr>
            <w:tcW w:w="1418" w:type="dxa"/>
          </w:tcPr>
          <w:p w14:paraId="263EB4B9" w14:textId="71A1FE0E" w:rsidR="00AF423D" w:rsidRPr="001A257C" w:rsidRDefault="00AF423D"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09</w:t>
            </w:r>
            <w:r>
              <w:rPr>
                <w:rFonts w:ascii="Times New Roman" w:eastAsia="Times New Roman" w:hAnsi="Times New Roman" w:cs="Times New Roman"/>
                <w:sz w:val="18"/>
                <w:szCs w:val="18"/>
              </w:rPr>
              <w:t>9</w:t>
            </w:r>
            <w:r w:rsidRPr="00CF4E2F">
              <w:rPr>
                <w:rFonts w:ascii="Times New Roman" w:eastAsia="Times New Roman" w:hAnsi="Times New Roman" w:cs="Times New Roman"/>
                <w:sz w:val="18"/>
                <w:szCs w:val="18"/>
              </w:rPr>
              <w:t>0</w:t>
            </w:r>
          </w:p>
        </w:tc>
        <w:tc>
          <w:tcPr>
            <w:tcW w:w="7590" w:type="dxa"/>
          </w:tcPr>
          <w:p w14:paraId="56667ED9" w14:textId="2CFF2B54" w:rsidR="00AF423D" w:rsidRPr="00CF4E2F" w:rsidRDefault="00AF423D"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1.9.1.1 unencumbered or encumbered </w:t>
            </w:r>
            <w:r w:rsidR="00635F69">
              <w:rPr>
                <w:rFonts w:ascii="Times New Roman"/>
                <w:b/>
                <w:sz w:val="18"/>
                <w:szCs w:val="18"/>
                <w:u w:val="thick" w:color="000000"/>
              </w:rPr>
              <w:t>for a residual maturity of less than one year</w:t>
            </w:r>
          </w:p>
          <w:p w14:paraId="351D287E" w14:textId="6CFA8A2E" w:rsidR="00AF423D" w:rsidRPr="00CF4E2F" w:rsidRDefault="00AF423D"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1.9.1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r w:rsidRPr="00CF4E2F">
              <w:rPr>
                <w:rFonts w:ascii="Times New Roman" w:eastAsia="Times New Roman" w:hAnsi="Times New Roman" w:cs="Times New Roman"/>
                <w:sz w:val="18"/>
                <w:szCs w:val="18"/>
              </w:rPr>
              <w:t>.</w:t>
            </w:r>
          </w:p>
          <w:p w14:paraId="4EA7E8BC" w14:textId="76A58395" w:rsidR="00AF423D" w:rsidRPr="00CF4E2F" w:rsidRDefault="00AF423D" w:rsidP="003022BA">
            <w:pPr>
              <w:pStyle w:val="TableParagraph"/>
              <w:ind w:left="102" w:right="99"/>
              <w:jc w:val="both"/>
              <w:rPr>
                <w:rFonts w:ascii="Times New Roman"/>
                <w:b/>
                <w:sz w:val="18"/>
                <w:szCs w:val="18"/>
                <w:u w:val="thick" w:color="000000"/>
              </w:rPr>
            </w:pPr>
          </w:p>
        </w:tc>
      </w:tr>
      <w:tr w:rsidR="00AF423D" w:rsidRPr="00CF4E2F" w14:paraId="69CE572B" w14:textId="77777777" w:rsidTr="00FE0FF1">
        <w:trPr>
          <w:trHeight w:val="304"/>
        </w:trPr>
        <w:tc>
          <w:tcPr>
            <w:tcW w:w="1418" w:type="dxa"/>
          </w:tcPr>
          <w:p w14:paraId="691C2E98" w14:textId="3938CB03" w:rsidR="00AF423D" w:rsidRPr="001A257C" w:rsidRDefault="00AF423D" w:rsidP="00AE380B">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r w:rsidRPr="00CF4E2F">
              <w:rPr>
                <w:rFonts w:ascii="Times New Roman" w:eastAsia="Times New Roman" w:hAnsi="Times New Roman" w:cs="Times New Roman"/>
                <w:sz w:val="18"/>
                <w:szCs w:val="18"/>
              </w:rPr>
              <w:t>0</w:t>
            </w:r>
          </w:p>
        </w:tc>
        <w:tc>
          <w:tcPr>
            <w:tcW w:w="7590" w:type="dxa"/>
          </w:tcPr>
          <w:p w14:paraId="3AA74590" w14:textId="542E0277" w:rsidR="00AF423D" w:rsidRPr="00F245CC" w:rsidRDefault="00AF423D"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1.9.1.2 encumbered for </w:t>
            </w:r>
            <w:r w:rsidR="00FF64DD">
              <w:rPr>
                <w:rFonts w:ascii="Times New Roman"/>
                <w:b/>
                <w:sz w:val="18"/>
                <w:szCs w:val="18"/>
                <w:u w:val="thick" w:color="000000"/>
              </w:rPr>
              <w:t>a residual maturity of one year or more</w:t>
            </w:r>
          </w:p>
          <w:p w14:paraId="3E246C58" w14:textId="19749D86" w:rsidR="00AF423D" w:rsidRDefault="00AF423D"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1.9.1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for </w:t>
            </w:r>
            <w:r>
              <w:rPr>
                <w:rFonts w:ascii="Times New Roman" w:eastAsia="Times New Roman" w:hAnsi="Times New Roman" w:cs="Times New Roman"/>
                <w:sz w:val="18"/>
                <w:szCs w:val="18"/>
              </w:rPr>
              <w:t xml:space="preserve">a residual maturity of one year or </w:t>
            </w:r>
            <w:r w:rsidRPr="00CF4E2F">
              <w:rPr>
                <w:rFonts w:ascii="Times New Roman" w:eastAsia="Times New Roman" w:hAnsi="Times New Roman" w:cs="Times New Roman"/>
                <w:sz w:val="18"/>
                <w:szCs w:val="18"/>
              </w:rPr>
              <w:t>more.</w:t>
            </w:r>
          </w:p>
          <w:p w14:paraId="79346331" w14:textId="7A53E61F" w:rsidR="00AF423D" w:rsidRPr="00CF4E2F" w:rsidRDefault="00AF423D" w:rsidP="00772E66">
            <w:pPr>
              <w:pStyle w:val="TableParagraph"/>
              <w:spacing w:before="117"/>
              <w:ind w:left="102" w:right="99"/>
              <w:jc w:val="both"/>
              <w:rPr>
                <w:rFonts w:ascii="Times New Roman"/>
                <w:b/>
                <w:sz w:val="18"/>
                <w:szCs w:val="18"/>
                <w:u w:val="thick" w:color="000000"/>
              </w:rPr>
            </w:pPr>
          </w:p>
        </w:tc>
      </w:tr>
      <w:tr w:rsidR="00F63446" w:rsidRPr="00CF4E2F" w14:paraId="7B1E210F" w14:textId="77777777" w:rsidTr="00FE0FF1">
        <w:trPr>
          <w:trHeight w:val="304"/>
        </w:trPr>
        <w:tc>
          <w:tcPr>
            <w:tcW w:w="1418" w:type="dxa"/>
          </w:tcPr>
          <w:p w14:paraId="76ED8C6C" w14:textId="52D0F5E6" w:rsidR="00F63446" w:rsidRPr="001A257C" w:rsidRDefault="000A1E56" w:rsidP="00AE380B">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sidR="008D34E3">
              <w:rPr>
                <w:rFonts w:ascii="Times New Roman" w:eastAsia="Times New Roman" w:hAnsi="Times New Roman" w:cs="Times New Roman"/>
                <w:sz w:val="18"/>
                <w:szCs w:val="18"/>
              </w:rPr>
              <w:t>1</w:t>
            </w:r>
            <w:r w:rsidRPr="00CF4E2F">
              <w:rPr>
                <w:rFonts w:ascii="Times New Roman" w:eastAsia="Times New Roman" w:hAnsi="Times New Roman" w:cs="Times New Roman"/>
                <w:sz w:val="18"/>
                <w:szCs w:val="18"/>
              </w:rPr>
              <w:t>0</w:t>
            </w:r>
          </w:p>
        </w:tc>
        <w:tc>
          <w:tcPr>
            <w:tcW w:w="7590" w:type="dxa"/>
          </w:tcPr>
          <w:p w14:paraId="58DCF6BE" w14:textId="0D076C60" w:rsidR="00F63446" w:rsidRPr="00CF4E2F" w:rsidRDefault="00BA75BB"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w:t>
            </w:r>
            <w:r w:rsidR="00296111" w:rsidRPr="00CF4E2F">
              <w:rPr>
                <w:rFonts w:ascii="Times New Roman"/>
                <w:b/>
                <w:sz w:val="18"/>
                <w:szCs w:val="18"/>
                <w:u w:val="thick" w:color="000000"/>
              </w:rPr>
              <w:t>9</w:t>
            </w:r>
            <w:r w:rsidRPr="00CF4E2F">
              <w:rPr>
                <w:rFonts w:ascii="Times New Roman"/>
                <w:b/>
                <w:sz w:val="18"/>
                <w:szCs w:val="18"/>
                <w:u w:val="thick" w:color="000000"/>
              </w:rPr>
              <w:t>.2 trade date receivables</w:t>
            </w:r>
          </w:p>
          <w:p w14:paraId="2E2D152A" w14:textId="04217DFA" w:rsidR="00BA75BB" w:rsidRPr="00CF4E2F" w:rsidRDefault="00641A7C" w:rsidP="009543CF">
            <w:pPr>
              <w:pStyle w:val="TableParagraph"/>
              <w:spacing w:before="117"/>
              <w:ind w:left="102" w:right="99"/>
              <w:jc w:val="both"/>
              <w:rPr>
                <w:rFonts w:ascii="Times New Roman"/>
                <w:sz w:val="18"/>
                <w:szCs w:val="18"/>
              </w:rPr>
            </w:pPr>
            <w:r w:rsidRPr="00CF4E2F">
              <w:rPr>
                <w:rFonts w:ascii="Times New Roman"/>
                <w:sz w:val="18"/>
                <w:szCs w:val="18"/>
              </w:rPr>
              <w:t xml:space="preserve">Article </w:t>
            </w:r>
            <w:r w:rsidR="00642C09">
              <w:rPr>
                <w:rFonts w:ascii="Times New Roman"/>
                <w:sz w:val="18"/>
                <w:szCs w:val="18"/>
              </w:rPr>
              <w:t>428r</w:t>
            </w:r>
            <w:r w:rsidRPr="00CF4E2F">
              <w:rPr>
                <w:rFonts w:ascii="Times New Roman"/>
                <w:sz w:val="18"/>
                <w:szCs w:val="18"/>
              </w:rPr>
              <w:t>(1)(e)</w:t>
            </w:r>
            <w:r w:rsidRPr="00CF4E2F">
              <w:rPr>
                <w:sz w:val="18"/>
                <w:szCs w:val="18"/>
              </w:rPr>
              <w:t xml:space="preserve"> </w:t>
            </w:r>
            <w:r w:rsidRPr="00CF4E2F">
              <w:rPr>
                <w:rFonts w:ascii="Times New Roman"/>
                <w:sz w:val="18"/>
                <w:szCs w:val="18"/>
              </w:rPr>
              <w:t xml:space="preserve">of </w:t>
            </w:r>
            <w:r w:rsidR="00416B4D" w:rsidRPr="00CF4E2F">
              <w:rPr>
                <w:rFonts w:ascii="Times New Roman"/>
                <w:sz w:val="18"/>
                <w:szCs w:val="18"/>
              </w:rPr>
              <w:t>CRR</w:t>
            </w:r>
            <w:r w:rsidRPr="00CF4E2F">
              <w:rPr>
                <w:rFonts w:ascii="Times New Roman"/>
                <w:sz w:val="18"/>
                <w:szCs w:val="18"/>
              </w:rPr>
              <w:t>.</w:t>
            </w:r>
          </w:p>
          <w:p w14:paraId="57AC802F" w14:textId="6CCBED48" w:rsidR="00D2394C" w:rsidRPr="00CF4E2F" w:rsidRDefault="00D2394C" w:rsidP="00D2394C">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1.9 that is </w:t>
            </w:r>
            <w:r>
              <w:rPr>
                <w:rFonts w:ascii="Times New Roman"/>
                <w:sz w:val="18"/>
                <w:szCs w:val="18"/>
              </w:rPr>
              <w:t xml:space="preserve">related to </w:t>
            </w:r>
            <w:r w:rsidRPr="00CF4E2F">
              <w:rPr>
                <w:rFonts w:ascii="Times New Roman"/>
                <w:sz w:val="18"/>
                <w:szCs w:val="18"/>
              </w:rPr>
              <w:t>trade date receivables.</w:t>
            </w:r>
          </w:p>
          <w:p w14:paraId="1230F470" w14:textId="37350CB0" w:rsidR="000A1E56" w:rsidRPr="00CF4E2F" w:rsidRDefault="000A1E56" w:rsidP="003022BA">
            <w:pPr>
              <w:pStyle w:val="TableParagraph"/>
              <w:ind w:left="102" w:right="99"/>
              <w:jc w:val="both"/>
              <w:rPr>
                <w:rFonts w:ascii="Times New Roman"/>
                <w:sz w:val="18"/>
                <w:szCs w:val="18"/>
              </w:rPr>
            </w:pPr>
          </w:p>
        </w:tc>
      </w:tr>
      <w:tr w:rsidR="003C7FFC" w:rsidRPr="00CF4E2F" w14:paraId="76BB59EF" w14:textId="77777777" w:rsidTr="00FE0FF1">
        <w:trPr>
          <w:trHeight w:val="304"/>
        </w:trPr>
        <w:tc>
          <w:tcPr>
            <w:tcW w:w="1418" w:type="dxa"/>
          </w:tcPr>
          <w:p w14:paraId="1DF9C458" w14:textId="35766128" w:rsidR="003C7FFC" w:rsidRPr="00CF4E2F" w:rsidRDefault="003C7FFC" w:rsidP="00AE380B">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8D34E3">
              <w:rPr>
                <w:rFonts w:ascii="Times New Roman" w:eastAsia="Times New Roman" w:hAnsi="Times New Roman" w:cs="Times New Roman"/>
                <w:sz w:val="18"/>
                <w:szCs w:val="18"/>
              </w:rPr>
              <w:t>2</w:t>
            </w:r>
            <w:r>
              <w:rPr>
                <w:rFonts w:ascii="Times New Roman" w:eastAsia="Times New Roman" w:hAnsi="Times New Roman" w:cs="Times New Roman"/>
                <w:sz w:val="18"/>
                <w:szCs w:val="18"/>
              </w:rPr>
              <w:t>0</w:t>
            </w:r>
          </w:p>
        </w:tc>
        <w:tc>
          <w:tcPr>
            <w:tcW w:w="7590" w:type="dxa"/>
          </w:tcPr>
          <w:p w14:paraId="7153D5A0" w14:textId="749E609E" w:rsidR="003C7FFC" w:rsidRDefault="003C7FFC" w:rsidP="003C7FFC">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1.9.3 </w:t>
            </w:r>
            <w:r>
              <w:rPr>
                <w:rFonts w:ascii="Times New Roman"/>
                <w:b/>
                <w:sz w:val="18"/>
                <w:szCs w:val="18"/>
                <w:u w:val="thick" w:color="000000"/>
              </w:rPr>
              <w:t>non-performing assets</w:t>
            </w:r>
          </w:p>
          <w:p w14:paraId="4C315AAC" w14:textId="78B4B80E" w:rsidR="003C7FFC" w:rsidRPr="00CF4E2F" w:rsidRDefault="003C7FFC" w:rsidP="003C7FFC">
            <w:pPr>
              <w:pStyle w:val="TableParagraph"/>
              <w:spacing w:before="117"/>
              <w:ind w:left="102" w:right="99"/>
              <w:jc w:val="both"/>
              <w:rPr>
                <w:rFonts w:ascii="Times New Roman"/>
                <w:sz w:val="18"/>
                <w:szCs w:val="18"/>
              </w:rPr>
            </w:pPr>
            <w:r w:rsidRPr="00CF4E2F">
              <w:rPr>
                <w:rFonts w:ascii="Times New Roman"/>
                <w:sz w:val="18"/>
                <w:szCs w:val="18"/>
              </w:rPr>
              <w:t>Article 428ah(1)(b)</w:t>
            </w:r>
            <w:r>
              <w:rPr>
                <w:rFonts w:ascii="Times New Roman"/>
                <w:sz w:val="18"/>
                <w:szCs w:val="18"/>
              </w:rPr>
              <w:t xml:space="preserve"> of CRR</w:t>
            </w:r>
            <w:r w:rsidR="00E7638A">
              <w:rPr>
                <w:rFonts w:ascii="Times New Roman"/>
                <w:sz w:val="18"/>
                <w:szCs w:val="18"/>
              </w:rPr>
              <w:t>.</w:t>
            </w:r>
          </w:p>
          <w:p w14:paraId="201065DA" w14:textId="19CA5237" w:rsidR="003C7FFC" w:rsidRPr="003C7FFC" w:rsidRDefault="003C7FFC" w:rsidP="00F245CC">
            <w:pPr>
              <w:pStyle w:val="TableParagraph"/>
              <w:spacing w:before="117"/>
              <w:ind w:left="102" w:right="99"/>
              <w:jc w:val="both"/>
              <w:rPr>
                <w:rFonts w:ascii="Times New Roman"/>
                <w:sz w:val="18"/>
                <w:szCs w:val="18"/>
                <w:u w:val="single"/>
              </w:rPr>
            </w:pPr>
            <w:r w:rsidRPr="00F245CC">
              <w:rPr>
                <w:rFonts w:ascii="Times New Roman"/>
                <w:sz w:val="18"/>
                <w:szCs w:val="18"/>
              </w:rPr>
              <w:t xml:space="preserve">The amount reported in 1.9 that is </w:t>
            </w:r>
            <w:r w:rsidR="00D2394C">
              <w:rPr>
                <w:rFonts w:ascii="Times New Roman"/>
                <w:sz w:val="18"/>
                <w:szCs w:val="18"/>
              </w:rPr>
              <w:t xml:space="preserve">related to </w:t>
            </w:r>
            <w:r w:rsidRPr="00F245CC">
              <w:rPr>
                <w:rFonts w:ascii="Times New Roman"/>
                <w:sz w:val="18"/>
                <w:szCs w:val="18"/>
              </w:rPr>
              <w:t>non-performing assets</w:t>
            </w:r>
            <w:r w:rsidR="00EC3AAD" w:rsidRPr="00F245CC">
              <w:rPr>
                <w:rFonts w:ascii="Times New Roman"/>
                <w:sz w:val="18"/>
                <w:szCs w:val="18"/>
              </w:rPr>
              <w:t>.</w:t>
            </w:r>
          </w:p>
          <w:p w14:paraId="11EE1C2B" w14:textId="77777777" w:rsidR="003C7FFC" w:rsidRPr="00CF4E2F" w:rsidRDefault="003C7FFC" w:rsidP="003022BA">
            <w:pPr>
              <w:pStyle w:val="TableParagraph"/>
              <w:ind w:left="102" w:right="99"/>
              <w:jc w:val="both"/>
              <w:rPr>
                <w:rFonts w:ascii="Times New Roman"/>
                <w:b/>
                <w:sz w:val="18"/>
                <w:szCs w:val="18"/>
                <w:u w:val="thick" w:color="000000"/>
              </w:rPr>
            </w:pPr>
          </w:p>
        </w:tc>
      </w:tr>
      <w:tr w:rsidR="00F63446" w:rsidRPr="00CF4E2F" w14:paraId="47C3FBB9" w14:textId="77777777" w:rsidTr="00FE0FF1">
        <w:trPr>
          <w:trHeight w:val="304"/>
        </w:trPr>
        <w:tc>
          <w:tcPr>
            <w:tcW w:w="1418" w:type="dxa"/>
          </w:tcPr>
          <w:p w14:paraId="25ABE069" w14:textId="197A04E4" w:rsidR="00F63446" w:rsidRPr="001A257C" w:rsidRDefault="000A1E56"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sidR="008D34E3">
              <w:rPr>
                <w:rFonts w:ascii="Times New Roman" w:eastAsia="Times New Roman" w:hAnsi="Times New Roman" w:cs="Times New Roman"/>
                <w:sz w:val="18"/>
                <w:szCs w:val="18"/>
              </w:rPr>
              <w:t>3</w:t>
            </w:r>
            <w:r w:rsidR="003C7FFC">
              <w:rPr>
                <w:rFonts w:ascii="Times New Roman" w:eastAsia="Times New Roman" w:hAnsi="Times New Roman" w:cs="Times New Roman"/>
                <w:sz w:val="18"/>
                <w:szCs w:val="18"/>
              </w:rPr>
              <w:t>0</w:t>
            </w:r>
          </w:p>
        </w:tc>
        <w:tc>
          <w:tcPr>
            <w:tcW w:w="7590" w:type="dxa"/>
          </w:tcPr>
          <w:p w14:paraId="07A50E21" w14:textId="67738AA7" w:rsidR="00F63446" w:rsidRPr="00CF4E2F" w:rsidRDefault="00B339A4"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w:t>
            </w:r>
            <w:r w:rsidR="00296111" w:rsidRPr="00CF4E2F">
              <w:rPr>
                <w:rFonts w:ascii="Times New Roman"/>
                <w:b/>
                <w:sz w:val="18"/>
                <w:szCs w:val="18"/>
                <w:u w:val="thick" w:color="000000"/>
              </w:rPr>
              <w:t>9</w:t>
            </w:r>
            <w:r w:rsidRPr="00CF4E2F">
              <w:rPr>
                <w:rFonts w:ascii="Times New Roman"/>
                <w:b/>
                <w:sz w:val="18"/>
                <w:szCs w:val="18"/>
                <w:u w:val="thick" w:color="000000"/>
              </w:rPr>
              <w:t>.</w:t>
            </w:r>
            <w:r w:rsidR="003C7FFC">
              <w:rPr>
                <w:rFonts w:ascii="Times New Roman"/>
                <w:b/>
                <w:sz w:val="18"/>
                <w:szCs w:val="18"/>
                <w:u w:val="thick" w:color="000000"/>
              </w:rPr>
              <w:t>4</w:t>
            </w:r>
            <w:r w:rsidR="000A1E56" w:rsidRPr="00CF4E2F">
              <w:rPr>
                <w:rFonts w:ascii="Times New Roman"/>
                <w:b/>
                <w:sz w:val="18"/>
                <w:szCs w:val="18"/>
                <w:u w:val="thick" w:color="000000"/>
              </w:rPr>
              <w:t xml:space="preserve"> </w:t>
            </w:r>
            <w:r w:rsidRPr="00CF4E2F">
              <w:rPr>
                <w:rFonts w:ascii="Times New Roman"/>
                <w:b/>
                <w:sz w:val="18"/>
                <w:szCs w:val="18"/>
                <w:u w:val="thick" w:color="000000"/>
              </w:rPr>
              <w:t>other assets</w:t>
            </w:r>
          </w:p>
          <w:p w14:paraId="582BB65B" w14:textId="201DD3AC" w:rsidR="00B339A4" w:rsidRPr="00CF4E2F" w:rsidRDefault="00B339A4" w:rsidP="009543CF">
            <w:pPr>
              <w:pStyle w:val="TableParagraph"/>
              <w:spacing w:before="117"/>
              <w:ind w:left="102" w:right="99"/>
              <w:jc w:val="both"/>
              <w:rPr>
                <w:rFonts w:ascii="Times New Roman"/>
                <w:sz w:val="18"/>
                <w:szCs w:val="18"/>
              </w:rPr>
            </w:pPr>
            <w:r w:rsidRPr="00CF4E2F">
              <w:rPr>
                <w:rFonts w:ascii="Times New Roman"/>
                <w:sz w:val="18"/>
                <w:szCs w:val="18"/>
              </w:rPr>
              <w:t xml:space="preserve">Article 428ah(1)(b) of </w:t>
            </w:r>
            <w:r w:rsidR="00416B4D" w:rsidRPr="00CF4E2F">
              <w:rPr>
                <w:rFonts w:ascii="Times New Roman"/>
                <w:sz w:val="18"/>
                <w:szCs w:val="18"/>
              </w:rPr>
              <w:t>CRR</w:t>
            </w:r>
            <w:r w:rsidRPr="00CF4E2F">
              <w:rPr>
                <w:rFonts w:ascii="Times New Roman"/>
                <w:sz w:val="18"/>
                <w:szCs w:val="18"/>
              </w:rPr>
              <w:t>.</w:t>
            </w:r>
          </w:p>
          <w:p w14:paraId="246C1409" w14:textId="0226B650" w:rsidR="00B339A4" w:rsidRPr="00CF4E2F" w:rsidRDefault="00B339A4" w:rsidP="009543CF">
            <w:pPr>
              <w:pStyle w:val="TableParagraph"/>
              <w:spacing w:before="117"/>
              <w:ind w:left="102" w:right="99"/>
              <w:jc w:val="both"/>
              <w:rPr>
                <w:rFonts w:ascii="Times New Roman"/>
                <w:b/>
                <w:sz w:val="18"/>
                <w:szCs w:val="18"/>
                <w:u w:val="thick" w:color="000000"/>
              </w:rPr>
            </w:pPr>
            <w:r w:rsidRPr="00CF4E2F">
              <w:rPr>
                <w:rFonts w:ascii="Times New Roman"/>
                <w:sz w:val="18"/>
                <w:szCs w:val="18"/>
              </w:rPr>
              <w:t>The amount reported in 1.</w:t>
            </w:r>
            <w:r w:rsidR="00296111" w:rsidRPr="00CF4E2F">
              <w:rPr>
                <w:rFonts w:ascii="Times New Roman"/>
                <w:sz w:val="18"/>
                <w:szCs w:val="18"/>
              </w:rPr>
              <w:t>9</w:t>
            </w:r>
            <w:r w:rsidRPr="00CF4E2F">
              <w:rPr>
                <w:rFonts w:ascii="Times New Roman"/>
                <w:sz w:val="18"/>
                <w:szCs w:val="18"/>
              </w:rPr>
              <w:t xml:space="preserve"> </w:t>
            </w:r>
            <w:r w:rsidR="001458F1">
              <w:rPr>
                <w:rFonts w:ascii="Times New Roman"/>
                <w:sz w:val="18"/>
                <w:szCs w:val="18"/>
              </w:rPr>
              <w:t xml:space="preserve">that is </w:t>
            </w:r>
            <w:r w:rsidR="00D2394C">
              <w:rPr>
                <w:rFonts w:ascii="Times New Roman"/>
                <w:sz w:val="18"/>
                <w:szCs w:val="18"/>
              </w:rPr>
              <w:t xml:space="preserve">related to assets that are </w:t>
            </w:r>
            <w:r w:rsidRPr="00CF4E2F">
              <w:rPr>
                <w:rFonts w:ascii="Times New Roman"/>
                <w:sz w:val="18"/>
                <w:szCs w:val="18"/>
              </w:rPr>
              <w:t>not referred to in items 1.</w:t>
            </w:r>
            <w:r w:rsidR="00296111" w:rsidRPr="00CF4E2F">
              <w:rPr>
                <w:rFonts w:ascii="Times New Roman"/>
                <w:sz w:val="18"/>
                <w:szCs w:val="18"/>
              </w:rPr>
              <w:t>9</w:t>
            </w:r>
            <w:r w:rsidRPr="00CF4E2F">
              <w:rPr>
                <w:rFonts w:ascii="Times New Roman"/>
                <w:sz w:val="18"/>
                <w:szCs w:val="18"/>
              </w:rPr>
              <w:t>.1 to 1.</w:t>
            </w:r>
            <w:r w:rsidR="00296111" w:rsidRPr="00CF4E2F">
              <w:rPr>
                <w:rFonts w:ascii="Times New Roman"/>
                <w:sz w:val="18"/>
                <w:szCs w:val="18"/>
              </w:rPr>
              <w:t>9</w:t>
            </w:r>
            <w:r w:rsidRPr="00CF4E2F">
              <w:rPr>
                <w:rFonts w:ascii="Times New Roman"/>
                <w:sz w:val="18"/>
                <w:szCs w:val="18"/>
              </w:rPr>
              <w:t>.3.</w:t>
            </w:r>
          </w:p>
          <w:p w14:paraId="4DCCE041" w14:textId="556F285B" w:rsidR="000A1E56" w:rsidRPr="00CF4E2F" w:rsidRDefault="000A1E56" w:rsidP="003022BA">
            <w:pPr>
              <w:pStyle w:val="TableParagraph"/>
              <w:ind w:left="102" w:right="99"/>
              <w:jc w:val="both"/>
              <w:rPr>
                <w:rFonts w:ascii="Times New Roman"/>
                <w:b/>
                <w:sz w:val="18"/>
                <w:szCs w:val="18"/>
                <w:u w:val="thick" w:color="000000"/>
              </w:rPr>
            </w:pPr>
          </w:p>
        </w:tc>
      </w:tr>
      <w:tr w:rsidR="00D2394C" w:rsidRPr="00CF4E2F" w14:paraId="743080B6" w14:textId="77777777" w:rsidTr="00FE0FF1">
        <w:trPr>
          <w:trHeight w:val="304"/>
        </w:trPr>
        <w:tc>
          <w:tcPr>
            <w:tcW w:w="1418" w:type="dxa"/>
          </w:tcPr>
          <w:p w14:paraId="039644B9" w14:textId="791A4BA2" w:rsidR="00D2394C" w:rsidRPr="001A257C" w:rsidRDefault="00D2394C"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w:t>
            </w:r>
          </w:p>
        </w:tc>
        <w:tc>
          <w:tcPr>
            <w:tcW w:w="7590" w:type="dxa"/>
          </w:tcPr>
          <w:p w14:paraId="45CA3A3B" w14:textId="77777777" w:rsidR="00D2394C" w:rsidRPr="00CF4E2F" w:rsidRDefault="00D2394C"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1.10 RSF from OBS items</w:t>
            </w:r>
          </w:p>
          <w:p w14:paraId="7A28BA6E" w14:textId="62C51FE4" w:rsidR="00D2394C" w:rsidRPr="00CF4E2F" w:rsidRDefault="00D2394C" w:rsidP="00047F14">
            <w:pPr>
              <w:pStyle w:val="TableParagraph"/>
              <w:spacing w:before="117"/>
              <w:ind w:left="102" w:right="99"/>
              <w:jc w:val="both"/>
              <w:rPr>
                <w:rFonts w:ascii="Times New Roman"/>
                <w:sz w:val="18"/>
                <w:szCs w:val="18"/>
              </w:rPr>
            </w:pPr>
            <w:r w:rsidRPr="00CF4E2F">
              <w:rPr>
                <w:rFonts w:ascii="Times New Roman"/>
                <w:sz w:val="18"/>
                <w:szCs w:val="18"/>
              </w:rPr>
              <w:t>Institutions shall report here the amount of off-balance sheet items not referred to in items 1.1 to 1.9 that are subject to the required stable funding requirements.</w:t>
            </w:r>
          </w:p>
          <w:p w14:paraId="36D7143F" w14:textId="141B3BD2" w:rsidR="00D2394C" w:rsidRPr="00CF4E2F" w:rsidRDefault="00D2394C" w:rsidP="003022BA">
            <w:pPr>
              <w:pStyle w:val="TableParagraph"/>
              <w:ind w:left="102" w:right="99"/>
              <w:jc w:val="both"/>
              <w:rPr>
                <w:rFonts w:ascii="Times New Roman"/>
                <w:sz w:val="18"/>
                <w:szCs w:val="18"/>
              </w:rPr>
            </w:pPr>
          </w:p>
        </w:tc>
      </w:tr>
      <w:tr w:rsidR="00D2394C" w:rsidRPr="00CF4E2F" w14:paraId="0B816824" w14:textId="77777777" w:rsidTr="00FE0FF1">
        <w:trPr>
          <w:trHeight w:val="304"/>
        </w:trPr>
        <w:tc>
          <w:tcPr>
            <w:tcW w:w="1418" w:type="dxa"/>
          </w:tcPr>
          <w:p w14:paraId="5D781A0B" w14:textId="7A75A8E9" w:rsidR="00D2394C" w:rsidRPr="001A257C" w:rsidRDefault="00D2394C"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Pr>
                <w:rFonts w:ascii="Times New Roman" w:eastAsia="Times New Roman" w:hAnsi="Times New Roman" w:cs="Times New Roman"/>
                <w:sz w:val="18"/>
                <w:szCs w:val="18"/>
              </w:rPr>
              <w:t>5</w:t>
            </w:r>
            <w:r w:rsidRPr="00CF4E2F">
              <w:rPr>
                <w:rFonts w:ascii="Times New Roman" w:eastAsia="Times New Roman" w:hAnsi="Times New Roman" w:cs="Times New Roman"/>
                <w:sz w:val="18"/>
                <w:szCs w:val="18"/>
              </w:rPr>
              <w:t>0</w:t>
            </w:r>
          </w:p>
        </w:tc>
        <w:tc>
          <w:tcPr>
            <w:tcW w:w="7590" w:type="dxa"/>
          </w:tcPr>
          <w:p w14:paraId="3419C3CC" w14:textId="77777777" w:rsidR="00D2394C" w:rsidRPr="00CF4E2F" w:rsidRDefault="00D2394C"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1.10.1 committed facilities within a group or an IPS if subject to preferential treatment</w:t>
            </w:r>
          </w:p>
          <w:p w14:paraId="5B793C21" w14:textId="77777777" w:rsidR="00D2394C" w:rsidRPr="00CF4E2F" w:rsidRDefault="00D2394C" w:rsidP="00047F14">
            <w:pPr>
              <w:pStyle w:val="TableParagraph"/>
              <w:spacing w:before="117"/>
              <w:ind w:left="102" w:right="99"/>
              <w:jc w:val="both"/>
              <w:rPr>
                <w:rFonts w:ascii="Times New Roman"/>
                <w:sz w:val="18"/>
                <w:szCs w:val="18"/>
              </w:rPr>
            </w:pPr>
            <w:r w:rsidRPr="00CF4E2F">
              <w:rPr>
                <w:rFonts w:ascii="Times New Roman"/>
                <w:sz w:val="18"/>
                <w:szCs w:val="18"/>
              </w:rPr>
              <w:t>Article 428h of CRR.</w:t>
            </w:r>
          </w:p>
          <w:p w14:paraId="5504A1B8" w14:textId="454B094F" w:rsidR="00D2394C" w:rsidRPr="00CF4E2F" w:rsidRDefault="00D2394C"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1.10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committed facilities authorized by competent authorities for the preferential treatment in accordance with Article 428h of CRR.</w:t>
            </w:r>
          </w:p>
          <w:p w14:paraId="638BF6A1" w14:textId="6B700BF5" w:rsidR="00D2394C" w:rsidRPr="00CF4E2F" w:rsidRDefault="00D2394C" w:rsidP="003022BA">
            <w:pPr>
              <w:pStyle w:val="TableParagraph"/>
              <w:ind w:left="102" w:right="99"/>
              <w:jc w:val="both"/>
              <w:rPr>
                <w:rFonts w:ascii="Times New Roman"/>
                <w:b/>
                <w:sz w:val="18"/>
                <w:szCs w:val="18"/>
                <w:u w:val="thick" w:color="000000"/>
              </w:rPr>
            </w:pPr>
          </w:p>
        </w:tc>
      </w:tr>
      <w:tr w:rsidR="00D2394C" w:rsidRPr="00CF4E2F" w14:paraId="742BDFB6" w14:textId="77777777" w:rsidTr="00FE0FF1">
        <w:trPr>
          <w:trHeight w:val="304"/>
        </w:trPr>
        <w:tc>
          <w:tcPr>
            <w:tcW w:w="1418" w:type="dxa"/>
          </w:tcPr>
          <w:p w14:paraId="7D339F2F" w14:textId="00D47786" w:rsidR="00D2394C" w:rsidRPr="001A257C" w:rsidRDefault="00D2394C"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Pr>
                <w:rFonts w:ascii="Times New Roman" w:eastAsia="Times New Roman" w:hAnsi="Times New Roman" w:cs="Times New Roman"/>
                <w:sz w:val="18"/>
                <w:szCs w:val="18"/>
              </w:rPr>
              <w:t>6</w:t>
            </w:r>
            <w:r w:rsidRPr="00CF4E2F">
              <w:rPr>
                <w:rFonts w:ascii="Times New Roman" w:eastAsia="Times New Roman" w:hAnsi="Times New Roman" w:cs="Times New Roman"/>
                <w:sz w:val="18"/>
                <w:szCs w:val="18"/>
              </w:rPr>
              <w:t>0</w:t>
            </w:r>
          </w:p>
        </w:tc>
        <w:tc>
          <w:tcPr>
            <w:tcW w:w="7590" w:type="dxa"/>
          </w:tcPr>
          <w:p w14:paraId="4C6A2BD4" w14:textId="77777777" w:rsidR="00D2394C" w:rsidRPr="00CF4E2F" w:rsidRDefault="00D2394C"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1.10.2 committed facilities</w:t>
            </w:r>
          </w:p>
          <w:p w14:paraId="2020462D" w14:textId="2BCDBD81" w:rsidR="00D2394C" w:rsidRPr="00CF4E2F" w:rsidRDefault="00D2394C" w:rsidP="00047F14">
            <w:pPr>
              <w:pStyle w:val="TableParagraph"/>
              <w:spacing w:before="117"/>
              <w:ind w:left="102" w:right="99"/>
              <w:jc w:val="both"/>
              <w:rPr>
                <w:rFonts w:ascii="Times New Roman"/>
                <w:sz w:val="18"/>
                <w:szCs w:val="18"/>
              </w:rPr>
            </w:pPr>
            <w:r w:rsidRPr="00CF4E2F">
              <w:rPr>
                <w:rFonts w:ascii="Times New Roman"/>
                <w:sz w:val="18"/>
                <w:szCs w:val="18"/>
              </w:rPr>
              <w:t xml:space="preserve">Article </w:t>
            </w:r>
            <w:r w:rsidR="00642C09">
              <w:rPr>
                <w:rFonts w:ascii="Times New Roman"/>
                <w:sz w:val="18"/>
                <w:szCs w:val="18"/>
              </w:rPr>
              <w:t>428s</w:t>
            </w:r>
            <w:r>
              <w:rPr>
                <w:rFonts w:ascii="Times New Roman"/>
                <w:sz w:val="18"/>
                <w:szCs w:val="18"/>
              </w:rPr>
              <w:t>(1)</w:t>
            </w:r>
            <w:r w:rsidRPr="00CF4E2F">
              <w:rPr>
                <w:rFonts w:ascii="Times New Roman"/>
                <w:sz w:val="18"/>
                <w:szCs w:val="18"/>
              </w:rPr>
              <w:t>(c)</w:t>
            </w:r>
            <w:r w:rsidRPr="00CF4E2F">
              <w:rPr>
                <w:sz w:val="18"/>
                <w:szCs w:val="18"/>
              </w:rPr>
              <w:t xml:space="preserve"> </w:t>
            </w:r>
            <w:r w:rsidRPr="00CF4E2F">
              <w:rPr>
                <w:rFonts w:ascii="Times New Roman"/>
                <w:sz w:val="18"/>
                <w:szCs w:val="18"/>
              </w:rPr>
              <w:t>of CRR.</w:t>
            </w:r>
          </w:p>
          <w:p w14:paraId="1130DDE1" w14:textId="6AB0F3AA" w:rsidR="00D2394C" w:rsidRPr="00CF4E2F" w:rsidRDefault="00D2394C" w:rsidP="00047F14">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1.10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 xml:space="preserve">committed facilities in accordance with </w:t>
            </w:r>
            <w:r>
              <w:rPr>
                <w:rFonts w:ascii="Times New Roman"/>
                <w:sz w:val="18"/>
                <w:szCs w:val="18"/>
              </w:rPr>
              <w:t>D</w:t>
            </w:r>
            <w:r w:rsidRPr="00CF4E2F">
              <w:rPr>
                <w:rFonts w:ascii="Times New Roman"/>
                <w:sz w:val="18"/>
                <w:szCs w:val="18"/>
              </w:rPr>
              <w:t xml:space="preserve">elegated </w:t>
            </w:r>
            <w:r>
              <w:rPr>
                <w:rFonts w:ascii="Times New Roman"/>
                <w:sz w:val="18"/>
                <w:szCs w:val="18"/>
              </w:rPr>
              <w:t>R</w:t>
            </w:r>
            <w:r w:rsidRPr="00CF4E2F">
              <w:rPr>
                <w:rFonts w:ascii="Times New Roman"/>
                <w:sz w:val="18"/>
                <w:szCs w:val="18"/>
              </w:rPr>
              <w:t xml:space="preserve">egulation (EU) 2015/61 </w:t>
            </w:r>
            <w:r>
              <w:rPr>
                <w:rFonts w:ascii="Times New Roman"/>
                <w:sz w:val="18"/>
                <w:szCs w:val="18"/>
              </w:rPr>
              <w:t xml:space="preserve">that are </w:t>
            </w:r>
            <w:r w:rsidRPr="00CF4E2F">
              <w:rPr>
                <w:rFonts w:ascii="Times New Roman"/>
                <w:sz w:val="18"/>
                <w:szCs w:val="18"/>
              </w:rPr>
              <w:t xml:space="preserve">not </w:t>
            </w:r>
            <w:r>
              <w:rPr>
                <w:rFonts w:ascii="Times New Roman"/>
                <w:sz w:val="18"/>
                <w:szCs w:val="18"/>
              </w:rPr>
              <w:t xml:space="preserve">reported </w:t>
            </w:r>
            <w:r w:rsidRPr="00CF4E2F">
              <w:rPr>
                <w:rFonts w:ascii="Times New Roman"/>
                <w:sz w:val="18"/>
                <w:szCs w:val="18"/>
              </w:rPr>
              <w:t>in item 1.9.1.</w:t>
            </w:r>
          </w:p>
          <w:p w14:paraId="406EC297" w14:textId="1B67F13F" w:rsidR="00D2394C" w:rsidRPr="00CF4E2F" w:rsidRDefault="00D2394C" w:rsidP="003022BA">
            <w:pPr>
              <w:pStyle w:val="TableParagraph"/>
              <w:ind w:left="102" w:right="99"/>
              <w:jc w:val="both"/>
              <w:rPr>
                <w:rFonts w:ascii="Times New Roman"/>
                <w:b/>
                <w:sz w:val="18"/>
                <w:szCs w:val="18"/>
                <w:u w:val="thick" w:color="000000"/>
              </w:rPr>
            </w:pPr>
          </w:p>
        </w:tc>
      </w:tr>
      <w:tr w:rsidR="00095E47" w:rsidRPr="00CF4E2F" w14:paraId="3D39BDAA" w14:textId="77777777" w:rsidTr="00FE0FF1">
        <w:trPr>
          <w:trHeight w:val="304"/>
        </w:trPr>
        <w:tc>
          <w:tcPr>
            <w:tcW w:w="1418" w:type="dxa"/>
          </w:tcPr>
          <w:p w14:paraId="1C6EA57D" w14:textId="71F9F1EB" w:rsidR="00095E47" w:rsidRPr="001A257C" w:rsidRDefault="000A1E56"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sidR="008D34E3">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w:t>
            </w:r>
          </w:p>
        </w:tc>
        <w:tc>
          <w:tcPr>
            <w:tcW w:w="7590" w:type="dxa"/>
          </w:tcPr>
          <w:p w14:paraId="6135DE97" w14:textId="1E6228DF" w:rsidR="00095E47" w:rsidRPr="00CF4E2F" w:rsidRDefault="00435C7C" w:rsidP="009543CF">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1.10.3</w:t>
            </w:r>
            <w:r w:rsidR="003E4424" w:rsidRPr="00CF4E2F">
              <w:rPr>
                <w:rFonts w:ascii="Times New Roman"/>
                <w:b/>
                <w:sz w:val="18"/>
                <w:szCs w:val="18"/>
                <w:u w:val="thick" w:color="000000"/>
              </w:rPr>
              <w:t xml:space="preserve"> trade finance off-balance sheet items</w:t>
            </w:r>
          </w:p>
          <w:p w14:paraId="6689D8BC" w14:textId="0EEBC187" w:rsidR="003E4424" w:rsidRPr="00CF4E2F" w:rsidRDefault="003E4424" w:rsidP="009543CF">
            <w:pPr>
              <w:pStyle w:val="TableParagraph"/>
              <w:spacing w:before="117"/>
              <w:ind w:left="102" w:right="99"/>
              <w:jc w:val="both"/>
              <w:rPr>
                <w:rFonts w:ascii="Times New Roman"/>
                <w:sz w:val="18"/>
                <w:szCs w:val="18"/>
              </w:rPr>
            </w:pPr>
            <w:r w:rsidRPr="00CF4E2F">
              <w:rPr>
                <w:rFonts w:ascii="Times New Roman"/>
                <w:sz w:val="18"/>
                <w:szCs w:val="18"/>
              </w:rPr>
              <w:t>Article</w:t>
            </w:r>
            <w:r w:rsidR="0063076C">
              <w:rPr>
                <w:rFonts w:ascii="Times New Roman"/>
                <w:sz w:val="18"/>
                <w:szCs w:val="18"/>
              </w:rPr>
              <w:t>s</w:t>
            </w:r>
            <w:r w:rsidRPr="00CF4E2F">
              <w:rPr>
                <w:rFonts w:ascii="Times New Roman"/>
                <w:sz w:val="18"/>
                <w:szCs w:val="18"/>
              </w:rPr>
              <w:t xml:space="preserve"> </w:t>
            </w:r>
            <w:r w:rsidR="00642C09">
              <w:rPr>
                <w:rFonts w:ascii="Times New Roman"/>
                <w:sz w:val="18"/>
                <w:szCs w:val="18"/>
              </w:rPr>
              <w:t>428s</w:t>
            </w:r>
            <w:r w:rsidRPr="00CF4E2F">
              <w:rPr>
                <w:rFonts w:ascii="Times New Roman"/>
                <w:sz w:val="18"/>
                <w:szCs w:val="18"/>
              </w:rPr>
              <w:t xml:space="preserve">(1)(d), 428u and 428v(c) of </w:t>
            </w:r>
            <w:r w:rsidR="00416B4D" w:rsidRPr="00CF4E2F">
              <w:rPr>
                <w:rFonts w:ascii="Times New Roman"/>
                <w:sz w:val="18"/>
                <w:szCs w:val="18"/>
              </w:rPr>
              <w:t>CRR</w:t>
            </w:r>
            <w:r w:rsidRPr="00CF4E2F">
              <w:rPr>
                <w:rFonts w:ascii="Times New Roman"/>
                <w:sz w:val="18"/>
                <w:szCs w:val="18"/>
              </w:rPr>
              <w:t>.</w:t>
            </w:r>
          </w:p>
          <w:p w14:paraId="179CBEBD" w14:textId="2180A40A" w:rsidR="003E4424" w:rsidRPr="00CF4E2F" w:rsidRDefault="003E4424" w:rsidP="00296111">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w:t>
            </w:r>
            <w:r w:rsidR="00435C7C" w:rsidRPr="00CF4E2F">
              <w:rPr>
                <w:rFonts w:ascii="Times New Roman"/>
                <w:sz w:val="18"/>
                <w:szCs w:val="18"/>
              </w:rPr>
              <w:t>1.10</w:t>
            </w:r>
            <w:r w:rsidRPr="00CF4E2F">
              <w:rPr>
                <w:rFonts w:ascii="Times New Roman"/>
                <w:sz w:val="18"/>
                <w:szCs w:val="18"/>
              </w:rPr>
              <w:t xml:space="preserve">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sidR="00D2394C">
              <w:rPr>
                <w:rFonts w:ascii="Times New Roman"/>
                <w:sz w:val="18"/>
                <w:szCs w:val="18"/>
              </w:rPr>
              <w:t xml:space="preserve">related to </w:t>
            </w:r>
            <w:r w:rsidRPr="00CF4E2F">
              <w:rPr>
                <w:rFonts w:ascii="Times New Roman"/>
                <w:sz w:val="18"/>
                <w:szCs w:val="18"/>
              </w:rPr>
              <w:t xml:space="preserve">trade finance off-balance sheet related product as referred to in Annex I of </w:t>
            </w:r>
            <w:r w:rsidR="00416B4D" w:rsidRPr="00CF4E2F">
              <w:rPr>
                <w:rFonts w:ascii="Times New Roman"/>
                <w:sz w:val="18"/>
                <w:szCs w:val="18"/>
              </w:rPr>
              <w:t>CRR</w:t>
            </w:r>
            <w:r w:rsidRPr="00CF4E2F">
              <w:rPr>
                <w:rFonts w:ascii="Times New Roman"/>
                <w:sz w:val="18"/>
                <w:szCs w:val="18"/>
              </w:rPr>
              <w:t>.</w:t>
            </w:r>
          </w:p>
          <w:p w14:paraId="5BCF5D43" w14:textId="53419FD0" w:rsidR="000A1E56" w:rsidRPr="00CF4E2F" w:rsidRDefault="000A1E56" w:rsidP="003022BA">
            <w:pPr>
              <w:pStyle w:val="TableParagraph"/>
              <w:ind w:left="102" w:right="99"/>
              <w:jc w:val="both"/>
              <w:rPr>
                <w:rFonts w:ascii="Times New Roman"/>
                <w:sz w:val="18"/>
                <w:szCs w:val="18"/>
              </w:rPr>
            </w:pPr>
          </w:p>
        </w:tc>
      </w:tr>
      <w:tr w:rsidR="00B037DD" w:rsidRPr="00CF4E2F" w14:paraId="05A59B71" w14:textId="77777777" w:rsidTr="00FE0FF1">
        <w:trPr>
          <w:trHeight w:val="304"/>
        </w:trPr>
        <w:tc>
          <w:tcPr>
            <w:tcW w:w="1418" w:type="dxa"/>
          </w:tcPr>
          <w:p w14:paraId="22148319" w14:textId="1CC2C4F4" w:rsidR="00B037DD" w:rsidRPr="001A257C" w:rsidRDefault="000A1E56"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sidR="008D34E3">
              <w:rPr>
                <w:rFonts w:ascii="Times New Roman" w:eastAsia="Times New Roman" w:hAnsi="Times New Roman" w:cs="Times New Roman"/>
                <w:sz w:val="18"/>
                <w:szCs w:val="18"/>
              </w:rPr>
              <w:t>8</w:t>
            </w:r>
            <w:r w:rsidRPr="00CF4E2F">
              <w:rPr>
                <w:rFonts w:ascii="Times New Roman" w:eastAsia="Times New Roman" w:hAnsi="Times New Roman" w:cs="Times New Roman"/>
                <w:sz w:val="18"/>
                <w:szCs w:val="18"/>
              </w:rPr>
              <w:t>0</w:t>
            </w:r>
          </w:p>
        </w:tc>
        <w:tc>
          <w:tcPr>
            <w:tcW w:w="7590" w:type="dxa"/>
          </w:tcPr>
          <w:p w14:paraId="28E92AF4" w14:textId="77777777" w:rsidR="00B037DD" w:rsidRPr="00CF4E2F" w:rsidRDefault="00B037DD" w:rsidP="00B037DD">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1.10.4 non-performing off-balance sheet items</w:t>
            </w:r>
          </w:p>
          <w:p w14:paraId="14218FDC" w14:textId="12163324" w:rsidR="00B037DD" w:rsidRPr="00CF4E2F" w:rsidRDefault="00B037DD" w:rsidP="00B037DD">
            <w:pPr>
              <w:pStyle w:val="TableParagraph"/>
              <w:spacing w:before="117"/>
              <w:ind w:left="102" w:right="99"/>
              <w:jc w:val="both"/>
              <w:rPr>
                <w:rFonts w:ascii="Times New Roman"/>
                <w:sz w:val="18"/>
                <w:szCs w:val="18"/>
              </w:rPr>
            </w:pPr>
            <w:r w:rsidRPr="00CF4E2F">
              <w:rPr>
                <w:rFonts w:ascii="Times New Roman"/>
                <w:sz w:val="18"/>
                <w:szCs w:val="18"/>
              </w:rPr>
              <w:t>Article 428ah(1)(b)</w:t>
            </w:r>
            <w:r w:rsidR="003C7FFC">
              <w:rPr>
                <w:rFonts w:ascii="Times New Roman"/>
                <w:sz w:val="18"/>
                <w:szCs w:val="18"/>
              </w:rPr>
              <w:t xml:space="preserve"> of CRR</w:t>
            </w:r>
            <w:r w:rsidR="00E7638A">
              <w:rPr>
                <w:rFonts w:ascii="Times New Roman"/>
                <w:sz w:val="18"/>
                <w:szCs w:val="18"/>
              </w:rPr>
              <w:t>.</w:t>
            </w:r>
          </w:p>
          <w:p w14:paraId="0DCE9060" w14:textId="5F21E0F5" w:rsidR="00B037DD" w:rsidRPr="00CF4E2F" w:rsidRDefault="00B037DD" w:rsidP="00B037DD">
            <w:pPr>
              <w:pStyle w:val="TableParagraph"/>
              <w:spacing w:before="117"/>
              <w:ind w:left="102" w:right="99"/>
              <w:jc w:val="both"/>
              <w:rPr>
                <w:rFonts w:ascii="Times New Roman"/>
                <w:sz w:val="18"/>
                <w:szCs w:val="18"/>
                <w:u w:val="single"/>
              </w:rPr>
            </w:pPr>
            <w:r w:rsidRPr="00CF4E2F">
              <w:rPr>
                <w:rFonts w:ascii="Times New Roman"/>
                <w:sz w:val="18"/>
                <w:szCs w:val="18"/>
              </w:rPr>
              <w:t xml:space="preserve">The amount reported in 1.10 </w:t>
            </w:r>
            <w:r w:rsidR="001458F1">
              <w:rPr>
                <w:rFonts w:ascii="Times New Roman"/>
                <w:sz w:val="18"/>
                <w:szCs w:val="18"/>
              </w:rPr>
              <w:t>that</w:t>
            </w:r>
            <w:r w:rsidR="001458F1" w:rsidRPr="00CF4E2F" w:rsidDel="001458F1">
              <w:rPr>
                <w:rFonts w:ascii="Times New Roman"/>
                <w:sz w:val="18"/>
                <w:szCs w:val="18"/>
              </w:rPr>
              <w:t xml:space="preserve"> </w:t>
            </w:r>
            <w:r w:rsidRPr="00CF4E2F">
              <w:rPr>
                <w:rFonts w:ascii="Times New Roman"/>
                <w:sz w:val="18"/>
                <w:szCs w:val="18"/>
              </w:rPr>
              <w:t xml:space="preserve">is </w:t>
            </w:r>
            <w:r w:rsidR="00D2394C">
              <w:rPr>
                <w:rFonts w:ascii="Times New Roman"/>
                <w:sz w:val="18"/>
                <w:szCs w:val="18"/>
              </w:rPr>
              <w:t xml:space="preserve">related to </w:t>
            </w:r>
            <w:r w:rsidRPr="00CF4E2F">
              <w:rPr>
                <w:rFonts w:ascii="Times New Roman"/>
                <w:sz w:val="18"/>
                <w:szCs w:val="18"/>
              </w:rPr>
              <w:t>non-performing off-balance sheet exposures.</w:t>
            </w:r>
          </w:p>
          <w:p w14:paraId="07F60EE2" w14:textId="7CCE34DA" w:rsidR="00B037DD" w:rsidRPr="00CF4E2F" w:rsidRDefault="00B037DD" w:rsidP="00D64B99">
            <w:pPr>
              <w:pStyle w:val="TableParagraph"/>
              <w:ind w:left="102" w:right="99"/>
              <w:jc w:val="both"/>
              <w:rPr>
                <w:rFonts w:ascii="Times New Roman"/>
                <w:b/>
                <w:sz w:val="18"/>
                <w:szCs w:val="18"/>
                <w:u w:val="thick" w:color="000000"/>
              </w:rPr>
            </w:pPr>
          </w:p>
        </w:tc>
      </w:tr>
      <w:tr w:rsidR="00D2394C" w:rsidRPr="00CF4E2F" w14:paraId="35267949" w14:textId="77777777" w:rsidTr="00FE0FF1">
        <w:trPr>
          <w:trHeight w:val="304"/>
        </w:trPr>
        <w:tc>
          <w:tcPr>
            <w:tcW w:w="1418" w:type="dxa"/>
          </w:tcPr>
          <w:p w14:paraId="42EF734D" w14:textId="770A77F7" w:rsidR="00D2394C" w:rsidRPr="001A257C" w:rsidRDefault="00D2394C" w:rsidP="003C7FFC">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10</w:t>
            </w:r>
            <w:r>
              <w:rPr>
                <w:rFonts w:ascii="Times New Roman" w:eastAsia="Times New Roman" w:hAnsi="Times New Roman" w:cs="Times New Roman"/>
                <w:sz w:val="18"/>
                <w:szCs w:val="18"/>
              </w:rPr>
              <w:t>9</w:t>
            </w:r>
            <w:r w:rsidRPr="00CF4E2F">
              <w:rPr>
                <w:rFonts w:ascii="Times New Roman" w:eastAsia="Times New Roman" w:hAnsi="Times New Roman" w:cs="Times New Roman"/>
                <w:sz w:val="18"/>
                <w:szCs w:val="18"/>
              </w:rPr>
              <w:t>0</w:t>
            </w:r>
          </w:p>
        </w:tc>
        <w:tc>
          <w:tcPr>
            <w:tcW w:w="7590" w:type="dxa"/>
          </w:tcPr>
          <w:p w14:paraId="083357B0" w14:textId="77777777" w:rsidR="00F12D29" w:rsidRPr="00CF4E2F" w:rsidRDefault="00F12D29" w:rsidP="00F12D29">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1.10.5 other off-balance sheet exposures </w:t>
            </w:r>
            <w:r w:rsidRPr="00663A06">
              <w:rPr>
                <w:rFonts w:ascii="Times New Roman"/>
                <w:b/>
                <w:sz w:val="18"/>
                <w:szCs w:val="18"/>
                <w:u w:val="thick" w:color="000000"/>
              </w:rPr>
              <w:t xml:space="preserve">for which the </w:t>
            </w:r>
            <w:r>
              <w:rPr>
                <w:rFonts w:ascii="Times New Roman"/>
                <w:b/>
                <w:sz w:val="18"/>
                <w:szCs w:val="18"/>
                <w:u w:val="thick" w:color="000000"/>
              </w:rPr>
              <w:t>competent authority</w:t>
            </w:r>
            <w:r w:rsidRPr="00663A06">
              <w:rPr>
                <w:rFonts w:ascii="Times New Roman"/>
                <w:b/>
                <w:sz w:val="18"/>
                <w:szCs w:val="18"/>
                <w:u w:val="thick" w:color="000000"/>
              </w:rPr>
              <w:t xml:space="preserve"> has determined RSF factors</w:t>
            </w:r>
          </w:p>
          <w:p w14:paraId="34B7A5DF" w14:textId="77777777" w:rsidR="00F12D29" w:rsidRPr="00CF4E2F" w:rsidRDefault="00F12D29" w:rsidP="00F12D29">
            <w:pPr>
              <w:pStyle w:val="TableParagraph"/>
              <w:spacing w:before="117"/>
              <w:ind w:left="102" w:right="99"/>
              <w:jc w:val="both"/>
              <w:rPr>
                <w:rFonts w:ascii="Times New Roman"/>
                <w:sz w:val="18"/>
                <w:szCs w:val="18"/>
              </w:rPr>
            </w:pPr>
            <w:r w:rsidRPr="00CF4E2F">
              <w:rPr>
                <w:rFonts w:ascii="Times New Roman"/>
                <w:sz w:val="18"/>
                <w:szCs w:val="18"/>
              </w:rPr>
              <w:t>Article 428p(10)</w:t>
            </w:r>
            <w:r w:rsidRPr="00CF4E2F">
              <w:rPr>
                <w:sz w:val="18"/>
                <w:szCs w:val="18"/>
              </w:rPr>
              <w:t xml:space="preserve"> </w:t>
            </w:r>
            <w:r w:rsidRPr="00CF4E2F">
              <w:rPr>
                <w:rFonts w:ascii="Times New Roman"/>
                <w:sz w:val="18"/>
                <w:szCs w:val="18"/>
              </w:rPr>
              <w:t>of CRR.</w:t>
            </w:r>
          </w:p>
          <w:p w14:paraId="046338ED" w14:textId="77777777" w:rsidR="00F12D29" w:rsidRPr="00CF4E2F" w:rsidRDefault="00F12D29" w:rsidP="00F12D29">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1.10 which is off-balance sheet exposures </w:t>
            </w:r>
            <w:r>
              <w:rPr>
                <w:rFonts w:ascii="Times New Roman"/>
                <w:sz w:val="18"/>
                <w:szCs w:val="18"/>
              </w:rPr>
              <w:t xml:space="preserve">for which the </w:t>
            </w:r>
            <w:r w:rsidRPr="00CF4E2F">
              <w:rPr>
                <w:rFonts w:ascii="Times New Roman"/>
                <w:sz w:val="18"/>
                <w:szCs w:val="18"/>
              </w:rPr>
              <w:t xml:space="preserve"> competent authorit</w:t>
            </w:r>
            <w:r>
              <w:rPr>
                <w:rFonts w:ascii="Times New Roman"/>
                <w:sz w:val="18"/>
                <w:szCs w:val="18"/>
              </w:rPr>
              <w:t>y has determined RSF factors</w:t>
            </w:r>
            <w:r w:rsidRPr="00CF4E2F">
              <w:rPr>
                <w:rFonts w:ascii="Times New Roman"/>
                <w:sz w:val="18"/>
                <w:szCs w:val="18"/>
              </w:rPr>
              <w:t xml:space="preserve"> in accordance with Article 428p(10)</w:t>
            </w:r>
            <w:r w:rsidRPr="00CF4E2F">
              <w:rPr>
                <w:sz w:val="18"/>
                <w:szCs w:val="18"/>
              </w:rPr>
              <w:t xml:space="preserve"> </w:t>
            </w:r>
            <w:r w:rsidRPr="00CF4E2F">
              <w:rPr>
                <w:rFonts w:ascii="Times New Roman"/>
                <w:sz w:val="18"/>
                <w:szCs w:val="18"/>
              </w:rPr>
              <w:t>of CRR.</w:t>
            </w:r>
          </w:p>
          <w:p w14:paraId="77272E41" w14:textId="5F96FD4E" w:rsidR="00D2394C" w:rsidRPr="00CF4E2F" w:rsidRDefault="00D2394C" w:rsidP="00D64B99">
            <w:pPr>
              <w:pStyle w:val="TableParagraph"/>
              <w:ind w:left="102" w:right="99"/>
              <w:jc w:val="both"/>
              <w:rPr>
                <w:rFonts w:ascii="Times New Roman"/>
                <w:sz w:val="18"/>
                <w:szCs w:val="18"/>
              </w:rPr>
            </w:pPr>
          </w:p>
        </w:tc>
      </w:tr>
      <w:bookmarkEnd w:id="17"/>
      <w:bookmarkEnd w:id="18"/>
    </w:tbl>
    <w:p w14:paraId="24C9C21B" w14:textId="61A2CE29" w:rsidR="00EB4BBA" w:rsidRPr="00A66401" w:rsidRDefault="00EB4BBA">
      <w:pPr>
        <w:rPr>
          <w:rFonts w:ascii="Times New Roman" w:eastAsiaTheme="minorHAnsi" w:hAnsi="Times New Roman"/>
          <w:color w:val="auto"/>
          <w:sz w:val="20"/>
          <w:szCs w:val="24"/>
          <w:lang w:val="en-US"/>
        </w:rPr>
      </w:pPr>
      <w:r w:rsidRPr="00A66401">
        <w:rPr>
          <w:lang w:val="en-US"/>
        </w:rPr>
        <w:br w:type="page"/>
      </w:r>
    </w:p>
    <w:p w14:paraId="348539B9" w14:textId="23B9584B" w:rsidR="00EB4BBA" w:rsidRPr="00A66401" w:rsidRDefault="00EB4BBA" w:rsidP="0055437F">
      <w:pPr>
        <w:pStyle w:val="BodyText1"/>
        <w:spacing w:before="120" w:after="120"/>
        <w:outlineLvl w:val="0"/>
        <w:rPr>
          <w:rFonts w:ascii="Times New Roman" w:hAnsi="Times New Roman"/>
          <w:b/>
          <w:sz w:val="24"/>
          <w:szCs w:val="24"/>
          <w:lang w:val="en-US"/>
        </w:rPr>
      </w:pPr>
      <w:bookmarkStart w:id="19" w:name="_Toc7641922"/>
      <w:r w:rsidRPr="00A66401">
        <w:rPr>
          <w:rFonts w:ascii="Times New Roman" w:hAnsi="Times New Roman"/>
          <w:b/>
          <w:sz w:val="24"/>
          <w:szCs w:val="24"/>
          <w:lang w:val="en-US"/>
        </w:rPr>
        <w:t>PART II</w:t>
      </w:r>
      <w:r w:rsidR="00F12D29">
        <w:rPr>
          <w:rFonts w:ascii="Times New Roman" w:hAnsi="Times New Roman"/>
          <w:b/>
          <w:sz w:val="24"/>
          <w:szCs w:val="24"/>
          <w:lang w:val="en-US"/>
        </w:rPr>
        <w:t>I</w:t>
      </w:r>
      <w:r w:rsidRPr="00A66401">
        <w:rPr>
          <w:rFonts w:ascii="Times New Roman" w:hAnsi="Times New Roman"/>
          <w:b/>
          <w:sz w:val="24"/>
          <w:szCs w:val="24"/>
          <w:lang w:val="en-US"/>
        </w:rPr>
        <w:t>: AVAILABLE STABLE FUNDING</w:t>
      </w:r>
      <w:bookmarkEnd w:id="19"/>
    </w:p>
    <w:p w14:paraId="3DCBEE49" w14:textId="46DF87D2" w:rsidR="00857C68" w:rsidRPr="00A66401" w:rsidRDefault="00857C68" w:rsidP="00D967E5">
      <w:pPr>
        <w:pStyle w:val="BodyText1"/>
        <w:spacing w:before="120" w:after="120"/>
        <w:rPr>
          <w:lang w:val="en-US"/>
        </w:rPr>
      </w:pPr>
    </w:p>
    <w:p w14:paraId="5745A58E" w14:textId="77777777" w:rsidR="000D128D" w:rsidRPr="00A66401" w:rsidRDefault="000D128D" w:rsidP="0055437F">
      <w:pPr>
        <w:pStyle w:val="BodyText1"/>
        <w:numPr>
          <w:ilvl w:val="0"/>
          <w:numId w:val="27"/>
        </w:numPr>
        <w:spacing w:before="120" w:after="120"/>
        <w:outlineLvl w:val="0"/>
        <w:rPr>
          <w:rFonts w:ascii="Times New Roman" w:hAnsi="Times New Roman"/>
          <w:b/>
          <w:sz w:val="24"/>
          <w:szCs w:val="24"/>
          <w:lang w:val="en-US"/>
        </w:rPr>
      </w:pPr>
      <w:bookmarkStart w:id="20" w:name="_Toc7641923"/>
      <w:r w:rsidRPr="00A66401">
        <w:rPr>
          <w:rFonts w:ascii="Times New Roman" w:hAnsi="Times New Roman"/>
          <w:b/>
          <w:sz w:val="24"/>
          <w:szCs w:val="24"/>
          <w:lang w:val="en-US"/>
        </w:rPr>
        <w:t>Specific remarks</w:t>
      </w:r>
      <w:bookmarkEnd w:id="20"/>
    </w:p>
    <w:p w14:paraId="52C8912F" w14:textId="38F70F81" w:rsidR="000D128D" w:rsidRPr="00744527" w:rsidRDefault="000D128D" w:rsidP="0074452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744527">
        <w:rPr>
          <w:rFonts w:ascii="Times New Roman" w:eastAsia="Verdana" w:hAnsi="Times New Roman"/>
          <w:szCs w:val="18"/>
          <w:lang w:val="en-US"/>
        </w:rPr>
        <w:t xml:space="preserve">All liabilities and own funds shall be reported with a breakdown by their residual maturity in accordance with Article 428j of CRR. The maturity buckets of the </w:t>
      </w:r>
      <w:r w:rsidR="005074D1" w:rsidRPr="00744527">
        <w:rPr>
          <w:rFonts w:ascii="Times New Roman" w:eastAsia="Verdana" w:hAnsi="Times New Roman"/>
          <w:szCs w:val="18"/>
          <w:lang w:val="en-US"/>
        </w:rPr>
        <w:t>amount</w:t>
      </w:r>
      <w:r w:rsidR="00B95EEB">
        <w:rPr>
          <w:rFonts w:ascii="Times New Roman" w:eastAsia="Verdana" w:hAnsi="Times New Roman"/>
          <w:szCs w:val="18"/>
          <w:lang w:val="en-US"/>
        </w:rPr>
        <w:t>s</w:t>
      </w:r>
      <w:r w:rsidRPr="00744527">
        <w:rPr>
          <w:rFonts w:ascii="Times New Roman" w:eastAsia="Verdana" w:hAnsi="Times New Roman"/>
          <w:szCs w:val="18"/>
          <w:lang w:val="en-US"/>
        </w:rPr>
        <w:t xml:space="preserve">, standard </w:t>
      </w:r>
      <w:r w:rsidR="00744527" w:rsidRPr="00744527">
        <w:rPr>
          <w:rFonts w:ascii="Times New Roman" w:eastAsia="Verdana" w:hAnsi="Times New Roman"/>
          <w:szCs w:val="18"/>
          <w:lang w:val="en-US"/>
        </w:rPr>
        <w:t xml:space="preserve">available stable funding (ASF) </w:t>
      </w:r>
      <w:r w:rsidRPr="00744527">
        <w:rPr>
          <w:rFonts w:ascii="Times New Roman" w:eastAsia="Verdana" w:hAnsi="Times New Roman"/>
          <w:szCs w:val="18"/>
          <w:lang w:val="en-US"/>
        </w:rPr>
        <w:t>factor</w:t>
      </w:r>
      <w:r w:rsidR="00744527" w:rsidRPr="00744527">
        <w:rPr>
          <w:rFonts w:ascii="Times New Roman" w:eastAsia="Verdana" w:hAnsi="Times New Roman"/>
          <w:szCs w:val="18"/>
          <w:lang w:val="en-US"/>
        </w:rPr>
        <w:t>s</w:t>
      </w:r>
      <w:r w:rsidRPr="00744527">
        <w:rPr>
          <w:rFonts w:ascii="Times New Roman" w:eastAsia="Verdana" w:hAnsi="Times New Roman"/>
          <w:szCs w:val="18"/>
          <w:lang w:val="en-US"/>
        </w:rPr>
        <w:t xml:space="preserve"> and applicable </w:t>
      </w:r>
      <w:r w:rsidR="00744527" w:rsidRPr="00744527">
        <w:rPr>
          <w:rFonts w:ascii="Times New Roman" w:eastAsia="Verdana" w:hAnsi="Times New Roman"/>
          <w:szCs w:val="18"/>
          <w:lang w:val="en-US"/>
        </w:rPr>
        <w:t xml:space="preserve">ASF </w:t>
      </w:r>
      <w:r w:rsidRPr="00744527">
        <w:rPr>
          <w:rFonts w:ascii="Times New Roman" w:eastAsia="Verdana" w:hAnsi="Times New Roman"/>
          <w:szCs w:val="18"/>
          <w:lang w:val="en-US"/>
        </w:rPr>
        <w:t>factor</w:t>
      </w:r>
      <w:r w:rsidR="00744527" w:rsidRPr="00D20D4C">
        <w:rPr>
          <w:rFonts w:ascii="Times New Roman" w:eastAsia="Verdana" w:hAnsi="Times New Roman"/>
          <w:szCs w:val="18"/>
          <w:lang w:val="en-US"/>
        </w:rPr>
        <w:t>s</w:t>
      </w:r>
      <w:r w:rsidRPr="00D20D4C">
        <w:rPr>
          <w:rFonts w:ascii="Times New Roman" w:eastAsia="Verdana" w:hAnsi="Times New Roman"/>
          <w:szCs w:val="18"/>
          <w:lang w:val="en-US"/>
        </w:rPr>
        <w:t xml:space="preserve"> are the following:</w:t>
      </w:r>
    </w:p>
    <w:p w14:paraId="7376998E" w14:textId="28CF127C" w:rsidR="000D128D" w:rsidRPr="00772E66" w:rsidRDefault="000D128D" w:rsidP="00744527">
      <w:pPr>
        <w:pStyle w:val="InstructionsText2"/>
        <w:numPr>
          <w:ilvl w:val="2"/>
          <w:numId w:val="24"/>
        </w:numPr>
        <w:spacing w:before="120" w:after="120" w:line="276" w:lineRule="auto"/>
        <w:rPr>
          <w:lang w:val="en-US"/>
        </w:rPr>
      </w:pPr>
      <w:r w:rsidRPr="00772E66">
        <w:rPr>
          <w:lang w:val="en-US"/>
        </w:rPr>
        <w:t xml:space="preserve">Residual maturity </w:t>
      </w:r>
      <w:r w:rsidR="00D2394C" w:rsidRPr="00744527">
        <w:rPr>
          <w:szCs w:val="20"/>
          <w:lang w:val="en-US"/>
        </w:rPr>
        <w:t xml:space="preserve">of less than six months </w:t>
      </w:r>
      <w:r w:rsidRPr="00772E66">
        <w:rPr>
          <w:lang w:val="en-US"/>
        </w:rPr>
        <w:t>or without stated maturity;</w:t>
      </w:r>
    </w:p>
    <w:p w14:paraId="27EDC27D" w14:textId="5B6BFDA1" w:rsidR="000D128D" w:rsidRPr="00772E66" w:rsidRDefault="000D128D" w:rsidP="00744527">
      <w:pPr>
        <w:pStyle w:val="InstructionsText2"/>
        <w:numPr>
          <w:ilvl w:val="2"/>
          <w:numId w:val="24"/>
        </w:numPr>
        <w:spacing w:before="120" w:after="120" w:line="276" w:lineRule="auto"/>
        <w:rPr>
          <w:lang w:val="en-US"/>
        </w:rPr>
      </w:pPr>
      <w:r w:rsidRPr="00772E66">
        <w:rPr>
          <w:lang w:val="en-US"/>
        </w:rPr>
        <w:t xml:space="preserve">Residual maturity </w:t>
      </w:r>
      <w:r w:rsidR="00D2394C" w:rsidRPr="00772E66">
        <w:rPr>
          <w:szCs w:val="20"/>
          <w:lang w:eastAsia="en-GB"/>
        </w:rPr>
        <w:t xml:space="preserve">of a minimum of six months </w:t>
      </w:r>
      <w:r w:rsidR="00D2394C">
        <w:rPr>
          <w:szCs w:val="20"/>
          <w:lang w:eastAsia="en-GB"/>
        </w:rPr>
        <w:t>but</w:t>
      </w:r>
      <w:r w:rsidR="00D2394C" w:rsidRPr="00772E66">
        <w:rPr>
          <w:szCs w:val="20"/>
          <w:lang w:eastAsia="en-GB"/>
        </w:rPr>
        <w:t xml:space="preserve"> less than one year</w:t>
      </w:r>
      <w:r w:rsidRPr="00772E66">
        <w:rPr>
          <w:lang w:val="en-US"/>
        </w:rPr>
        <w:t>;</w:t>
      </w:r>
    </w:p>
    <w:p w14:paraId="674B1072" w14:textId="2D209A1B" w:rsidR="000D128D" w:rsidRPr="00772E66" w:rsidRDefault="000D128D" w:rsidP="00744527">
      <w:pPr>
        <w:pStyle w:val="InstructionsText2"/>
        <w:numPr>
          <w:ilvl w:val="2"/>
          <w:numId w:val="24"/>
        </w:numPr>
        <w:spacing w:before="120" w:after="120" w:line="276" w:lineRule="auto"/>
        <w:rPr>
          <w:lang w:val="en-US"/>
        </w:rPr>
      </w:pPr>
      <w:r w:rsidRPr="00772E66">
        <w:rPr>
          <w:lang w:val="en-US"/>
        </w:rPr>
        <w:t xml:space="preserve">Residual maturity </w:t>
      </w:r>
      <w:r w:rsidR="00D2394C" w:rsidRPr="00772E66">
        <w:rPr>
          <w:szCs w:val="20"/>
          <w:lang w:val="en-US"/>
        </w:rPr>
        <w:t>of one year or more</w:t>
      </w:r>
      <w:r w:rsidRPr="00772E66">
        <w:rPr>
          <w:lang w:val="en-US"/>
        </w:rPr>
        <w:t xml:space="preserve">. </w:t>
      </w:r>
    </w:p>
    <w:p w14:paraId="45C2D9DA" w14:textId="441E21C5" w:rsidR="000D128D" w:rsidRPr="00744527" w:rsidRDefault="000D128D" w:rsidP="0074452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744527">
        <w:rPr>
          <w:rFonts w:ascii="Times New Roman" w:eastAsia="Verdana" w:hAnsi="Times New Roman"/>
          <w:szCs w:val="18"/>
          <w:lang w:val="en-US"/>
        </w:rPr>
        <w:t xml:space="preserve">All liabilities with a residual maturity </w:t>
      </w:r>
      <w:r w:rsidR="00D2394C">
        <w:rPr>
          <w:rFonts w:ascii="Times New Roman" w:eastAsia="Verdana" w:hAnsi="Times New Roman"/>
          <w:szCs w:val="18"/>
          <w:lang w:val="en-US"/>
        </w:rPr>
        <w:t>of one year or more</w:t>
      </w:r>
      <w:r w:rsidR="00D2394C" w:rsidRPr="00744527">
        <w:rPr>
          <w:rFonts w:ascii="Times New Roman" w:eastAsia="Verdana" w:hAnsi="Times New Roman"/>
          <w:szCs w:val="18"/>
          <w:lang w:val="en-US"/>
        </w:rPr>
        <w:t xml:space="preserve"> </w:t>
      </w:r>
      <w:r w:rsidRPr="00744527">
        <w:rPr>
          <w:rFonts w:ascii="Times New Roman" w:eastAsia="Verdana" w:hAnsi="Times New Roman"/>
          <w:szCs w:val="18"/>
          <w:lang w:val="en-US"/>
        </w:rPr>
        <w:t xml:space="preserve">shall be subject to a 100% </w:t>
      </w:r>
      <w:r w:rsidR="00744527">
        <w:rPr>
          <w:rFonts w:ascii="Times New Roman" w:eastAsia="Verdana" w:hAnsi="Times New Roman"/>
          <w:szCs w:val="18"/>
          <w:lang w:val="en-US"/>
        </w:rPr>
        <w:t>ASF</w:t>
      </w:r>
      <w:r w:rsidRPr="00744527">
        <w:rPr>
          <w:rFonts w:ascii="Times New Roman" w:eastAsia="Verdana" w:hAnsi="Times New Roman"/>
          <w:szCs w:val="18"/>
          <w:lang w:val="en-US"/>
        </w:rPr>
        <w:t xml:space="preserve"> factor, unless otherwise specified in Articles 428k </w:t>
      </w:r>
      <w:r w:rsidR="00605E0C" w:rsidRPr="00744527">
        <w:rPr>
          <w:rFonts w:ascii="Times New Roman" w:eastAsia="Verdana" w:hAnsi="Times New Roman"/>
          <w:szCs w:val="18"/>
          <w:lang w:val="en-US"/>
        </w:rPr>
        <w:t xml:space="preserve">to </w:t>
      </w:r>
      <w:r w:rsidRPr="00744527">
        <w:rPr>
          <w:rFonts w:ascii="Times New Roman" w:eastAsia="Verdana" w:hAnsi="Times New Roman"/>
          <w:szCs w:val="18"/>
          <w:lang w:val="en-US"/>
        </w:rPr>
        <w:t>428n of CRR, in accordance with Article 428o of CRR.</w:t>
      </w:r>
    </w:p>
    <w:p w14:paraId="77E3C6A5" w14:textId="2086E8FA" w:rsidR="00D2394C" w:rsidRPr="00744527" w:rsidRDefault="00D2394C" w:rsidP="00D2394C">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bookmarkStart w:id="21" w:name="_Ref6931223"/>
      <w:r w:rsidRPr="00744527">
        <w:rPr>
          <w:rFonts w:ascii="Times New Roman" w:eastAsia="Verdana" w:hAnsi="Times New Roman"/>
          <w:szCs w:val="18"/>
          <w:lang w:val="en-US"/>
        </w:rPr>
        <w:t xml:space="preserve">All sight deposits shall be reported in the bucket </w:t>
      </w:r>
      <w:r>
        <w:rPr>
          <w:rFonts w:ascii="Times New Roman" w:eastAsia="Verdana" w:hAnsi="Times New Roman"/>
          <w:szCs w:val="18"/>
          <w:lang w:val="en-US"/>
        </w:rPr>
        <w:t xml:space="preserve">referring to liabilities with a </w:t>
      </w:r>
      <w:r w:rsidRPr="00744527">
        <w:rPr>
          <w:rFonts w:ascii="Times New Roman" w:eastAsia="Verdana" w:hAnsi="Times New Roman"/>
          <w:szCs w:val="18"/>
          <w:lang w:val="en-US"/>
        </w:rPr>
        <w:t>residual maturity</w:t>
      </w:r>
      <w:r w:rsidRPr="00744527">
        <w:rPr>
          <w:rFonts w:ascii="Times New Roman" w:hAnsi="Times New Roman"/>
          <w:lang w:val="en-US"/>
        </w:rPr>
        <w:t xml:space="preserve"> </w:t>
      </w:r>
      <w:r>
        <w:rPr>
          <w:rFonts w:ascii="Times New Roman" w:eastAsia="Verdana" w:hAnsi="Times New Roman"/>
          <w:szCs w:val="18"/>
          <w:lang w:val="en-US"/>
        </w:rPr>
        <w:t xml:space="preserve">of less than six </w:t>
      </w:r>
      <w:r w:rsidRPr="00744527">
        <w:rPr>
          <w:rFonts w:ascii="Times New Roman" w:eastAsia="Verdana" w:hAnsi="Times New Roman"/>
          <w:szCs w:val="18"/>
          <w:lang w:val="en-US"/>
        </w:rPr>
        <w:t>months.</w:t>
      </w:r>
    </w:p>
    <w:p w14:paraId="736F0D01" w14:textId="1E3B94F1" w:rsidR="00A8348A" w:rsidRPr="00D030C4" w:rsidRDefault="00A8348A" w:rsidP="0074452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rPr>
      </w:pPr>
      <w:r w:rsidRPr="00744527">
        <w:rPr>
          <w:rFonts w:ascii="Times New Roman" w:eastAsia="Verdana" w:hAnsi="Times New Roman"/>
          <w:szCs w:val="18"/>
        </w:rPr>
        <w:t>According to Article 428ak(</w:t>
      </w:r>
      <w:r w:rsidRPr="00D20D4C">
        <w:rPr>
          <w:rFonts w:ascii="Times New Roman" w:eastAsia="Verdana" w:hAnsi="Times New Roman"/>
          <w:szCs w:val="18"/>
        </w:rPr>
        <w:t xml:space="preserve">2) </w:t>
      </w:r>
      <w:r w:rsidR="00744527">
        <w:rPr>
          <w:rFonts w:ascii="Times New Roman" w:eastAsia="Verdana" w:hAnsi="Times New Roman"/>
          <w:szCs w:val="18"/>
        </w:rPr>
        <w:t>of CRR</w:t>
      </w:r>
      <w:r w:rsidR="001C18C0">
        <w:rPr>
          <w:rFonts w:ascii="Times New Roman" w:eastAsia="Verdana" w:hAnsi="Times New Roman"/>
          <w:szCs w:val="18"/>
        </w:rPr>
        <w:t>,</w:t>
      </w:r>
      <w:r w:rsidR="00744527">
        <w:rPr>
          <w:rFonts w:ascii="Times New Roman" w:eastAsia="Verdana" w:hAnsi="Times New Roman"/>
          <w:szCs w:val="18"/>
        </w:rPr>
        <w:t xml:space="preserve"> </w:t>
      </w:r>
      <w:r w:rsidRPr="00D20D4C">
        <w:rPr>
          <w:rFonts w:ascii="Times New Roman" w:eastAsia="Verdana" w:hAnsi="Times New Roman"/>
          <w:szCs w:val="18"/>
        </w:rPr>
        <w:t>institutions shall take into account existing options to determin</w:t>
      </w:r>
      <w:r w:rsidRPr="00772E66">
        <w:rPr>
          <w:rFonts w:ascii="Times New Roman" w:eastAsia="Verdana" w:hAnsi="Times New Roman"/>
          <w:szCs w:val="18"/>
        </w:rPr>
        <w:t xml:space="preserve">e the residual maturity of a liability or of </w:t>
      </w:r>
      <w:r w:rsidRPr="00D030C4">
        <w:rPr>
          <w:rFonts w:ascii="Times New Roman" w:eastAsia="Verdana" w:hAnsi="Times New Roman"/>
          <w:szCs w:val="18"/>
        </w:rPr>
        <w:t>own funds. They shall do so on the assumption that the counterparty will redeem call options at the earliest possible date. For options exercisable at the discretion of the institution, the institution and the competent authorities shall take into account reputational factors that may limit an institution’s ability not to exercise the option, in particular market expectations that institutions should redeem certain liabilities before their maturity.</w:t>
      </w:r>
      <w:bookmarkEnd w:id="21"/>
    </w:p>
    <w:p w14:paraId="03F05552" w14:textId="4B5AE65C" w:rsidR="00A8348A" w:rsidRPr="00D030C4" w:rsidRDefault="00DF0923" w:rsidP="0074452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D030C4">
        <w:rPr>
          <w:rFonts w:ascii="Times New Roman" w:eastAsia="Verdana" w:hAnsi="Times New Roman"/>
          <w:szCs w:val="18"/>
          <w:lang w:val="en-US"/>
        </w:rPr>
        <w:t>Furthermore, a</w:t>
      </w:r>
      <w:r w:rsidR="00A8348A" w:rsidRPr="00D030C4">
        <w:rPr>
          <w:rFonts w:ascii="Times New Roman" w:eastAsia="Verdana" w:hAnsi="Times New Roman"/>
          <w:szCs w:val="18"/>
          <w:lang w:val="en-US"/>
        </w:rPr>
        <w:t>s established in Article 428o</w:t>
      </w:r>
      <w:r w:rsidR="00744527" w:rsidRPr="00D030C4">
        <w:rPr>
          <w:rFonts w:ascii="Times New Roman" w:eastAsia="Verdana" w:hAnsi="Times New Roman"/>
          <w:szCs w:val="18"/>
          <w:lang w:val="en-US"/>
        </w:rPr>
        <w:t xml:space="preserve"> of CRR</w:t>
      </w:r>
      <w:r w:rsidR="00A8348A" w:rsidRPr="00D030C4">
        <w:rPr>
          <w:rFonts w:ascii="Times New Roman" w:eastAsia="Verdana" w:hAnsi="Times New Roman"/>
          <w:szCs w:val="18"/>
          <w:lang w:val="en-US"/>
        </w:rPr>
        <w:t xml:space="preserve">, </w:t>
      </w:r>
      <w:r w:rsidR="00A8348A" w:rsidRPr="00D030C4">
        <w:rPr>
          <w:rFonts w:ascii="Times New Roman" w:hAnsi="Times New Roman"/>
          <w:szCs w:val="18"/>
        </w:rPr>
        <w:t xml:space="preserve">additional Tier 1 items, Tier 2 items and any other capital instruments with explicit or embedded options that, if exercised (even if they are not exercised yet on the reporting reference date), would reduce the effective residual maturity at the reporting reference date to less than one year shall not </w:t>
      </w:r>
      <w:r w:rsidRPr="00D030C4">
        <w:rPr>
          <w:rFonts w:ascii="Times New Roman" w:hAnsi="Times New Roman"/>
          <w:szCs w:val="18"/>
        </w:rPr>
        <w:t>receive a 100% ASF factor</w:t>
      </w:r>
      <w:r w:rsidR="00A8348A" w:rsidRPr="00D030C4">
        <w:rPr>
          <w:rFonts w:ascii="Times New Roman" w:hAnsi="Times New Roman"/>
          <w:szCs w:val="18"/>
        </w:rPr>
        <w:t>.</w:t>
      </w:r>
    </w:p>
    <w:p w14:paraId="7CD6240E" w14:textId="6F4E17BD" w:rsidR="00A8348A" w:rsidRPr="00D030C4" w:rsidRDefault="00A8348A" w:rsidP="007C5D94">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D030C4">
        <w:rPr>
          <w:rFonts w:ascii="Times New Roman" w:eastAsia="Verdana" w:hAnsi="Times New Roman"/>
          <w:szCs w:val="18"/>
        </w:rPr>
        <w:t xml:space="preserve">According to Article 428ak(3) </w:t>
      </w:r>
      <w:r w:rsidR="00D20D4C" w:rsidRPr="00D030C4">
        <w:rPr>
          <w:rFonts w:ascii="Times New Roman" w:eastAsia="Verdana" w:hAnsi="Times New Roman"/>
          <w:szCs w:val="18"/>
        </w:rPr>
        <w:t>of CRR</w:t>
      </w:r>
      <w:r w:rsidR="001C18C0" w:rsidRPr="00D030C4">
        <w:rPr>
          <w:rFonts w:ascii="Times New Roman" w:eastAsia="Verdana" w:hAnsi="Times New Roman"/>
          <w:szCs w:val="18"/>
        </w:rPr>
        <w:t>,</w:t>
      </w:r>
      <w:r w:rsidR="00D20D4C" w:rsidRPr="00D030C4">
        <w:rPr>
          <w:rFonts w:ascii="Times New Roman" w:eastAsia="Verdana" w:hAnsi="Times New Roman"/>
          <w:szCs w:val="18"/>
        </w:rPr>
        <w:t xml:space="preserve"> </w:t>
      </w:r>
      <w:r w:rsidRPr="00D030C4">
        <w:rPr>
          <w:rFonts w:ascii="Times New Roman" w:eastAsia="Verdana" w:hAnsi="Times New Roman"/>
          <w:szCs w:val="18"/>
        </w:rPr>
        <w:t xml:space="preserve">institutions shall treat deposits with fixed notice periods in accordance with their notice period, and shall treat term deposits in accordance with their residual maturity. By way of derogation from paragraph </w:t>
      </w:r>
      <w:r w:rsidR="00D030C4">
        <w:rPr>
          <w:rFonts w:ascii="Times New Roman" w:eastAsia="Verdana" w:hAnsi="Times New Roman"/>
          <w:szCs w:val="18"/>
        </w:rPr>
        <w:fldChar w:fldCharType="begin"/>
      </w:r>
      <w:r w:rsidR="00D030C4">
        <w:rPr>
          <w:rFonts w:ascii="Times New Roman" w:eastAsia="Verdana" w:hAnsi="Times New Roman"/>
          <w:szCs w:val="18"/>
        </w:rPr>
        <w:instrText xml:space="preserve"> REF _Ref6931223 \r \h </w:instrText>
      </w:r>
      <w:r w:rsidR="00D030C4">
        <w:rPr>
          <w:rFonts w:ascii="Times New Roman" w:eastAsia="Verdana" w:hAnsi="Times New Roman"/>
          <w:szCs w:val="18"/>
        </w:rPr>
      </w:r>
      <w:r w:rsidR="00D030C4">
        <w:rPr>
          <w:rFonts w:ascii="Times New Roman" w:eastAsia="Verdana" w:hAnsi="Times New Roman"/>
          <w:szCs w:val="18"/>
        </w:rPr>
        <w:fldChar w:fldCharType="separate"/>
      </w:r>
      <w:r w:rsidR="00D030C4">
        <w:rPr>
          <w:rFonts w:ascii="Times New Roman" w:eastAsia="Verdana" w:hAnsi="Times New Roman"/>
          <w:szCs w:val="18"/>
        </w:rPr>
        <w:t>21</w:t>
      </w:r>
      <w:r w:rsidR="00D030C4">
        <w:rPr>
          <w:rFonts w:ascii="Times New Roman" w:eastAsia="Verdana" w:hAnsi="Times New Roman"/>
          <w:szCs w:val="18"/>
        </w:rPr>
        <w:fldChar w:fldCharType="end"/>
      </w:r>
      <w:r w:rsidRPr="00D030C4">
        <w:rPr>
          <w:rFonts w:ascii="Times New Roman" w:eastAsia="Verdana" w:hAnsi="Times New Roman"/>
          <w:szCs w:val="18"/>
        </w:rPr>
        <w:t xml:space="preserve">, institutions shall not take into account options for early withdrawals, where the depositor has to pay a material penalty for early withdrawals which occur in less than one year, such penalty as laid down in </w:t>
      </w:r>
      <w:r w:rsidR="00D20D4C" w:rsidRPr="00D030C4">
        <w:rPr>
          <w:rFonts w:ascii="Times New Roman" w:eastAsia="Verdana" w:hAnsi="Times New Roman"/>
          <w:szCs w:val="18"/>
        </w:rPr>
        <w:t>Article 25(4) of Delegated Regulation (EU) 2015/61</w:t>
      </w:r>
      <w:r w:rsidRPr="00D030C4">
        <w:rPr>
          <w:rFonts w:ascii="Times New Roman" w:eastAsia="Verdana" w:hAnsi="Times New Roman"/>
          <w:szCs w:val="18"/>
        </w:rPr>
        <w:t>, to determine the residual maturity of term retail deposits.</w:t>
      </w:r>
    </w:p>
    <w:p w14:paraId="31E64A94" w14:textId="31D82FEC" w:rsidR="004A0AC9" w:rsidRPr="00D030C4" w:rsidDel="004A0AC9" w:rsidRDefault="00640CFA" w:rsidP="0055437F">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D030C4">
        <w:rPr>
          <w:rFonts w:ascii="Times New Roman" w:eastAsia="Verdana" w:hAnsi="Times New Roman"/>
          <w:szCs w:val="18"/>
          <w:lang w:val="en-US"/>
        </w:rPr>
        <w:t xml:space="preserve">The decision tree </w:t>
      </w:r>
      <w:r w:rsidR="00D20D4C" w:rsidRPr="00D030C4">
        <w:rPr>
          <w:rFonts w:ascii="Times New Roman" w:eastAsia="Verdana" w:hAnsi="Times New Roman"/>
          <w:szCs w:val="18"/>
          <w:lang w:val="en-US"/>
        </w:rPr>
        <w:t xml:space="preserve">for </w:t>
      </w:r>
      <w:r w:rsidR="00B95EEB" w:rsidRPr="00D030C4">
        <w:rPr>
          <w:rFonts w:ascii="Times New Roman" w:eastAsia="Verdana" w:hAnsi="Times New Roman"/>
          <w:szCs w:val="18"/>
          <w:lang w:val="en-US"/>
        </w:rPr>
        <w:t xml:space="preserve">reporting template </w:t>
      </w:r>
      <w:r w:rsidR="00D20D4C" w:rsidRPr="00D030C4">
        <w:rPr>
          <w:rFonts w:ascii="Times New Roman" w:eastAsia="Verdana" w:hAnsi="Times New Roman"/>
          <w:szCs w:val="18"/>
          <w:lang w:val="en-US"/>
        </w:rPr>
        <w:t xml:space="preserve">C 81.00 </w:t>
      </w:r>
      <w:r w:rsidRPr="00D030C4">
        <w:rPr>
          <w:rFonts w:ascii="Times New Roman" w:eastAsia="Verdana" w:hAnsi="Times New Roman"/>
          <w:szCs w:val="18"/>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B95EEB" w:rsidRPr="00D030C4">
        <w:rPr>
          <w:rFonts w:ascii="Times New Roman" w:eastAsia="Verdana" w:hAnsi="Times New Roman"/>
          <w:szCs w:val="18"/>
          <w:lang w:val="en-US"/>
        </w:rPr>
        <w:t xml:space="preserve">i.e., </w:t>
      </w:r>
      <w:r w:rsidRPr="00D030C4">
        <w:rPr>
          <w:rFonts w:ascii="Times New Roman" w:eastAsia="Verdana" w:hAnsi="Times New Roman"/>
          <w:szCs w:val="18"/>
          <w:lang w:val="en-US"/>
        </w:rPr>
        <w:t>institutions shall always comply with the rest of the instructions. For the sake of simplicity the d</w:t>
      </w:r>
      <w:r w:rsidR="002C0DF6" w:rsidRPr="00D030C4">
        <w:rPr>
          <w:rFonts w:ascii="Times New Roman" w:eastAsia="Verdana" w:hAnsi="Times New Roman"/>
          <w:szCs w:val="18"/>
          <w:lang w:val="en-US"/>
        </w:rPr>
        <w:t>ecision tree ignores totals</w:t>
      </w:r>
      <w:r w:rsidR="002C0DF6" w:rsidRPr="00772E66">
        <w:rPr>
          <w:rFonts w:ascii="Times New Roman" w:eastAsia="Verdana" w:hAnsi="Times New Roman"/>
          <w:szCs w:val="18"/>
          <w:lang w:val="en-US"/>
        </w:rPr>
        <w:t xml:space="preserve">, </w:t>
      </w:r>
      <w:r w:rsidRPr="00772E66">
        <w:rPr>
          <w:rFonts w:ascii="Times New Roman" w:eastAsia="Verdana" w:hAnsi="Times New Roman"/>
          <w:szCs w:val="18"/>
          <w:lang w:val="en-US"/>
        </w:rPr>
        <w:t>subtotals</w:t>
      </w:r>
      <w:r w:rsidR="002C0DF6" w:rsidRPr="00772E66">
        <w:rPr>
          <w:rFonts w:ascii="Times New Roman" w:eastAsia="Verdana" w:hAnsi="Times New Roman"/>
          <w:szCs w:val="18"/>
          <w:lang w:val="en-US"/>
        </w:rPr>
        <w:t xml:space="preserve"> and “of which” items</w:t>
      </w:r>
      <w:r w:rsidRPr="00772E66">
        <w:rPr>
          <w:rFonts w:ascii="Times New Roman" w:eastAsia="Verdana" w:hAnsi="Times New Roman"/>
          <w:szCs w:val="18"/>
          <w:lang w:val="en-US"/>
        </w:rPr>
        <w:t>; this however does not mean that they shall not be reported as well.</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4A0AC9" w:rsidRPr="00CF4E2F" w14:paraId="08F72621" w14:textId="77777777" w:rsidTr="0022675C">
        <w:tc>
          <w:tcPr>
            <w:tcW w:w="529" w:type="dxa"/>
            <w:shd w:val="clear" w:color="auto" w:fill="auto"/>
            <w:vAlign w:val="center"/>
          </w:tcPr>
          <w:p w14:paraId="6AC7E1E2" w14:textId="77777777" w:rsidR="004A0AC9" w:rsidRPr="00A0201D" w:rsidRDefault="004A0AC9" w:rsidP="0022675C">
            <w:pPr>
              <w:pStyle w:val="TableParagraph"/>
              <w:spacing w:before="37"/>
              <w:ind w:left="7"/>
              <w:jc w:val="center"/>
              <w:rPr>
                <w:rFonts w:ascii="Times New Roman" w:eastAsia="Times New Roman" w:hAnsi="Times New Roman"/>
                <w:sz w:val="16"/>
                <w:szCs w:val="16"/>
              </w:rPr>
            </w:pPr>
            <w:r w:rsidRPr="00A0201D">
              <w:rPr>
                <w:rFonts w:ascii="Times New Roman" w:hAnsi="Times New Roman"/>
                <w:b/>
                <w:sz w:val="16"/>
              </w:rPr>
              <w:t>#</w:t>
            </w:r>
          </w:p>
        </w:tc>
        <w:tc>
          <w:tcPr>
            <w:tcW w:w="5550" w:type="dxa"/>
            <w:shd w:val="clear" w:color="auto" w:fill="auto"/>
            <w:vAlign w:val="center"/>
          </w:tcPr>
          <w:p w14:paraId="11319E4E" w14:textId="77777777" w:rsidR="004A0AC9" w:rsidRPr="00CF4E2F" w:rsidRDefault="004A0AC9" w:rsidP="0022675C">
            <w:pPr>
              <w:pStyle w:val="TableParagraph"/>
              <w:spacing w:before="37"/>
              <w:ind w:left="141"/>
              <w:jc w:val="center"/>
              <w:rPr>
                <w:rFonts w:ascii="Times New Roman" w:eastAsia="Times New Roman" w:hAnsi="Times New Roman"/>
                <w:sz w:val="16"/>
                <w:szCs w:val="16"/>
              </w:rPr>
            </w:pPr>
            <w:r w:rsidRPr="00CF4E2F">
              <w:rPr>
                <w:rFonts w:ascii="Times New Roman" w:hAnsi="Times New Roman"/>
                <w:b/>
                <w:sz w:val="16"/>
              </w:rPr>
              <w:t>Item</w:t>
            </w:r>
          </w:p>
        </w:tc>
        <w:tc>
          <w:tcPr>
            <w:tcW w:w="1305" w:type="dxa"/>
            <w:shd w:val="clear" w:color="auto" w:fill="auto"/>
            <w:vAlign w:val="center"/>
          </w:tcPr>
          <w:p w14:paraId="3792CBE9" w14:textId="77777777" w:rsidR="004A0AC9" w:rsidRPr="00CF4E2F" w:rsidRDefault="004A0AC9" w:rsidP="0022675C">
            <w:pPr>
              <w:pStyle w:val="TableParagraph"/>
              <w:spacing w:before="37"/>
              <w:ind w:left="267"/>
              <w:jc w:val="center"/>
              <w:rPr>
                <w:rFonts w:ascii="Times New Roman" w:eastAsia="Times New Roman" w:hAnsi="Times New Roman"/>
                <w:sz w:val="16"/>
                <w:szCs w:val="16"/>
              </w:rPr>
            </w:pPr>
            <w:r w:rsidRPr="00CF4E2F">
              <w:rPr>
                <w:rFonts w:ascii="Times New Roman" w:hAnsi="Times New Roman"/>
                <w:b/>
                <w:sz w:val="16"/>
              </w:rPr>
              <w:t>Decision</w:t>
            </w:r>
          </w:p>
        </w:tc>
        <w:tc>
          <w:tcPr>
            <w:tcW w:w="2222" w:type="dxa"/>
            <w:shd w:val="clear" w:color="auto" w:fill="auto"/>
            <w:vAlign w:val="center"/>
          </w:tcPr>
          <w:p w14:paraId="15A57E9E" w14:textId="77777777" w:rsidR="004A0AC9" w:rsidRPr="00CF4E2F" w:rsidRDefault="004A0AC9" w:rsidP="0022675C">
            <w:pPr>
              <w:pStyle w:val="TableParagraph"/>
              <w:spacing w:before="37"/>
              <w:ind w:left="284"/>
              <w:jc w:val="center"/>
              <w:rPr>
                <w:rFonts w:ascii="Times New Roman" w:eastAsia="Times New Roman" w:hAnsi="Times New Roman"/>
                <w:sz w:val="16"/>
                <w:szCs w:val="16"/>
              </w:rPr>
            </w:pPr>
            <w:r w:rsidRPr="00CF4E2F">
              <w:rPr>
                <w:rFonts w:ascii="Times New Roman" w:hAnsi="Times New Roman"/>
                <w:b/>
                <w:sz w:val="16"/>
              </w:rPr>
              <w:t>Action</w:t>
            </w:r>
          </w:p>
        </w:tc>
      </w:tr>
      <w:tr w:rsidR="004A0AC9" w:rsidRPr="00CF4E2F" w14:paraId="22F8D552" w14:textId="77777777" w:rsidTr="0022675C">
        <w:trPr>
          <w:trHeight w:val="130"/>
        </w:trPr>
        <w:tc>
          <w:tcPr>
            <w:tcW w:w="529" w:type="dxa"/>
            <w:vMerge w:val="restart"/>
            <w:shd w:val="clear" w:color="auto" w:fill="auto"/>
            <w:vAlign w:val="center"/>
          </w:tcPr>
          <w:p w14:paraId="0C7E7258" w14:textId="77777777" w:rsidR="004A0AC9" w:rsidRPr="00A66401" w:rsidRDefault="004A0AC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w:t>
            </w:r>
          </w:p>
        </w:tc>
        <w:tc>
          <w:tcPr>
            <w:tcW w:w="5550" w:type="dxa"/>
            <w:vMerge w:val="restart"/>
            <w:shd w:val="clear" w:color="auto" w:fill="auto"/>
            <w:vAlign w:val="center"/>
          </w:tcPr>
          <w:p w14:paraId="69F54FD7" w14:textId="542B953C" w:rsidR="004A0AC9" w:rsidRPr="00A66401" w:rsidRDefault="00CF4E2F"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Common Equity Tier 1</w:t>
            </w:r>
            <w:r w:rsidR="001216DA" w:rsidRPr="00A66401">
              <w:rPr>
                <w:rFonts w:ascii="Times New Roman" w:eastAsia="Calibri" w:hAnsi="Times New Roman"/>
                <w:sz w:val="16"/>
                <w:szCs w:val="16"/>
                <w:lang w:val="en-US"/>
              </w:rPr>
              <w:t>capital?</w:t>
            </w:r>
          </w:p>
        </w:tc>
        <w:tc>
          <w:tcPr>
            <w:tcW w:w="1305" w:type="dxa"/>
            <w:shd w:val="clear" w:color="auto" w:fill="auto"/>
            <w:vAlign w:val="center"/>
          </w:tcPr>
          <w:p w14:paraId="0304DBF4"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C76C1E1" w14:textId="4789394B" w:rsidR="004A0AC9" w:rsidRPr="001216DA" w:rsidRDefault="001216DA" w:rsidP="0022675C">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2.1.1</w:t>
            </w:r>
          </w:p>
        </w:tc>
      </w:tr>
      <w:tr w:rsidR="004A0AC9" w:rsidRPr="00CF4E2F" w14:paraId="4A6A804D" w14:textId="77777777" w:rsidTr="0022675C">
        <w:trPr>
          <w:trHeight w:val="130"/>
        </w:trPr>
        <w:tc>
          <w:tcPr>
            <w:tcW w:w="529" w:type="dxa"/>
            <w:vMerge/>
            <w:shd w:val="clear" w:color="auto" w:fill="auto"/>
            <w:vAlign w:val="center"/>
          </w:tcPr>
          <w:p w14:paraId="3F1C69A7" w14:textId="77777777" w:rsidR="004A0AC9" w:rsidRPr="00A66401" w:rsidRDefault="004A0AC9" w:rsidP="0022675C">
            <w:pPr>
              <w:jc w:val="center"/>
              <w:rPr>
                <w:rFonts w:ascii="Times New Roman" w:eastAsia="Calibri" w:hAnsi="Times New Roman"/>
                <w:sz w:val="16"/>
                <w:szCs w:val="16"/>
                <w:lang w:val="en-US"/>
              </w:rPr>
            </w:pPr>
          </w:p>
        </w:tc>
        <w:tc>
          <w:tcPr>
            <w:tcW w:w="5550" w:type="dxa"/>
            <w:vMerge/>
            <w:shd w:val="clear" w:color="auto" w:fill="auto"/>
            <w:vAlign w:val="center"/>
          </w:tcPr>
          <w:p w14:paraId="400E14B8" w14:textId="77777777" w:rsidR="004A0AC9" w:rsidRPr="00A66401" w:rsidRDefault="004A0AC9" w:rsidP="0022675C">
            <w:pPr>
              <w:jc w:val="center"/>
              <w:rPr>
                <w:rFonts w:ascii="Times New Roman" w:eastAsia="Calibri" w:hAnsi="Times New Roman"/>
                <w:sz w:val="16"/>
                <w:szCs w:val="16"/>
                <w:lang w:val="en-US"/>
              </w:rPr>
            </w:pPr>
          </w:p>
        </w:tc>
        <w:tc>
          <w:tcPr>
            <w:tcW w:w="1305" w:type="dxa"/>
            <w:shd w:val="clear" w:color="auto" w:fill="auto"/>
            <w:vAlign w:val="center"/>
          </w:tcPr>
          <w:p w14:paraId="773DA3A4"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2BBD1C0" w14:textId="77777777" w:rsidR="004A0AC9" w:rsidRPr="00A0201D" w:rsidRDefault="004A0AC9" w:rsidP="0022675C">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2</w:t>
            </w:r>
          </w:p>
        </w:tc>
      </w:tr>
      <w:tr w:rsidR="004A0AC9" w:rsidRPr="00CF4E2F" w14:paraId="73A48E07" w14:textId="77777777" w:rsidTr="0022675C">
        <w:trPr>
          <w:trHeight w:val="130"/>
        </w:trPr>
        <w:tc>
          <w:tcPr>
            <w:tcW w:w="529" w:type="dxa"/>
            <w:vMerge w:val="restart"/>
            <w:shd w:val="clear" w:color="auto" w:fill="auto"/>
            <w:vAlign w:val="center"/>
          </w:tcPr>
          <w:p w14:paraId="72C8E3BC" w14:textId="77777777" w:rsidR="004A0AC9" w:rsidRPr="00A66401" w:rsidRDefault="004A0AC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2</w:t>
            </w:r>
          </w:p>
        </w:tc>
        <w:tc>
          <w:tcPr>
            <w:tcW w:w="5550" w:type="dxa"/>
            <w:vMerge w:val="restart"/>
            <w:shd w:val="clear" w:color="auto" w:fill="auto"/>
            <w:vAlign w:val="center"/>
          </w:tcPr>
          <w:p w14:paraId="1FD5945E" w14:textId="576E9064" w:rsidR="004A0AC9" w:rsidRPr="00A66401" w:rsidRDefault="001216DA"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 xml:space="preserve">Additional Tier 1 capital? </w:t>
            </w:r>
          </w:p>
        </w:tc>
        <w:tc>
          <w:tcPr>
            <w:tcW w:w="1305" w:type="dxa"/>
            <w:shd w:val="clear" w:color="auto" w:fill="auto"/>
            <w:vAlign w:val="center"/>
          </w:tcPr>
          <w:p w14:paraId="5FA9915E"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073ABE56" w14:textId="06893183" w:rsidR="004A0AC9" w:rsidRPr="001216DA" w:rsidRDefault="001216DA" w:rsidP="0022675C">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2.1.2</w:t>
            </w:r>
          </w:p>
        </w:tc>
      </w:tr>
      <w:tr w:rsidR="004A0AC9" w:rsidRPr="00CF4E2F" w14:paraId="2535922B" w14:textId="77777777" w:rsidTr="0022675C">
        <w:trPr>
          <w:trHeight w:val="130"/>
        </w:trPr>
        <w:tc>
          <w:tcPr>
            <w:tcW w:w="529" w:type="dxa"/>
            <w:vMerge/>
            <w:shd w:val="clear" w:color="auto" w:fill="auto"/>
            <w:vAlign w:val="center"/>
          </w:tcPr>
          <w:p w14:paraId="0AE9A9DE" w14:textId="77777777" w:rsidR="004A0AC9" w:rsidRPr="00A66401" w:rsidRDefault="004A0AC9" w:rsidP="0022675C">
            <w:pPr>
              <w:jc w:val="center"/>
              <w:rPr>
                <w:rFonts w:ascii="Times New Roman" w:eastAsia="Calibri" w:hAnsi="Times New Roman"/>
                <w:sz w:val="22"/>
                <w:lang w:val="en-US"/>
              </w:rPr>
            </w:pPr>
          </w:p>
        </w:tc>
        <w:tc>
          <w:tcPr>
            <w:tcW w:w="5550" w:type="dxa"/>
            <w:vMerge/>
            <w:shd w:val="clear" w:color="auto" w:fill="auto"/>
            <w:vAlign w:val="center"/>
          </w:tcPr>
          <w:p w14:paraId="41265EEC" w14:textId="77777777" w:rsidR="004A0AC9" w:rsidRPr="00A66401" w:rsidRDefault="004A0AC9" w:rsidP="0022675C">
            <w:pPr>
              <w:jc w:val="center"/>
              <w:rPr>
                <w:rFonts w:ascii="Times New Roman" w:eastAsia="Calibri" w:hAnsi="Times New Roman"/>
                <w:sz w:val="16"/>
                <w:szCs w:val="16"/>
                <w:lang w:val="en-US"/>
              </w:rPr>
            </w:pPr>
          </w:p>
        </w:tc>
        <w:tc>
          <w:tcPr>
            <w:tcW w:w="1305" w:type="dxa"/>
            <w:shd w:val="clear" w:color="auto" w:fill="auto"/>
            <w:vAlign w:val="center"/>
          </w:tcPr>
          <w:p w14:paraId="78146331"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12E3860" w14:textId="77777777" w:rsidR="004A0AC9" w:rsidRPr="00A0201D" w:rsidRDefault="004A0AC9" w:rsidP="0022675C">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3</w:t>
            </w:r>
          </w:p>
        </w:tc>
      </w:tr>
      <w:tr w:rsidR="004A0AC9" w:rsidRPr="00CF4E2F" w14:paraId="16FFE359" w14:textId="77777777" w:rsidTr="0022675C">
        <w:tc>
          <w:tcPr>
            <w:tcW w:w="529" w:type="dxa"/>
            <w:vMerge w:val="restart"/>
            <w:shd w:val="clear" w:color="auto" w:fill="auto"/>
            <w:vAlign w:val="center"/>
          </w:tcPr>
          <w:p w14:paraId="1335468D" w14:textId="77777777" w:rsidR="004A0AC9" w:rsidRPr="00A66401" w:rsidRDefault="004A0AC9" w:rsidP="0022675C">
            <w:pPr>
              <w:jc w:val="center"/>
              <w:rPr>
                <w:rFonts w:ascii="Times New Roman" w:eastAsia="Calibri" w:hAnsi="Times New Roman"/>
                <w:szCs w:val="18"/>
                <w:lang w:val="en-US"/>
              </w:rPr>
            </w:pPr>
            <w:r w:rsidRPr="00A66401">
              <w:rPr>
                <w:rFonts w:ascii="Times New Roman" w:eastAsia="Calibri" w:hAnsi="Times New Roman"/>
                <w:szCs w:val="18"/>
                <w:lang w:val="en-US"/>
              </w:rPr>
              <w:t>3</w:t>
            </w:r>
          </w:p>
        </w:tc>
        <w:tc>
          <w:tcPr>
            <w:tcW w:w="5550" w:type="dxa"/>
            <w:vMerge w:val="restart"/>
            <w:shd w:val="clear" w:color="auto" w:fill="auto"/>
            <w:vAlign w:val="center"/>
          </w:tcPr>
          <w:p w14:paraId="7DE05B45" w14:textId="583D1ACC" w:rsidR="004A0AC9" w:rsidRPr="00A66401" w:rsidRDefault="001216DA"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Tier 2 capital?</w:t>
            </w:r>
          </w:p>
        </w:tc>
        <w:tc>
          <w:tcPr>
            <w:tcW w:w="1305" w:type="dxa"/>
            <w:shd w:val="clear" w:color="auto" w:fill="auto"/>
            <w:vAlign w:val="center"/>
          </w:tcPr>
          <w:p w14:paraId="231A7448"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48EBBEB4" w14:textId="41001214" w:rsidR="004A0AC9" w:rsidRPr="001216DA" w:rsidRDefault="001216DA" w:rsidP="0022675C">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2.1.3</w:t>
            </w:r>
          </w:p>
        </w:tc>
      </w:tr>
      <w:tr w:rsidR="004A0AC9" w:rsidRPr="00CF4E2F" w14:paraId="5AC6ACFE" w14:textId="77777777" w:rsidTr="0022675C">
        <w:tc>
          <w:tcPr>
            <w:tcW w:w="529" w:type="dxa"/>
            <w:vMerge/>
            <w:shd w:val="clear" w:color="auto" w:fill="auto"/>
            <w:vAlign w:val="center"/>
          </w:tcPr>
          <w:p w14:paraId="71C18CA5" w14:textId="77777777" w:rsidR="004A0AC9" w:rsidRPr="00A66401" w:rsidRDefault="004A0AC9" w:rsidP="0022675C">
            <w:pPr>
              <w:jc w:val="center"/>
              <w:rPr>
                <w:rFonts w:ascii="Times New Roman" w:eastAsia="Calibri" w:hAnsi="Times New Roman"/>
                <w:sz w:val="22"/>
                <w:lang w:val="en-US"/>
              </w:rPr>
            </w:pPr>
          </w:p>
        </w:tc>
        <w:tc>
          <w:tcPr>
            <w:tcW w:w="5550" w:type="dxa"/>
            <w:vMerge/>
            <w:shd w:val="clear" w:color="auto" w:fill="auto"/>
            <w:vAlign w:val="center"/>
          </w:tcPr>
          <w:p w14:paraId="293D8270" w14:textId="77777777" w:rsidR="004A0AC9" w:rsidRPr="00A66401" w:rsidRDefault="004A0AC9" w:rsidP="0022675C">
            <w:pPr>
              <w:jc w:val="center"/>
              <w:rPr>
                <w:rFonts w:ascii="Times New Roman" w:eastAsia="Calibri" w:hAnsi="Times New Roman"/>
                <w:sz w:val="16"/>
                <w:szCs w:val="16"/>
                <w:lang w:val="en-US"/>
              </w:rPr>
            </w:pPr>
          </w:p>
        </w:tc>
        <w:tc>
          <w:tcPr>
            <w:tcW w:w="1305" w:type="dxa"/>
            <w:shd w:val="clear" w:color="auto" w:fill="auto"/>
            <w:vAlign w:val="center"/>
          </w:tcPr>
          <w:p w14:paraId="37C1DD20"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34CF7AF" w14:textId="77777777" w:rsidR="004A0AC9" w:rsidRPr="00A0201D" w:rsidRDefault="004A0AC9" w:rsidP="0022675C">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4</w:t>
            </w:r>
          </w:p>
        </w:tc>
      </w:tr>
      <w:tr w:rsidR="004A0AC9" w:rsidRPr="00CF4E2F" w14:paraId="7AE254DD" w14:textId="77777777" w:rsidTr="0022675C">
        <w:tc>
          <w:tcPr>
            <w:tcW w:w="529" w:type="dxa"/>
            <w:vMerge w:val="restart"/>
            <w:shd w:val="clear" w:color="auto" w:fill="auto"/>
            <w:vAlign w:val="center"/>
          </w:tcPr>
          <w:p w14:paraId="12E783DD" w14:textId="77777777" w:rsidR="004A0AC9" w:rsidRPr="00A66401" w:rsidRDefault="004A0AC9" w:rsidP="0022675C">
            <w:pPr>
              <w:jc w:val="center"/>
              <w:rPr>
                <w:rFonts w:ascii="Times New Roman" w:eastAsia="Calibri" w:hAnsi="Times New Roman"/>
                <w:sz w:val="22"/>
                <w:lang w:val="en-US"/>
              </w:rPr>
            </w:pPr>
            <w:r w:rsidRPr="00A66401">
              <w:rPr>
                <w:rFonts w:ascii="Times New Roman" w:hAnsi="Times New Roman"/>
                <w:sz w:val="16"/>
                <w:lang w:val="en-US"/>
              </w:rPr>
              <w:t>4</w:t>
            </w:r>
          </w:p>
        </w:tc>
        <w:tc>
          <w:tcPr>
            <w:tcW w:w="5550" w:type="dxa"/>
            <w:vMerge w:val="restart"/>
            <w:shd w:val="clear" w:color="auto" w:fill="auto"/>
            <w:vAlign w:val="center"/>
          </w:tcPr>
          <w:p w14:paraId="56BA64DD" w14:textId="429719DB" w:rsidR="004A0AC9" w:rsidRPr="00A66401" w:rsidRDefault="001216DA"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Other capital instruments?</w:t>
            </w:r>
          </w:p>
        </w:tc>
        <w:tc>
          <w:tcPr>
            <w:tcW w:w="1305" w:type="dxa"/>
            <w:shd w:val="clear" w:color="auto" w:fill="auto"/>
            <w:vAlign w:val="center"/>
          </w:tcPr>
          <w:p w14:paraId="47BC593D"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FB842AB" w14:textId="24474FAA" w:rsidR="004A0AC9" w:rsidRPr="001216DA" w:rsidRDefault="001216DA"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2.1.4</w:t>
            </w:r>
          </w:p>
        </w:tc>
      </w:tr>
      <w:tr w:rsidR="004A0AC9" w:rsidRPr="00CF4E2F" w14:paraId="5AE3D1C6" w14:textId="77777777" w:rsidTr="0022675C">
        <w:tc>
          <w:tcPr>
            <w:tcW w:w="529" w:type="dxa"/>
            <w:vMerge/>
            <w:shd w:val="clear" w:color="auto" w:fill="auto"/>
            <w:vAlign w:val="center"/>
          </w:tcPr>
          <w:p w14:paraId="57DE8BB5" w14:textId="77777777" w:rsidR="004A0AC9" w:rsidRPr="00A66401" w:rsidRDefault="004A0AC9" w:rsidP="0022675C">
            <w:pPr>
              <w:jc w:val="center"/>
              <w:rPr>
                <w:rFonts w:ascii="Times New Roman" w:eastAsia="Calibri" w:hAnsi="Times New Roman"/>
                <w:sz w:val="22"/>
                <w:lang w:val="en-US"/>
              </w:rPr>
            </w:pPr>
          </w:p>
        </w:tc>
        <w:tc>
          <w:tcPr>
            <w:tcW w:w="5550" w:type="dxa"/>
            <w:vMerge/>
            <w:shd w:val="clear" w:color="auto" w:fill="auto"/>
            <w:vAlign w:val="center"/>
          </w:tcPr>
          <w:p w14:paraId="0FA28E7A" w14:textId="77777777" w:rsidR="004A0AC9" w:rsidRPr="00A66401" w:rsidRDefault="004A0AC9" w:rsidP="0022675C">
            <w:pPr>
              <w:jc w:val="center"/>
              <w:rPr>
                <w:rFonts w:ascii="Times New Roman" w:eastAsia="Calibri" w:hAnsi="Times New Roman"/>
                <w:sz w:val="16"/>
                <w:szCs w:val="16"/>
                <w:lang w:val="en-US"/>
              </w:rPr>
            </w:pPr>
          </w:p>
        </w:tc>
        <w:tc>
          <w:tcPr>
            <w:tcW w:w="1305" w:type="dxa"/>
            <w:shd w:val="clear" w:color="auto" w:fill="auto"/>
            <w:vAlign w:val="center"/>
          </w:tcPr>
          <w:p w14:paraId="6A408B20"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9263C4A" w14:textId="10B6BBA0" w:rsidR="004A0AC9" w:rsidRPr="00F624BF" w:rsidRDefault="00F624BF"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5</w:t>
            </w:r>
          </w:p>
        </w:tc>
      </w:tr>
      <w:tr w:rsidR="004A0AC9" w:rsidRPr="00CF4E2F" w14:paraId="5453CCC4" w14:textId="77777777" w:rsidTr="0022675C">
        <w:tc>
          <w:tcPr>
            <w:tcW w:w="529" w:type="dxa"/>
            <w:vMerge w:val="restart"/>
            <w:shd w:val="clear" w:color="auto" w:fill="auto"/>
            <w:vAlign w:val="center"/>
          </w:tcPr>
          <w:p w14:paraId="70F39289" w14:textId="77777777" w:rsidR="004A0AC9" w:rsidRPr="00A66401" w:rsidRDefault="004A0AC9" w:rsidP="0022675C">
            <w:pPr>
              <w:jc w:val="center"/>
              <w:rPr>
                <w:rFonts w:ascii="Times New Roman" w:eastAsia="Calibri" w:hAnsi="Times New Roman"/>
                <w:szCs w:val="18"/>
                <w:lang w:val="en-US"/>
              </w:rPr>
            </w:pPr>
            <w:r w:rsidRPr="00A66401">
              <w:rPr>
                <w:rFonts w:ascii="Times New Roman" w:eastAsia="Calibri" w:hAnsi="Times New Roman"/>
                <w:szCs w:val="18"/>
                <w:lang w:val="en-US"/>
              </w:rPr>
              <w:t>5</w:t>
            </w:r>
          </w:p>
        </w:tc>
        <w:tc>
          <w:tcPr>
            <w:tcW w:w="5550" w:type="dxa"/>
            <w:vMerge w:val="restart"/>
            <w:shd w:val="clear" w:color="auto" w:fill="auto"/>
            <w:vAlign w:val="center"/>
          </w:tcPr>
          <w:p w14:paraId="4B498A67" w14:textId="70488637" w:rsidR="004A0AC9" w:rsidRPr="001216DA" w:rsidRDefault="001A257C" w:rsidP="001A257C">
            <w:pPr>
              <w:jc w:val="center"/>
              <w:rPr>
                <w:rFonts w:ascii="Times New Roman" w:eastAsia="Calibri" w:hAnsi="Times New Roman"/>
                <w:sz w:val="16"/>
                <w:szCs w:val="16"/>
                <w:lang w:val="en-US"/>
              </w:rPr>
            </w:pPr>
            <w:r>
              <w:rPr>
                <w:rFonts w:ascii="Times New Roman" w:eastAsia="Calibri" w:hAnsi="Times New Roman"/>
                <w:sz w:val="16"/>
                <w:szCs w:val="16"/>
                <w:lang w:val="en-US"/>
              </w:rPr>
              <w:t>A liability</w:t>
            </w:r>
            <w:r w:rsidRPr="00CF4E2F">
              <w:rPr>
                <w:rFonts w:ascii="Times New Roman" w:eastAsia="Calibri" w:hAnsi="Times New Roman"/>
                <w:sz w:val="16"/>
                <w:szCs w:val="16"/>
                <w:lang w:val="en-US"/>
              </w:rPr>
              <w:t xml:space="preserve"> as</w:t>
            </w:r>
            <w:r>
              <w:rPr>
                <w:rFonts w:ascii="Times New Roman" w:eastAsia="Calibri" w:hAnsi="Times New Roman"/>
                <w:sz w:val="16"/>
                <w:szCs w:val="16"/>
                <w:lang w:val="en-US"/>
              </w:rPr>
              <w:t>sociated with collateral received</w:t>
            </w:r>
            <w:r w:rsidRPr="001A257C">
              <w:rPr>
                <w:rFonts w:ascii="Times New Roman" w:eastAsia="Calibri" w:hAnsi="Times New Roman"/>
                <w:sz w:val="16"/>
                <w:szCs w:val="16"/>
                <w:lang w:val="en-US"/>
              </w:rPr>
              <w:t xml:space="preserve"> as variation margin for derivatives?</w:t>
            </w:r>
          </w:p>
        </w:tc>
        <w:tc>
          <w:tcPr>
            <w:tcW w:w="1305" w:type="dxa"/>
            <w:shd w:val="clear" w:color="auto" w:fill="auto"/>
            <w:vAlign w:val="center"/>
          </w:tcPr>
          <w:p w14:paraId="5F4F7C57" w14:textId="77777777" w:rsidR="004A0AC9" w:rsidRPr="001A257C" w:rsidRDefault="004A0AC9" w:rsidP="0022675C">
            <w:pPr>
              <w:pStyle w:val="TableParagraph"/>
              <w:spacing w:before="32"/>
              <w:jc w:val="center"/>
              <w:rPr>
                <w:rFonts w:ascii="Times New Roman" w:eastAsia="Times New Roman" w:hAnsi="Times New Roman"/>
                <w:sz w:val="16"/>
                <w:szCs w:val="16"/>
              </w:rPr>
            </w:pPr>
            <w:r w:rsidRPr="001A257C">
              <w:rPr>
                <w:rFonts w:ascii="Times New Roman" w:eastAsia="Times New Roman" w:hAnsi="Times New Roman"/>
                <w:sz w:val="16"/>
                <w:szCs w:val="16"/>
              </w:rPr>
              <w:t>Yes</w:t>
            </w:r>
          </w:p>
        </w:tc>
        <w:tc>
          <w:tcPr>
            <w:tcW w:w="2222" w:type="dxa"/>
            <w:shd w:val="clear" w:color="auto" w:fill="auto"/>
            <w:vAlign w:val="center"/>
          </w:tcPr>
          <w:p w14:paraId="0761F72A" w14:textId="534512D9" w:rsidR="004A0AC9" w:rsidRPr="00CF4798" w:rsidRDefault="00CF4798"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Do not report.</w:t>
            </w:r>
          </w:p>
        </w:tc>
      </w:tr>
      <w:tr w:rsidR="004A0AC9" w:rsidRPr="00CF4E2F" w14:paraId="3A835A4A" w14:textId="77777777" w:rsidTr="0022675C">
        <w:tc>
          <w:tcPr>
            <w:tcW w:w="529" w:type="dxa"/>
            <w:vMerge/>
            <w:shd w:val="clear" w:color="auto" w:fill="auto"/>
            <w:vAlign w:val="center"/>
          </w:tcPr>
          <w:p w14:paraId="2DE3521F" w14:textId="77777777" w:rsidR="004A0AC9" w:rsidRPr="00A66401" w:rsidRDefault="004A0AC9" w:rsidP="0022675C">
            <w:pPr>
              <w:jc w:val="center"/>
              <w:rPr>
                <w:rFonts w:ascii="Times New Roman" w:eastAsia="Calibri" w:hAnsi="Times New Roman"/>
                <w:sz w:val="22"/>
                <w:lang w:val="en-US"/>
              </w:rPr>
            </w:pPr>
          </w:p>
        </w:tc>
        <w:tc>
          <w:tcPr>
            <w:tcW w:w="5550" w:type="dxa"/>
            <w:vMerge/>
            <w:shd w:val="clear" w:color="auto" w:fill="auto"/>
            <w:vAlign w:val="center"/>
          </w:tcPr>
          <w:p w14:paraId="04D23DB7" w14:textId="77777777" w:rsidR="004A0AC9" w:rsidRPr="00A66401" w:rsidRDefault="004A0AC9" w:rsidP="0022675C">
            <w:pPr>
              <w:jc w:val="center"/>
              <w:rPr>
                <w:rFonts w:ascii="Times New Roman" w:eastAsia="Calibri" w:hAnsi="Times New Roman"/>
                <w:sz w:val="16"/>
                <w:szCs w:val="16"/>
                <w:lang w:val="en-US"/>
              </w:rPr>
            </w:pPr>
          </w:p>
        </w:tc>
        <w:tc>
          <w:tcPr>
            <w:tcW w:w="1305" w:type="dxa"/>
            <w:shd w:val="clear" w:color="auto" w:fill="auto"/>
            <w:vAlign w:val="center"/>
          </w:tcPr>
          <w:p w14:paraId="10964FC7" w14:textId="77777777" w:rsidR="004A0AC9" w:rsidRPr="00CF4E2F" w:rsidRDefault="004A0AC9" w:rsidP="0022675C">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717F44E8" w14:textId="4674442A" w:rsidR="004A0AC9" w:rsidRPr="00AB30A7" w:rsidRDefault="007A166B"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6</w:t>
            </w:r>
          </w:p>
        </w:tc>
      </w:tr>
      <w:tr w:rsidR="004A0AC9" w:rsidRPr="00CF4E2F" w14:paraId="7CDA3C81" w14:textId="77777777" w:rsidTr="0022675C">
        <w:tc>
          <w:tcPr>
            <w:tcW w:w="529" w:type="dxa"/>
            <w:vMerge w:val="restart"/>
            <w:shd w:val="clear" w:color="auto" w:fill="auto"/>
            <w:vAlign w:val="center"/>
          </w:tcPr>
          <w:p w14:paraId="5C2B92D6" w14:textId="77777777" w:rsidR="004A0AC9" w:rsidRPr="00CF4E2F" w:rsidRDefault="004A0AC9" w:rsidP="0022675C">
            <w:pPr>
              <w:pStyle w:val="TableParagraph"/>
              <w:ind w:left="7"/>
              <w:jc w:val="center"/>
              <w:rPr>
                <w:rFonts w:ascii="Times New Roman" w:eastAsia="Times New Roman" w:hAnsi="Times New Roman"/>
                <w:sz w:val="16"/>
                <w:szCs w:val="16"/>
              </w:rPr>
            </w:pPr>
            <w:r w:rsidRPr="00CF4E2F">
              <w:rPr>
                <w:rFonts w:ascii="Times New Roman" w:hAnsi="Times New Roman"/>
                <w:sz w:val="16"/>
              </w:rPr>
              <w:t>6</w:t>
            </w:r>
          </w:p>
        </w:tc>
        <w:tc>
          <w:tcPr>
            <w:tcW w:w="5550" w:type="dxa"/>
            <w:vMerge w:val="restart"/>
            <w:shd w:val="clear" w:color="auto" w:fill="auto"/>
            <w:vAlign w:val="center"/>
          </w:tcPr>
          <w:p w14:paraId="0EAD004D" w14:textId="5FD9DB34" w:rsidR="004A0AC9" w:rsidRPr="001216DA" w:rsidRDefault="00A0201D" w:rsidP="0022675C">
            <w:pPr>
              <w:pStyle w:val="TableParagraph"/>
              <w:ind w:left="243"/>
              <w:jc w:val="center"/>
              <w:rPr>
                <w:rFonts w:ascii="Times New Roman" w:eastAsia="Times New Roman" w:hAnsi="Times New Roman"/>
                <w:sz w:val="16"/>
                <w:szCs w:val="16"/>
              </w:rPr>
            </w:pPr>
            <w:r>
              <w:rPr>
                <w:rFonts w:ascii="Times New Roman" w:eastAsia="Times New Roman" w:hAnsi="Times New Roman"/>
                <w:sz w:val="16"/>
                <w:szCs w:val="16"/>
              </w:rPr>
              <w:t>Trade date payables</w:t>
            </w:r>
            <w:r w:rsidRPr="00A0201D">
              <w:rPr>
                <w:rFonts w:ascii="Times New Roman" w:eastAsia="Times New Roman" w:hAnsi="Times New Roman"/>
                <w:sz w:val="16"/>
                <w:szCs w:val="16"/>
              </w:rPr>
              <w:t>?</w:t>
            </w:r>
          </w:p>
        </w:tc>
        <w:tc>
          <w:tcPr>
            <w:tcW w:w="1305" w:type="dxa"/>
            <w:shd w:val="clear" w:color="auto" w:fill="auto"/>
            <w:vAlign w:val="center"/>
          </w:tcPr>
          <w:p w14:paraId="1DF1344F" w14:textId="77777777" w:rsidR="004A0AC9" w:rsidRPr="0040192D" w:rsidRDefault="004A0AC9" w:rsidP="0022675C">
            <w:pPr>
              <w:pStyle w:val="TableParagraph"/>
              <w:spacing w:before="123"/>
              <w:jc w:val="center"/>
              <w:rPr>
                <w:rFonts w:ascii="Times New Roman" w:eastAsia="Times New Roman" w:hAnsi="Times New Roman"/>
                <w:sz w:val="16"/>
                <w:szCs w:val="16"/>
              </w:rPr>
            </w:pPr>
            <w:r w:rsidRPr="0040192D">
              <w:rPr>
                <w:rFonts w:ascii="Times New Roman" w:eastAsia="Times New Roman" w:hAnsi="Times New Roman"/>
                <w:sz w:val="16"/>
                <w:szCs w:val="16"/>
              </w:rPr>
              <w:t>Yes</w:t>
            </w:r>
          </w:p>
        </w:tc>
        <w:tc>
          <w:tcPr>
            <w:tcW w:w="2222" w:type="dxa"/>
            <w:shd w:val="clear" w:color="auto" w:fill="auto"/>
            <w:vAlign w:val="center"/>
          </w:tcPr>
          <w:p w14:paraId="4970863A" w14:textId="0498B948" w:rsidR="004A0AC9" w:rsidRPr="00A0201D" w:rsidRDefault="00A0201D" w:rsidP="0022675C">
            <w:pPr>
              <w:pStyle w:val="TableParagraph"/>
              <w:spacing w:before="37"/>
              <w:ind w:right="261"/>
              <w:jc w:val="center"/>
              <w:rPr>
                <w:rFonts w:ascii="Times New Roman" w:eastAsia="Times New Roman" w:hAnsi="Times New Roman"/>
                <w:sz w:val="16"/>
                <w:szCs w:val="16"/>
              </w:rPr>
            </w:pPr>
            <w:r>
              <w:rPr>
                <w:rFonts w:ascii="Times New Roman" w:eastAsia="Times New Roman" w:hAnsi="Times New Roman"/>
                <w:sz w:val="16"/>
                <w:szCs w:val="16"/>
              </w:rPr>
              <w:t>ID 2.9.1</w:t>
            </w:r>
          </w:p>
        </w:tc>
      </w:tr>
      <w:tr w:rsidR="004A0AC9" w:rsidRPr="00CF4E2F" w14:paraId="2650ECA1" w14:textId="77777777" w:rsidTr="0022675C">
        <w:tc>
          <w:tcPr>
            <w:tcW w:w="529" w:type="dxa"/>
            <w:vMerge/>
            <w:shd w:val="clear" w:color="auto" w:fill="auto"/>
            <w:vAlign w:val="center"/>
          </w:tcPr>
          <w:p w14:paraId="5B500E1B" w14:textId="77777777" w:rsidR="004A0AC9" w:rsidRPr="00A66401" w:rsidRDefault="004A0AC9" w:rsidP="0022675C">
            <w:pPr>
              <w:jc w:val="center"/>
              <w:rPr>
                <w:rFonts w:ascii="Times New Roman" w:eastAsia="Calibri" w:hAnsi="Times New Roman"/>
                <w:sz w:val="22"/>
                <w:lang w:val="en-US"/>
              </w:rPr>
            </w:pPr>
          </w:p>
        </w:tc>
        <w:tc>
          <w:tcPr>
            <w:tcW w:w="5550" w:type="dxa"/>
            <w:vMerge/>
            <w:shd w:val="clear" w:color="auto" w:fill="auto"/>
            <w:vAlign w:val="center"/>
          </w:tcPr>
          <w:p w14:paraId="293A1BB8" w14:textId="77777777" w:rsidR="004A0AC9" w:rsidRPr="00A66401" w:rsidRDefault="004A0AC9" w:rsidP="0022675C">
            <w:pPr>
              <w:jc w:val="center"/>
              <w:rPr>
                <w:rFonts w:ascii="Times New Roman" w:eastAsia="Calibri" w:hAnsi="Times New Roman"/>
                <w:sz w:val="22"/>
                <w:lang w:val="en-US"/>
              </w:rPr>
            </w:pPr>
          </w:p>
        </w:tc>
        <w:tc>
          <w:tcPr>
            <w:tcW w:w="1305" w:type="dxa"/>
            <w:shd w:val="clear" w:color="auto" w:fill="auto"/>
            <w:vAlign w:val="center"/>
          </w:tcPr>
          <w:p w14:paraId="354629A0" w14:textId="77777777" w:rsidR="004A0AC9" w:rsidRPr="00CF4E2F" w:rsidRDefault="004A0AC9" w:rsidP="0022675C">
            <w:pPr>
              <w:pStyle w:val="TableParagraph"/>
              <w:spacing w:before="32"/>
              <w:jc w:val="center"/>
              <w:rPr>
                <w:rFonts w:ascii="Times New Roman" w:hAnsi="Times New Roman"/>
                <w:sz w:val="16"/>
              </w:rPr>
            </w:pPr>
            <w:r w:rsidRPr="00CF4E2F">
              <w:rPr>
                <w:rFonts w:ascii="Times New Roman" w:hAnsi="Times New Roman"/>
                <w:sz w:val="16"/>
              </w:rPr>
              <w:t>No</w:t>
            </w:r>
          </w:p>
        </w:tc>
        <w:tc>
          <w:tcPr>
            <w:tcW w:w="2222" w:type="dxa"/>
            <w:shd w:val="clear" w:color="auto" w:fill="auto"/>
            <w:vAlign w:val="center"/>
          </w:tcPr>
          <w:p w14:paraId="5FB7B969" w14:textId="2CCC3654" w:rsidR="004A0AC9" w:rsidRPr="00AB30A7" w:rsidRDefault="00BE0804" w:rsidP="0022675C">
            <w:pPr>
              <w:pStyle w:val="TableParagraph"/>
              <w:spacing w:before="32"/>
              <w:jc w:val="center"/>
              <w:rPr>
                <w:rFonts w:ascii="Times New Roman" w:hAnsi="Times New Roman"/>
                <w:sz w:val="16"/>
              </w:rPr>
            </w:pPr>
            <w:r>
              <w:rPr>
                <w:rFonts w:ascii="Times New Roman" w:eastAsia="Times New Roman" w:hAnsi="Times New Roman"/>
                <w:sz w:val="16"/>
                <w:szCs w:val="16"/>
              </w:rPr>
              <w:t># 7</w:t>
            </w:r>
          </w:p>
        </w:tc>
      </w:tr>
      <w:tr w:rsidR="006F6275" w:rsidRPr="00CF4E2F" w14:paraId="0A40449B" w14:textId="77777777" w:rsidTr="0022675C">
        <w:tc>
          <w:tcPr>
            <w:tcW w:w="529" w:type="dxa"/>
            <w:vMerge w:val="restart"/>
            <w:shd w:val="clear" w:color="auto" w:fill="auto"/>
            <w:vAlign w:val="center"/>
          </w:tcPr>
          <w:p w14:paraId="635244E9" w14:textId="5790785F" w:rsidR="006F6275" w:rsidRPr="00A66401" w:rsidRDefault="006F6275"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7</w:t>
            </w:r>
          </w:p>
        </w:tc>
        <w:tc>
          <w:tcPr>
            <w:tcW w:w="5550" w:type="dxa"/>
            <w:vMerge w:val="restart"/>
            <w:shd w:val="clear" w:color="auto" w:fill="auto"/>
            <w:vAlign w:val="center"/>
          </w:tcPr>
          <w:p w14:paraId="662A77F5" w14:textId="469FF5CE" w:rsidR="006F6275" w:rsidRPr="00A66401" w:rsidRDefault="006F6275" w:rsidP="002F5A05">
            <w:pPr>
              <w:jc w:val="center"/>
              <w:rPr>
                <w:rFonts w:ascii="Times New Roman" w:eastAsia="Calibri" w:hAnsi="Times New Roman"/>
                <w:sz w:val="16"/>
                <w:szCs w:val="16"/>
                <w:lang w:val="en-US"/>
              </w:rPr>
            </w:pPr>
            <w:r>
              <w:rPr>
                <w:rFonts w:ascii="Times New Roman" w:eastAsia="Calibri" w:hAnsi="Times New Roman"/>
                <w:sz w:val="16"/>
                <w:szCs w:val="16"/>
                <w:lang w:val="en-US"/>
              </w:rPr>
              <w:t>Authorized interdependent liability</w:t>
            </w:r>
            <w:r w:rsidRPr="00A0201D">
              <w:rPr>
                <w:rFonts w:ascii="Times New Roman" w:eastAsia="Calibri" w:hAnsi="Times New Roman"/>
                <w:sz w:val="16"/>
                <w:szCs w:val="16"/>
                <w:lang w:val="en-US"/>
              </w:rPr>
              <w:t>?</w:t>
            </w:r>
          </w:p>
        </w:tc>
        <w:tc>
          <w:tcPr>
            <w:tcW w:w="1305" w:type="dxa"/>
            <w:shd w:val="clear" w:color="auto" w:fill="auto"/>
            <w:vAlign w:val="center"/>
          </w:tcPr>
          <w:p w14:paraId="0648DFA1" w14:textId="17D58C0F" w:rsidR="006F6275" w:rsidRPr="00CF4E2F" w:rsidRDefault="006F6275"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34B7CD00" w14:textId="0C60032C" w:rsidR="006F6275" w:rsidRPr="00AB30A7" w:rsidRDefault="006F6275" w:rsidP="0022675C">
            <w:pPr>
              <w:pStyle w:val="TableParagraph"/>
              <w:spacing w:before="32"/>
              <w:jc w:val="center"/>
              <w:rPr>
                <w:rFonts w:ascii="Times New Roman" w:hAnsi="Times New Roman"/>
                <w:sz w:val="16"/>
              </w:rPr>
            </w:pPr>
            <w:r w:rsidRPr="00F44B55">
              <w:rPr>
                <w:rFonts w:ascii="Times New Roman" w:hAnsi="Times New Roman"/>
                <w:sz w:val="16"/>
                <w:szCs w:val="16"/>
              </w:rPr>
              <w:t xml:space="preserve">Allocate </w:t>
            </w:r>
            <w:r>
              <w:rPr>
                <w:rFonts w:ascii="Times New Roman" w:hAnsi="Times New Roman"/>
                <w:sz w:val="16"/>
                <w:szCs w:val="16"/>
              </w:rPr>
              <w:t>into one relevant item of ID 2.8</w:t>
            </w:r>
          </w:p>
        </w:tc>
      </w:tr>
      <w:tr w:rsidR="00A0201D" w:rsidRPr="00CF4E2F" w14:paraId="47DF9F1D" w14:textId="77777777" w:rsidTr="0022675C">
        <w:tc>
          <w:tcPr>
            <w:tcW w:w="529" w:type="dxa"/>
            <w:vMerge/>
            <w:shd w:val="clear" w:color="auto" w:fill="auto"/>
            <w:vAlign w:val="center"/>
          </w:tcPr>
          <w:p w14:paraId="2A03BEFB" w14:textId="77777777" w:rsidR="00A0201D" w:rsidRPr="00A66401" w:rsidRDefault="00A0201D" w:rsidP="0022675C">
            <w:pPr>
              <w:jc w:val="center"/>
              <w:rPr>
                <w:rFonts w:ascii="Times New Roman" w:eastAsia="Calibri" w:hAnsi="Times New Roman"/>
                <w:sz w:val="16"/>
                <w:szCs w:val="16"/>
                <w:lang w:val="en-US"/>
              </w:rPr>
            </w:pPr>
          </w:p>
        </w:tc>
        <w:tc>
          <w:tcPr>
            <w:tcW w:w="5550" w:type="dxa"/>
            <w:vMerge/>
            <w:shd w:val="clear" w:color="auto" w:fill="auto"/>
            <w:vAlign w:val="center"/>
          </w:tcPr>
          <w:p w14:paraId="6CC25A67" w14:textId="77777777" w:rsidR="00A0201D" w:rsidRPr="00A66401" w:rsidRDefault="00A0201D" w:rsidP="0022675C">
            <w:pPr>
              <w:jc w:val="center"/>
              <w:rPr>
                <w:rFonts w:ascii="Times New Roman" w:eastAsia="Calibri" w:hAnsi="Times New Roman"/>
                <w:sz w:val="16"/>
                <w:szCs w:val="16"/>
                <w:lang w:val="en-US"/>
              </w:rPr>
            </w:pPr>
          </w:p>
        </w:tc>
        <w:tc>
          <w:tcPr>
            <w:tcW w:w="1305" w:type="dxa"/>
            <w:shd w:val="clear" w:color="auto" w:fill="auto"/>
            <w:vAlign w:val="center"/>
          </w:tcPr>
          <w:p w14:paraId="77131C99" w14:textId="766AE314" w:rsidR="00A0201D" w:rsidRPr="00CF4E2F" w:rsidRDefault="00A0201D"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333D0B19" w14:textId="5CED2F45" w:rsidR="00A0201D" w:rsidRPr="00AB30A7" w:rsidRDefault="00F44B55" w:rsidP="0022675C">
            <w:pPr>
              <w:pStyle w:val="TableParagraph"/>
              <w:spacing w:before="32"/>
              <w:jc w:val="center"/>
              <w:rPr>
                <w:rFonts w:ascii="Times New Roman" w:hAnsi="Times New Roman"/>
                <w:sz w:val="16"/>
              </w:rPr>
            </w:pPr>
            <w:r>
              <w:rPr>
                <w:rFonts w:ascii="Times New Roman" w:eastAsia="Times New Roman" w:hAnsi="Times New Roman"/>
                <w:sz w:val="16"/>
                <w:szCs w:val="16"/>
              </w:rPr>
              <w:t># 8</w:t>
            </w:r>
          </w:p>
        </w:tc>
      </w:tr>
      <w:tr w:rsidR="006F6275" w:rsidRPr="00CF4E2F" w14:paraId="5E055DA9" w14:textId="77777777" w:rsidTr="0022675C">
        <w:tc>
          <w:tcPr>
            <w:tcW w:w="529" w:type="dxa"/>
            <w:vMerge w:val="restart"/>
            <w:shd w:val="clear" w:color="auto" w:fill="auto"/>
            <w:vAlign w:val="center"/>
          </w:tcPr>
          <w:p w14:paraId="2FFB4125" w14:textId="236F6048" w:rsidR="006F6275" w:rsidRPr="00A66401" w:rsidRDefault="006F6275"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8</w:t>
            </w:r>
          </w:p>
        </w:tc>
        <w:tc>
          <w:tcPr>
            <w:tcW w:w="5550" w:type="dxa"/>
            <w:vMerge w:val="restart"/>
            <w:shd w:val="clear" w:color="auto" w:fill="auto"/>
            <w:vAlign w:val="center"/>
          </w:tcPr>
          <w:p w14:paraId="54FEF8EA" w14:textId="51607376" w:rsidR="006F6275" w:rsidRPr="00A66401" w:rsidRDefault="006F6275" w:rsidP="00772E66">
            <w:pPr>
              <w:jc w:val="center"/>
              <w:rPr>
                <w:rFonts w:ascii="Times New Roman" w:eastAsia="Calibri" w:hAnsi="Times New Roman"/>
                <w:sz w:val="16"/>
                <w:szCs w:val="16"/>
                <w:lang w:val="en-US"/>
              </w:rPr>
            </w:pPr>
            <w:r>
              <w:rPr>
                <w:rFonts w:ascii="Times New Roman" w:eastAsia="Calibri" w:hAnsi="Times New Roman"/>
                <w:sz w:val="16"/>
                <w:szCs w:val="16"/>
                <w:lang w:val="en-US"/>
              </w:rPr>
              <w:t>Liabilities</w:t>
            </w:r>
            <w:r w:rsidRPr="00A0201D">
              <w:rPr>
                <w:rFonts w:ascii="Times New Roman" w:eastAsia="Calibri" w:hAnsi="Times New Roman"/>
                <w:sz w:val="16"/>
                <w:szCs w:val="16"/>
                <w:lang w:val="en-US"/>
              </w:rPr>
              <w:t xml:space="preserve"> </w:t>
            </w:r>
            <w:r w:rsidR="003B3180">
              <w:rPr>
                <w:rFonts w:ascii="Times New Roman" w:eastAsia="Calibri" w:hAnsi="Times New Roman"/>
                <w:sz w:val="16"/>
                <w:szCs w:val="16"/>
                <w:lang w:val="en-US"/>
              </w:rPr>
              <w:t xml:space="preserve">and committed facilities </w:t>
            </w:r>
            <w:r w:rsidRPr="00A0201D">
              <w:rPr>
                <w:rFonts w:ascii="Times New Roman" w:eastAsia="Calibri" w:hAnsi="Times New Roman"/>
                <w:sz w:val="16"/>
                <w:szCs w:val="16"/>
                <w:lang w:val="en-US"/>
              </w:rPr>
              <w:t xml:space="preserve">within a group or an IPS </w:t>
            </w:r>
            <w:r>
              <w:rPr>
                <w:rFonts w:ascii="Times New Roman" w:eastAsia="Calibri" w:hAnsi="Times New Roman"/>
                <w:sz w:val="16"/>
                <w:szCs w:val="16"/>
                <w:lang w:val="en-US"/>
              </w:rPr>
              <w:t xml:space="preserve">for which the competent authority has granted a </w:t>
            </w:r>
            <w:r w:rsidRPr="00A0201D">
              <w:rPr>
                <w:rFonts w:ascii="Times New Roman" w:eastAsia="Calibri" w:hAnsi="Times New Roman"/>
                <w:sz w:val="16"/>
                <w:szCs w:val="16"/>
                <w:lang w:val="en-US"/>
              </w:rPr>
              <w:t>preferential treatment?</w:t>
            </w:r>
          </w:p>
        </w:tc>
        <w:tc>
          <w:tcPr>
            <w:tcW w:w="1305" w:type="dxa"/>
            <w:shd w:val="clear" w:color="auto" w:fill="auto"/>
            <w:vAlign w:val="center"/>
          </w:tcPr>
          <w:p w14:paraId="54A005FE" w14:textId="7D9668FA" w:rsidR="006F6275" w:rsidRPr="00CF4E2F" w:rsidRDefault="006F6275"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1A12CB13" w14:textId="1FEB9D37" w:rsidR="006F6275" w:rsidRPr="00AB30A7" w:rsidRDefault="006F6275" w:rsidP="0022675C">
            <w:pPr>
              <w:pStyle w:val="TableParagraph"/>
              <w:spacing w:before="32"/>
              <w:jc w:val="center"/>
              <w:rPr>
                <w:rFonts w:ascii="Times New Roman" w:hAnsi="Times New Roman"/>
                <w:sz w:val="16"/>
              </w:rPr>
            </w:pPr>
            <w:r>
              <w:rPr>
                <w:rFonts w:ascii="Times New Roman" w:hAnsi="Times New Roman"/>
                <w:sz w:val="16"/>
              </w:rPr>
              <w:t>ID 2.4</w:t>
            </w:r>
          </w:p>
        </w:tc>
      </w:tr>
      <w:tr w:rsidR="00A0201D" w:rsidRPr="00CF4E2F" w14:paraId="72964DBA" w14:textId="77777777" w:rsidTr="0022675C">
        <w:tc>
          <w:tcPr>
            <w:tcW w:w="529" w:type="dxa"/>
            <w:vMerge/>
            <w:shd w:val="clear" w:color="auto" w:fill="auto"/>
            <w:vAlign w:val="center"/>
          </w:tcPr>
          <w:p w14:paraId="5889986D" w14:textId="77777777" w:rsidR="00A0201D" w:rsidRPr="00A66401" w:rsidRDefault="00A0201D" w:rsidP="0022675C">
            <w:pPr>
              <w:jc w:val="center"/>
              <w:rPr>
                <w:rFonts w:ascii="Times New Roman" w:eastAsia="Calibri" w:hAnsi="Times New Roman"/>
                <w:sz w:val="16"/>
                <w:szCs w:val="16"/>
                <w:lang w:val="en-US"/>
              </w:rPr>
            </w:pPr>
          </w:p>
        </w:tc>
        <w:tc>
          <w:tcPr>
            <w:tcW w:w="5550" w:type="dxa"/>
            <w:vMerge/>
            <w:shd w:val="clear" w:color="auto" w:fill="auto"/>
            <w:vAlign w:val="center"/>
          </w:tcPr>
          <w:p w14:paraId="31A96065" w14:textId="77777777" w:rsidR="00A0201D" w:rsidRPr="00A66401" w:rsidRDefault="00A0201D" w:rsidP="0022675C">
            <w:pPr>
              <w:jc w:val="center"/>
              <w:rPr>
                <w:rFonts w:ascii="Times New Roman" w:eastAsia="Calibri" w:hAnsi="Times New Roman"/>
                <w:sz w:val="16"/>
                <w:szCs w:val="16"/>
                <w:lang w:val="en-US"/>
              </w:rPr>
            </w:pPr>
          </w:p>
        </w:tc>
        <w:tc>
          <w:tcPr>
            <w:tcW w:w="1305" w:type="dxa"/>
            <w:shd w:val="clear" w:color="auto" w:fill="auto"/>
            <w:vAlign w:val="center"/>
          </w:tcPr>
          <w:p w14:paraId="49E3D184" w14:textId="0E46429F" w:rsidR="00A0201D" w:rsidRPr="00CF4E2F" w:rsidRDefault="00A0201D"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43E99217" w14:textId="31EBA262" w:rsidR="00A0201D" w:rsidRPr="00AB30A7" w:rsidRDefault="0069607E" w:rsidP="0022675C">
            <w:pPr>
              <w:pStyle w:val="TableParagraph"/>
              <w:spacing w:before="32"/>
              <w:jc w:val="center"/>
              <w:rPr>
                <w:rFonts w:ascii="Times New Roman" w:hAnsi="Times New Roman"/>
                <w:sz w:val="16"/>
              </w:rPr>
            </w:pPr>
            <w:r>
              <w:rPr>
                <w:rFonts w:ascii="Times New Roman" w:eastAsia="Times New Roman" w:hAnsi="Times New Roman"/>
                <w:sz w:val="16"/>
                <w:szCs w:val="16"/>
              </w:rPr>
              <w:t># 9</w:t>
            </w:r>
          </w:p>
        </w:tc>
      </w:tr>
      <w:tr w:rsidR="00A0201D" w:rsidRPr="00CF4E2F" w14:paraId="5D37F947" w14:textId="77777777" w:rsidTr="0022675C">
        <w:tc>
          <w:tcPr>
            <w:tcW w:w="529" w:type="dxa"/>
            <w:vMerge w:val="restart"/>
            <w:shd w:val="clear" w:color="auto" w:fill="auto"/>
            <w:vAlign w:val="center"/>
          </w:tcPr>
          <w:p w14:paraId="597FBED3" w14:textId="581FCFF5" w:rsidR="00A0201D" w:rsidRPr="00A66401" w:rsidRDefault="00A0201D"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9</w:t>
            </w:r>
          </w:p>
        </w:tc>
        <w:tc>
          <w:tcPr>
            <w:tcW w:w="5550" w:type="dxa"/>
            <w:vMerge w:val="restart"/>
            <w:shd w:val="clear" w:color="auto" w:fill="auto"/>
            <w:vAlign w:val="center"/>
          </w:tcPr>
          <w:p w14:paraId="14C8805E" w14:textId="3291D8FF" w:rsidR="00A0201D" w:rsidRPr="00A66401" w:rsidRDefault="00CA341E"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NSFR derivative liabilities?</w:t>
            </w:r>
          </w:p>
        </w:tc>
        <w:tc>
          <w:tcPr>
            <w:tcW w:w="1305" w:type="dxa"/>
            <w:shd w:val="clear" w:color="auto" w:fill="auto"/>
            <w:vAlign w:val="center"/>
          </w:tcPr>
          <w:p w14:paraId="6AF15636" w14:textId="203E7E36" w:rsidR="00A0201D" w:rsidRPr="00CF4E2F" w:rsidRDefault="00CA341E"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47853B12" w14:textId="03071BA5" w:rsidR="00A0201D" w:rsidRPr="00AB30A7" w:rsidRDefault="00CA341E" w:rsidP="0022675C">
            <w:pPr>
              <w:pStyle w:val="TableParagraph"/>
              <w:spacing w:before="32"/>
              <w:jc w:val="center"/>
              <w:rPr>
                <w:rFonts w:ascii="Times New Roman" w:hAnsi="Times New Roman"/>
                <w:sz w:val="16"/>
              </w:rPr>
            </w:pPr>
            <w:r>
              <w:rPr>
                <w:rFonts w:ascii="Times New Roman" w:hAnsi="Times New Roman"/>
                <w:sz w:val="16"/>
              </w:rPr>
              <w:t>ID 2.7</w:t>
            </w:r>
          </w:p>
        </w:tc>
      </w:tr>
      <w:tr w:rsidR="00A0201D" w:rsidRPr="00CF4E2F" w14:paraId="7AC8A4E6" w14:textId="77777777" w:rsidTr="0022675C">
        <w:tc>
          <w:tcPr>
            <w:tcW w:w="529" w:type="dxa"/>
            <w:vMerge/>
            <w:shd w:val="clear" w:color="auto" w:fill="auto"/>
            <w:vAlign w:val="center"/>
          </w:tcPr>
          <w:p w14:paraId="305122AE" w14:textId="77777777" w:rsidR="00A0201D" w:rsidRPr="00A0201D" w:rsidRDefault="00A0201D" w:rsidP="0022675C">
            <w:pPr>
              <w:jc w:val="center"/>
              <w:rPr>
                <w:rFonts w:ascii="Times New Roman" w:eastAsia="Calibri" w:hAnsi="Times New Roman"/>
                <w:sz w:val="22"/>
                <w:lang w:val="en-US"/>
              </w:rPr>
            </w:pPr>
          </w:p>
        </w:tc>
        <w:tc>
          <w:tcPr>
            <w:tcW w:w="5550" w:type="dxa"/>
            <w:vMerge/>
            <w:shd w:val="clear" w:color="auto" w:fill="auto"/>
            <w:vAlign w:val="center"/>
          </w:tcPr>
          <w:p w14:paraId="33AC464D" w14:textId="77777777" w:rsidR="00A0201D" w:rsidRPr="00A0201D" w:rsidRDefault="00A0201D" w:rsidP="0022675C">
            <w:pPr>
              <w:jc w:val="center"/>
              <w:rPr>
                <w:rFonts w:ascii="Times New Roman" w:eastAsia="Calibri" w:hAnsi="Times New Roman"/>
                <w:sz w:val="22"/>
                <w:lang w:val="en-US"/>
              </w:rPr>
            </w:pPr>
          </w:p>
        </w:tc>
        <w:tc>
          <w:tcPr>
            <w:tcW w:w="1305" w:type="dxa"/>
            <w:shd w:val="clear" w:color="auto" w:fill="auto"/>
            <w:vAlign w:val="center"/>
          </w:tcPr>
          <w:p w14:paraId="7311D0AF" w14:textId="187CB3B6" w:rsidR="00A0201D" w:rsidRPr="00CF4E2F" w:rsidRDefault="00CA341E"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D7FCC2D" w14:textId="32AF4166" w:rsidR="00A0201D" w:rsidRPr="00AB30A7" w:rsidRDefault="00CA341E" w:rsidP="0022675C">
            <w:pPr>
              <w:pStyle w:val="TableParagraph"/>
              <w:spacing w:before="32"/>
              <w:jc w:val="center"/>
              <w:rPr>
                <w:rFonts w:ascii="Times New Roman" w:hAnsi="Times New Roman"/>
                <w:sz w:val="16"/>
              </w:rPr>
            </w:pPr>
            <w:r>
              <w:rPr>
                <w:rFonts w:ascii="Times New Roman" w:eastAsia="Times New Roman" w:hAnsi="Times New Roman"/>
                <w:sz w:val="16"/>
                <w:szCs w:val="16"/>
              </w:rPr>
              <w:t># 10</w:t>
            </w:r>
          </w:p>
        </w:tc>
      </w:tr>
      <w:tr w:rsidR="00AE5C08" w:rsidRPr="00CF4E2F" w14:paraId="04AA3033" w14:textId="77777777" w:rsidTr="0022675C">
        <w:tc>
          <w:tcPr>
            <w:tcW w:w="529" w:type="dxa"/>
            <w:vMerge w:val="restart"/>
            <w:shd w:val="clear" w:color="auto" w:fill="auto"/>
            <w:vAlign w:val="center"/>
          </w:tcPr>
          <w:p w14:paraId="571DF73E" w14:textId="1007C71B" w:rsidR="00AE5C08" w:rsidRPr="00A66401" w:rsidRDefault="00AE5C08"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10</w:t>
            </w:r>
          </w:p>
        </w:tc>
        <w:tc>
          <w:tcPr>
            <w:tcW w:w="5550" w:type="dxa"/>
            <w:vMerge w:val="restart"/>
            <w:shd w:val="clear" w:color="auto" w:fill="auto"/>
            <w:vAlign w:val="center"/>
          </w:tcPr>
          <w:p w14:paraId="33A2D95F" w14:textId="44158B2D" w:rsidR="00AE5C08" w:rsidRPr="00A66401" w:rsidRDefault="00AE5C08"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Deferred tax liabilities?</w:t>
            </w:r>
          </w:p>
        </w:tc>
        <w:tc>
          <w:tcPr>
            <w:tcW w:w="1305" w:type="dxa"/>
            <w:shd w:val="clear" w:color="auto" w:fill="auto"/>
            <w:vAlign w:val="center"/>
          </w:tcPr>
          <w:p w14:paraId="0979CECF" w14:textId="0899965D" w:rsidR="00AE5C08" w:rsidRDefault="00AE5C08"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20FF7EA4" w14:textId="790B1953" w:rsidR="00AE5C08" w:rsidRDefault="00AE5C08"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2.9.2</w:t>
            </w:r>
          </w:p>
        </w:tc>
      </w:tr>
      <w:tr w:rsidR="00AE5C08" w:rsidRPr="00CF4E2F" w14:paraId="4ACCB6B3" w14:textId="77777777" w:rsidTr="0022675C">
        <w:tc>
          <w:tcPr>
            <w:tcW w:w="529" w:type="dxa"/>
            <w:vMerge/>
            <w:shd w:val="clear" w:color="auto" w:fill="auto"/>
            <w:vAlign w:val="center"/>
          </w:tcPr>
          <w:p w14:paraId="3853B721" w14:textId="77777777" w:rsidR="00AE5C08" w:rsidRPr="00A66401" w:rsidRDefault="00AE5C08" w:rsidP="0022675C">
            <w:pPr>
              <w:jc w:val="center"/>
              <w:rPr>
                <w:rFonts w:ascii="Times New Roman" w:eastAsia="Calibri" w:hAnsi="Times New Roman"/>
                <w:sz w:val="16"/>
                <w:szCs w:val="16"/>
                <w:lang w:val="en-US"/>
              </w:rPr>
            </w:pPr>
          </w:p>
        </w:tc>
        <w:tc>
          <w:tcPr>
            <w:tcW w:w="5550" w:type="dxa"/>
            <w:vMerge/>
            <w:shd w:val="clear" w:color="auto" w:fill="auto"/>
            <w:vAlign w:val="center"/>
          </w:tcPr>
          <w:p w14:paraId="7EA53E5B" w14:textId="77777777" w:rsidR="00AE5C08" w:rsidRPr="00A66401" w:rsidRDefault="00AE5C08" w:rsidP="0022675C">
            <w:pPr>
              <w:jc w:val="center"/>
              <w:rPr>
                <w:rFonts w:ascii="Times New Roman" w:eastAsia="Calibri" w:hAnsi="Times New Roman"/>
                <w:sz w:val="16"/>
                <w:szCs w:val="16"/>
                <w:lang w:val="en-US"/>
              </w:rPr>
            </w:pPr>
          </w:p>
        </w:tc>
        <w:tc>
          <w:tcPr>
            <w:tcW w:w="1305" w:type="dxa"/>
            <w:shd w:val="clear" w:color="auto" w:fill="auto"/>
            <w:vAlign w:val="center"/>
          </w:tcPr>
          <w:p w14:paraId="2456334E" w14:textId="072A339F" w:rsidR="00AE5C08" w:rsidRDefault="00AE5C08"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19FAEFC2" w14:textId="306AC1CD" w:rsidR="00AE5C08" w:rsidRDefault="00AE5C08"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11</w:t>
            </w:r>
          </w:p>
        </w:tc>
      </w:tr>
      <w:tr w:rsidR="00AE5C08" w:rsidRPr="00CF4E2F" w14:paraId="37A06F3E" w14:textId="77777777" w:rsidTr="0022675C">
        <w:tc>
          <w:tcPr>
            <w:tcW w:w="529" w:type="dxa"/>
            <w:vMerge w:val="restart"/>
            <w:shd w:val="clear" w:color="auto" w:fill="auto"/>
            <w:vAlign w:val="center"/>
          </w:tcPr>
          <w:p w14:paraId="0F3A77A9" w14:textId="1A04D45B" w:rsidR="00AE5C08" w:rsidRPr="00A66401" w:rsidRDefault="00AE5C08"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11</w:t>
            </w:r>
          </w:p>
        </w:tc>
        <w:tc>
          <w:tcPr>
            <w:tcW w:w="5550" w:type="dxa"/>
            <w:vMerge w:val="restart"/>
            <w:shd w:val="clear" w:color="auto" w:fill="auto"/>
            <w:vAlign w:val="center"/>
          </w:tcPr>
          <w:p w14:paraId="510D5474" w14:textId="1C809262" w:rsidR="00AE5C08" w:rsidRPr="00A66401" w:rsidRDefault="00AE5C08" w:rsidP="00772E66">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Minority interest</w:t>
            </w:r>
            <w:r w:rsidR="009B77DE">
              <w:rPr>
                <w:rFonts w:ascii="Times New Roman" w:eastAsia="Calibri" w:hAnsi="Times New Roman"/>
                <w:sz w:val="16"/>
                <w:szCs w:val="16"/>
                <w:lang w:val="en-US"/>
              </w:rPr>
              <w:t>s</w:t>
            </w:r>
            <w:r w:rsidRPr="00A66401">
              <w:rPr>
                <w:rFonts w:ascii="Times New Roman" w:eastAsia="Calibri" w:hAnsi="Times New Roman"/>
                <w:sz w:val="16"/>
                <w:szCs w:val="16"/>
                <w:lang w:val="en-US"/>
              </w:rPr>
              <w:t>?</w:t>
            </w:r>
          </w:p>
        </w:tc>
        <w:tc>
          <w:tcPr>
            <w:tcW w:w="1305" w:type="dxa"/>
            <w:shd w:val="clear" w:color="auto" w:fill="auto"/>
            <w:vAlign w:val="center"/>
          </w:tcPr>
          <w:p w14:paraId="076DB99D" w14:textId="6A51495C" w:rsidR="00AE5C08" w:rsidRDefault="00AE5C08"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17767CDA" w14:textId="74EFFE7E" w:rsidR="00AE5C08" w:rsidRDefault="00AE5C08"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2.9.3</w:t>
            </w:r>
          </w:p>
        </w:tc>
      </w:tr>
      <w:tr w:rsidR="00AE5C08" w:rsidRPr="00CF4E2F" w14:paraId="5B1042D6" w14:textId="77777777" w:rsidTr="0022675C">
        <w:tc>
          <w:tcPr>
            <w:tcW w:w="529" w:type="dxa"/>
            <w:vMerge/>
            <w:shd w:val="clear" w:color="auto" w:fill="auto"/>
            <w:vAlign w:val="center"/>
          </w:tcPr>
          <w:p w14:paraId="0D8697C2" w14:textId="77777777" w:rsidR="00AE5C08" w:rsidRDefault="00AE5C08" w:rsidP="0022675C">
            <w:pPr>
              <w:jc w:val="center"/>
              <w:rPr>
                <w:rFonts w:ascii="Times New Roman" w:eastAsia="Calibri" w:hAnsi="Times New Roman"/>
                <w:sz w:val="22"/>
                <w:lang w:val="en-US"/>
              </w:rPr>
            </w:pPr>
          </w:p>
        </w:tc>
        <w:tc>
          <w:tcPr>
            <w:tcW w:w="5550" w:type="dxa"/>
            <w:vMerge/>
            <w:shd w:val="clear" w:color="auto" w:fill="auto"/>
            <w:vAlign w:val="center"/>
          </w:tcPr>
          <w:p w14:paraId="7F78ADB0" w14:textId="77777777" w:rsidR="00AE5C08" w:rsidRPr="00A0201D" w:rsidRDefault="00AE5C08" w:rsidP="0022675C">
            <w:pPr>
              <w:jc w:val="center"/>
              <w:rPr>
                <w:rFonts w:ascii="Times New Roman" w:eastAsia="Calibri" w:hAnsi="Times New Roman"/>
                <w:sz w:val="22"/>
                <w:lang w:val="en-US"/>
              </w:rPr>
            </w:pPr>
          </w:p>
        </w:tc>
        <w:tc>
          <w:tcPr>
            <w:tcW w:w="1305" w:type="dxa"/>
            <w:shd w:val="clear" w:color="auto" w:fill="auto"/>
            <w:vAlign w:val="center"/>
          </w:tcPr>
          <w:p w14:paraId="53AC2C54" w14:textId="4B783513" w:rsidR="00AE5C08" w:rsidRDefault="00AE5C08"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F2D61DE" w14:textId="514DC231" w:rsidR="00AE5C08" w:rsidRDefault="00AE5C08" w:rsidP="0022675C">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12</w:t>
            </w:r>
          </w:p>
        </w:tc>
      </w:tr>
      <w:tr w:rsidR="00A0201D" w:rsidRPr="00CF4E2F" w14:paraId="53176D12" w14:textId="77777777" w:rsidTr="0022675C">
        <w:tc>
          <w:tcPr>
            <w:tcW w:w="529" w:type="dxa"/>
            <w:vMerge w:val="restart"/>
            <w:shd w:val="clear" w:color="auto" w:fill="auto"/>
            <w:vAlign w:val="center"/>
          </w:tcPr>
          <w:p w14:paraId="40FAE1D3" w14:textId="58388805" w:rsidR="00A0201D" w:rsidRPr="00A66401" w:rsidRDefault="00FD5DE9" w:rsidP="0022675C">
            <w:pPr>
              <w:jc w:val="center"/>
              <w:rPr>
                <w:rFonts w:ascii="Times New Roman" w:eastAsia="Calibri" w:hAnsi="Times New Roman"/>
                <w:sz w:val="16"/>
                <w:szCs w:val="16"/>
                <w:lang w:val="en-US"/>
              </w:rPr>
            </w:pPr>
            <w:r w:rsidRPr="00FD5DE9">
              <w:rPr>
                <w:rFonts w:ascii="Times New Roman" w:eastAsia="Calibri" w:hAnsi="Times New Roman"/>
                <w:sz w:val="16"/>
                <w:szCs w:val="16"/>
                <w:lang w:val="en-US"/>
              </w:rPr>
              <w:t>1</w:t>
            </w:r>
            <w:r>
              <w:rPr>
                <w:rFonts w:ascii="Times New Roman" w:eastAsia="Calibri" w:hAnsi="Times New Roman"/>
                <w:sz w:val="16"/>
                <w:szCs w:val="16"/>
                <w:lang w:val="en-US"/>
              </w:rPr>
              <w:t>2</w:t>
            </w:r>
          </w:p>
        </w:tc>
        <w:tc>
          <w:tcPr>
            <w:tcW w:w="5550" w:type="dxa"/>
            <w:vMerge w:val="restart"/>
            <w:shd w:val="clear" w:color="auto" w:fill="auto"/>
            <w:vAlign w:val="center"/>
          </w:tcPr>
          <w:p w14:paraId="73B631E4" w14:textId="1592F268" w:rsidR="00A0201D" w:rsidRPr="00A66401" w:rsidRDefault="00E72B30" w:rsidP="0022675C">
            <w:pPr>
              <w:jc w:val="center"/>
              <w:rPr>
                <w:rFonts w:ascii="Times New Roman" w:eastAsia="Calibri" w:hAnsi="Times New Roman"/>
                <w:sz w:val="16"/>
                <w:szCs w:val="16"/>
                <w:lang w:val="en-US"/>
              </w:rPr>
            </w:pPr>
            <w:r>
              <w:rPr>
                <w:rFonts w:ascii="Times New Roman" w:eastAsia="Calibri" w:hAnsi="Times New Roman"/>
                <w:sz w:val="16"/>
                <w:szCs w:val="16"/>
                <w:lang w:val="en-US"/>
              </w:rPr>
              <w:t>Stable retail deposits?</w:t>
            </w:r>
          </w:p>
        </w:tc>
        <w:tc>
          <w:tcPr>
            <w:tcW w:w="1305" w:type="dxa"/>
            <w:shd w:val="clear" w:color="auto" w:fill="auto"/>
            <w:vAlign w:val="center"/>
          </w:tcPr>
          <w:p w14:paraId="2FA4FAA7" w14:textId="213D2098" w:rsidR="00A0201D" w:rsidRPr="00CF4E2F" w:rsidRDefault="00B07BF0"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6730B833" w14:textId="416A4012" w:rsidR="00A0201D" w:rsidRPr="00AB30A7" w:rsidRDefault="00E72B30" w:rsidP="00E72B30">
            <w:pPr>
              <w:pStyle w:val="TableParagraph"/>
              <w:spacing w:before="32"/>
              <w:jc w:val="center"/>
              <w:rPr>
                <w:rFonts w:ascii="Times New Roman" w:hAnsi="Times New Roman"/>
                <w:sz w:val="16"/>
              </w:rPr>
            </w:pPr>
            <w:r>
              <w:rPr>
                <w:rFonts w:ascii="Times New Roman" w:hAnsi="Times New Roman"/>
                <w:sz w:val="16"/>
              </w:rPr>
              <w:t>ID 2.2.1</w:t>
            </w:r>
          </w:p>
        </w:tc>
      </w:tr>
      <w:tr w:rsidR="00A0201D" w:rsidRPr="00CF4E2F" w14:paraId="6AF59136" w14:textId="77777777" w:rsidTr="0022675C">
        <w:tc>
          <w:tcPr>
            <w:tcW w:w="529" w:type="dxa"/>
            <w:vMerge/>
            <w:shd w:val="clear" w:color="auto" w:fill="auto"/>
            <w:vAlign w:val="center"/>
          </w:tcPr>
          <w:p w14:paraId="27F4B53A" w14:textId="77777777" w:rsidR="00A0201D" w:rsidRPr="00A0201D" w:rsidRDefault="00A0201D" w:rsidP="0022675C">
            <w:pPr>
              <w:jc w:val="center"/>
              <w:rPr>
                <w:rFonts w:ascii="Times New Roman" w:eastAsia="Calibri" w:hAnsi="Times New Roman"/>
                <w:sz w:val="22"/>
                <w:lang w:val="en-US"/>
              </w:rPr>
            </w:pPr>
          </w:p>
        </w:tc>
        <w:tc>
          <w:tcPr>
            <w:tcW w:w="5550" w:type="dxa"/>
            <w:vMerge/>
            <w:shd w:val="clear" w:color="auto" w:fill="auto"/>
            <w:vAlign w:val="center"/>
          </w:tcPr>
          <w:p w14:paraId="71D940E4" w14:textId="77777777" w:rsidR="00A0201D" w:rsidRPr="00A0201D" w:rsidRDefault="00A0201D" w:rsidP="0022675C">
            <w:pPr>
              <w:jc w:val="center"/>
              <w:rPr>
                <w:rFonts w:ascii="Times New Roman" w:eastAsia="Calibri" w:hAnsi="Times New Roman"/>
                <w:sz w:val="22"/>
                <w:lang w:val="en-US"/>
              </w:rPr>
            </w:pPr>
          </w:p>
        </w:tc>
        <w:tc>
          <w:tcPr>
            <w:tcW w:w="1305" w:type="dxa"/>
            <w:shd w:val="clear" w:color="auto" w:fill="auto"/>
            <w:vAlign w:val="center"/>
          </w:tcPr>
          <w:p w14:paraId="369B6E54" w14:textId="411833A5" w:rsidR="00A0201D" w:rsidRPr="00CF4E2F" w:rsidRDefault="00B07BF0"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3E45DF7" w14:textId="617806EB" w:rsidR="00A0201D" w:rsidRPr="00AB30A7" w:rsidRDefault="00FD5DE9" w:rsidP="0022675C">
            <w:pPr>
              <w:pStyle w:val="TableParagraph"/>
              <w:spacing w:before="32"/>
              <w:jc w:val="center"/>
              <w:rPr>
                <w:rFonts w:ascii="Times New Roman" w:hAnsi="Times New Roman"/>
                <w:sz w:val="16"/>
              </w:rPr>
            </w:pPr>
            <w:r>
              <w:rPr>
                <w:rFonts w:ascii="Times New Roman" w:eastAsia="Times New Roman" w:hAnsi="Times New Roman"/>
                <w:sz w:val="16"/>
                <w:szCs w:val="16"/>
              </w:rPr>
              <w:t># 13</w:t>
            </w:r>
          </w:p>
        </w:tc>
      </w:tr>
      <w:tr w:rsidR="00FD5DE9" w:rsidRPr="00CF4E2F" w14:paraId="7D1413C9" w14:textId="77777777" w:rsidTr="0022675C">
        <w:tc>
          <w:tcPr>
            <w:tcW w:w="529" w:type="dxa"/>
            <w:vMerge w:val="restart"/>
            <w:shd w:val="clear" w:color="auto" w:fill="auto"/>
            <w:vAlign w:val="center"/>
          </w:tcPr>
          <w:p w14:paraId="7B54FD15" w14:textId="35BD31E2" w:rsidR="00FD5DE9" w:rsidRPr="00A66401" w:rsidRDefault="00FD5D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13</w:t>
            </w:r>
          </w:p>
        </w:tc>
        <w:tc>
          <w:tcPr>
            <w:tcW w:w="5550" w:type="dxa"/>
            <w:vMerge w:val="restart"/>
            <w:shd w:val="clear" w:color="auto" w:fill="auto"/>
            <w:vAlign w:val="center"/>
          </w:tcPr>
          <w:p w14:paraId="067DFF53" w14:textId="4314305C" w:rsidR="00FD5DE9" w:rsidRPr="00A66401" w:rsidRDefault="00E72B30" w:rsidP="00F04A91">
            <w:pPr>
              <w:jc w:val="center"/>
              <w:rPr>
                <w:rFonts w:ascii="Times New Roman" w:eastAsia="Calibri" w:hAnsi="Times New Roman"/>
                <w:sz w:val="16"/>
                <w:szCs w:val="16"/>
                <w:lang w:val="en-US"/>
              </w:rPr>
            </w:pPr>
            <w:r>
              <w:rPr>
                <w:rFonts w:ascii="Times New Roman" w:eastAsia="Calibri" w:hAnsi="Times New Roman"/>
                <w:sz w:val="16"/>
                <w:szCs w:val="16"/>
                <w:lang w:val="en-US"/>
              </w:rPr>
              <w:t>Other retail deposits?</w:t>
            </w:r>
          </w:p>
        </w:tc>
        <w:tc>
          <w:tcPr>
            <w:tcW w:w="1305" w:type="dxa"/>
            <w:shd w:val="clear" w:color="auto" w:fill="auto"/>
            <w:vAlign w:val="center"/>
          </w:tcPr>
          <w:p w14:paraId="2AB8CDD3" w14:textId="005FE0FF" w:rsidR="00FD5DE9" w:rsidRDefault="00F04A91"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0EBCD3C0" w14:textId="4C566AF5" w:rsidR="00FD5DE9" w:rsidRPr="00AB30A7" w:rsidRDefault="00F04A91" w:rsidP="00E72B30">
            <w:pPr>
              <w:pStyle w:val="TableParagraph"/>
              <w:spacing w:before="32"/>
              <w:jc w:val="center"/>
              <w:rPr>
                <w:rFonts w:ascii="Times New Roman" w:hAnsi="Times New Roman"/>
                <w:sz w:val="16"/>
              </w:rPr>
            </w:pPr>
            <w:r>
              <w:rPr>
                <w:rFonts w:ascii="Times New Roman" w:hAnsi="Times New Roman"/>
                <w:sz w:val="16"/>
              </w:rPr>
              <w:t xml:space="preserve">ID </w:t>
            </w:r>
            <w:r w:rsidR="00E72B30">
              <w:rPr>
                <w:rFonts w:ascii="Times New Roman" w:hAnsi="Times New Roman"/>
                <w:sz w:val="16"/>
              </w:rPr>
              <w:t>2.2.2</w:t>
            </w:r>
          </w:p>
        </w:tc>
      </w:tr>
      <w:tr w:rsidR="00FD5DE9" w:rsidRPr="00CF4E2F" w14:paraId="4DFDE7B1" w14:textId="77777777" w:rsidTr="0022675C">
        <w:tc>
          <w:tcPr>
            <w:tcW w:w="529" w:type="dxa"/>
            <w:vMerge/>
            <w:shd w:val="clear" w:color="auto" w:fill="auto"/>
            <w:vAlign w:val="center"/>
          </w:tcPr>
          <w:p w14:paraId="0927CCFA" w14:textId="77777777" w:rsidR="00FD5DE9" w:rsidRPr="00A66401" w:rsidRDefault="00FD5DE9" w:rsidP="0022675C">
            <w:pPr>
              <w:jc w:val="center"/>
              <w:rPr>
                <w:rFonts w:ascii="Times New Roman" w:eastAsia="Calibri" w:hAnsi="Times New Roman"/>
                <w:sz w:val="16"/>
                <w:szCs w:val="16"/>
                <w:lang w:val="en-US"/>
              </w:rPr>
            </w:pPr>
          </w:p>
        </w:tc>
        <w:tc>
          <w:tcPr>
            <w:tcW w:w="5550" w:type="dxa"/>
            <w:vMerge/>
            <w:shd w:val="clear" w:color="auto" w:fill="auto"/>
            <w:vAlign w:val="center"/>
          </w:tcPr>
          <w:p w14:paraId="56EF56C7" w14:textId="77777777" w:rsidR="00FD5DE9" w:rsidRPr="00A0201D" w:rsidRDefault="00FD5DE9" w:rsidP="0022675C">
            <w:pPr>
              <w:jc w:val="center"/>
              <w:rPr>
                <w:rFonts w:ascii="Times New Roman" w:eastAsia="Calibri" w:hAnsi="Times New Roman"/>
                <w:sz w:val="22"/>
                <w:lang w:val="en-US"/>
              </w:rPr>
            </w:pPr>
          </w:p>
        </w:tc>
        <w:tc>
          <w:tcPr>
            <w:tcW w:w="1305" w:type="dxa"/>
            <w:shd w:val="clear" w:color="auto" w:fill="auto"/>
            <w:vAlign w:val="center"/>
          </w:tcPr>
          <w:p w14:paraId="36E106D5" w14:textId="794756FF" w:rsidR="00FD5DE9" w:rsidRDefault="00F04A91"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71CFDA7D" w14:textId="5B40CC57" w:rsidR="00FD5DE9" w:rsidRPr="00AB30A7" w:rsidRDefault="00F04A91" w:rsidP="0022675C">
            <w:pPr>
              <w:pStyle w:val="TableParagraph"/>
              <w:spacing w:before="32"/>
              <w:jc w:val="center"/>
              <w:rPr>
                <w:rFonts w:ascii="Times New Roman" w:hAnsi="Times New Roman"/>
                <w:sz w:val="16"/>
              </w:rPr>
            </w:pPr>
            <w:r>
              <w:rPr>
                <w:rFonts w:ascii="Times New Roman" w:hAnsi="Times New Roman"/>
                <w:sz w:val="16"/>
              </w:rPr>
              <w:t># 14</w:t>
            </w:r>
          </w:p>
        </w:tc>
      </w:tr>
      <w:tr w:rsidR="00FD5DE9" w:rsidRPr="00CF4E2F" w14:paraId="56B11C10" w14:textId="77777777" w:rsidTr="0022675C">
        <w:tc>
          <w:tcPr>
            <w:tcW w:w="529" w:type="dxa"/>
            <w:vMerge w:val="restart"/>
            <w:shd w:val="clear" w:color="auto" w:fill="auto"/>
            <w:vAlign w:val="center"/>
          </w:tcPr>
          <w:p w14:paraId="635767B6" w14:textId="362F7F79" w:rsidR="00FD5DE9" w:rsidRPr="00A66401" w:rsidRDefault="00FD5D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14</w:t>
            </w:r>
          </w:p>
        </w:tc>
        <w:tc>
          <w:tcPr>
            <w:tcW w:w="5550" w:type="dxa"/>
            <w:vMerge w:val="restart"/>
            <w:shd w:val="clear" w:color="auto" w:fill="auto"/>
            <w:vAlign w:val="center"/>
          </w:tcPr>
          <w:p w14:paraId="2B329D51" w14:textId="546DF684" w:rsidR="00FD5DE9" w:rsidRPr="00A66401" w:rsidRDefault="00707DB8"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Liabilities where the counterparty cannot be determined?</w:t>
            </w:r>
          </w:p>
        </w:tc>
        <w:tc>
          <w:tcPr>
            <w:tcW w:w="1305" w:type="dxa"/>
            <w:shd w:val="clear" w:color="auto" w:fill="auto"/>
            <w:vAlign w:val="center"/>
          </w:tcPr>
          <w:p w14:paraId="4FC9EAFE" w14:textId="199712AD" w:rsidR="00FD5DE9" w:rsidRDefault="00707DB8"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1048DF74" w14:textId="447383CC" w:rsidR="00FD5DE9" w:rsidRPr="00AB30A7" w:rsidRDefault="00D92A0F" w:rsidP="0022675C">
            <w:pPr>
              <w:pStyle w:val="TableParagraph"/>
              <w:spacing w:before="32"/>
              <w:jc w:val="center"/>
              <w:rPr>
                <w:rFonts w:ascii="Times New Roman" w:hAnsi="Times New Roman"/>
                <w:sz w:val="16"/>
              </w:rPr>
            </w:pPr>
            <w:r>
              <w:rPr>
                <w:rFonts w:ascii="Times New Roman" w:hAnsi="Times New Roman"/>
                <w:sz w:val="16"/>
              </w:rPr>
              <w:t>ID 2.6</w:t>
            </w:r>
          </w:p>
        </w:tc>
      </w:tr>
      <w:tr w:rsidR="00FD5DE9" w:rsidRPr="00CF4E2F" w14:paraId="0D85ADAD" w14:textId="77777777" w:rsidTr="0022675C">
        <w:tc>
          <w:tcPr>
            <w:tcW w:w="529" w:type="dxa"/>
            <w:vMerge/>
            <w:shd w:val="clear" w:color="auto" w:fill="auto"/>
            <w:vAlign w:val="center"/>
          </w:tcPr>
          <w:p w14:paraId="5F9CBCD1" w14:textId="77777777" w:rsidR="00FD5DE9" w:rsidRPr="00A0201D" w:rsidRDefault="00FD5DE9" w:rsidP="0022675C">
            <w:pPr>
              <w:jc w:val="center"/>
              <w:rPr>
                <w:rFonts w:ascii="Times New Roman" w:eastAsia="Calibri" w:hAnsi="Times New Roman"/>
                <w:sz w:val="22"/>
                <w:lang w:val="en-US"/>
              </w:rPr>
            </w:pPr>
          </w:p>
        </w:tc>
        <w:tc>
          <w:tcPr>
            <w:tcW w:w="5550" w:type="dxa"/>
            <w:vMerge/>
            <w:shd w:val="clear" w:color="auto" w:fill="auto"/>
            <w:vAlign w:val="center"/>
          </w:tcPr>
          <w:p w14:paraId="1B04997C" w14:textId="77777777" w:rsidR="00FD5DE9" w:rsidRPr="00A0201D" w:rsidRDefault="00FD5DE9" w:rsidP="0022675C">
            <w:pPr>
              <w:jc w:val="center"/>
              <w:rPr>
                <w:rFonts w:ascii="Times New Roman" w:eastAsia="Calibri" w:hAnsi="Times New Roman"/>
                <w:sz w:val="22"/>
                <w:lang w:val="en-US"/>
              </w:rPr>
            </w:pPr>
          </w:p>
        </w:tc>
        <w:tc>
          <w:tcPr>
            <w:tcW w:w="1305" w:type="dxa"/>
            <w:shd w:val="clear" w:color="auto" w:fill="auto"/>
            <w:vAlign w:val="center"/>
          </w:tcPr>
          <w:p w14:paraId="1A80F1AE" w14:textId="53B43FD4" w:rsidR="00FD5DE9" w:rsidRDefault="00707DB8"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5FC46C90" w14:textId="15DB2A2F" w:rsidR="00FD5DE9" w:rsidRPr="00AB30A7" w:rsidRDefault="00D92A0F" w:rsidP="0022675C">
            <w:pPr>
              <w:pStyle w:val="TableParagraph"/>
              <w:spacing w:before="32"/>
              <w:jc w:val="center"/>
              <w:rPr>
                <w:rFonts w:ascii="Times New Roman" w:hAnsi="Times New Roman"/>
                <w:sz w:val="16"/>
              </w:rPr>
            </w:pPr>
            <w:r>
              <w:rPr>
                <w:rFonts w:ascii="Times New Roman" w:hAnsi="Times New Roman"/>
                <w:sz w:val="16"/>
              </w:rPr>
              <w:t># 15</w:t>
            </w:r>
          </w:p>
        </w:tc>
      </w:tr>
      <w:tr w:rsidR="00D92A0F" w:rsidRPr="00CF4E2F" w14:paraId="3C25D7AF" w14:textId="77777777" w:rsidTr="0022675C">
        <w:tc>
          <w:tcPr>
            <w:tcW w:w="529" w:type="dxa"/>
            <w:vMerge w:val="restart"/>
            <w:shd w:val="clear" w:color="auto" w:fill="auto"/>
            <w:vAlign w:val="center"/>
          </w:tcPr>
          <w:p w14:paraId="16C832AF" w14:textId="355B117B"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15</w:t>
            </w:r>
          </w:p>
        </w:tc>
        <w:tc>
          <w:tcPr>
            <w:tcW w:w="5550" w:type="dxa"/>
            <w:vMerge w:val="restart"/>
            <w:shd w:val="clear" w:color="auto" w:fill="auto"/>
            <w:vAlign w:val="center"/>
          </w:tcPr>
          <w:p w14:paraId="194D1D46" w14:textId="01BA7946"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Liabilities provided by central banks?</w:t>
            </w:r>
          </w:p>
        </w:tc>
        <w:tc>
          <w:tcPr>
            <w:tcW w:w="1305" w:type="dxa"/>
            <w:shd w:val="clear" w:color="auto" w:fill="auto"/>
            <w:vAlign w:val="center"/>
          </w:tcPr>
          <w:p w14:paraId="3E68B4A9" w14:textId="54FBF85C" w:rsidR="00D92A0F" w:rsidRDefault="00E679E9"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51E79401" w14:textId="602FC0E8" w:rsidR="00D92A0F" w:rsidRPr="00AB30A7" w:rsidRDefault="00E679E9" w:rsidP="00E679E9">
            <w:pPr>
              <w:pStyle w:val="TableParagraph"/>
              <w:spacing w:before="32"/>
              <w:jc w:val="center"/>
              <w:rPr>
                <w:rFonts w:ascii="Times New Roman" w:hAnsi="Times New Roman"/>
                <w:sz w:val="16"/>
              </w:rPr>
            </w:pPr>
            <w:r w:rsidRPr="00F44B55">
              <w:rPr>
                <w:rFonts w:ascii="Times New Roman" w:hAnsi="Times New Roman"/>
                <w:sz w:val="16"/>
                <w:szCs w:val="16"/>
              </w:rPr>
              <w:t xml:space="preserve">Allocate </w:t>
            </w:r>
            <w:r>
              <w:rPr>
                <w:rFonts w:ascii="Times New Roman" w:hAnsi="Times New Roman"/>
                <w:sz w:val="16"/>
                <w:szCs w:val="16"/>
              </w:rPr>
              <w:t>into ID 2.5.1 or 2.5.2</w:t>
            </w:r>
          </w:p>
        </w:tc>
      </w:tr>
      <w:tr w:rsidR="00D92A0F" w:rsidRPr="00CF4E2F" w14:paraId="6B8BEA13" w14:textId="77777777" w:rsidTr="0022675C">
        <w:tc>
          <w:tcPr>
            <w:tcW w:w="529" w:type="dxa"/>
            <w:vMerge/>
            <w:shd w:val="clear" w:color="auto" w:fill="auto"/>
            <w:vAlign w:val="center"/>
          </w:tcPr>
          <w:p w14:paraId="1FC5003C" w14:textId="77777777" w:rsidR="00D92A0F" w:rsidRPr="00A0201D" w:rsidRDefault="00D92A0F" w:rsidP="0022675C">
            <w:pPr>
              <w:jc w:val="center"/>
              <w:rPr>
                <w:rFonts w:ascii="Times New Roman" w:eastAsia="Calibri" w:hAnsi="Times New Roman"/>
                <w:sz w:val="22"/>
                <w:lang w:val="en-US"/>
              </w:rPr>
            </w:pPr>
          </w:p>
        </w:tc>
        <w:tc>
          <w:tcPr>
            <w:tcW w:w="5550" w:type="dxa"/>
            <w:vMerge/>
            <w:shd w:val="clear" w:color="auto" w:fill="auto"/>
            <w:vAlign w:val="center"/>
          </w:tcPr>
          <w:p w14:paraId="63A6B445" w14:textId="77777777" w:rsidR="00D92A0F" w:rsidRPr="00A0201D" w:rsidRDefault="00D92A0F" w:rsidP="0022675C">
            <w:pPr>
              <w:jc w:val="center"/>
              <w:rPr>
                <w:rFonts w:ascii="Times New Roman" w:eastAsia="Calibri" w:hAnsi="Times New Roman"/>
                <w:sz w:val="22"/>
                <w:lang w:val="en-US"/>
              </w:rPr>
            </w:pPr>
          </w:p>
        </w:tc>
        <w:tc>
          <w:tcPr>
            <w:tcW w:w="1305" w:type="dxa"/>
            <w:shd w:val="clear" w:color="auto" w:fill="auto"/>
            <w:vAlign w:val="center"/>
          </w:tcPr>
          <w:p w14:paraId="0D5E96EF" w14:textId="6173B3D7" w:rsidR="00D92A0F" w:rsidRDefault="00E679E9"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0D0F677" w14:textId="2F846BBF" w:rsidR="00D92A0F" w:rsidRPr="00AB30A7" w:rsidRDefault="00E679E9" w:rsidP="0022675C">
            <w:pPr>
              <w:pStyle w:val="TableParagraph"/>
              <w:spacing w:before="32"/>
              <w:jc w:val="center"/>
              <w:rPr>
                <w:rFonts w:ascii="Times New Roman" w:hAnsi="Times New Roman"/>
                <w:sz w:val="16"/>
              </w:rPr>
            </w:pPr>
            <w:r>
              <w:rPr>
                <w:rFonts w:ascii="Times New Roman" w:hAnsi="Times New Roman"/>
                <w:sz w:val="16"/>
              </w:rPr>
              <w:t># 16</w:t>
            </w:r>
          </w:p>
        </w:tc>
      </w:tr>
      <w:tr w:rsidR="00D92A0F" w:rsidRPr="00CF4E2F" w14:paraId="35828AC9" w14:textId="77777777" w:rsidTr="0022675C">
        <w:tc>
          <w:tcPr>
            <w:tcW w:w="529" w:type="dxa"/>
            <w:vMerge w:val="restart"/>
            <w:shd w:val="clear" w:color="auto" w:fill="auto"/>
            <w:vAlign w:val="center"/>
          </w:tcPr>
          <w:p w14:paraId="238CBC29" w14:textId="062645B9"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16</w:t>
            </w:r>
          </w:p>
        </w:tc>
        <w:tc>
          <w:tcPr>
            <w:tcW w:w="5550" w:type="dxa"/>
            <w:vMerge w:val="restart"/>
            <w:shd w:val="clear" w:color="auto" w:fill="auto"/>
            <w:vAlign w:val="center"/>
          </w:tcPr>
          <w:p w14:paraId="691B4855" w14:textId="054D7AB1"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Liabilities provided by financial customers?</w:t>
            </w:r>
          </w:p>
        </w:tc>
        <w:tc>
          <w:tcPr>
            <w:tcW w:w="1305" w:type="dxa"/>
            <w:shd w:val="clear" w:color="auto" w:fill="auto"/>
            <w:vAlign w:val="center"/>
          </w:tcPr>
          <w:p w14:paraId="56B2E41B" w14:textId="0868796C" w:rsidR="00D92A0F" w:rsidRDefault="00E679E9" w:rsidP="0022675C">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27E5C9FC" w14:textId="572178D6" w:rsidR="00D92A0F" w:rsidRPr="00AB30A7" w:rsidRDefault="00E679E9" w:rsidP="00E679E9">
            <w:pPr>
              <w:pStyle w:val="TableParagraph"/>
              <w:spacing w:before="32"/>
              <w:jc w:val="center"/>
              <w:rPr>
                <w:rFonts w:ascii="Times New Roman" w:hAnsi="Times New Roman"/>
                <w:sz w:val="16"/>
              </w:rPr>
            </w:pPr>
            <w:r w:rsidRPr="00F44B55">
              <w:rPr>
                <w:rFonts w:ascii="Times New Roman" w:hAnsi="Times New Roman"/>
                <w:sz w:val="16"/>
                <w:szCs w:val="16"/>
              </w:rPr>
              <w:t xml:space="preserve">Allocate </w:t>
            </w:r>
            <w:r>
              <w:rPr>
                <w:rFonts w:ascii="Times New Roman" w:hAnsi="Times New Roman"/>
                <w:sz w:val="16"/>
                <w:szCs w:val="16"/>
              </w:rPr>
              <w:t>into one relevant item of ID 2.5.3</w:t>
            </w:r>
          </w:p>
        </w:tc>
      </w:tr>
      <w:tr w:rsidR="00D92A0F" w:rsidRPr="00CF4E2F" w14:paraId="44FB8399" w14:textId="77777777" w:rsidTr="0022675C">
        <w:tc>
          <w:tcPr>
            <w:tcW w:w="529" w:type="dxa"/>
            <w:vMerge/>
            <w:shd w:val="clear" w:color="auto" w:fill="auto"/>
            <w:vAlign w:val="center"/>
          </w:tcPr>
          <w:p w14:paraId="2C8C42E8" w14:textId="77777777" w:rsidR="00D92A0F" w:rsidRPr="00A0201D" w:rsidRDefault="00D92A0F" w:rsidP="0022675C">
            <w:pPr>
              <w:jc w:val="center"/>
              <w:rPr>
                <w:rFonts w:ascii="Times New Roman" w:eastAsia="Calibri" w:hAnsi="Times New Roman"/>
                <w:sz w:val="22"/>
                <w:lang w:val="en-US"/>
              </w:rPr>
            </w:pPr>
          </w:p>
        </w:tc>
        <w:tc>
          <w:tcPr>
            <w:tcW w:w="5550" w:type="dxa"/>
            <w:vMerge/>
            <w:shd w:val="clear" w:color="auto" w:fill="auto"/>
            <w:vAlign w:val="center"/>
          </w:tcPr>
          <w:p w14:paraId="1BEF7761" w14:textId="77777777" w:rsidR="00D92A0F" w:rsidRPr="00A0201D" w:rsidRDefault="00D92A0F" w:rsidP="0022675C">
            <w:pPr>
              <w:jc w:val="center"/>
              <w:rPr>
                <w:rFonts w:ascii="Times New Roman" w:eastAsia="Calibri" w:hAnsi="Times New Roman"/>
                <w:sz w:val="22"/>
                <w:lang w:val="en-US"/>
              </w:rPr>
            </w:pPr>
          </w:p>
        </w:tc>
        <w:tc>
          <w:tcPr>
            <w:tcW w:w="1305" w:type="dxa"/>
            <w:shd w:val="clear" w:color="auto" w:fill="auto"/>
            <w:vAlign w:val="center"/>
          </w:tcPr>
          <w:p w14:paraId="4CC38773" w14:textId="2B06E2A7" w:rsidR="00D92A0F" w:rsidRDefault="00E679E9" w:rsidP="0022675C">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4301DFF" w14:textId="6377F9EA" w:rsidR="00D92A0F" w:rsidRPr="00AB30A7" w:rsidRDefault="006C5C43" w:rsidP="0022675C">
            <w:pPr>
              <w:pStyle w:val="TableParagraph"/>
              <w:spacing w:before="32"/>
              <w:jc w:val="center"/>
              <w:rPr>
                <w:rFonts w:ascii="Times New Roman" w:hAnsi="Times New Roman"/>
                <w:sz w:val="16"/>
              </w:rPr>
            </w:pPr>
            <w:r>
              <w:rPr>
                <w:rFonts w:ascii="Times New Roman" w:hAnsi="Times New Roman"/>
                <w:sz w:val="16"/>
              </w:rPr>
              <w:t># 17</w:t>
            </w:r>
          </w:p>
        </w:tc>
      </w:tr>
      <w:tr w:rsidR="00D92A0F" w:rsidRPr="00CF4E2F" w14:paraId="59528735" w14:textId="77777777" w:rsidTr="0022675C">
        <w:tc>
          <w:tcPr>
            <w:tcW w:w="529" w:type="dxa"/>
            <w:vMerge w:val="restart"/>
            <w:shd w:val="clear" w:color="auto" w:fill="auto"/>
            <w:vAlign w:val="center"/>
          </w:tcPr>
          <w:p w14:paraId="27389B31" w14:textId="42E802FA"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17</w:t>
            </w:r>
          </w:p>
        </w:tc>
        <w:tc>
          <w:tcPr>
            <w:tcW w:w="5550" w:type="dxa"/>
            <w:vMerge w:val="restart"/>
            <w:shd w:val="clear" w:color="auto" w:fill="auto"/>
            <w:vAlign w:val="center"/>
          </w:tcPr>
          <w:p w14:paraId="41A66045" w14:textId="3D8669A6" w:rsidR="00D92A0F" w:rsidRPr="00A66401" w:rsidRDefault="00E679E9"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Liabilities from non-financial customers other than central banks?</w:t>
            </w:r>
          </w:p>
        </w:tc>
        <w:tc>
          <w:tcPr>
            <w:tcW w:w="1305" w:type="dxa"/>
            <w:shd w:val="clear" w:color="auto" w:fill="auto"/>
            <w:vAlign w:val="center"/>
          </w:tcPr>
          <w:p w14:paraId="26C81D1F" w14:textId="43EB0753" w:rsidR="00D92A0F" w:rsidRPr="006C5C43" w:rsidRDefault="00E679E9" w:rsidP="0022675C">
            <w:pPr>
              <w:pStyle w:val="TableParagraph"/>
              <w:spacing w:before="32"/>
              <w:jc w:val="center"/>
              <w:rPr>
                <w:rFonts w:ascii="Times New Roman" w:hAnsi="Times New Roman"/>
                <w:sz w:val="16"/>
                <w:szCs w:val="16"/>
              </w:rPr>
            </w:pPr>
            <w:r w:rsidRPr="006C5C43">
              <w:rPr>
                <w:rFonts w:ascii="Times New Roman" w:hAnsi="Times New Roman"/>
                <w:sz w:val="16"/>
                <w:szCs w:val="16"/>
              </w:rPr>
              <w:t>Yes</w:t>
            </w:r>
          </w:p>
        </w:tc>
        <w:tc>
          <w:tcPr>
            <w:tcW w:w="2222" w:type="dxa"/>
            <w:shd w:val="clear" w:color="auto" w:fill="auto"/>
            <w:vAlign w:val="center"/>
          </w:tcPr>
          <w:p w14:paraId="6611F0DF" w14:textId="08C593B7" w:rsidR="00D92A0F" w:rsidRPr="00A17240" w:rsidRDefault="00E679E9" w:rsidP="00E679E9">
            <w:pPr>
              <w:pStyle w:val="TableParagraph"/>
              <w:spacing w:before="32"/>
              <w:jc w:val="center"/>
              <w:rPr>
                <w:rFonts w:ascii="Times New Roman" w:hAnsi="Times New Roman"/>
                <w:sz w:val="16"/>
                <w:szCs w:val="16"/>
              </w:rPr>
            </w:pPr>
            <w:r w:rsidRPr="006C5C43">
              <w:rPr>
                <w:rFonts w:ascii="Times New Roman" w:hAnsi="Times New Roman"/>
                <w:sz w:val="16"/>
                <w:szCs w:val="16"/>
              </w:rPr>
              <w:t xml:space="preserve">Allocate </w:t>
            </w:r>
            <w:r w:rsidR="006C5C43" w:rsidRPr="006C5C43">
              <w:rPr>
                <w:rFonts w:ascii="Times New Roman" w:hAnsi="Times New Roman"/>
                <w:sz w:val="16"/>
                <w:szCs w:val="16"/>
              </w:rPr>
              <w:t>into relevant item of ID 2.3</w:t>
            </w:r>
          </w:p>
        </w:tc>
      </w:tr>
      <w:tr w:rsidR="00D92A0F" w:rsidRPr="00CF4E2F" w14:paraId="167F3423" w14:textId="77777777" w:rsidTr="0022675C">
        <w:tc>
          <w:tcPr>
            <w:tcW w:w="529" w:type="dxa"/>
            <w:vMerge/>
            <w:shd w:val="clear" w:color="auto" w:fill="auto"/>
            <w:vAlign w:val="center"/>
          </w:tcPr>
          <w:p w14:paraId="5919263B" w14:textId="77777777" w:rsidR="00D92A0F" w:rsidRPr="00A66401" w:rsidRDefault="00D92A0F" w:rsidP="0022675C">
            <w:pPr>
              <w:jc w:val="center"/>
              <w:rPr>
                <w:rFonts w:ascii="Times New Roman" w:eastAsia="Calibri" w:hAnsi="Times New Roman"/>
                <w:sz w:val="16"/>
                <w:szCs w:val="16"/>
                <w:lang w:val="en-US"/>
              </w:rPr>
            </w:pPr>
          </w:p>
        </w:tc>
        <w:tc>
          <w:tcPr>
            <w:tcW w:w="5550" w:type="dxa"/>
            <w:vMerge/>
            <w:shd w:val="clear" w:color="auto" w:fill="auto"/>
            <w:vAlign w:val="center"/>
          </w:tcPr>
          <w:p w14:paraId="34DC83C5" w14:textId="77777777" w:rsidR="00D92A0F" w:rsidRPr="00A66401" w:rsidRDefault="00D92A0F" w:rsidP="0022675C">
            <w:pPr>
              <w:jc w:val="center"/>
              <w:rPr>
                <w:rFonts w:ascii="Times New Roman" w:eastAsia="Calibri" w:hAnsi="Times New Roman"/>
                <w:sz w:val="16"/>
                <w:szCs w:val="16"/>
                <w:lang w:val="en-US"/>
              </w:rPr>
            </w:pPr>
          </w:p>
        </w:tc>
        <w:tc>
          <w:tcPr>
            <w:tcW w:w="1305" w:type="dxa"/>
            <w:shd w:val="clear" w:color="auto" w:fill="auto"/>
            <w:vAlign w:val="center"/>
          </w:tcPr>
          <w:p w14:paraId="0AB7EA58" w14:textId="688FE270" w:rsidR="00D92A0F" w:rsidRPr="006C5C43" w:rsidRDefault="00E679E9" w:rsidP="0022675C">
            <w:pPr>
              <w:pStyle w:val="TableParagraph"/>
              <w:spacing w:before="32"/>
              <w:jc w:val="center"/>
              <w:rPr>
                <w:rFonts w:ascii="Times New Roman" w:hAnsi="Times New Roman"/>
                <w:sz w:val="16"/>
                <w:szCs w:val="16"/>
              </w:rPr>
            </w:pPr>
            <w:r w:rsidRPr="006C5C43">
              <w:rPr>
                <w:rFonts w:ascii="Times New Roman" w:hAnsi="Times New Roman"/>
                <w:sz w:val="16"/>
                <w:szCs w:val="16"/>
              </w:rPr>
              <w:t>No</w:t>
            </w:r>
          </w:p>
        </w:tc>
        <w:tc>
          <w:tcPr>
            <w:tcW w:w="2222" w:type="dxa"/>
            <w:shd w:val="clear" w:color="auto" w:fill="auto"/>
            <w:vAlign w:val="center"/>
          </w:tcPr>
          <w:p w14:paraId="4CA5FA46" w14:textId="0CBB7042" w:rsidR="00D92A0F" w:rsidRPr="006C5C43" w:rsidRDefault="006C5C43" w:rsidP="0022675C">
            <w:pPr>
              <w:pStyle w:val="TableParagraph"/>
              <w:spacing w:before="32"/>
              <w:jc w:val="center"/>
              <w:rPr>
                <w:rFonts w:ascii="Times New Roman" w:hAnsi="Times New Roman"/>
                <w:sz w:val="16"/>
                <w:szCs w:val="16"/>
              </w:rPr>
            </w:pPr>
            <w:r>
              <w:rPr>
                <w:rFonts w:ascii="Times New Roman" w:hAnsi="Times New Roman"/>
                <w:sz w:val="16"/>
              </w:rPr>
              <w:t># 18</w:t>
            </w:r>
          </w:p>
        </w:tc>
      </w:tr>
      <w:tr w:rsidR="00D92A0F" w:rsidRPr="00CF4E2F" w14:paraId="79E71DE2" w14:textId="77777777" w:rsidTr="0022675C">
        <w:tc>
          <w:tcPr>
            <w:tcW w:w="529" w:type="dxa"/>
            <w:vMerge w:val="restart"/>
            <w:shd w:val="clear" w:color="auto" w:fill="auto"/>
            <w:vAlign w:val="center"/>
          </w:tcPr>
          <w:p w14:paraId="0BC9923E" w14:textId="0DCE5D2F" w:rsidR="00D92A0F" w:rsidRPr="00A66401" w:rsidRDefault="006C5C43"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18</w:t>
            </w:r>
          </w:p>
        </w:tc>
        <w:tc>
          <w:tcPr>
            <w:tcW w:w="5550" w:type="dxa"/>
            <w:vMerge w:val="restart"/>
            <w:shd w:val="clear" w:color="auto" w:fill="auto"/>
            <w:vAlign w:val="center"/>
          </w:tcPr>
          <w:p w14:paraId="4EFBFA10" w14:textId="2A82D602" w:rsidR="00D92A0F" w:rsidRPr="00A66401" w:rsidRDefault="006C5C43" w:rsidP="0022675C">
            <w:pPr>
              <w:jc w:val="center"/>
              <w:rPr>
                <w:rFonts w:ascii="Times New Roman" w:eastAsia="Calibri" w:hAnsi="Times New Roman"/>
                <w:sz w:val="16"/>
                <w:szCs w:val="16"/>
                <w:lang w:val="en-US"/>
              </w:rPr>
            </w:pPr>
            <w:r w:rsidRPr="00A66401">
              <w:rPr>
                <w:rFonts w:ascii="Times New Roman" w:eastAsia="Calibri" w:hAnsi="Times New Roman"/>
                <w:sz w:val="16"/>
                <w:szCs w:val="16"/>
                <w:lang w:val="en-US"/>
              </w:rPr>
              <w:t>Any other liabilities not considered in the above categories?</w:t>
            </w:r>
          </w:p>
        </w:tc>
        <w:tc>
          <w:tcPr>
            <w:tcW w:w="1305" w:type="dxa"/>
            <w:shd w:val="clear" w:color="auto" w:fill="auto"/>
            <w:vAlign w:val="center"/>
          </w:tcPr>
          <w:p w14:paraId="33B511BA" w14:textId="7858C34B" w:rsidR="00D92A0F" w:rsidRPr="00A17240" w:rsidRDefault="006C5C43" w:rsidP="0022675C">
            <w:pPr>
              <w:pStyle w:val="TableParagraph"/>
              <w:spacing w:before="32"/>
              <w:jc w:val="center"/>
              <w:rPr>
                <w:rFonts w:ascii="Times New Roman" w:hAnsi="Times New Roman"/>
                <w:sz w:val="16"/>
                <w:szCs w:val="16"/>
              </w:rPr>
            </w:pPr>
            <w:r w:rsidRPr="006C5C43">
              <w:rPr>
                <w:rFonts w:ascii="Times New Roman" w:hAnsi="Times New Roman"/>
                <w:sz w:val="16"/>
                <w:szCs w:val="16"/>
              </w:rPr>
              <w:t>Yes</w:t>
            </w:r>
          </w:p>
        </w:tc>
        <w:tc>
          <w:tcPr>
            <w:tcW w:w="2222" w:type="dxa"/>
            <w:shd w:val="clear" w:color="auto" w:fill="auto"/>
            <w:vAlign w:val="center"/>
          </w:tcPr>
          <w:p w14:paraId="4475E536" w14:textId="19A8A026" w:rsidR="00D92A0F" w:rsidRPr="00D057CB" w:rsidRDefault="006C5C43" w:rsidP="0022675C">
            <w:pPr>
              <w:pStyle w:val="TableParagraph"/>
              <w:spacing w:before="32"/>
              <w:jc w:val="center"/>
              <w:rPr>
                <w:rFonts w:ascii="Times New Roman" w:hAnsi="Times New Roman"/>
                <w:sz w:val="16"/>
                <w:szCs w:val="16"/>
              </w:rPr>
            </w:pPr>
            <w:r w:rsidRPr="00D057CB">
              <w:rPr>
                <w:rFonts w:ascii="Times New Roman" w:hAnsi="Times New Roman"/>
                <w:sz w:val="16"/>
                <w:szCs w:val="16"/>
              </w:rPr>
              <w:t>ID 2.9.4</w:t>
            </w:r>
          </w:p>
        </w:tc>
      </w:tr>
      <w:tr w:rsidR="00D92A0F" w:rsidRPr="00CF4E2F" w14:paraId="06E5075C" w14:textId="77777777" w:rsidTr="0022675C">
        <w:tc>
          <w:tcPr>
            <w:tcW w:w="529" w:type="dxa"/>
            <w:vMerge/>
            <w:shd w:val="clear" w:color="auto" w:fill="auto"/>
            <w:vAlign w:val="center"/>
          </w:tcPr>
          <w:p w14:paraId="3F82DC75" w14:textId="77777777" w:rsidR="00D92A0F" w:rsidRPr="00A66401" w:rsidRDefault="00D92A0F" w:rsidP="0022675C">
            <w:pPr>
              <w:jc w:val="center"/>
              <w:rPr>
                <w:rFonts w:ascii="Times New Roman" w:eastAsia="Calibri" w:hAnsi="Times New Roman"/>
                <w:sz w:val="16"/>
                <w:szCs w:val="16"/>
                <w:lang w:val="en-US"/>
              </w:rPr>
            </w:pPr>
          </w:p>
        </w:tc>
        <w:tc>
          <w:tcPr>
            <w:tcW w:w="5550" w:type="dxa"/>
            <w:vMerge/>
            <w:shd w:val="clear" w:color="auto" w:fill="auto"/>
            <w:vAlign w:val="center"/>
          </w:tcPr>
          <w:p w14:paraId="1A5049ED" w14:textId="77777777" w:rsidR="00D92A0F" w:rsidRPr="00A66401" w:rsidRDefault="00D92A0F" w:rsidP="0022675C">
            <w:pPr>
              <w:jc w:val="center"/>
              <w:rPr>
                <w:rFonts w:ascii="Times New Roman" w:eastAsia="Calibri" w:hAnsi="Times New Roman"/>
                <w:sz w:val="16"/>
                <w:szCs w:val="16"/>
                <w:lang w:val="en-US"/>
              </w:rPr>
            </w:pPr>
          </w:p>
        </w:tc>
        <w:tc>
          <w:tcPr>
            <w:tcW w:w="1305" w:type="dxa"/>
            <w:shd w:val="clear" w:color="auto" w:fill="auto"/>
            <w:vAlign w:val="center"/>
          </w:tcPr>
          <w:p w14:paraId="1530BF46" w14:textId="004919C6" w:rsidR="00D92A0F" w:rsidRPr="00A17240" w:rsidRDefault="006C5C43" w:rsidP="0022675C">
            <w:pPr>
              <w:pStyle w:val="TableParagraph"/>
              <w:spacing w:before="32"/>
              <w:jc w:val="center"/>
              <w:rPr>
                <w:rFonts w:ascii="Times New Roman" w:hAnsi="Times New Roman"/>
                <w:sz w:val="16"/>
                <w:szCs w:val="16"/>
              </w:rPr>
            </w:pPr>
            <w:r w:rsidRPr="006C5C43">
              <w:rPr>
                <w:rFonts w:ascii="Times New Roman" w:hAnsi="Times New Roman"/>
                <w:sz w:val="16"/>
                <w:szCs w:val="16"/>
              </w:rPr>
              <w:t>No</w:t>
            </w:r>
          </w:p>
        </w:tc>
        <w:tc>
          <w:tcPr>
            <w:tcW w:w="2222" w:type="dxa"/>
            <w:shd w:val="clear" w:color="auto" w:fill="auto"/>
            <w:vAlign w:val="center"/>
          </w:tcPr>
          <w:p w14:paraId="0A26A06C" w14:textId="75149A63" w:rsidR="00D92A0F" w:rsidRPr="00D057CB" w:rsidRDefault="006C5C43" w:rsidP="0022675C">
            <w:pPr>
              <w:pStyle w:val="TableParagraph"/>
              <w:spacing w:before="32"/>
              <w:jc w:val="center"/>
              <w:rPr>
                <w:rFonts w:ascii="Times New Roman" w:hAnsi="Times New Roman"/>
                <w:sz w:val="16"/>
                <w:szCs w:val="16"/>
              </w:rPr>
            </w:pPr>
            <w:r w:rsidRPr="00D057CB">
              <w:rPr>
                <w:rFonts w:ascii="Times New Roman" w:hAnsi="Times New Roman"/>
                <w:sz w:val="16"/>
                <w:szCs w:val="16"/>
              </w:rPr>
              <w:t>Do not report.</w:t>
            </w:r>
          </w:p>
        </w:tc>
      </w:tr>
    </w:tbl>
    <w:p w14:paraId="7A0B010C" w14:textId="77777777" w:rsidR="00D030C4" w:rsidRDefault="00D030C4" w:rsidP="00D967E5">
      <w:pPr>
        <w:pStyle w:val="BodyText1"/>
        <w:spacing w:before="120" w:after="120"/>
        <w:ind w:left="720"/>
        <w:rPr>
          <w:rFonts w:ascii="Times New Roman" w:hAnsi="Times New Roman"/>
          <w:b/>
          <w:sz w:val="24"/>
          <w:szCs w:val="24"/>
          <w:lang w:val="en-US"/>
        </w:rPr>
      </w:pPr>
    </w:p>
    <w:p w14:paraId="050FA23D" w14:textId="1407606D" w:rsidR="002509EB" w:rsidRPr="00A66401" w:rsidRDefault="002509EB" w:rsidP="0055437F">
      <w:pPr>
        <w:pStyle w:val="BodyText1"/>
        <w:numPr>
          <w:ilvl w:val="0"/>
          <w:numId w:val="27"/>
        </w:numPr>
        <w:spacing w:before="120" w:after="120"/>
        <w:ind w:left="714" w:hanging="357"/>
        <w:outlineLvl w:val="0"/>
        <w:rPr>
          <w:rFonts w:ascii="Times New Roman" w:hAnsi="Times New Roman"/>
          <w:b/>
          <w:sz w:val="24"/>
          <w:szCs w:val="24"/>
          <w:lang w:val="en-US"/>
        </w:rPr>
      </w:pPr>
      <w:bookmarkStart w:id="22" w:name="_Toc7641924"/>
      <w:r w:rsidRPr="00A66401">
        <w:rPr>
          <w:rFonts w:ascii="Times New Roman" w:hAnsi="Times New Roman"/>
          <w:b/>
          <w:sz w:val="24"/>
          <w:szCs w:val="24"/>
          <w:lang w:val="en-US"/>
        </w:rPr>
        <w:t>Instructions concerning specific columns</w:t>
      </w:r>
      <w:bookmarkEnd w:id="22"/>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2509EB" w:rsidRPr="00CF4E2F" w14:paraId="48F7A0A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2DC045E3" w14:textId="77777777" w:rsidR="002509EB" w:rsidRPr="00CF4E2F" w:rsidRDefault="002509EB" w:rsidP="003A4A78">
            <w:pPr>
              <w:pStyle w:val="TableParagraph"/>
              <w:spacing w:before="117" w:after="120"/>
              <w:ind w:left="102"/>
              <w:rPr>
                <w:rFonts w:ascii="Times New Roman" w:hAnsi="Times New Roman"/>
                <w:sz w:val="18"/>
                <w:szCs w:val="18"/>
              </w:rPr>
            </w:pPr>
            <w:r w:rsidRPr="00CF4E2F">
              <w:rPr>
                <w:rFonts w:ascii="Times New Roman"/>
                <w:spacing w:val="-1"/>
                <w:sz w:val="18"/>
                <w:szCs w:val="18"/>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4445E88F" w14:textId="77777777" w:rsidR="002509EB" w:rsidRPr="0040192D" w:rsidRDefault="002509EB" w:rsidP="003A4A78">
            <w:pPr>
              <w:pStyle w:val="TableParagraph"/>
              <w:spacing w:before="117" w:after="120"/>
              <w:ind w:left="102"/>
              <w:rPr>
                <w:rFonts w:ascii="Times New Roman" w:hAnsi="Times New Roman"/>
                <w:bCs/>
                <w:sz w:val="18"/>
                <w:szCs w:val="18"/>
                <w:u w:val="single"/>
              </w:rPr>
            </w:pPr>
            <w:r w:rsidRPr="0040192D">
              <w:rPr>
                <w:rFonts w:ascii="Times New Roman" w:hAnsi="Times New Roman"/>
                <w:sz w:val="18"/>
                <w:szCs w:val="18"/>
              </w:rPr>
              <w:t xml:space="preserve">Legal </w:t>
            </w:r>
            <w:r w:rsidRPr="0040192D">
              <w:rPr>
                <w:rFonts w:ascii="Times New Roman"/>
                <w:spacing w:val="-1"/>
                <w:sz w:val="18"/>
                <w:szCs w:val="18"/>
              </w:rPr>
              <w:t>references</w:t>
            </w:r>
            <w:r w:rsidRPr="0040192D">
              <w:rPr>
                <w:rFonts w:ascii="Times New Roman" w:hAnsi="Times New Roman"/>
                <w:sz w:val="18"/>
                <w:szCs w:val="18"/>
              </w:rPr>
              <w:t xml:space="preserve"> and instructions</w:t>
            </w:r>
          </w:p>
        </w:tc>
      </w:tr>
      <w:tr w:rsidR="002509EB" w:rsidRPr="00CF4E2F" w14:paraId="5F5138F6" w14:textId="77777777" w:rsidTr="003A4A78">
        <w:trPr>
          <w:trHeight w:val="304"/>
        </w:trPr>
        <w:tc>
          <w:tcPr>
            <w:tcW w:w="1418" w:type="dxa"/>
          </w:tcPr>
          <w:p w14:paraId="5EDACCF4" w14:textId="77777777" w:rsidR="002509EB" w:rsidRPr="00CF4E2F" w:rsidRDefault="002509EB"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sz w:val="18"/>
                <w:szCs w:val="18"/>
              </w:rPr>
              <w:t>0010-0030</w:t>
            </w:r>
          </w:p>
        </w:tc>
        <w:tc>
          <w:tcPr>
            <w:tcW w:w="7590" w:type="dxa"/>
          </w:tcPr>
          <w:p w14:paraId="0AF5A5E1" w14:textId="20028FFE" w:rsidR="002509EB" w:rsidRPr="0040192D" w:rsidRDefault="005074D1" w:rsidP="003A4A78">
            <w:pPr>
              <w:pStyle w:val="TableParagraph"/>
              <w:spacing w:before="119"/>
              <w:ind w:left="102"/>
              <w:rPr>
                <w:rFonts w:ascii="Times New Roman"/>
                <w:b/>
                <w:sz w:val="18"/>
                <w:szCs w:val="18"/>
                <w:u w:val="single"/>
              </w:rPr>
            </w:pPr>
            <w:r w:rsidRPr="0040192D">
              <w:rPr>
                <w:rFonts w:ascii="Times New Roman"/>
                <w:b/>
                <w:sz w:val="18"/>
                <w:szCs w:val="18"/>
                <w:u w:val="single"/>
              </w:rPr>
              <w:t>Amount</w:t>
            </w:r>
          </w:p>
          <w:p w14:paraId="0CE9582C" w14:textId="445F3A47" w:rsidR="002509EB" w:rsidRPr="00CF4E2F" w:rsidRDefault="002509EB" w:rsidP="00022762">
            <w:pPr>
              <w:pStyle w:val="TableParagraph"/>
              <w:spacing w:before="117"/>
              <w:ind w:left="102" w:right="96"/>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in columns 010-030 the </w:t>
            </w:r>
            <w:r w:rsidR="005074D1" w:rsidRPr="00CF4E2F">
              <w:rPr>
                <w:rFonts w:ascii="Times New Roman" w:eastAsia="Times New Roman" w:hAnsi="Times New Roman" w:cs="Times New Roman"/>
                <w:sz w:val="18"/>
                <w:szCs w:val="18"/>
              </w:rPr>
              <w:t>amount</w:t>
            </w:r>
            <w:r w:rsidRPr="00CF4E2F">
              <w:rPr>
                <w:rFonts w:ascii="Times New Roman" w:eastAsia="Times New Roman" w:hAnsi="Times New Roman" w:cs="Times New Roman"/>
                <w:sz w:val="18"/>
                <w:szCs w:val="18"/>
              </w:rPr>
              <w:t xml:space="preserve"> of liabilities and own funds allocated to the applicable residual maturity bucket.</w:t>
            </w:r>
          </w:p>
          <w:p w14:paraId="6EE842A2" w14:textId="77777777" w:rsidR="002509EB" w:rsidRPr="00CF4E2F" w:rsidRDefault="002509EB" w:rsidP="00791CBB">
            <w:pPr>
              <w:pStyle w:val="TableParagraph"/>
              <w:ind w:left="102"/>
              <w:rPr>
                <w:rFonts w:ascii="Times New Roman" w:eastAsia="Times New Roman" w:hAnsi="Times New Roman" w:cs="Times New Roman"/>
                <w:sz w:val="18"/>
                <w:szCs w:val="18"/>
              </w:rPr>
            </w:pPr>
          </w:p>
        </w:tc>
      </w:tr>
      <w:tr w:rsidR="002509EB" w:rsidRPr="00CF4E2F" w14:paraId="085EF463" w14:textId="77777777" w:rsidTr="003A4A78">
        <w:trPr>
          <w:trHeight w:val="304"/>
        </w:trPr>
        <w:tc>
          <w:tcPr>
            <w:tcW w:w="1418" w:type="dxa"/>
          </w:tcPr>
          <w:p w14:paraId="4A0315CD" w14:textId="77777777" w:rsidR="002509EB" w:rsidRPr="00A0201D" w:rsidRDefault="002509EB" w:rsidP="003A4A78">
            <w:pPr>
              <w:pStyle w:val="TableParagraph"/>
              <w:spacing w:before="118"/>
              <w:ind w:left="57" w:right="96"/>
              <w:jc w:val="both"/>
              <w:rPr>
                <w:rFonts w:ascii="Times New Roman" w:eastAsia="Times New Roman" w:hAnsi="Times New Roman" w:cs="Times New Roman"/>
                <w:sz w:val="18"/>
                <w:szCs w:val="18"/>
              </w:rPr>
            </w:pPr>
            <w:r w:rsidRPr="00A0201D">
              <w:rPr>
                <w:rFonts w:ascii="Times New Roman" w:eastAsia="Times New Roman" w:hAnsi="Times New Roman" w:cs="Times New Roman"/>
                <w:sz w:val="18"/>
                <w:szCs w:val="18"/>
              </w:rPr>
              <w:t>0040-0060</w:t>
            </w:r>
          </w:p>
        </w:tc>
        <w:tc>
          <w:tcPr>
            <w:tcW w:w="7590" w:type="dxa"/>
          </w:tcPr>
          <w:p w14:paraId="73682A8B" w14:textId="77777777" w:rsidR="002509EB" w:rsidRPr="00CF4E2F" w:rsidRDefault="002509EB" w:rsidP="003A4A78">
            <w:pPr>
              <w:pStyle w:val="TableParagraph"/>
              <w:spacing w:before="119"/>
              <w:ind w:left="102"/>
              <w:rPr>
                <w:rFonts w:ascii="Times New Roman"/>
                <w:b/>
                <w:sz w:val="18"/>
                <w:szCs w:val="18"/>
                <w:u w:val="single"/>
              </w:rPr>
            </w:pPr>
            <w:r w:rsidRPr="00CF4E2F">
              <w:rPr>
                <w:rFonts w:ascii="Times New Roman"/>
                <w:b/>
                <w:sz w:val="18"/>
                <w:szCs w:val="18"/>
                <w:u w:val="single"/>
              </w:rPr>
              <w:t>Standard ASF factor</w:t>
            </w:r>
          </w:p>
          <w:p w14:paraId="70A7F8D1" w14:textId="5577D616" w:rsidR="00416B4D" w:rsidRPr="00CF4E2F" w:rsidRDefault="00416B4D" w:rsidP="00416B4D">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Section 2 of Chapter 3 of </w:t>
            </w:r>
            <w:r w:rsidR="00607717">
              <w:rPr>
                <w:rFonts w:ascii="Times New Roman" w:eastAsia="Times New Roman" w:hAnsi="Times New Roman" w:cs="Times New Roman"/>
                <w:sz w:val="18"/>
                <w:szCs w:val="18"/>
              </w:rPr>
              <w:t xml:space="preserve">Title IV of </w:t>
            </w:r>
            <w:r w:rsidR="00964733">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CRR</w:t>
            </w:r>
            <w:r w:rsidR="00B95EEB">
              <w:rPr>
                <w:rFonts w:ascii="Times New Roman" w:eastAsia="Times New Roman" w:hAnsi="Times New Roman" w:cs="Times New Roman"/>
                <w:sz w:val="18"/>
                <w:szCs w:val="18"/>
              </w:rPr>
              <w:t>.</w:t>
            </w:r>
          </w:p>
          <w:p w14:paraId="77015DE9" w14:textId="5D859A7B" w:rsidR="00416B4D" w:rsidRPr="00CF4E2F" w:rsidRDefault="00416B4D" w:rsidP="00416B4D">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standard factors in columns 0040-0060 are those specified in Chapter 3 of </w:t>
            </w:r>
            <w:r w:rsidR="00607717">
              <w:rPr>
                <w:rFonts w:ascii="Times New Roman" w:eastAsia="Times New Roman" w:hAnsi="Times New Roman" w:cs="Times New Roman"/>
                <w:sz w:val="18"/>
                <w:szCs w:val="18"/>
              </w:rPr>
              <w:t xml:space="preserve">Title IV of </w:t>
            </w:r>
            <w:r w:rsidR="00964733">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 xml:space="preserve">CRR by default that would determine the part of the </w:t>
            </w:r>
            <w:r w:rsidR="005074D1" w:rsidRPr="00CF4E2F">
              <w:rPr>
                <w:rFonts w:ascii="Times New Roman" w:eastAsia="Times New Roman" w:hAnsi="Times New Roman" w:cs="Times New Roman"/>
                <w:sz w:val="18"/>
                <w:szCs w:val="18"/>
              </w:rPr>
              <w:t>amount</w:t>
            </w:r>
            <w:r w:rsidRPr="00CF4E2F">
              <w:rPr>
                <w:rFonts w:ascii="Times New Roman" w:eastAsia="Times New Roman" w:hAnsi="Times New Roman" w:cs="Times New Roman"/>
                <w:sz w:val="18"/>
                <w:szCs w:val="18"/>
              </w:rPr>
              <w:t xml:space="preserve"> of the liabilities and own funds that </w:t>
            </w:r>
            <w:r w:rsidR="00B11452">
              <w:rPr>
                <w:rFonts w:ascii="Times New Roman" w:eastAsia="Times New Roman" w:hAnsi="Times New Roman" w:cs="Times New Roman"/>
                <w:sz w:val="18"/>
                <w:szCs w:val="18"/>
              </w:rPr>
              <w:t>constitutes</w:t>
            </w:r>
            <w:r w:rsidR="00B11452"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available stable funding.</w:t>
            </w:r>
            <w:r w:rsidRPr="00CF4E2F">
              <w:rPr>
                <w:sz w:val="18"/>
                <w:szCs w:val="18"/>
              </w:rPr>
              <w:t xml:space="preserve"> </w:t>
            </w:r>
            <w:r w:rsidRPr="00CF4E2F">
              <w:rPr>
                <w:rFonts w:ascii="Times New Roman" w:eastAsia="Times New Roman" w:hAnsi="Times New Roman" w:cs="Times New Roman"/>
                <w:sz w:val="18"/>
                <w:szCs w:val="18"/>
              </w:rPr>
              <w:t>They are provided for information only and are not meant to be filled in by institutions.</w:t>
            </w:r>
          </w:p>
          <w:p w14:paraId="5308818E" w14:textId="77777777" w:rsidR="002509EB" w:rsidRPr="00CF4E2F" w:rsidRDefault="002509EB" w:rsidP="00791CBB">
            <w:pPr>
              <w:pStyle w:val="TableParagraph"/>
              <w:ind w:left="102" w:right="99"/>
              <w:rPr>
                <w:rFonts w:ascii="Times New Roman" w:eastAsia="Times New Roman" w:hAnsi="Times New Roman" w:cs="Times New Roman"/>
                <w:sz w:val="18"/>
                <w:szCs w:val="18"/>
              </w:rPr>
            </w:pPr>
          </w:p>
        </w:tc>
      </w:tr>
      <w:tr w:rsidR="002509EB" w:rsidRPr="00CF4E2F" w14:paraId="722F253D" w14:textId="77777777" w:rsidTr="003A4A78">
        <w:trPr>
          <w:trHeight w:val="304"/>
        </w:trPr>
        <w:tc>
          <w:tcPr>
            <w:tcW w:w="1418" w:type="dxa"/>
          </w:tcPr>
          <w:p w14:paraId="3DD23E9A" w14:textId="77777777" w:rsidR="002509EB" w:rsidRPr="00CF4E2F" w:rsidRDefault="002509EB"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0070-0090</w:t>
            </w:r>
          </w:p>
        </w:tc>
        <w:tc>
          <w:tcPr>
            <w:tcW w:w="7590" w:type="dxa"/>
          </w:tcPr>
          <w:p w14:paraId="45B85C1B" w14:textId="77777777" w:rsidR="002509EB" w:rsidRPr="00A0201D" w:rsidRDefault="002509EB" w:rsidP="003A4A78">
            <w:pPr>
              <w:pStyle w:val="TableParagraph"/>
              <w:spacing w:before="119"/>
              <w:ind w:left="102"/>
              <w:rPr>
                <w:rFonts w:ascii="Times New Roman"/>
                <w:b/>
                <w:sz w:val="18"/>
                <w:szCs w:val="18"/>
                <w:u w:val="single"/>
              </w:rPr>
            </w:pPr>
            <w:r w:rsidRPr="0040192D">
              <w:rPr>
                <w:rFonts w:ascii="Times New Roman"/>
                <w:b/>
                <w:sz w:val="18"/>
                <w:szCs w:val="18"/>
                <w:u w:val="single"/>
              </w:rPr>
              <w:t>Applicable ASF factor</w:t>
            </w:r>
          </w:p>
          <w:p w14:paraId="27C1F721" w14:textId="15522065" w:rsidR="00590569" w:rsidRPr="00A66401" w:rsidRDefault="00590569" w:rsidP="00A66401">
            <w:pPr>
              <w:pStyle w:val="TableParagraph"/>
              <w:spacing w:before="117"/>
              <w:ind w:left="102" w:right="99"/>
              <w:rPr>
                <w:rFonts w:ascii="Times New Roman" w:eastAsia="Times New Roman" w:hAnsi="Times New Roman" w:cs="Times New Roman"/>
                <w:color w:val="000000"/>
                <w:sz w:val="18"/>
                <w:szCs w:val="18"/>
              </w:rPr>
            </w:pPr>
            <w:r w:rsidRPr="00A66401">
              <w:rPr>
                <w:rFonts w:ascii="Times New Roman" w:eastAsia="Times New Roman" w:hAnsi="Times New Roman" w:cs="Times New Roman"/>
                <w:color w:val="000000"/>
                <w:sz w:val="18"/>
                <w:szCs w:val="18"/>
              </w:rPr>
              <w:t xml:space="preserve">Chapter 2 and Chapter 3 of </w:t>
            </w:r>
            <w:r w:rsidR="00607717">
              <w:rPr>
                <w:rFonts w:ascii="Times New Roman" w:eastAsia="Times New Roman" w:hAnsi="Times New Roman" w:cs="Times New Roman"/>
                <w:color w:val="000000"/>
                <w:sz w:val="18"/>
                <w:szCs w:val="18"/>
              </w:rPr>
              <w:t xml:space="preserve">Title IV of </w:t>
            </w:r>
            <w:r w:rsidR="00964733">
              <w:rPr>
                <w:rFonts w:ascii="Times New Roman" w:eastAsia="Times New Roman" w:hAnsi="Times New Roman" w:cs="Times New Roman"/>
                <w:color w:val="000000"/>
                <w:sz w:val="18"/>
                <w:szCs w:val="18"/>
              </w:rPr>
              <w:t xml:space="preserve">Part Six of </w:t>
            </w:r>
            <w:r w:rsidRPr="00A66401">
              <w:rPr>
                <w:rFonts w:ascii="Times New Roman" w:eastAsia="Times New Roman" w:hAnsi="Times New Roman" w:cs="Times New Roman"/>
                <w:color w:val="000000"/>
                <w:sz w:val="18"/>
                <w:szCs w:val="18"/>
              </w:rPr>
              <w:t>CRR.</w:t>
            </w:r>
          </w:p>
          <w:p w14:paraId="081713D4" w14:textId="5F003677" w:rsidR="002509EB" w:rsidRPr="00CF4E2F" w:rsidRDefault="002509EB" w:rsidP="003A4A78">
            <w:pPr>
              <w:pStyle w:val="TableParagraph"/>
              <w:spacing w:before="119"/>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in columns 0070-0090 the applicable ASF factors </w:t>
            </w:r>
            <w:r w:rsidR="00590569" w:rsidRPr="00CF4E2F">
              <w:rPr>
                <w:rFonts w:ascii="Times New Roman" w:eastAsia="Times New Roman" w:hAnsi="Times New Roman" w:cs="Times New Roman"/>
                <w:sz w:val="18"/>
                <w:szCs w:val="18"/>
              </w:rPr>
              <w:t xml:space="preserve">in Chapter 3 </w:t>
            </w:r>
            <w:r w:rsidR="00607717">
              <w:rPr>
                <w:rFonts w:ascii="Times New Roman" w:eastAsia="Times New Roman" w:hAnsi="Times New Roman" w:cs="Times New Roman"/>
                <w:sz w:val="18"/>
                <w:szCs w:val="18"/>
              </w:rPr>
              <w:t xml:space="preserve">of Title IV of Part Six of CRR </w:t>
            </w:r>
            <w:r w:rsidRPr="00CF4E2F">
              <w:rPr>
                <w:rFonts w:ascii="Times New Roman" w:eastAsia="Times New Roman" w:hAnsi="Times New Roman" w:cs="Times New Roman"/>
                <w:sz w:val="18"/>
                <w:szCs w:val="18"/>
              </w:rPr>
              <w:t xml:space="preserve">as weights that, multiplied by the </w:t>
            </w:r>
            <w:r w:rsidR="005074D1" w:rsidRPr="00CF4E2F">
              <w:rPr>
                <w:rFonts w:ascii="Times New Roman" w:eastAsia="Times New Roman" w:hAnsi="Times New Roman" w:cs="Times New Roman"/>
                <w:sz w:val="18"/>
                <w:szCs w:val="18"/>
              </w:rPr>
              <w:t>amount</w:t>
            </w:r>
            <w:r w:rsidRPr="00CF4E2F">
              <w:rPr>
                <w:rFonts w:ascii="Times New Roman" w:eastAsia="Times New Roman" w:hAnsi="Times New Roman" w:cs="Times New Roman"/>
                <w:sz w:val="18"/>
                <w:szCs w:val="18"/>
              </w:rPr>
              <w:t xml:space="preserve"> of the liabilities or own funds, would determine the amount of the relevant available stable funding. Applicable factors may result in weighted average values and shall be reported in decimal terms (i.e. 1.00 for an applicable weight of 100 per cent, or 0.50 for an applicable weight of 50 per cent). Applicable factors may reflect, but are not limited to, firm-specific and national discretions.</w:t>
            </w:r>
          </w:p>
          <w:p w14:paraId="4CB2608F" w14:textId="56B8B89F" w:rsidR="00CD6B31" w:rsidRPr="00CF4E2F" w:rsidRDefault="00CD6B31" w:rsidP="00791CBB">
            <w:pPr>
              <w:pStyle w:val="TableParagraph"/>
              <w:ind w:left="102" w:right="99"/>
              <w:rPr>
                <w:rFonts w:ascii="Times New Roman"/>
                <w:b/>
                <w:sz w:val="18"/>
                <w:szCs w:val="18"/>
                <w:u w:val="single"/>
              </w:rPr>
            </w:pPr>
          </w:p>
        </w:tc>
      </w:tr>
      <w:tr w:rsidR="002509EB" w:rsidRPr="00CF4E2F" w14:paraId="6BF34031"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5B48674" w14:textId="77777777" w:rsidR="002509EB" w:rsidRPr="00CF4E2F" w:rsidRDefault="002509EB"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0100</w:t>
            </w:r>
          </w:p>
        </w:tc>
        <w:tc>
          <w:tcPr>
            <w:tcW w:w="7590" w:type="dxa"/>
            <w:tcBorders>
              <w:top w:val="single" w:sz="4" w:space="0" w:color="auto"/>
              <w:left w:val="single" w:sz="4" w:space="0" w:color="auto"/>
              <w:bottom w:val="single" w:sz="4" w:space="0" w:color="auto"/>
              <w:right w:val="single" w:sz="4" w:space="0" w:color="auto"/>
            </w:tcBorders>
          </w:tcPr>
          <w:p w14:paraId="4996DC31" w14:textId="77777777" w:rsidR="002509EB" w:rsidRPr="00CF4E2F" w:rsidRDefault="002509EB" w:rsidP="003A4A78">
            <w:pPr>
              <w:pStyle w:val="TableParagraph"/>
              <w:spacing w:before="119"/>
              <w:ind w:left="102"/>
              <w:rPr>
                <w:rFonts w:ascii="Times New Roman"/>
                <w:b/>
                <w:sz w:val="18"/>
                <w:szCs w:val="18"/>
                <w:u w:val="single"/>
              </w:rPr>
            </w:pPr>
            <w:r w:rsidRPr="00CF4E2F">
              <w:rPr>
                <w:rFonts w:ascii="Times New Roman"/>
                <w:b/>
                <w:sz w:val="18"/>
                <w:szCs w:val="18"/>
                <w:u w:val="single"/>
              </w:rPr>
              <w:t>Available Stable Funding</w:t>
            </w:r>
          </w:p>
          <w:p w14:paraId="21BEDA37" w14:textId="2F5DA342" w:rsidR="00892385" w:rsidRPr="00CF4E2F" w:rsidRDefault="002509EB" w:rsidP="003A4A78">
            <w:pPr>
              <w:pStyle w:val="TableParagraph"/>
              <w:spacing w:before="119"/>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in column 0100 the value of the available stable funding in accordance with the definition set out in Article 428i of CRR.</w:t>
            </w:r>
          </w:p>
          <w:p w14:paraId="27C1631D" w14:textId="0A43B2B6" w:rsidR="00892385" w:rsidRPr="00CF4E2F" w:rsidRDefault="00892385" w:rsidP="00022762">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This is calculated by the following formula:</w:t>
            </w:r>
            <w:r w:rsidRPr="00CF4E2F">
              <w:rPr>
                <w:rFonts w:ascii="Times New Roman" w:eastAsia="Times New Roman" w:hAnsi="Times New Roman" w:cs="Times New Roman"/>
                <w:sz w:val="18"/>
                <w:szCs w:val="18"/>
              </w:rPr>
              <w:br/>
              <w:t>c0100 = SUM{(c0010 * c 0070), (c0020 * c 0080), (c0030 * c 0090)</w:t>
            </w:r>
          </w:p>
          <w:p w14:paraId="3EB97611" w14:textId="77777777" w:rsidR="002509EB" w:rsidRPr="00CF4E2F" w:rsidRDefault="002509EB" w:rsidP="00791CBB">
            <w:pPr>
              <w:pStyle w:val="TableParagraph"/>
              <w:ind w:left="102"/>
              <w:rPr>
                <w:rFonts w:ascii="Times New Roman"/>
                <w:b/>
                <w:sz w:val="18"/>
                <w:szCs w:val="18"/>
                <w:u w:val="single"/>
              </w:rPr>
            </w:pPr>
          </w:p>
        </w:tc>
      </w:tr>
    </w:tbl>
    <w:p w14:paraId="0931DD3C" w14:textId="1F5A0612" w:rsidR="002509EB" w:rsidRPr="00A66401" w:rsidRDefault="002509EB" w:rsidP="0055437F">
      <w:pPr>
        <w:pStyle w:val="InstructionsText2"/>
        <w:spacing w:before="120" w:after="120"/>
        <w:ind w:left="714" w:hanging="357"/>
        <w:rPr>
          <w:lang w:val="en-US"/>
        </w:rPr>
      </w:pPr>
    </w:p>
    <w:p w14:paraId="048CA507" w14:textId="5BA7B3DC" w:rsidR="002509EB" w:rsidRPr="00A66401" w:rsidRDefault="002509EB" w:rsidP="0055437F">
      <w:pPr>
        <w:pStyle w:val="InstructionsText2"/>
        <w:spacing w:before="120" w:after="120"/>
        <w:ind w:left="714" w:hanging="357"/>
        <w:rPr>
          <w:lang w:val="en-US"/>
        </w:rPr>
      </w:pPr>
    </w:p>
    <w:p w14:paraId="05262247" w14:textId="668A9F1B" w:rsidR="002509EB" w:rsidRPr="00A66401" w:rsidRDefault="002509EB" w:rsidP="0055437F">
      <w:pPr>
        <w:pStyle w:val="BodyText1"/>
        <w:numPr>
          <w:ilvl w:val="0"/>
          <w:numId w:val="27"/>
        </w:numPr>
        <w:spacing w:before="120" w:after="120"/>
        <w:ind w:left="714" w:hanging="357"/>
        <w:outlineLvl w:val="0"/>
        <w:rPr>
          <w:rFonts w:ascii="Times New Roman" w:hAnsi="Times New Roman"/>
          <w:b/>
          <w:sz w:val="24"/>
          <w:szCs w:val="24"/>
          <w:lang w:val="en-US"/>
        </w:rPr>
      </w:pPr>
      <w:bookmarkStart w:id="23" w:name="_Toc7641925"/>
      <w:r w:rsidRPr="00A66401">
        <w:rPr>
          <w:rFonts w:ascii="Times New Roman" w:hAnsi="Times New Roman"/>
          <w:b/>
          <w:sz w:val="24"/>
          <w:szCs w:val="24"/>
          <w:lang w:val="en-US"/>
        </w:rPr>
        <w:t>Instructions concerning specific rows</w:t>
      </w:r>
      <w:bookmarkEnd w:id="23"/>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2509EB" w:rsidRPr="00CF4E2F" w14:paraId="4BCA70D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178B295" w14:textId="77777777" w:rsidR="002509EB" w:rsidRPr="00CF4E2F" w:rsidRDefault="002509EB" w:rsidP="003A4A78">
            <w:pPr>
              <w:pStyle w:val="TableParagraph"/>
              <w:spacing w:before="117" w:after="120"/>
              <w:ind w:left="102"/>
              <w:rPr>
                <w:rFonts w:ascii="Times New Roman" w:hAnsi="Times New Roman"/>
                <w:sz w:val="18"/>
                <w:szCs w:val="18"/>
              </w:rPr>
            </w:pPr>
            <w:r w:rsidRPr="00CF4E2F">
              <w:rPr>
                <w:rFonts w:ascii="Times New Roman"/>
                <w:spacing w:val="-1"/>
                <w:sz w:val="18"/>
                <w:szCs w:val="18"/>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5E67B653" w14:textId="77777777" w:rsidR="002509EB" w:rsidRPr="00CF4E2F" w:rsidRDefault="002509EB" w:rsidP="003A4A78">
            <w:pPr>
              <w:pStyle w:val="TableParagraph"/>
              <w:spacing w:before="117" w:after="120"/>
              <w:ind w:left="102"/>
              <w:rPr>
                <w:rFonts w:ascii="Times New Roman" w:hAnsi="Times New Roman"/>
                <w:bCs/>
                <w:sz w:val="18"/>
                <w:szCs w:val="18"/>
                <w:u w:val="single"/>
              </w:rPr>
            </w:pPr>
            <w:r w:rsidRPr="00CF4E2F">
              <w:rPr>
                <w:rFonts w:ascii="Times New Roman" w:hAnsi="Times New Roman"/>
                <w:sz w:val="18"/>
                <w:szCs w:val="18"/>
              </w:rPr>
              <w:t xml:space="preserve">Legal </w:t>
            </w:r>
            <w:r w:rsidRPr="00CF4E2F">
              <w:rPr>
                <w:rFonts w:ascii="Times New Roman"/>
                <w:spacing w:val="-1"/>
                <w:sz w:val="18"/>
                <w:szCs w:val="18"/>
              </w:rPr>
              <w:t>references</w:t>
            </w:r>
            <w:r w:rsidRPr="00CF4E2F">
              <w:rPr>
                <w:rFonts w:ascii="Times New Roman" w:hAnsi="Times New Roman"/>
                <w:sz w:val="18"/>
                <w:szCs w:val="18"/>
              </w:rPr>
              <w:t xml:space="preserve"> and instructions</w:t>
            </w:r>
          </w:p>
        </w:tc>
      </w:tr>
      <w:tr w:rsidR="002509EB" w:rsidRPr="00CF4E2F" w14:paraId="319C2247" w14:textId="77777777" w:rsidTr="003A4A78">
        <w:trPr>
          <w:trHeight w:val="304"/>
        </w:trPr>
        <w:tc>
          <w:tcPr>
            <w:tcW w:w="1418" w:type="dxa"/>
          </w:tcPr>
          <w:p w14:paraId="30577DB0" w14:textId="77777777" w:rsidR="002509EB" w:rsidRPr="00FC1BAA" w:rsidRDefault="002509EB"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sz w:val="18"/>
                <w:szCs w:val="18"/>
              </w:rPr>
              <w:t>0010</w:t>
            </w:r>
          </w:p>
        </w:tc>
        <w:tc>
          <w:tcPr>
            <w:tcW w:w="7590" w:type="dxa"/>
          </w:tcPr>
          <w:p w14:paraId="277D8867" w14:textId="50BB9CE7" w:rsidR="002509EB" w:rsidRPr="00A0201D" w:rsidRDefault="00B41C2F" w:rsidP="003A4A78">
            <w:pPr>
              <w:pStyle w:val="TableParagraph"/>
              <w:spacing w:before="119"/>
              <w:ind w:left="102"/>
              <w:rPr>
                <w:rFonts w:ascii="Times New Roman"/>
                <w:b/>
                <w:sz w:val="18"/>
                <w:szCs w:val="18"/>
                <w:u w:val="single"/>
              </w:rPr>
            </w:pPr>
            <w:r w:rsidRPr="0040192D">
              <w:rPr>
                <w:rFonts w:ascii="Times New Roman"/>
                <w:b/>
                <w:sz w:val="18"/>
                <w:szCs w:val="18"/>
                <w:u w:val="single"/>
              </w:rPr>
              <w:t xml:space="preserve">2. </w:t>
            </w:r>
            <w:r w:rsidR="002509EB" w:rsidRPr="00A0201D">
              <w:rPr>
                <w:rFonts w:ascii="Times New Roman"/>
                <w:b/>
                <w:sz w:val="18"/>
                <w:szCs w:val="18"/>
                <w:u w:val="single"/>
              </w:rPr>
              <w:t>AVAILABLE STABLE FUNDING</w:t>
            </w:r>
          </w:p>
          <w:p w14:paraId="15E6AB7E"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4D4DAC9B" w14:textId="660A262A" w:rsidR="002509EB" w:rsidRPr="00CF4E2F" w:rsidRDefault="002509EB" w:rsidP="003A4A78">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Chapter 3 of </w:t>
            </w:r>
            <w:r w:rsidR="00607717">
              <w:rPr>
                <w:rFonts w:ascii="Times New Roman" w:eastAsia="Times New Roman" w:hAnsi="Times New Roman" w:cs="Times New Roman"/>
                <w:sz w:val="18"/>
                <w:szCs w:val="18"/>
              </w:rPr>
              <w:t xml:space="preserve">Title IV of </w:t>
            </w:r>
            <w:r w:rsidR="00964733">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CRR.</w:t>
            </w:r>
          </w:p>
          <w:p w14:paraId="37E39A1D" w14:textId="77777777" w:rsidR="002509EB" w:rsidRPr="00CF4E2F" w:rsidRDefault="002509EB" w:rsidP="003A4A78">
            <w:pPr>
              <w:pStyle w:val="TableParagraph"/>
              <w:ind w:left="102"/>
              <w:rPr>
                <w:rFonts w:ascii="Times New Roman" w:eastAsia="Times New Roman" w:hAnsi="Times New Roman" w:cs="Times New Roman"/>
                <w:sz w:val="18"/>
                <w:szCs w:val="18"/>
              </w:rPr>
            </w:pPr>
          </w:p>
        </w:tc>
      </w:tr>
      <w:tr w:rsidR="002509EB" w:rsidRPr="00CF4E2F" w14:paraId="23B0D080" w14:textId="77777777" w:rsidTr="003A4A78">
        <w:trPr>
          <w:trHeight w:val="304"/>
        </w:trPr>
        <w:tc>
          <w:tcPr>
            <w:tcW w:w="1418" w:type="dxa"/>
          </w:tcPr>
          <w:p w14:paraId="4DDBCC2B" w14:textId="3789761E" w:rsidR="002509EB" w:rsidRPr="00F624BF" w:rsidRDefault="00897639" w:rsidP="003A4A78">
            <w:pPr>
              <w:pStyle w:val="TableParagraph"/>
              <w:spacing w:before="118"/>
              <w:ind w:left="57" w:right="96"/>
              <w:jc w:val="both"/>
              <w:rPr>
                <w:rFonts w:ascii="Times New Roman" w:eastAsia="Times New Roman" w:hAnsi="Times New Roman" w:cs="Times New Roman"/>
                <w:sz w:val="18"/>
                <w:szCs w:val="18"/>
              </w:rPr>
            </w:pPr>
            <w:r w:rsidRPr="00FC1BAA">
              <w:rPr>
                <w:rFonts w:ascii="Times New Roman" w:eastAsia="Times New Roman" w:hAnsi="Times New Roman" w:cs="Times New Roman"/>
                <w:sz w:val="18"/>
                <w:szCs w:val="18"/>
              </w:rPr>
              <w:t>0020</w:t>
            </w:r>
          </w:p>
        </w:tc>
        <w:tc>
          <w:tcPr>
            <w:tcW w:w="7590" w:type="dxa"/>
          </w:tcPr>
          <w:p w14:paraId="04346750" w14:textId="2F8520DC" w:rsidR="002509EB" w:rsidRPr="00A0201D" w:rsidRDefault="00B41C2F" w:rsidP="003A4A78">
            <w:pPr>
              <w:pStyle w:val="TableParagraph"/>
              <w:spacing w:before="119"/>
              <w:ind w:left="102"/>
              <w:rPr>
                <w:rFonts w:ascii="Times New Roman"/>
                <w:b/>
                <w:sz w:val="18"/>
                <w:szCs w:val="18"/>
                <w:u w:val="single"/>
              </w:rPr>
            </w:pPr>
            <w:r w:rsidRPr="0040192D">
              <w:rPr>
                <w:rFonts w:ascii="Times New Roman"/>
                <w:b/>
                <w:sz w:val="18"/>
                <w:szCs w:val="18"/>
                <w:u w:val="single"/>
              </w:rPr>
              <w:t xml:space="preserve">2.1 </w:t>
            </w:r>
            <w:r w:rsidR="002509EB" w:rsidRPr="00A0201D">
              <w:rPr>
                <w:rFonts w:ascii="Times New Roman"/>
                <w:b/>
                <w:sz w:val="18"/>
                <w:szCs w:val="18"/>
                <w:u w:val="single"/>
              </w:rPr>
              <w:t xml:space="preserve">ASF from </w:t>
            </w:r>
            <w:r w:rsidR="00964073" w:rsidRPr="00A0201D">
              <w:rPr>
                <w:rFonts w:ascii="Times New Roman"/>
                <w:b/>
                <w:sz w:val="18"/>
                <w:szCs w:val="18"/>
                <w:u w:val="single"/>
              </w:rPr>
              <w:t xml:space="preserve">capital items and </w:t>
            </w:r>
            <w:r w:rsidR="00DC1097">
              <w:rPr>
                <w:rFonts w:ascii="Times New Roman"/>
                <w:b/>
                <w:sz w:val="18"/>
                <w:szCs w:val="18"/>
                <w:u w:val="single"/>
              </w:rPr>
              <w:t>instruments</w:t>
            </w:r>
          </w:p>
          <w:p w14:paraId="696C2BCC" w14:textId="77777777" w:rsidR="002509EB" w:rsidRPr="00CF4E2F" w:rsidRDefault="002509EB" w:rsidP="00022762">
            <w:pPr>
              <w:pStyle w:val="TableParagraph"/>
              <w:ind w:left="102"/>
              <w:rPr>
                <w:rFonts w:ascii="Times New Roman" w:eastAsia="Times New Roman" w:hAnsi="Times New Roman" w:cs="Times New Roman"/>
                <w:sz w:val="18"/>
                <w:szCs w:val="18"/>
              </w:rPr>
            </w:pPr>
          </w:p>
          <w:p w14:paraId="1C170BC2" w14:textId="20BAC6B9" w:rsidR="002509EB" w:rsidRPr="00CF4E2F" w:rsidRDefault="00B41C2F" w:rsidP="003A4A78">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w:t>
            </w:r>
            <w:r w:rsidR="00BA07B2" w:rsidRPr="00CF4E2F">
              <w:rPr>
                <w:rFonts w:ascii="Times New Roman" w:eastAsia="Times New Roman" w:hAnsi="Times New Roman" w:cs="Times New Roman"/>
                <w:sz w:val="18"/>
                <w:szCs w:val="18"/>
              </w:rPr>
              <w:t xml:space="preserve">here </w:t>
            </w:r>
            <w:r w:rsidRPr="00CF4E2F">
              <w:rPr>
                <w:rFonts w:ascii="Times New Roman" w:eastAsia="Times New Roman" w:hAnsi="Times New Roman" w:cs="Times New Roman"/>
                <w:sz w:val="18"/>
                <w:szCs w:val="18"/>
              </w:rPr>
              <w:t>the sum of items 2.1.1 to 2.1.4.</w:t>
            </w:r>
          </w:p>
          <w:p w14:paraId="75D912BD" w14:textId="163F7924" w:rsidR="00B41C2F" w:rsidRPr="00CF4E2F" w:rsidRDefault="00B41C2F" w:rsidP="003A4A78">
            <w:pPr>
              <w:pStyle w:val="TableParagraph"/>
              <w:ind w:left="102"/>
              <w:rPr>
                <w:rFonts w:ascii="Times New Roman" w:eastAsia="Times New Roman" w:hAnsi="Times New Roman" w:cs="Times New Roman"/>
                <w:sz w:val="18"/>
                <w:szCs w:val="18"/>
              </w:rPr>
            </w:pPr>
          </w:p>
        </w:tc>
      </w:tr>
      <w:tr w:rsidR="002509EB" w:rsidRPr="00CF4E2F" w14:paraId="0F5537FD" w14:textId="77777777" w:rsidTr="003A4A78">
        <w:trPr>
          <w:trHeight w:val="304"/>
        </w:trPr>
        <w:tc>
          <w:tcPr>
            <w:tcW w:w="1418" w:type="dxa"/>
          </w:tcPr>
          <w:p w14:paraId="513B9172" w14:textId="214A6819" w:rsidR="002509EB" w:rsidRPr="00F624BF" w:rsidRDefault="00897639" w:rsidP="003A4A78">
            <w:pPr>
              <w:pStyle w:val="TableParagraph"/>
              <w:spacing w:before="118"/>
              <w:ind w:left="57" w:right="96"/>
              <w:jc w:val="both"/>
              <w:rPr>
                <w:rFonts w:ascii="Times New Roman" w:eastAsia="Times New Roman" w:hAnsi="Times New Roman" w:cs="Times New Roman"/>
                <w:sz w:val="24"/>
                <w:szCs w:val="24"/>
              </w:rPr>
            </w:pPr>
            <w:r w:rsidRPr="00FC1BAA">
              <w:rPr>
                <w:rFonts w:ascii="Times New Roman" w:eastAsia="Times New Roman" w:hAnsi="Times New Roman" w:cs="Times New Roman"/>
                <w:sz w:val="18"/>
                <w:szCs w:val="18"/>
              </w:rPr>
              <w:t>0030</w:t>
            </w:r>
          </w:p>
        </w:tc>
        <w:tc>
          <w:tcPr>
            <w:tcW w:w="7590" w:type="dxa"/>
          </w:tcPr>
          <w:p w14:paraId="75479F2C" w14:textId="290728DC" w:rsidR="002509EB" w:rsidRPr="001A257C" w:rsidRDefault="00B41C2F" w:rsidP="00A66401">
            <w:pPr>
              <w:pStyle w:val="TableParagraph"/>
              <w:spacing w:before="119"/>
              <w:ind w:left="102"/>
              <w:rPr>
                <w:rFonts w:ascii="Times New Roman"/>
                <w:b/>
                <w:sz w:val="18"/>
                <w:szCs w:val="18"/>
                <w:u w:val="single"/>
              </w:rPr>
            </w:pPr>
            <w:r w:rsidRPr="00F624BF">
              <w:rPr>
                <w:rFonts w:ascii="Times New Roman"/>
                <w:b/>
                <w:sz w:val="18"/>
                <w:szCs w:val="18"/>
                <w:u w:val="single"/>
              </w:rPr>
              <w:t xml:space="preserve">2.1.1 </w:t>
            </w:r>
            <w:r w:rsidR="002509EB" w:rsidRPr="001A257C">
              <w:rPr>
                <w:rFonts w:ascii="Times New Roman"/>
                <w:b/>
                <w:sz w:val="18"/>
                <w:szCs w:val="18"/>
                <w:u w:val="single"/>
              </w:rPr>
              <w:t>Common Equity Tier 1</w:t>
            </w:r>
          </w:p>
          <w:p w14:paraId="57B2563E"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6FA35AB8" w14:textId="1D3F0807" w:rsidR="002509EB" w:rsidRPr="00CF4E2F" w:rsidRDefault="002509EB" w:rsidP="003A4A78">
            <w:pPr>
              <w:pStyle w:val="TableParagraph"/>
              <w:ind w:left="102"/>
              <w:rPr>
                <w:rFonts w:ascii="Times New Roman"/>
                <w:sz w:val="18"/>
                <w:szCs w:val="18"/>
              </w:rPr>
            </w:pPr>
            <w:r w:rsidRPr="00CF4E2F">
              <w:rPr>
                <w:rFonts w:ascii="Times New Roman"/>
                <w:sz w:val="18"/>
                <w:szCs w:val="18"/>
              </w:rPr>
              <w:t>Art</w:t>
            </w:r>
            <w:r w:rsidR="006E5DC6">
              <w:rPr>
                <w:rFonts w:ascii="Times New Roman"/>
                <w:sz w:val="18"/>
                <w:szCs w:val="18"/>
              </w:rPr>
              <w:t>icle</w:t>
            </w:r>
            <w:r w:rsidRPr="00CF4E2F">
              <w:rPr>
                <w:rFonts w:ascii="Times New Roman"/>
                <w:sz w:val="18"/>
                <w:szCs w:val="18"/>
              </w:rPr>
              <w:t xml:space="preserve"> 428o(a) of CRR.</w:t>
            </w:r>
          </w:p>
          <w:p w14:paraId="68DC28A5" w14:textId="77777777" w:rsidR="002509EB" w:rsidRPr="00CF4E2F" w:rsidRDefault="002509EB" w:rsidP="003A4A78">
            <w:pPr>
              <w:pStyle w:val="TableParagraph"/>
              <w:ind w:left="102"/>
              <w:rPr>
                <w:rFonts w:ascii="Times New Roman"/>
                <w:sz w:val="18"/>
                <w:szCs w:val="18"/>
              </w:rPr>
            </w:pPr>
          </w:p>
          <w:p w14:paraId="6110400B" w14:textId="77777777" w:rsidR="002509EB" w:rsidRPr="00CF4E2F" w:rsidRDefault="002509EB" w:rsidP="003A4A78">
            <w:pPr>
              <w:pStyle w:val="TableParagraph"/>
              <w:ind w:left="102"/>
              <w:rPr>
                <w:rFonts w:ascii="Times New Roman"/>
                <w:sz w:val="18"/>
                <w:szCs w:val="18"/>
              </w:rPr>
            </w:pPr>
            <w:r w:rsidRPr="00CF4E2F">
              <w:rPr>
                <w:rFonts w:ascii="Times New Roman"/>
                <w:sz w:val="18"/>
                <w:szCs w:val="18"/>
              </w:rPr>
              <w:t>Common Equity Tier 1 items before the application of prudential filters, deductions and exemption or alternatives stipulated in Article 32 to 36, 48, 49 and 79 of the CRR.</w:t>
            </w:r>
          </w:p>
          <w:p w14:paraId="4775DABC" w14:textId="77777777" w:rsidR="002509EB" w:rsidRPr="00022762" w:rsidRDefault="002509EB" w:rsidP="00022762">
            <w:pPr>
              <w:pStyle w:val="TableParagraph"/>
              <w:ind w:left="102" w:right="100"/>
              <w:jc w:val="both"/>
              <w:rPr>
                <w:rFonts w:ascii="Times New Roman" w:eastAsia="Times New Roman" w:hAnsi="Times New Roman" w:cs="Times New Roman"/>
                <w:sz w:val="18"/>
                <w:szCs w:val="18"/>
              </w:rPr>
            </w:pPr>
          </w:p>
        </w:tc>
      </w:tr>
      <w:tr w:rsidR="002509EB" w:rsidRPr="00CF4E2F" w14:paraId="0C6B587E" w14:textId="77777777" w:rsidTr="003A4A78">
        <w:trPr>
          <w:trHeight w:val="304"/>
        </w:trPr>
        <w:tc>
          <w:tcPr>
            <w:tcW w:w="1418" w:type="dxa"/>
          </w:tcPr>
          <w:p w14:paraId="5351A8A5" w14:textId="3E884832" w:rsidR="002509EB" w:rsidRPr="00A0201D" w:rsidRDefault="00897639" w:rsidP="003A4A78">
            <w:pPr>
              <w:pStyle w:val="TableParagraph"/>
              <w:spacing w:before="118"/>
              <w:ind w:left="57" w:right="96"/>
              <w:jc w:val="both"/>
              <w:rPr>
                <w:rFonts w:ascii="Times New Roman" w:eastAsia="Times New Roman" w:hAnsi="Times New Roman" w:cs="Times New Roman"/>
                <w:sz w:val="24"/>
                <w:szCs w:val="24"/>
              </w:rPr>
            </w:pPr>
            <w:r w:rsidRPr="00A0201D">
              <w:rPr>
                <w:rFonts w:ascii="Times New Roman" w:eastAsia="Times New Roman" w:hAnsi="Times New Roman" w:cs="Times New Roman"/>
                <w:sz w:val="18"/>
                <w:szCs w:val="18"/>
              </w:rPr>
              <w:t>0040</w:t>
            </w:r>
          </w:p>
        </w:tc>
        <w:tc>
          <w:tcPr>
            <w:tcW w:w="7590" w:type="dxa"/>
          </w:tcPr>
          <w:p w14:paraId="7EBFA392" w14:textId="6CE06DE0" w:rsidR="002509EB" w:rsidRPr="00CF4E2F" w:rsidRDefault="003E74B4" w:rsidP="00A66401">
            <w:pPr>
              <w:pStyle w:val="TableParagraph"/>
              <w:spacing w:before="119"/>
              <w:ind w:left="102"/>
              <w:rPr>
                <w:rFonts w:ascii="Times New Roman"/>
                <w:b/>
                <w:sz w:val="18"/>
                <w:szCs w:val="18"/>
                <w:u w:val="single"/>
              </w:rPr>
            </w:pPr>
            <w:r w:rsidRPr="00A0201D">
              <w:rPr>
                <w:rFonts w:ascii="Times New Roman"/>
                <w:b/>
                <w:sz w:val="18"/>
                <w:szCs w:val="18"/>
                <w:u w:val="single"/>
              </w:rPr>
              <w:t xml:space="preserve">2.1.2 </w:t>
            </w:r>
            <w:r w:rsidR="002509EB" w:rsidRPr="003843E9">
              <w:rPr>
                <w:rFonts w:ascii="Times New Roman"/>
                <w:b/>
                <w:sz w:val="18"/>
                <w:szCs w:val="18"/>
                <w:u w:val="single"/>
              </w:rPr>
              <w:t>Additional Tier 1</w:t>
            </w:r>
          </w:p>
          <w:p w14:paraId="18F30BE2"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3F1B89AF" w14:textId="7A357A56"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428o(b) </w:t>
            </w:r>
            <w:r w:rsidR="00A12150" w:rsidRPr="00CF4E2F">
              <w:rPr>
                <w:rFonts w:ascii="Times New Roman"/>
                <w:sz w:val="18"/>
                <w:szCs w:val="18"/>
              </w:rPr>
              <w:t xml:space="preserve">and </w:t>
            </w:r>
            <w:r w:rsidR="00CC2331">
              <w:rPr>
                <w:rFonts w:ascii="Times New Roman"/>
                <w:sz w:val="18"/>
                <w:szCs w:val="18"/>
              </w:rPr>
              <w:t>428k(3)</w:t>
            </w:r>
            <w:r w:rsidR="00092251">
              <w:rPr>
                <w:rFonts w:ascii="Times New Roman"/>
                <w:sz w:val="18"/>
                <w:szCs w:val="18"/>
              </w:rPr>
              <w:t>428k(3)(d)</w:t>
            </w:r>
            <w:r w:rsidR="00A12150" w:rsidRPr="00CF4E2F">
              <w:rPr>
                <w:rFonts w:ascii="Times New Roman"/>
                <w:sz w:val="18"/>
                <w:szCs w:val="18"/>
              </w:rPr>
              <w:t xml:space="preserve"> </w:t>
            </w:r>
            <w:r w:rsidR="002509EB" w:rsidRPr="00CF4E2F">
              <w:rPr>
                <w:rFonts w:ascii="Times New Roman"/>
                <w:sz w:val="18"/>
                <w:szCs w:val="18"/>
              </w:rPr>
              <w:t>of CRR.</w:t>
            </w:r>
          </w:p>
          <w:p w14:paraId="1E7DDB56" w14:textId="77777777" w:rsidR="002509EB" w:rsidRPr="00CF4E2F" w:rsidRDefault="002509EB" w:rsidP="003A4A78">
            <w:pPr>
              <w:pStyle w:val="TableParagraph"/>
              <w:ind w:left="102"/>
              <w:rPr>
                <w:rFonts w:ascii="Times New Roman"/>
                <w:sz w:val="18"/>
                <w:szCs w:val="18"/>
              </w:rPr>
            </w:pPr>
          </w:p>
          <w:p w14:paraId="5D544722" w14:textId="6C11FB57" w:rsidR="002509EB" w:rsidRPr="00CF4E2F" w:rsidRDefault="002509EB" w:rsidP="003A4A78">
            <w:pPr>
              <w:pStyle w:val="TableParagraph"/>
              <w:ind w:left="102"/>
              <w:rPr>
                <w:rFonts w:ascii="Times New Roman"/>
                <w:sz w:val="18"/>
                <w:szCs w:val="18"/>
              </w:rPr>
            </w:pPr>
            <w:r w:rsidRPr="00CF4E2F">
              <w:rPr>
                <w:rFonts w:ascii="Times New Roman"/>
                <w:sz w:val="18"/>
                <w:szCs w:val="18"/>
              </w:rPr>
              <w:t>Additional Tier 1 items before the application of the deductions and exemptions stipulated in Articles 56 and 79 of the CRR.</w:t>
            </w:r>
          </w:p>
          <w:p w14:paraId="5BE572A0" w14:textId="77777777" w:rsidR="002509EB" w:rsidRPr="00022762" w:rsidRDefault="002509EB" w:rsidP="00022762">
            <w:pPr>
              <w:pStyle w:val="TableParagraph"/>
              <w:ind w:left="102"/>
              <w:rPr>
                <w:rFonts w:ascii="Times New Roman" w:eastAsia="Times New Roman" w:hAnsi="Times New Roman" w:cs="Times New Roman"/>
                <w:sz w:val="18"/>
                <w:szCs w:val="18"/>
              </w:rPr>
            </w:pPr>
          </w:p>
        </w:tc>
      </w:tr>
      <w:tr w:rsidR="002509EB" w:rsidRPr="00CF4E2F" w14:paraId="511A3E52" w14:textId="77777777" w:rsidTr="003A4A78">
        <w:trPr>
          <w:trHeight w:val="304"/>
        </w:trPr>
        <w:tc>
          <w:tcPr>
            <w:tcW w:w="1418" w:type="dxa"/>
          </w:tcPr>
          <w:p w14:paraId="0D2E90A0" w14:textId="6160C05D" w:rsidR="002509EB" w:rsidRPr="00CF4E2F" w:rsidRDefault="00897639" w:rsidP="003A4A78">
            <w:pPr>
              <w:pStyle w:val="TableParagraph"/>
              <w:spacing w:before="118"/>
              <w:ind w:left="57" w:right="96"/>
              <w:jc w:val="both"/>
              <w:rPr>
                <w:rFonts w:ascii="Times New Roman" w:eastAsia="Times New Roman" w:hAnsi="Times New Roman" w:cs="Times New Roman"/>
                <w:sz w:val="24"/>
                <w:szCs w:val="24"/>
              </w:rPr>
            </w:pPr>
            <w:r w:rsidRPr="00CF4E2F">
              <w:rPr>
                <w:rFonts w:ascii="Times New Roman" w:eastAsia="Times New Roman" w:hAnsi="Times New Roman" w:cs="Times New Roman"/>
                <w:sz w:val="18"/>
                <w:szCs w:val="18"/>
              </w:rPr>
              <w:t>0050</w:t>
            </w:r>
          </w:p>
        </w:tc>
        <w:tc>
          <w:tcPr>
            <w:tcW w:w="7590" w:type="dxa"/>
          </w:tcPr>
          <w:p w14:paraId="4E6EFC1A" w14:textId="62AA9B0F"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2.1.3 </w:t>
            </w:r>
            <w:r w:rsidR="002509EB" w:rsidRPr="00CF4E2F">
              <w:rPr>
                <w:rFonts w:ascii="Times New Roman"/>
                <w:b/>
                <w:sz w:val="18"/>
                <w:szCs w:val="18"/>
                <w:u w:val="single"/>
              </w:rPr>
              <w:t>Tier 2</w:t>
            </w:r>
          </w:p>
          <w:p w14:paraId="12CA5135"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769A16F9" w14:textId="3EB97A02"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428o(c) </w:t>
            </w:r>
            <w:r w:rsidR="00A12150" w:rsidRPr="00CF4E2F">
              <w:rPr>
                <w:rFonts w:ascii="Times New Roman"/>
                <w:sz w:val="18"/>
                <w:szCs w:val="18"/>
              </w:rPr>
              <w:t xml:space="preserve">and </w:t>
            </w:r>
            <w:r w:rsidR="00CC2331">
              <w:rPr>
                <w:rFonts w:ascii="Times New Roman"/>
                <w:sz w:val="18"/>
                <w:szCs w:val="18"/>
              </w:rPr>
              <w:t>428k(3)</w:t>
            </w:r>
            <w:r w:rsidR="00092251">
              <w:rPr>
                <w:rFonts w:ascii="Times New Roman"/>
                <w:sz w:val="18"/>
                <w:szCs w:val="18"/>
              </w:rPr>
              <w:t>428k(3)(d)</w:t>
            </w:r>
            <w:r w:rsidR="00A12150" w:rsidRPr="00CF4E2F">
              <w:rPr>
                <w:rFonts w:ascii="Times New Roman"/>
                <w:sz w:val="18"/>
                <w:szCs w:val="18"/>
              </w:rPr>
              <w:t xml:space="preserve"> </w:t>
            </w:r>
            <w:r w:rsidR="002509EB" w:rsidRPr="00CF4E2F">
              <w:rPr>
                <w:rFonts w:ascii="Times New Roman"/>
                <w:sz w:val="18"/>
                <w:szCs w:val="18"/>
              </w:rPr>
              <w:t>of CRR.</w:t>
            </w:r>
          </w:p>
          <w:p w14:paraId="10703B8E" w14:textId="77777777" w:rsidR="002509EB" w:rsidRPr="00CF4E2F" w:rsidRDefault="002509EB" w:rsidP="003A4A78">
            <w:pPr>
              <w:pStyle w:val="TableParagraph"/>
              <w:ind w:left="102"/>
              <w:rPr>
                <w:rFonts w:ascii="Times New Roman"/>
                <w:sz w:val="18"/>
                <w:szCs w:val="18"/>
              </w:rPr>
            </w:pPr>
          </w:p>
          <w:p w14:paraId="3CA97C0C" w14:textId="77777777" w:rsidR="002509EB" w:rsidRPr="00CF4E2F" w:rsidRDefault="002509EB" w:rsidP="003A4A78">
            <w:pPr>
              <w:pStyle w:val="TableParagraph"/>
              <w:ind w:left="102"/>
              <w:rPr>
                <w:rFonts w:ascii="Times New Roman"/>
                <w:sz w:val="18"/>
                <w:szCs w:val="18"/>
              </w:rPr>
            </w:pPr>
            <w:r w:rsidRPr="00CF4E2F">
              <w:rPr>
                <w:rFonts w:ascii="Times New Roman"/>
                <w:sz w:val="18"/>
                <w:szCs w:val="18"/>
              </w:rPr>
              <w:t>Tier 2 items before the application of the deductions and exemptions stipulated in Articles 66 and 79 of the CRR and having a residual maturity of one year or more at the reporting reference date.</w:t>
            </w:r>
          </w:p>
          <w:p w14:paraId="2313FE94" w14:textId="77777777" w:rsidR="002509EB" w:rsidRPr="00AA031A" w:rsidRDefault="002509EB" w:rsidP="00A66401">
            <w:pPr>
              <w:pStyle w:val="TableParagraph"/>
              <w:ind w:left="102"/>
              <w:rPr>
                <w:rFonts w:ascii="Times New Roman" w:eastAsia="Times New Roman" w:hAnsi="Times New Roman" w:cs="Times New Roman"/>
                <w:sz w:val="18"/>
                <w:szCs w:val="18"/>
              </w:rPr>
            </w:pPr>
          </w:p>
        </w:tc>
      </w:tr>
      <w:tr w:rsidR="002509EB" w:rsidRPr="00CF4E2F" w14:paraId="025BA01C" w14:textId="77777777" w:rsidTr="003A4A78">
        <w:trPr>
          <w:trHeight w:val="304"/>
        </w:trPr>
        <w:tc>
          <w:tcPr>
            <w:tcW w:w="1418" w:type="dxa"/>
          </w:tcPr>
          <w:p w14:paraId="76D59F5C" w14:textId="7C7D7E6D" w:rsidR="002509EB" w:rsidRPr="00CF4E2F" w:rsidRDefault="00897639" w:rsidP="003A4A78">
            <w:pPr>
              <w:pStyle w:val="TableParagraph"/>
              <w:spacing w:before="118"/>
              <w:ind w:left="57" w:right="96"/>
              <w:jc w:val="both"/>
              <w:rPr>
                <w:rFonts w:ascii="Times New Roman" w:eastAsia="Times New Roman" w:hAnsi="Times New Roman" w:cs="Times New Roman"/>
                <w:sz w:val="24"/>
                <w:szCs w:val="24"/>
              </w:rPr>
            </w:pPr>
            <w:r w:rsidRPr="00CF4E2F">
              <w:rPr>
                <w:rFonts w:ascii="Times New Roman" w:eastAsia="Times New Roman" w:hAnsi="Times New Roman" w:cs="Times New Roman"/>
                <w:sz w:val="18"/>
                <w:szCs w:val="18"/>
              </w:rPr>
              <w:t>0060</w:t>
            </w:r>
          </w:p>
        </w:tc>
        <w:tc>
          <w:tcPr>
            <w:tcW w:w="7590" w:type="dxa"/>
          </w:tcPr>
          <w:p w14:paraId="7C4F88E0" w14:textId="0BE1FFF2"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2.1.4 </w:t>
            </w:r>
            <w:r w:rsidR="002509EB" w:rsidRPr="00CF4E2F">
              <w:rPr>
                <w:rFonts w:ascii="Times New Roman"/>
                <w:b/>
                <w:sz w:val="18"/>
                <w:szCs w:val="18"/>
                <w:u w:val="single"/>
              </w:rPr>
              <w:t>Other capital instruments</w:t>
            </w:r>
          </w:p>
          <w:p w14:paraId="1242EE57"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2CBE47EA" w14:textId="173A649C"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428o(d) </w:t>
            </w:r>
            <w:r w:rsidR="00BA07B2" w:rsidRPr="00CF4E2F">
              <w:rPr>
                <w:rFonts w:ascii="Times New Roman"/>
                <w:sz w:val="18"/>
                <w:szCs w:val="18"/>
              </w:rPr>
              <w:t xml:space="preserve">and </w:t>
            </w:r>
            <w:r w:rsidR="00CC2331">
              <w:rPr>
                <w:rFonts w:ascii="Times New Roman"/>
                <w:sz w:val="18"/>
                <w:szCs w:val="18"/>
              </w:rPr>
              <w:t>428k(3)</w:t>
            </w:r>
            <w:r w:rsidR="00092251">
              <w:rPr>
                <w:rFonts w:ascii="Times New Roman"/>
                <w:sz w:val="18"/>
                <w:szCs w:val="18"/>
              </w:rPr>
              <w:t>428k(3)(d)</w:t>
            </w:r>
            <w:r w:rsidR="00BA07B2" w:rsidRPr="00CF4E2F">
              <w:rPr>
                <w:rFonts w:ascii="Times New Roman"/>
                <w:sz w:val="18"/>
                <w:szCs w:val="18"/>
              </w:rPr>
              <w:t xml:space="preserve"> </w:t>
            </w:r>
            <w:r w:rsidR="002509EB" w:rsidRPr="00CF4E2F">
              <w:rPr>
                <w:rFonts w:ascii="Times New Roman"/>
                <w:sz w:val="18"/>
                <w:szCs w:val="18"/>
              </w:rPr>
              <w:t>of CRR.</w:t>
            </w:r>
          </w:p>
          <w:p w14:paraId="1AD99A5A" w14:textId="77777777" w:rsidR="002509EB" w:rsidRPr="00CF4E2F" w:rsidRDefault="002509EB" w:rsidP="003A4A78">
            <w:pPr>
              <w:pStyle w:val="TableParagraph"/>
              <w:ind w:left="102"/>
              <w:rPr>
                <w:rFonts w:ascii="Times New Roman"/>
                <w:sz w:val="18"/>
                <w:szCs w:val="18"/>
              </w:rPr>
            </w:pPr>
          </w:p>
          <w:p w14:paraId="290326F8" w14:textId="77777777" w:rsidR="002509EB" w:rsidRPr="00CF4E2F" w:rsidRDefault="002509EB" w:rsidP="003A4A78">
            <w:pPr>
              <w:pStyle w:val="TableParagraph"/>
              <w:ind w:left="102"/>
              <w:rPr>
                <w:rFonts w:ascii="Times New Roman"/>
                <w:sz w:val="18"/>
                <w:szCs w:val="18"/>
              </w:rPr>
            </w:pPr>
            <w:r w:rsidRPr="00CF4E2F">
              <w:rPr>
                <w:rFonts w:ascii="Times New Roman"/>
                <w:sz w:val="18"/>
                <w:szCs w:val="18"/>
              </w:rPr>
              <w:t>Other capital instruments with a residual maturity of one year or more at the reporting reference date.</w:t>
            </w:r>
          </w:p>
          <w:p w14:paraId="23475383" w14:textId="77777777" w:rsidR="002509EB" w:rsidRPr="00AA031A" w:rsidRDefault="002509EB" w:rsidP="00A66401">
            <w:pPr>
              <w:pStyle w:val="TableParagraph"/>
              <w:ind w:left="102"/>
              <w:rPr>
                <w:rFonts w:ascii="Times New Roman" w:eastAsia="Times New Roman" w:hAnsi="Times New Roman" w:cs="Times New Roman"/>
                <w:sz w:val="18"/>
                <w:szCs w:val="18"/>
              </w:rPr>
            </w:pPr>
          </w:p>
        </w:tc>
      </w:tr>
      <w:tr w:rsidR="002509EB" w:rsidRPr="00CF4E2F" w14:paraId="7636905C" w14:textId="77777777" w:rsidTr="003A4A78">
        <w:trPr>
          <w:trHeight w:val="304"/>
        </w:trPr>
        <w:tc>
          <w:tcPr>
            <w:tcW w:w="1418" w:type="dxa"/>
          </w:tcPr>
          <w:p w14:paraId="101A0BA5" w14:textId="65E5C4CE" w:rsidR="002509EB" w:rsidRPr="00CF4E2F" w:rsidRDefault="00897639" w:rsidP="003A4A78">
            <w:pPr>
              <w:pStyle w:val="TableParagraph"/>
              <w:spacing w:before="118"/>
              <w:ind w:left="57" w:right="96"/>
              <w:jc w:val="both"/>
              <w:rPr>
                <w:rFonts w:ascii="Times New Roman" w:eastAsia="Times New Roman" w:hAnsi="Times New Roman" w:cs="Times New Roman"/>
                <w:sz w:val="24"/>
                <w:szCs w:val="24"/>
              </w:rPr>
            </w:pPr>
            <w:r w:rsidRPr="00CF4E2F">
              <w:rPr>
                <w:rFonts w:ascii="Times New Roman" w:eastAsia="Times New Roman" w:hAnsi="Times New Roman" w:cs="Times New Roman"/>
                <w:sz w:val="18"/>
                <w:szCs w:val="18"/>
              </w:rPr>
              <w:t>0070</w:t>
            </w:r>
          </w:p>
        </w:tc>
        <w:tc>
          <w:tcPr>
            <w:tcW w:w="7590" w:type="dxa"/>
          </w:tcPr>
          <w:p w14:paraId="523D78A2" w14:textId="51BFAABB"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2.2. </w:t>
            </w:r>
            <w:r w:rsidR="002509EB" w:rsidRPr="00CF4E2F">
              <w:rPr>
                <w:rFonts w:ascii="Times New Roman"/>
                <w:b/>
                <w:sz w:val="18"/>
                <w:szCs w:val="18"/>
                <w:u w:val="single"/>
              </w:rPr>
              <w:t>ASF from retail deposits</w:t>
            </w:r>
          </w:p>
          <w:p w14:paraId="47027390" w14:textId="3D2EEFBD" w:rsidR="00BA07B2" w:rsidRPr="00022762" w:rsidRDefault="00BA07B2" w:rsidP="00022762">
            <w:pPr>
              <w:pStyle w:val="TableParagraph"/>
              <w:ind w:left="102"/>
              <w:rPr>
                <w:rFonts w:ascii="Times New Roman"/>
                <w:sz w:val="18"/>
                <w:szCs w:val="18"/>
              </w:rPr>
            </w:pPr>
          </w:p>
          <w:p w14:paraId="6244B62F" w14:textId="3ABC015B" w:rsidR="00BA07B2" w:rsidRPr="00CF4E2F" w:rsidRDefault="00BA07B2" w:rsidP="00BA07B2">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the sum of items 2.2.1 and 2.</w:t>
            </w:r>
            <w:r w:rsidR="00E54430">
              <w:rPr>
                <w:rFonts w:ascii="Times New Roman" w:eastAsia="Times New Roman" w:hAnsi="Times New Roman" w:cs="Times New Roman"/>
                <w:sz w:val="18"/>
                <w:szCs w:val="18"/>
              </w:rPr>
              <w:t>2</w:t>
            </w:r>
            <w:r w:rsidRPr="00CF4E2F">
              <w:rPr>
                <w:rFonts w:ascii="Times New Roman" w:eastAsia="Times New Roman" w:hAnsi="Times New Roman" w:cs="Times New Roman"/>
                <w:sz w:val="18"/>
                <w:szCs w:val="18"/>
              </w:rPr>
              <w:t>.2.</w:t>
            </w:r>
          </w:p>
          <w:p w14:paraId="1B49B878" w14:textId="77777777" w:rsidR="002509EB" w:rsidRPr="00022762" w:rsidRDefault="002509EB" w:rsidP="00022762">
            <w:pPr>
              <w:pStyle w:val="TableParagraph"/>
              <w:ind w:left="102"/>
              <w:rPr>
                <w:rFonts w:ascii="Times New Roman" w:eastAsia="Times New Roman" w:hAnsi="Times New Roman" w:cs="Times New Roman"/>
                <w:sz w:val="18"/>
                <w:szCs w:val="18"/>
              </w:rPr>
            </w:pPr>
          </w:p>
        </w:tc>
      </w:tr>
      <w:tr w:rsidR="002509EB" w:rsidRPr="00CF4E2F" w14:paraId="3BF964B9" w14:textId="77777777" w:rsidTr="003A4A78">
        <w:trPr>
          <w:trHeight w:val="304"/>
        </w:trPr>
        <w:tc>
          <w:tcPr>
            <w:tcW w:w="1418" w:type="dxa"/>
          </w:tcPr>
          <w:p w14:paraId="264CFF2D" w14:textId="598CD6D3" w:rsidR="002509EB" w:rsidRPr="00A0201D" w:rsidRDefault="00897639" w:rsidP="00A66401">
            <w:pPr>
              <w:pStyle w:val="TableParagraph"/>
              <w:spacing w:before="118"/>
              <w:ind w:right="96"/>
              <w:jc w:val="both"/>
              <w:rPr>
                <w:rFonts w:ascii="Times New Roman" w:eastAsia="Times New Roman" w:hAnsi="Times New Roman" w:cs="Times New Roman"/>
                <w:sz w:val="24"/>
                <w:szCs w:val="24"/>
              </w:rPr>
            </w:pPr>
            <w:r w:rsidRPr="00CF4E2F">
              <w:rPr>
                <w:rFonts w:ascii="Times New Roman" w:eastAsia="Times New Roman" w:hAnsi="Times New Roman" w:cs="Times New Roman"/>
                <w:sz w:val="18"/>
                <w:szCs w:val="18"/>
              </w:rPr>
              <w:t>0080</w:t>
            </w:r>
          </w:p>
        </w:tc>
        <w:tc>
          <w:tcPr>
            <w:tcW w:w="7590" w:type="dxa"/>
          </w:tcPr>
          <w:p w14:paraId="72E62E99" w14:textId="3A8CF092" w:rsidR="002509EB" w:rsidRPr="00A0201D" w:rsidRDefault="00BA07B2" w:rsidP="00A66401">
            <w:pPr>
              <w:pStyle w:val="TableParagraph"/>
              <w:spacing w:before="119"/>
              <w:ind w:left="102"/>
              <w:rPr>
                <w:rFonts w:ascii="Times New Roman"/>
                <w:b/>
                <w:sz w:val="18"/>
                <w:szCs w:val="18"/>
                <w:u w:val="single"/>
              </w:rPr>
            </w:pPr>
            <w:r w:rsidRPr="00A0201D">
              <w:rPr>
                <w:rFonts w:ascii="Times New Roman"/>
                <w:b/>
                <w:sz w:val="18"/>
                <w:szCs w:val="18"/>
                <w:u w:val="single"/>
              </w:rPr>
              <w:t xml:space="preserve">2.2.0.1 </w:t>
            </w:r>
            <w:r w:rsidR="002509EB" w:rsidRPr="00A0201D">
              <w:rPr>
                <w:rFonts w:ascii="Times New Roman"/>
                <w:b/>
                <w:sz w:val="18"/>
                <w:szCs w:val="18"/>
                <w:u w:val="single"/>
              </w:rPr>
              <w:t>of which, retail bonds</w:t>
            </w:r>
          </w:p>
          <w:p w14:paraId="039687D7"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40E5F814" w14:textId="36326FF1"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428i of CRR.</w:t>
            </w:r>
          </w:p>
          <w:p w14:paraId="516B0137" w14:textId="77777777" w:rsidR="002509EB" w:rsidRPr="00CF4E2F" w:rsidRDefault="002509EB" w:rsidP="003A4A78">
            <w:pPr>
              <w:pStyle w:val="TableParagraph"/>
              <w:ind w:left="102"/>
              <w:rPr>
                <w:rFonts w:ascii="Times New Roman"/>
                <w:sz w:val="18"/>
                <w:szCs w:val="18"/>
              </w:rPr>
            </w:pPr>
          </w:p>
          <w:p w14:paraId="111A6EAE" w14:textId="52F6572E" w:rsidR="002509EB" w:rsidRPr="00CF4E2F" w:rsidRDefault="002509EB" w:rsidP="00022762">
            <w:pPr>
              <w:pStyle w:val="TableParagraph"/>
              <w:ind w:left="102" w:right="100"/>
              <w:rPr>
                <w:rFonts w:ascii="Times New Roman"/>
                <w:sz w:val="18"/>
                <w:szCs w:val="18"/>
              </w:rPr>
            </w:pPr>
            <w:r w:rsidRPr="00CF4E2F">
              <w:rPr>
                <w:rFonts w:ascii="Times New Roman"/>
                <w:sz w:val="18"/>
                <w:szCs w:val="18"/>
              </w:rPr>
              <w:t xml:space="preserve">Institutions shall report here bonds and other debt securities issued which are sold exclusively in the retail market and held in a retail account. These retail bonds shall be reported also within the corresponding category of retail deposits as </w:t>
            </w:r>
            <w:r w:rsidRPr="00CF4E2F">
              <w:rPr>
                <w:rFonts w:ascii="Times New Roman"/>
                <w:sz w:val="18"/>
                <w:szCs w:val="18"/>
              </w:rPr>
              <w:t>“</w:t>
            </w:r>
            <w:r w:rsidRPr="00CF4E2F">
              <w:rPr>
                <w:rFonts w:ascii="Times New Roman"/>
                <w:sz w:val="18"/>
                <w:szCs w:val="18"/>
              </w:rPr>
              <w:t>stable retail deposits</w:t>
            </w:r>
            <w:r w:rsidRPr="00CF4E2F">
              <w:rPr>
                <w:rFonts w:ascii="Times New Roman"/>
                <w:sz w:val="18"/>
                <w:szCs w:val="18"/>
              </w:rPr>
              <w:t>”</w:t>
            </w:r>
            <w:r w:rsidRPr="00CF4E2F">
              <w:rPr>
                <w:rFonts w:ascii="Times New Roman"/>
                <w:sz w:val="18"/>
                <w:szCs w:val="18"/>
              </w:rPr>
              <w:t xml:space="preserve"> or </w:t>
            </w:r>
            <w:r w:rsidRPr="00CF4E2F">
              <w:rPr>
                <w:rFonts w:ascii="Times New Roman"/>
                <w:sz w:val="18"/>
                <w:szCs w:val="18"/>
              </w:rPr>
              <w:t>“</w:t>
            </w:r>
            <w:r w:rsidRPr="00CF4E2F">
              <w:rPr>
                <w:rFonts w:ascii="Times New Roman"/>
                <w:sz w:val="18"/>
                <w:szCs w:val="18"/>
              </w:rPr>
              <w:t>other retail deposits</w:t>
            </w:r>
            <w:r w:rsidRPr="00CF4E2F">
              <w:rPr>
                <w:rFonts w:ascii="Times New Roman"/>
                <w:sz w:val="18"/>
                <w:szCs w:val="18"/>
              </w:rPr>
              <w:t>”</w:t>
            </w:r>
            <w:r w:rsidRPr="00CF4E2F">
              <w:rPr>
                <w:rFonts w:ascii="Times New Roman"/>
                <w:sz w:val="18"/>
                <w:szCs w:val="18"/>
              </w:rPr>
              <w:t xml:space="preserve"> under </w:t>
            </w:r>
            <w:r w:rsidR="0077771F">
              <w:rPr>
                <w:rFonts w:ascii="Times New Roman"/>
                <w:sz w:val="18"/>
                <w:szCs w:val="18"/>
              </w:rPr>
              <w:t>items 2.2.1 and 2.2.2</w:t>
            </w:r>
            <w:r w:rsidRPr="00CF4E2F">
              <w:rPr>
                <w:rFonts w:ascii="Times New Roman"/>
                <w:sz w:val="18"/>
                <w:szCs w:val="18"/>
              </w:rPr>
              <w:t xml:space="preserve"> respectively.</w:t>
            </w:r>
          </w:p>
          <w:p w14:paraId="3E14B891" w14:textId="77777777" w:rsidR="002509EB" w:rsidRPr="00022762" w:rsidRDefault="002509EB" w:rsidP="00022762">
            <w:pPr>
              <w:pStyle w:val="TableParagraph"/>
              <w:ind w:left="102" w:right="100"/>
              <w:rPr>
                <w:rFonts w:ascii="Times New Roman" w:eastAsia="Times New Roman" w:hAnsi="Times New Roman" w:cs="Times New Roman"/>
                <w:sz w:val="18"/>
                <w:szCs w:val="18"/>
              </w:rPr>
            </w:pPr>
          </w:p>
        </w:tc>
      </w:tr>
      <w:tr w:rsidR="002509EB" w:rsidRPr="00CF4E2F" w14:paraId="0377097D" w14:textId="77777777" w:rsidTr="003A4A78">
        <w:trPr>
          <w:trHeight w:val="304"/>
        </w:trPr>
        <w:tc>
          <w:tcPr>
            <w:tcW w:w="1418" w:type="dxa"/>
          </w:tcPr>
          <w:p w14:paraId="6999E313" w14:textId="0B1A4388" w:rsidR="002509EB" w:rsidRPr="00CF4E2F" w:rsidRDefault="00897639" w:rsidP="003A4A78">
            <w:pPr>
              <w:pStyle w:val="TableParagraph"/>
              <w:spacing w:before="118"/>
              <w:ind w:left="57" w:right="96"/>
              <w:jc w:val="both"/>
              <w:rPr>
                <w:rFonts w:ascii="Times New Roman" w:eastAsia="Times New Roman" w:hAnsi="Times New Roman" w:cs="Times New Roman"/>
                <w:sz w:val="24"/>
                <w:szCs w:val="24"/>
              </w:rPr>
            </w:pPr>
            <w:r w:rsidRPr="00CF4E2F">
              <w:rPr>
                <w:rFonts w:ascii="Times New Roman" w:eastAsia="Times New Roman" w:hAnsi="Times New Roman" w:cs="Times New Roman"/>
                <w:sz w:val="18"/>
                <w:szCs w:val="18"/>
              </w:rPr>
              <w:t>0090</w:t>
            </w:r>
          </w:p>
        </w:tc>
        <w:tc>
          <w:tcPr>
            <w:tcW w:w="7590" w:type="dxa"/>
          </w:tcPr>
          <w:p w14:paraId="4FA92FE3" w14:textId="5254774C"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2.2.1. </w:t>
            </w:r>
            <w:r w:rsidR="002509EB" w:rsidRPr="00CF4E2F">
              <w:rPr>
                <w:rFonts w:ascii="Times New Roman"/>
                <w:b/>
                <w:sz w:val="18"/>
                <w:szCs w:val="18"/>
                <w:u w:val="single"/>
              </w:rPr>
              <w:t>Stable retail deposits</w:t>
            </w:r>
          </w:p>
          <w:p w14:paraId="289EE518" w14:textId="77777777" w:rsidR="002509EB" w:rsidRPr="00CF4E2F" w:rsidRDefault="002509EB" w:rsidP="003A4A78">
            <w:pPr>
              <w:pStyle w:val="TableParagraph"/>
              <w:ind w:left="102"/>
              <w:rPr>
                <w:rFonts w:ascii="Times New Roman" w:eastAsia="Times New Roman" w:hAnsi="Times New Roman" w:cs="Times New Roman"/>
                <w:sz w:val="18"/>
                <w:szCs w:val="18"/>
              </w:rPr>
            </w:pPr>
          </w:p>
          <w:p w14:paraId="72C78416" w14:textId="08C0D03F"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428n of CRR</w:t>
            </w:r>
            <w:r>
              <w:rPr>
                <w:rFonts w:ascii="Times New Roman"/>
                <w:sz w:val="18"/>
                <w:szCs w:val="18"/>
              </w:rPr>
              <w:t>.</w:t>
            </w:r>
          </w:p>
          <w:p w14:paraId="6B232CF0" w14:textId="77777777" w:rsidR="002509EB" w:rsidRPr="00CF4E2F" w:rsidRDefault="002509EB" w:rsidP="003A4A78">
            <w:pPr>
              <w:pStyle w:val="TableParagraph"/>
              <w:ind w:left="102"/>
              <w:rPr>
                <w:rFonts w:ascii="Times New Roman"/>
                <w:sz w:val="18"/>
                <w:szCs w:val="18"/>
              </w:rPr>
            </w:pPr>
          </w:p>
          <w:p w14:paraId="3F7FD139" w14:textId="77777777" w:rsidR="002509EB" w:rsidRPr="00CF4E2F" w:rsidRDefault="002509EB" w:rsidP="003A4A78">
            <w:pPr>
              <w:pStyle w:val="TableParagraph"/>
              <w:ind w:left="102"/>
              <w:rPr>
                <w:rFonts w:ascii="Times New Roman"/>
                <w:sz w:val="18"/>
                <w:szCs w:val="18"/>
              </w:rPr>
            </w:pPr>
            <w:r w:rsidRPr="00CF4E2F">
              <w:rPr>
                <w:rFonts w:ascii="Times New Roman"/>
                <w:sz w:val="18"/>
                <w:szCs w:val="18"/>
              </w:rPr>
              <w:t>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w:t>
            </w:r>
          </w:p>
          <w:p w14:paraId="258A500D" w14:textId="77777777" w:rsidR="002509EB" w:rsidRPr="00CF4E2F" w:rsidRDefault="002509EB" w:rsidP="003A4A78">
            <w:pPr>
              <w:pStyle w:val="TableParagraph"/>
              <w:ind w:left="102"/>
              <w:rPr>
                <w:rFonts w:ascii="Times New Roman"/>
                <w:sz w:val="18"/>
                <w:szCs w:val="18"/>
              </w:rPr>
            </w:pPr>
            <w:r w:rsidRPr="00CF4E2F">
              <w:rPr>
                <w:rFonts w:ascii="Times New Roman"/>
                <w:sz w:val="18"/>
                <w:szCs w:val="18"/>
              </w:rPr>
              <w:t>(2) and (3) of the Commission delegated regulation (EU) 2015/61 respectively and where:</w:t>
            </w:r>
          </w:p>
          <w:p w14:paraId="462DBC1E" w14:textId="77777777" w:rsidR="002509EB" w:rsidRPr="00CF4E2F" w:rsidRDefault="002509EB" w:rsidP="003A4A78">
            <w:pPr>
              <w:pStyle w:val="TableParagraph"/>
              <w:ind w:left="102"/>
              <w:rPr>
                <w:rFonts w:ascii="Times New Roman"/>
                <w:sz w:val="18"/>
                <w:szCs w:val="18"/>
              </w:rPr>
            </w:pPr>
          </w:p>
          <w:p w14:paraId="6396A9FB" w14:textId="77777777" w:rsidR="002509EB" w:rsidRPr="00CF4E2F" w:rsidRDefault="002509EB" w:rsidP="002509EB">
            <w:pPr>
              <w:pStyle w:val="TableParagraph"/>
              <w:numPr>
                <w:ilvl w:val="0"/>
                <w:numId w:val="29"/>
              </w:numPr>
              <w:rPr>
                <w:rFonts w:ascii="Times New Roman"/>
                <w:sz w:val="18"/>
                <w:szCs w:val="18"/>
              </w:rPr>
            </w:pPr>
            <w:r w:rsidRPr="00CF4E2F">
              <w:rPr>
                <w:rFonts w:ascii="Times New Roman"/>
                <w:sz w:val="18"/>
                <w:szCs w:val="18"/>
              </w:rPr>
              <w:t xml:space="preserve">These deposits do not fulfill the criteria for a higher outflow rate in accordance with Article 25 paragraphs 2, 3, or 5 of the Commission delegated regulation (EU) 2015/61 in which case they shall be reported as </w:t>
            </w:r>
            <w:r w:rsidRPr="00CF4E2F">
              <w:rPr>
                <w:rFonts w:ascii="Times New Roman"/>
                <w:sz w:val="18"/>
                <w:szCs w:val="18"/>
              </w:rPr>
              <w:t>“</w:t>
            </w:r>
            <w:r w:rsidRPr="00CF4E2F">
              <w:rPr>
                <w:rFonts w:ascii="Times New Roman"/>
                <w:sz w:val="18"/>
                <w:szCs w:val="18"/>
              </w:rPr>
              <w:t>other retail deposits</w:t>
            </w:r>
            <w:r w:rsidRPr="00CF4E2F">
              <w:rPr>
                <w:rFonts w:ascii="Times New Roman"/>
                <w:sz w:val="18"/>
                <w:szCs w:val="18"/>
              </w:rPr>
              <w:t>”</w:t>
            </w:r>
            <w:r w:rsidRPr="00CF4E2F">
              <w:rPr>
                <w:rFonts w:ascii="Times New Roman"/>
                <w:sz w:val="18"/>
                <w:szCs w:val="18"/>
              </w:rPr>
              <w:t>; or</w:t>
            </w:r>
          </w:p>
          <w:p w14:paraId="2603EF48" w14:textId="77777777" w:rsidR="002509EB" w:rsidRPr="00CF4E2F" w:rsidRDefault="002509EB" w:rsidP="002509EB">
            <w:pPr>
              <w:pStyle w:val="TableParagraph"/>
              <w:numPr>
                <w:ilvl w:val="0"/>
                <w:numId w:val="29"/>
              </w:numPr>
              <w:rPr>
                <w:rFonts w:ascii="Times New Roman"/>
                <w:sz w:val="18"/>
                <w:szCs w:val="18"/>
              </w:rPr>
            </w:pPr>
            <w:r w:rsidRPr="00CF4E2F">
              <w:rPr>
                <w:rFonts w:ascii="Times New Roman"/>
                <w:sz w:val="18"/>
                <w:szCs w:val="18"/>
              </w:rPr>
              <w:t xml:space="preserve">These deposits have not been taken in third countries where a higher outflow is applied in accordance with Article 25 (5) in which case they shall be reported as </w:t>
            </w:r>
            <w:r w:rsidRPr="00CF4E2F">
              <w:rPr>
                <w:rFonts w:ascii="Times New Roman"/>
                <w:sz w:val="18"/>
                <w:szCs w:val="18"/>
              </w:rPr>
              <w:t>“</w:t>
            </w:r>
            <w:r w:rsidRPr="00CF4E2F">
              <w:rPr>
                <w:rFonts w:ascii="Times New Roman"/>
                <w:sz w:val="18"/>
                <w:szCs w:val="18"/>
              </w:rPr>
              <w:t>other retail deposits</w:t>
            </w:r>
            <w:r w:rsidRPr="00CF4E2F">
              <w:rPr>
                <w:rFonts w:ascii="Times New Roman"/>
                <w:sz w:val="18"/>
                <w:szCs w:val="18"/>
              </w:rPr>
              <w:t>”</w:t>
            </w:r>
            <w:r w:rsidRPr="00CF4E2F">
              <w:rPr>
                <w:rFonts w:ascii="Times New Roman"/>
                <w:sz w:val="18"/>
                <w:szCs w:val="18"/>
              </w:rPr>
              <w:t>.</w:t>
            </w:r>
          </w:p>
          <w:p w14:paraId="7FFF629C" w14:textId="77777777" w:rsidR="002509EB" w:rsidRPr="00CF4E2F" w:rsidRDefault="002509EB" w:rsidP="00022762">
            <w:pPr>
              <w:pStyle w:val="TableParagraph"/>
              <w:rPr>
                <w:rFonts w:ascii="Times New Roman"/>
                <w:sz w:val="18"/>
                <w:szCs w:val="18"/>
              </w:rPr>
            </w:pPr>
          </w:p>
        </w:tc>
      </w:tr>
      <w:tr w:rsidR="002509EB" w:rsidRPr="00CF4E2F" w14:paraId="415FC38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8B3BBFB" w14:textId="099D7AF2" w:rsidR="002509EB" w:rsidRPr="00A0201D"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0100</w:t>
            </w:r>
          </w:p>
        </w:tc>
        <w:tc>
          <w:tcPr>
            <w:tcW w:w="7590" w:type="dxa"/>
            <w:tcBorders>
              <w:top w:val="single" w:sz="4" w:space="0" w:color="auto"/>
              <w:left w:val="single" w:sz="4" w:space="0" w:color="auto"/>
              <w:bottom w:val="single" w:sz="4" w:space="0" w:color="auto"/>
              <w:right w:val="single" w:sz="4" w:space="0" w:color="auto"/>
            </w:tcBorders>
          </w:tcPr>
          <w:p w14:paraId="723F4F2B" w14:textId="3C42AF9C" w:rsidR="002509EB" w:rsidRPr="00A0201D" w:rsidRDefault="00BA07B2" w:rsidP="00A66401">
            <w:pPr>
              <w:pStyle w:val="TableParagraph"/>
              <w:spacing w:before="119"/>
              <w:ind w:left="102"/>
              <w:rPr>
                <w:rFonts w:ascii="Times New Roman"/>
                <w:b/>
                <w:sz w:val="18"/>
                <w:szCs w:val="18"/>
                <w:u w:val="single"/>
              </w:rPr>
            </w:pPr>
            <w:r w:rsidRPr="00A0201D">
              <w:rPr>
                <w:rFonts w:ascii="Times New Roman"/>
                <w:b/>
                <w:sz w:val="18"/>
                <w:szCs w:val="18"/>
                <w:u w:val="single"/>
              </w:rPr>
              <w:t xml:space="preserve">2.2.0.2 </w:t>
            </w:r>
            <w:r w:rsidR="002509EB" w:rsidRPr="00A0201D">
              <w:rPr>
                <w:rFonts w:ascii="Times New Roman"/>
                <w:b/>
                <w:sz w:val="18"/>
                <w:szCs w:val="18"/>
                <w:u w:val="single"/>
              </w:rPr>
              <w:t>of which with a material early withdrawable penalty</w:t>
            </w:r>
          </w:p>
          <w:p w14:paraId="01CD0D4D" w14:textId="77777777" w:rsidR="002509EB" w:rsidRPr="00CF4E2F" w:rsidRDefault="002509EB" w:rsidP="003A4A78">
            <w:pPr>
              <w:pStyle w:val="TableParagraph"/>
              <w:ind w:left="102"/>
              <w:rPr>
                <w:rFonts w:ascii="Times New Roman"/>
                <w:b/>
                <w:sz w:val="18"/>
                <w:szCs w:val="18"/>
                <w:u w:val="single"/>
              </w:rPr>
            </w:pPr>
          </w:p>
          <w:p w14:paraId="3283ED02" w14:textId="47FD3E07"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w:t>
            </w:r>
            <w:r w:rsidR="00092251">
              <w:rPr>
                <w:rFonts w:ascii="Times New Roman"/>
                <w:sz w:val="18"/>
                <w:szCs w:val="18"/>
              </w:rPr>
              <w:t>j</w:t>
            </w:r>
            <w:r w:rsidR="002509EB" w:rsidRPr="00CF4E2F">
              <w:rPr>
                <w:rFonts w:ascii="Times New Roman"/>
                <w:sz w:val="18"/>
                <w:szCs w:val="18"/>
              </w:rPr>
              <w:t>(3) of CRR</w:t>
            </w:r>
            <w:r>
              <w:rPr>
                <w:rFonts w:ascii="Times New Roman"/>
                <w:sz w:val="18"/>
                <w:szCs w:val="18"/>
              </w:rPr>
              <w:t>.</w:t>
            </w:r>
          </w:p>
          <w:p w14:paraId="0A283BC0" w14:textId="77777777" w:rsidR="002509EB" w:rsidRPr="00CF4E2F" w:rsidRDefault="002509EB" w:rsidP="003A4A78">
            <w:pPr>
              <w:pStyle w:val="TableParagraph"/>
              <w:ind w:left="102"/>
              <w:rPr>
                <w:rFonts w:ascii="Times New Roman"/>
                <w:sz w:val="18"/>
                <w:szCs w:val="18"/>
              </w:rPr>
            </w:pPr>
          </w:p>
          <w:p w14:paraId="4488ECF2" w14:textId="246E2A92"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Stable retail </w:t>
            </w:r>
            <w:r w:rsidR="003B3180">
              <w:rPr>
                <w:rFonts w:ascii="Times New Roman"/>
                <w:sz w:val="18"/>
                <w:szCs w:val="18"/>
              </w:rPr>
              <w:t xml:space="preserve">deposits </w:t>
            </w:r>
            <w:r w:rsidRPr="00CF4E2F">
              <w:rPr>
                <w:rFonts w:ascii="Times New Roman"/>
                <w:sz w:val="18"/>
                <w:szCs w:val="18"/>
              </w:rPr>
              <w:t>that can be early withdrawn before one year upon the payment of a penalty that has been assessed as material</w:t>
            </w:r>
            <w:r w:rsidR="00243337">
              <w:rPr>
                <w:rFonts w:ascii="Times New Roman"/>
                <w:sz w:val="18"/>
                <w:szCs w:val="18"/>
              </w:rPr>
              <w:t xml:space="preserve"> in line with</w:t>
            </w:r>
            <w:r w:rsidR="00243337">
              <w:t xml:space="preserve"> </w:t>
            </w:r>
            <w:r w:rsidR="00243337" w:rsidRPr="00243337">
              <w:rPr>
                <w:rFonts w:ascii="Times New Roman"/>
                <w:sz w:val="18"/>
                <w:szCs w:val="18"/>
              </w:rPr>
              <w:t>Article 25(4) of Delegated Regulation (EU) 2015/61</w:t>
            </w:r>
            <w:r w:rsidRPr="00CF4E2F">
              <w:rPr>
                <w:rFonts w:ascii="Times New Roman"/>
                <w:sz w:val="18"/>
                <w:szCs w:val="18"/>
              </w:rPr>
              <w:t>.</w:t>
            </w:r>
          </w:p>
          <w:p w14:paraId="53F6E298" w14:textId="77777777" w:rsidR="002509EB" w:rsidRPr="00AA031A" w:rsidRDefault="002509EB" w:rsidP="003A4A78">
            <w:pPr>
              <w:pStyle w:val="TableParagraph"/>
              <w:ind w:left="102"/>
              <w:rPr>
                <w:rFonts w:ascii="Times New Roman"/>
                <w:sz w:val="18"/>
                <w:szCs w:val="18"/>
              </w:rPr>
            </w:pPr>
          </w:p>
        </w:tc>
      </w:tr>
      <w:tr w:rsidR="002509EB" w:rsidRPr="00CF4E2F" w14:paraId="51EF7AF2"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1DCD183" w14:textId="798254C7"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0110</w:t>
            </w:r>
          </w:p>
        </w:tc>
        <w:tc>
          <w:tcPr>
            <w:tcW w:w="7590" w:type="dxa"/>
            <w:tcBorders>
              <w:top w:val="single" w:sz="4" w:space="0" w:color="auto"/>
              <w:left w:val="single" w:sz="4" w:space="0" w:color="auto"/>
              <w:bottom w:val="single" w:sz="4" w:space="0" w:color="auto"/>
              <w:right w:val="single" w:sz="4" w:space="0" w:color="auto"/>
            </w:tcBorders>
          </w:tcPr>
          <w:p w14:paraId="5F5E3C4B" w14:textId="513A9F28"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2.2.2 </w:t>
            </w:r>
            <w:r w:rsidR="002509EB" w:rsidRPr="00CF4E2F">
              <w:rPr>
                <w:rFonts w:ascii="Times New Roman"/>
                <w:b/>
                <w:sz w:val="18"/>
                <w:szCs w:val="18"/>
                <w:u w:val="single"/>
              </w:rPr>
              <w:t>Other retail deposits</w:t>
            </w:r>
          </w:p>
          <w:p w14:paraId="3D3C01CE" w14:textId="77777777" w:rsidR="002509EB" w:rsidRPr="00022762" w:rsidRDefault="002509EB" w:rsidP="00022762">
            <w:pPr>
              <w:pStyle w:val="TableParagraph"/>
              <w:ind w:left="102"/>
              <w:rPr>
                <w:rFonts w:ascii="Times New Roman"/>
                <w:sz w:val="18"/>
                <w:szCs w:val="18"/>
              </w:rPr>
            </w:pPr>
          </w:p>
          <w:p w14:paraId="421E1FA4" w14:textId="602D0B3C" w:rsidR="002509EB" w:rsidRPr="00CF4E2F" w:rsidRDefault="006E5DC6"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428m of CRR</w:t>
            </w:r>
            <w:r>
              <w:rPr>
                <w:rFonts w:ascii="Times New Roman"/>
                <w:sz w:val="18"/>
                <w:szCs w:val="18"/>
              </w:rPr>
              <w:t>.</w:t>
            </w:r>
          </w:p>
          <w:p w14:paraId="18B0AE52" w14:textId="77777777" w:rsidR="002509EB" w:rsidRPr="00022762" w:rsidRDefault="002509EB" w:rsidP="003A4A78">
            <w:pPr>
              <w:pStyle w:val="TableParagraph"/>
              <w:ind w:left="102"/>
              <w:rPr>
                <w:rFonts w:ascii="Times New Roman"/>
                <w:sz w:val="18"/>
                <w:szCs w:val="18"/>
              </w:rPr>
            </w:pPr>
          </w:p>
          <w:p w14:paraId="6B1B1481" w14:textId="1FE5223C" w:rsidR="002509EB" w:rsidRPr="00CF4E2F" w:rsidRDefault="002509EB" w:rsidP="003A4A78">
            <w:pPr>
              <w:pStyle w:val="TableParagraph"/>
              <w:ind w:left="102"/>
              <w:rPr>
                <w:rFonts w:ascii="Times New Roman" w:hAnsi="Times New Roman"/>
                <w:sz w:val="18"/>
              </w:rPr>
            </w:pPr>
            <w:r w:rsidRPr="00CF4E2F">
              <w:rPr>
                <w:rFonts w:ascii="Times New Roman" w:hAnsi="Times New Roman"/>
                <w:sz w:val="18"/>
              </w:rPr>
              <w:t>Institutions shall report the amount of other retail deposits than those captured as “stable retail deposits”</w:t>
            </w:r>
            <w:r w:rsidR="009D24CD">
              <w:rPr>
                <w:rFonts w:ascii="Times New Roman" w:hAnsi="Times New Roman"/>
                <w:sz w:val="18"/>
              </w:rPr>
              <w:t xml:space="preserve"> under Item 2.2.1.</w:t>
            </w:r>
          </w:p>
          <w:p w14:paraId="4D1C4E2A" w14:textId="50F53C67" w:rsidR="00BA07B2" w:rsidRPr="00CF4E2F" w:rsidRDefault="00BA07B2" w:rsidP="003A4A78">
            <w:pPr>
              <w:pStyle w:val="TableParagraph"/>
              <w:ind w:left="102"/>
              <w:rPr>
                <w:rFonts w:ascii="Times New Roman"/>
                <w:b/>
                <w:sz w:val="18"/>
                <w:szCs w:val="18"/>
                <w:u w:val="single"/>
              </w:rPr>
            </w:pPr>
          </w:p>
        </w:tc>
      </w:tr>
      <w:tr w:rsidR="002509EB" w:rsidRPr="00CF4E2F" w14:paraId="1BA09779"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B4C8003" w14:textId="17FB3F58"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0120</w:t>
            </w:r>
          </w:p>
        </w:tc>
        <w:tc>
          <w:tcPr>
            <w:tcW w:w="7590" w:type="dxa"/>
            <w:tcBorders>
              <w:top w:val="single" w:sz="4" w:space="0" w:color="auto"/>
              <w:left w:val="single" w:sz="4" w:space="0" w:color="auto"/>
              <w:bottom w:val="single" w:sz="4" w:space="0" w:color="auto"/>
              <w:right w:val="single" w:sz="4" w:space="0" w:color="auto"/>
            </w:tcBorders>
          </w:tcPr>
          <w:p w14:paraId="70D7D4B8" w14:textId="4579BC5A"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2.2.0.3 </w:t>
            </w:r>
            <w:r w:rsidR="002509EB" w:rsidRPr="00CF4E2F">
              <w:rPr>
                <w:rFonts w:ascii="Times New Roman"/>
                <w:b/>
                <w:sz w:val="18"/>
                <w:szCs w:val="18"/>
                <w:u w:val="single"/>
              </w:rPr>
              <w:t>of which with a material early withdrawable penalty</w:t>
            </w:r>
          </w:p>
          <w:p w14:paraId="23088AC3" w14:textId="77777777" w:rsidR="002509EB" w:rsidRPr="00022762" w:rsidRDefault="002509EB" w:rsidP="003A4A78">
            <w:pPr>
              <w:pStyle w:val="TableParagraph"/>
              <w:ind w:left="102"/>
              <w:rPr>
                <w:rFonts w:ascii="Times New Roman"/>
                <w:sz w:val="18"/>
                <w:szCs w:val="18"/>
              </w:rPr>
            </w:pPr>
          </w:p>
          <w:p w14:paraId="19C00E51" w14:textId="50C80614" w:rsidR="002509EB" w:rsidRPr="00CF4E2F" w:rsidRDefault="002509EB" w:rsidP="003A4A78">
            <w:pPr>
              <w:pStyle w:val="TableParagraph"/>
              <w:ind w:left="102"/>
              <w:rPr>
                <w:rFonts w:ascii="Times New Roman"/>
                <w:sz w:val="18"/>
                <w:szCs w:val="18"/>
              </w:rPr>
            </w:pPr>
            <w:r w:rsidRPr="00CF4E2F">
              <w:rPr>
                <w:rFonts w:ascii="Times New Roman"/>
                <w:sz w:val="18"/>
                <w:szCs w:val="18"/>
              </w:rPr>
              <w:t>“</w:t>
            </w:r>
            <w:r w:rsidRPr="00CF4E2F">
              <w:rPr>
                <w:rFonts w:ascii="Times New Roman"/>
                <w:sz w:val="18"/>
                <w:szCs w:val="18"/>
              </w:rPr>
              <w:t>Other retail deposits</w:t>
            </w:r>
            <w:r w:rsidRPr="00CF4E2F">
              <w:rPr>
                <w:rFonts w:ascii="Times New Roman"/>
                <w:sz w:val="18"/>
                <w:szCs w:val="18"/>
              </w:rPr>
              <w:t>”</w:t>
            </w:r>
            <w:r w:rsidRPr="00CF4E2F">
              <w:rPr>
                <w:rFonts w:ascii="Times New Roman"/>
                <w:sz w:val="18"/>
                <w:szCs w:val="18"/>
              </w:rPr>
              <w:t xml:space="preserve"> that can be early withdrawn before one year upon the payment of a penalty that has been assessed as material</w:t>
            </w:r>
            <w:r w:rsidR="00243337">
              <w:rPr>
                <w:rFonts w:ascii="Times New Roman"/>
                <w:sz w:val="18"/>
                <w:szCs w:val="18"/>
              </w:rPr>
              <w:t xml:space="preserve"> in line with</w:t>
            </w:r>
            <w:r w:rsidR="00243337">
              <w:t xml:space="preserve"> </w:t>
            </w:r>
            <w:r w:rsidR="00243337" w:rsidRPr="00243337">
              <w:rPr>
                <w:rFonts w:ascii="Times New Roman"/>
                <w:sz w:val="18"/>
                <w:szCs w:val="18"/>
              </w:rPr>
              <w:t>Article 25(4) of Delegated Regulation (EU) 2015/61</w:t>
            </w:r>
            <w:r w:rsidR="00243337" w:rsidRPr="00CF4E2F">
              <w:rPr>
                <w:rFonts w:ascii="Times New Roman"/>
                <w:sz w:val="18"/>
                <w:szCs w:val="18"/>
              </w:rPr>
              <w:t>.</w:t>
            </w:r>
          </w:p>
          <w:p w14:paraId="77F20B18" w14:textId="77777777" w:rsidR="002509EB" w:rsidRPr="00AA031A" w:rsidRDefault="002509EB" w:rsidP="003A4A78">
            <w:pPr>
              <w:pStyle w:val="TableParagraph"/>
              <w:ind w:left="102"/>
              <w:rPr>
                <w:rFonts w:ascii="Times New Roman"/>
                <w:sz w:val="18"/>
                <w:szCs w:val="18"/>
              </w:rPr>
            </w:pPr>
          </w:p>
        </w:tc>
      </w:tr>
      <w:tr w:rsidR="002509EB" w:rsidRPr="00CF4E2F" w14:paraId="7614E18D"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ADFCB41" w14:textId="1CB9DFEC"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0130</w:t>
            </w:r>
          </w:p>
        </w:tc>
        <w:tc>
          <w:tcPr>
            <w:tcW w:w="7590" w:type="dxa"/>
            <w:tcBorders>
              <w:top w:val="single" w:sz="4" w:space="0" w:color="auto"/>
              <w:left w:val="single" w:sz="4" w:space="0" w:color="auto"/>
              <w:bottom w:val="single" w:sz="4" w:space="0" w:color="auto"/>
              <w:right w:val="single" w:sz="4" w:space="0" w:color="auto"/>
            </w:tcBorders>
          </w:tcPr>
          <w:p w14:paraId="768575B2" w14:textId="2D3F3AEB" w:rsidR="002509EB" w:rsidRPr="00CF4E2F" w:rsidRDefault="00BA07B2" w:rsidP="00A66401">
            <w:pPr>
              <w:pStyle w:val="TableParagraph"/>
              <w:spacing w:before="119"/>
              <w:ind w:left="102"/>
              <w:rPr>
                <w:rFonts w:ascii="Times New Roman"/>
                <w:b/>
                <w:sz w:val="18"/>
                <w:szCs w:val="18"/>
                <w:u w:val="single"/>
              </w:rPr>
            </w:pPr>
            <w:r w:rsidRPr="00CF4E2F">
              <w:rPr>
                <w:rFonts w:ascii="Times New Roman"/>
                <w:b/>
                <w:sz w:val="18"/>
                <w:szCs w:val="18"/>
                <w:u w:val="single"/>
              </w:rPr>
              <w:t xml:space="preserve">2.3 </w:t>
            </w:r>
            <w:r w:rsidR="002509EB" w:rsidRPr="00CF4E2F">
              <w:rPr>
                <w:rFonts w:ascii="Times New Roman"/>
                <w:b/>
                <w:sz w:val="18"/>
                <w:szCs w:val="18"/>
                <w:u w:val="single"/>
              </w:rPr>
              <w:t>ASF from other non-financial customers (except central banks)</w:t>
            </w:r>
          </w:p>
          <w:p w14:paraId="79011BE1" w14:textId="77777777" w:rsidR="002509EB" w:rsidRPr="00022762" w:rsidRDefault="002509EB" w:rsidP="003A4A78">
            <w:pPr>
              <w:pStyle w:val="TableParagraph"/>
              <w:ind w:left="102"/>
              <w:rPr>
                <w:rFonts w:ascii="Times New Roman"/>
                <w:sz w:val="18"/>
                <w:szCs w:val="18"/>
              </w:rPr>
            </w:pPr>
          </w:p>
          <w:p w14:paraId="3A978E6F" w14:textId="29C47DE2"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w:t>
            </w:r>
            <w:r>
              <w:rPr>
                <w:rFonts w:ascii="Times New Roman"/>
                <w:sz w:val="18"/>
                <w:szCs w:val="18"/>
              </w:rPr>
              <w:t xml:space="preserve"> of CRR.</w:t>
            </w:r>
          </w:p>
          <w:p w14:paraId="6340105D" w14:textId="77777777" w:rsidR="002509EB" w:rsidRPr="00CF4E2F" w:rsidRDefault="002509EB" w:rsidP="003A4A78">
            <w:pPr>
              <w:pStyle w:val="TableParagraph"/>
              <w:ind w:left="102"/>
              <w:rPr>
                <w:rFonts w:ascii="Times New Roman"/>
                <w:sz w:val="18"/>
                <w:szCs w:val="18"/>
              </w:rPr>
            </w:pPr>
          </w:p>
          <w:p w14:paraId="2BC0AA09" w14:textId="5E9E31F8" w:rsidR="002509EB" w:rsidRPr="00CF4E2F" w:rsidRDefault="002509EB" w:rsidP="003A4A78">
            <w:pPr>
              <w:pStyle w:val="TableParagraph"/>
              <w:ind w:left="102"/>
              <w:rPr>
                <w:rFonts w:ascii="Times New Roman"/>
                <w:sz w:val="18"/>
                <w:szCs w:val="18"/>
              </w:rPr>
            </w:pPr>
            <w:r w:rsidRPr="00CF4E2F">
              <w:rPr>
                <w:rFonts w:ascii="Times New Roman"/>
                <w:sz w:val="18"/>
                <w:szCs w:val="18"/>
              </w:rPr>
              <w:t>Liabilities provided by wholesale non-financial customers (except central banks)</w:t>
            </w:r>
            <w:r w:rsidR="00BA07B2" w:rsidRPr="00CF4E2F">
              <w:rPr>
                <w:rFonts w:ascii="Times New Roman"/>
                <w:sz w:val="18"/>
                <w:szCs w:val="18"/>
              </w:rPr>
              <w:t xml:space="preserve">. </w:t>
            </w:r>
            <w:r w:rsidR="00BA07B2" w:rsidRPr="00CF4E2F">
              <w:rPr>
                <w:rFonts w:ascii="Times New Roman" w:eastAsia="Times New Roman" w:hAnsi="Times New Roman" w:cs="Times New Roman"/>
                <w:sz w:val="18"/>
                <w:szCs w:val="18"/>
              </w:rPr>
              <w:t>Institutions shall report here the sum of items 2.3</w:t>
            </w:r>
            <w:r w:rsidR="00897639" w:rsidRPr="00CF4E2F">
              <w:rPr>
                <w:rFonts w:ascii="Times New Roman" w:eastAsia="Times New Roman" w:hAnsi="Times New Roman" w:cs="Times New Roman"/>
                <w:sz w:val="18"/>
                <w:szCs w:val="18"/>
              </w:rPr>
              <w:t>.1 to</w:t>
            </w:r>
            <w:r w:rsidR="00BA07B2" w:rsidRPr="00CF4E2F">
              <w:rPr>
                <w:rFonts w:ascii="Times New Roman" w:eastAsia="Times New Roman" w:hAnsi="Times New Roman" w:cs="Times New Roman"/>
                <w:sz w:val="18"/>
                <w:szCs w:val="18"/>
              </w:rPr>
              <w:t xml:space="preserve"> 2.3.6.</w:t>
            </w:r>
          </w:p>
          <w:p w14:paraId="1947E47A" w14:textId="77777777" w:rsidR="002509EB" w:rsidRPr="00CF4E2F" w:rsidRDefault="002509EB" w:rsidP="003A4A78">
            <w:pPr>
              <w:pStyle w:val="TableParagraph"/>
              <w:ind w:left="102"/>
              <w:rPr>
                <w:rFonts w:ascii="Times New Roman"/>
                <w:b/>
                <w:sz w:val="18"/>
                <w:szCs w:val="18"/>
                <w:u w:val="single"/>
              </w:rPr>
            </w:pPr>
          </w:p>
        </w:tc>
      </w:tr>
      <w:tr w:rsidR="00BA07B2" w:rsidRPr="00CF4E2F" w14:paraId="48007E0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92398FE" w14:textId="38B2EC1C" w:rsidR="00BA07B2"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0140</w:t>
            </w:r>
          </w:p>
        </w:tc>
        <w:tc>
          <w:tcPr>
            <w:tcW w:w="7590" w:type="dxa"/>
            <w:tcBorders>
              <w:top w:val="single" w:sz="4" w:space="0" w:color="auto"/>
              <w:left w:val="single" w:sz="4" w:space="0" w:color="auto"/>
              <w:bottom w:val="single" w:sz="4" w:space="0" w:color="auto"/>
              <w:right w:val="single" w:sz="4" w:space="0" w:color="auto"/>
            </w:tcBorders>
          </w:tcPr>
          <w:p w14:paraId="05E5DC3B" w14:textId="420DEB2F" w:rsidR="00BA07B2" w:rsidRPr="00CF4E2F" w:rsidRDefault="00BA07B2" w:rsidP="00BA07B2">
            <w:pPr>
              <w:pStyle w:val="TableParagraph"/>
              <w:spacing w:before="119"/>
              <w:ind w:left="102"/>
              <w:rPr>
                <w:rFonts w:ascii="Times New Roman"/>
                <w:b/>
                <w:sz w:val="18"/>
                <w:szCs w:val="18"/>
                <w:u w:val="single"/>
              </w:rPr>
            </w:pPr>
            <w:r w:rsidRPr="00CF4E2F">
              <w:rPr>
                <w:rFonts w:ascii="Times New Roman"/>
                <w:b/>
                <w:sz w:val="18"/>
                <w:szCs w:val="18"/>
                <w:u w:val="single"/>
              </w:rPr>
              <w:t>2.3.0.1 of which, securities financing transactions</w:t>
            </w:r>
          </w:p>
          <w:p w14:paraId="7E5A476A" w14:textId="3CD9896E" w:rsidR="00D54BD4" w:rsidRPr="00A0201D" w:rsidRDefault="00D54BD4" w:rsidP="00D54BD4">
            <w:pPr>
              <w:pStyle w:val="TableParagraph"/>
              <w:spacing w:before="117"/>
              <w:ind w:left="102" w:right="99"/>
              <w:jc w:val="both"/>
              <w:rPr>
                <w:rFonts w:ascii="Times New Roman"/>
                <w:sz w:val="18"/>
                <w:szCs w:val="18"/>
              </w:rPr>
            </w:pPr>
            <w:r w:rsidRPr="00CF4E2F">
              <w:rPr>
                <w:rFonts w:ascii="Times New Roman"/>
                <w:sz w:val="18"/>
                <w:szCs w:val="18"/>
              </w:rPr>
              <w:t>Article</w:t>
            </w:r>
            <w:r w:rsidR="00022762">
              <w:rPr>
                <w:rFonts w:ascii="Times New Roman"/>
                <w:sz w:val="18"/>
                <w:szCs w:val="18"/>
              </w:rPr>
              <w:t>s</w:t>
            </w:r>
            <w:r w:rsidRPr="00CF4E2F">
              <w:rPr>
                <w:rFonts w:ascii="Times New Roman"/>
                <w:sz w:val="18"/>
                <w:szCs w:val="18"/>
              </w:rPr>
              <w:t xml:space="preserve"> 428e, </w:t>
            </w:r>
            <w:r w:rsidR="001F6F59">
              <w:rPr>
                <w:rFonts w:ascii="Times New Roman"/>
                <w:sz w:val="18"/>
                <w:szCs w:val="18"/>
              </w:rPr>
              <w:t>428r(1)</w:t>
            </w:r>
            <w:r w:rsidRPr="00CF4E2F">
              <w:rPr>
                <w:rFonts w:ascii="Times New Roman"/>
                <w:sz w:val="18"/>
                <w:szCs w:val="18"/>
              </w:rPr>
              <w:t xml:space="preserve">(g) and </w:t>
            </w:r>
            <w:r w:rsidR="003B7009">
              <w:rPr>
                <w:rFonts w:ascii="Times New Roman"/>
                <w:sz w:val="18"/>
                <w:szCs w:val="18"/>
              </w:rPr>
              <w:t>428s(1)</w:t>
            </w:r>
            <w:r w:rsidRPr="00CF4E2F">
              <w:rPr>
                <w:rFonts w:ascii="Times New Roman"/>
                <w:sz w:val="18"/>
                <w:szCs w:val="18"/>
              </w:rPr>
              <w:t>(b)</w:t>
            </w:r>
            <w:r w:rsidRPr="00CF4E2F">
              <w:rPr>
                <w:sz w:val="18"/>
                <w:szCs w:val="18"/>
              </w:rPr>
              <w:t xml:space="preserve"> </w:t>
            </w:r>
            <w:r w:rsidRPr="00CF4E2F">
              <w:rPr>
                <w:rFonts w:ascii="Times New Roman"/>
                <w:sz w:val="18"/>
                <w:szCs w:val="18"/>
              </w:rPr>
              <w:t xml:space="preserve">of </w:t>
            </w:r>
            <w:r w:rsidRPr="0040192D">
              <w:rPr>
                <w:rFonts w:ascii="Times New Roman"/>
                <w:sz w:val="18"/>
                <w:szCs w:val="18"/>
              </w:rPr>
              <w:t>CRR</w:t>
            </w:r>
            <w:r w:rsidR="004465B4">
              <w:rPr>
                <w:rFonts w:ascii="Times New Roman"/>
                <w:sz w:val="18"/>
                <w:szCs w:val="18"/>
              </w:rPr>
              <w:t>.</w:t>
            </w:r>
          </w:p>
          <w:p w14:paraId="2477F0ED" w14:textId="62465EDC" w:rsidR="00D54BD4" w:rsidRPr="00A66401" w:rsidRDefault="00D54BD4" w:rsidP="00A66401">
            <w:pPr>
              <w:pStyle w:val="TableParagraph"/>
              <w:spacing w:before="117"/>
              <w:ind w:left="102" w:right="99"/>
              <w:jc w:val="both"/>
              <w:rPr>
                <w:rFonts w:ascii="Times New Roman"/>
                <w:sz w:val="18"/>
                <w:szCs w:val="18"/>
              </w:rPr>
            </w:pPr>
            <w:r w:rsidRPr="00A0201D">
              <w:rPr>
                <w:rFonts w:ascii="Times New Roman"/>
                <w:sz w:val="18"/>
                <w:szCs w:val="18"/>
              </w:rPr>
              <w:t xml:space="preserve">The amount reported in 2.3 </w:t>
            </w:r>
            <w:r w:rsidR="001458F1">
              <w:rPr>
                <w:rFonts w:ascii="Times New Roman"/>
                <w:sz w:val="18"/>
                <w:szCs w:val="18"/>
              </w:rPr>
              <w:t>that</w:t>
            </w:r>
            <w:r w:rsidR="001458F1" w:rsidRPr="00A0201D" w:rsidDel="001458F1">
              <w:rPr>
                <w:rFonts w:ascii="Times New Roman"/>
                <w:sz w:val="18"/>
                <w:szCs w:val="18"/>
              </w:rPr>
              <w:t xml:space="preserve"> </w:t>
            </w:r>
            <w:r w:rsidR="00000970">
              <w:rPr>
                <w:rFonts w:ascii="Times New Roman"/>
                <w:sz w:val="18"/>
                <w:szCs w:val="18"/>
              </w:rPr>
              <w:t xml:space="preserve">is related to </w:t>
            </w:r>
            <w:r w:rsidRPr="00A0201D">
              <w:rPr>
                <w:rFonts w:ascii="Times New Roman"/>
                <w:sz w:val="18"/>
                <w:szCs w:val="18"/>
              </w:rPr>
              <w:t>monies due from se</w:t>
            </w:r>
            <w:r w:rsidRPr="003843E9">
              <w:rPr>
                <w:rFonts w:ascii="Times New Roman"/>
                <w:sz w:val="18"/>
                <w:szCs w:val="18"/>
              </w:rPr>
              <w:t>curities financing transact</w:t>
            </w:r>
            <w:r w:rsidRPr="00CF4E2F">
              <w:rPr>
                <w:rFonts w:ascii="Times New Roman"/>
                <w:sz w:val="18"/>
                <w:szCs w:val="18"/>
              </w:rPr>
              <w:t>ions with non-financial customers.</w:t>
            </w:r>
          </w:p>
          <w:p w14:paraId="15B125B6" w14:textId="77777777" w:rsidR="00BA07B2" w:rsidRPr="0092017F" w:rsidRDefault="00BA07B2" w:rsidP="0092017F">
            <w:pPr>
              <w:pStyle w:val="TableParagraph"/>
              <w:ind w:left="102"/>
              <w:rPr>
                <w:rFonts w:ascii="Times New Roman"/>
                <w:sz w:val="18"/>
                <w:szCs w:val="18"/>
              </w:rPr>
            </w:pPr>
          </w:p>
        </w:tc>
      </w:tr>
      <w:tr w:rsidR="002509EB" w:rsidRPr="00CF4E2F" w14:paraId="1A83CF2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A1DD822" w14:textId="7090CC78" w:rsidR="002509EB" w:rsidRPr="0040192D"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0150</w:t>
            </w:r>
          </w:p>
        </w:tc>
        <w:tc>
          <w:tcPr>
            <w:tcW w:w="7590" w:type="dxa"/>
            <w:tcBorders>
              <w:top w:val="single" w:sz="4" w:space="0" w:color="auto"/>
              <w:left w:val="single" w:sz="4" w:space="0" w:color="auto"/>
              <w:bottom w:val="single" w:sz="4" w:space="0" w:color="auto"/>
              <w:right w:val="single" w:sz="4" w:space="0" w:color="auto"/>
            </w:tcBorders>
          </w:tcPr>
          <w:p w14:paraId="05F95836" w14:textId="45E07E34" w:rsidR="002509EB" w:rsidRPr="00A0201D" w:rsidRDefault="00BA07B2" w:rsidP="00A66401">
            <w:pPr>
              <w:pStyle w:val="TableParagraph"/>
              <w:spacing w:before="119"/>
              <w:ind w:left="102"/>
              <w:rPr>
                <w:rFonts w:ascii="Times New Roman"/>
                <w:b/>
                <w:sz w:val="18"/>
                <w:szCs w:val="18"/>
                <w:u w:val="single"/>
              </w:rPr>
            </w:pPr>
            <w:r w:rsidRPr="00A0201D">
              <w:rPr>
                <w:rFonts w:ascii="Times New Roman"/>
                <w:b/>
                <w:sz w:val="18"/>
                <w:szCs w:val="18"/>
                <w:u w:val="single"/>
              </w:rPr>
              <w:t xml:space="preserve">2.3.0.2 </w:t>
            </w:r>
            <w:r w:rsidR="002509EB" w:rsidRPr="00A0201D">
              <w:rPr>
                <w:rFonts w:ascii="Times New Roman"/>
                <w:b/>
                <w:sz w:val="18"/>
                <w:szCs w:val="18"/>
                <w:u w:val="single"/>
              </w:rPr>
              <w:t>of which ASF from operational deposits</w:t>
            </w:r>
          </w:p>
          <w:p w14:paraId="49B9CA83" w14:textId="77777777" w:rsidR="002509EB" w:rsidRPr="00CF4E2F" w:rsidRDefault="002509EB" w:rsidP="003A4A78">
            <w:pPr>
              <w:pStyle w:val="TableParagraph"/>
              <w:ind w:left="102"/>
              <w:rPr>
                <w:rFonts w:ascii="Times New Roman"/>
                <w:sz w:val="18"/>
                <w:szCs w:val="18"/>
              </w:rPr>
            </w:pPr>
          </w:p>
          <w:p w14:paraId="779AD496" w14:textId="4A97219E"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The amount reported in </w:t>
            </w:r>
            <w:r w:rsidR="0077771F">
              <w:rPr>
                <w:rFonts w:ascii="Times New Roman"/>
                <w:sz w:val="18"/>
                <w:szCs w:val="18"/>
              </w:rPr>
              <w:t>2.3</w:t>
            </w:r>
            <w:r w:rsidR="0077771F" w:rsidRPr="00CF4E2F">
              <w:rPr>
                <w:rFonts w:ascii="Times New Roman"/>
                <w:sz w:val="18"/>
                <w:szCs w:val="18"/>
              </w:rPr>
              <w:t xml:space="preserve"> </w:t>
            </w:r>
            <w:r w:rsidRPr="00CF4E2F">
              <w:rPr>
                <w:rFonts w:ascii="Times New Roman"/>
                <w:sz w:val="18"/>
                <w:szCs w:val="18"/>
              </w:rPr>
              <w:t>that is provided in the form of operational deposits and is required for the provision of operational services as set out in Article 27 of Delegated Regulation (EU) 2015/61</w:t>
            </w:r>
            <w:r w:rsidR="004465B4">
              <w:rPr>
                <w:rFonts w:ascii="Times New Roman"/>
                <w:sz w:val="18"/>
                <w:szCs w:val="18"/>
              </w:rPr>
              <w:t>.</w:t>
            </w:r>
          </w:p>
          <w:p w14:paraId="09DA65E6" w14:textId="77777777" w:rsidR="002509EB" w:rsidRPr="00CF4E2F" w:rsidRDefault="002509EB" w:rsidP="003A4A78">
            <w:pPr>
              <w:pStyle w:val="TableParagraph"/>
              <w:ind w:left="102"/>
              <w:rPr>
                <w:rFonts w:ascii="Times New Roman"/>
                <w:sz w:val="18"/>
                <w:szCs w:val="18"/>
              </w:rPr>
            </w:pPr>
          </w:p>
        </w:tc>
      </w:tr>
      <w:tr w:rsidR="002509EB" w:rsidRPr="00CF4E2F" w14:paraId="74FC803A"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4DAE86D2" w14:textId="21D0291E"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0160</w:t>
            </w:r>
          </w:p>
        </w:tc>
        <w:tc>
          <w:tcPr>
            <w:tcW w:w="7590" w:type="dxa"/>
            <w:tcBorders>
              <w:top w:val="single" w:sz="4" w:space="0" w:color="auto"/>
              <w:left w:val="single" w:sz="4" w:space="0" w:color="auto"/>
              <w:bottom w:val="single" w:sz="4" w:space="0" w:color="auto"/>
              <w:right w:val="single" w:sz="4" w:space="0" w:color="auto"/>
            </w:tcBorders>
          </w:tcPr>
          <w:p w14:paraId="3B7711F6" w14:textId="58751BC9"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2.3.1 </w:t>
            </w:r>
            <w:r w:rsidR="002509EB" w:rsidRPr="00CF4E2F">
              <w:rPr>
                <w:rFonts w:ascii="Times New Roman"/>
                <w:b/>
                <w:sz w:val="18"/>
                <w:szCs w:val="18"/>
                <w:u w:val="single"/>
              </w:rPr>
              <w:t>Liabilities provided by the central government of a Member State or a third country</w:t>
            </w:r>
          </w:p>
          <w:p w14:paraId="61F8E4E1" w14:textId="77777777" w:rsidR="002509EB" w:rsidRPr="0092017F" w:rsidRDefault="002509EB" w:rsidP="003A4A78">
            <w:pPr>
              <w:pStyle w:val="TableParagraph"/>
              <w:ind w:left="102"/>
              <w:rPr>
                <w:rFonts w:ascii="Times New Roman"/>
                <w:sz w:val="18"/>
                <w:szCs w:val="18"/>
              </w:rPr>
            </w:pPr>
          </w:p>
          <w:p w14:paraId="247175C4" w14:textId="0F790F16" w:rsidR="002509EB" w:rsidRPr="00CF4E2F" w:rsidRDefault="004465B4" w:rsidP="003A4A78">
            <w:pPr>
              <w:pStyle w:val="TableParagraph"/>
              <w:ind w:left="102"/>
              <w:rPr>
                <w:rFonts w:ascii="Times New Roman"/>
                <w:b/>
                <w:sz w:val="18"/>
                <w:szCs w:val="18"/>
                <w:u w:val="single"/>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428l(b)(i) of CRR.</w:t>
            </w:r>
          </w:p>
          <w:p w14:paraId="2FBF9481" w14:textId="77777777" w:rsidR="002509EB" w:rsidRPr="0092017F" w:rsidRDefault="002509EB" w:rsidP="003A4A78">
            <w:pPr>
              <w:pStyle w:val="TableParagraph"/>
              <w:ind w:left="102"/>
              <w:rPr>
                <w:rFonts w:ascii="Times New Roman"/>
                <w:sz w:val="18"/>
                <w:szCs w:val="18"/>
              </w:rPr>
            </w:pPr>
          </w:p>
          <w:p w14:paraId="63B0EA75" w14:textId="15543A74"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The amount reported in </w:t>
            </w:r>
            <w:r w:rsidR="00A22B8D">
              <w:rPr>
                <w:rFonts w:ascii="Times New Roman"/>
                <w:sz w:val="18"/>
                <w:szCs w:val="18"/>
              </w:rPr>
              <w:t>2.3</w:t>
            </w:r>
            <w:r w:rsidR="00A22B8D" w:rsidRPr="00CF4E2F">
              <w:rPr>
                <w:rFonts w:ascii="Times New Roman"/>
                <w:sz w:val="18"/>
                <w:szCs w:val="18"/>
              </w:rPr>
              <w:t xml:space="preserve"> </w:t>
            </w:r>
            <w:r w:rsidRPr="00CF4E2F">
              <w:rPr>
                <w:rFonts w:ascii="Times New Roman"/>
                <w:sz w:val="18"/>
                <w:szCs w:val="18"/>
              </w:rPr>
              <w:t>that is provided by the central government of a Member State or a third country</w:t>
            </w:r>
            <w:r w:rsidR="004465B4">
              <w:rPr>
                <w:rFonts w:ascii="Times New Roman"/>
                <w:sz w:val="18"/>
                <w:szCs w:val="18"/>
              </w:rPr>
              <w:t>.</w:t>
            </w:r>
          </w:p>
          <w:p w14:paraId="151F834B" w14:textId="77777777" w:rsidR="002509EB" w:rsidRPr="00CF4E2F" w:rsidRDefault="002509EB" w:rsidP="003A4A78">
            <w:pPr>
              <w:pStyle w:val="TableParagraph"/>
              <w:ind w:left="102"/>
              <w:rPr>
                <w:rFonts w:ascii="Times New Roman"/>
                <w:b/>
                <w:sz w:val="18"/>
                <w:szCs w:val="18"/>
                <w:u w:val="single"/>
              </w:rPr>
            </w:pPr>
          </w:p>
        </w:tc>
      </w:tr>
      <w:tr w:rsidR="002509EB" w:rsidRPr="00CF4E2F" w14:paraId="33C5722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5D022D0" w14:textId="49C62935"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0170</w:t>
            </w:r>
          </w:p>
        </w:tc>
        <w:tc>
          <w:tcPr>
            <w:tcW w:w="7590" w:type="dxa"/>
            <w:tcBorders>
              <w:top w:val="single" w:sz="4" w:space="0" w:color="auto"/>
              <w:left w:val="single" w:sz="4" w:space="0" w:color="auto"/>
              <w:bottom w:val="single" w:sz="4" w:space="0" w:color="auto"/>
              <w:right w:val="single" w:sz="4" w:space="0" w:color="auto"/>
            </w:tcBorders>
          </w:tcPr>
          <w:p w14:paraId="6CD45535" w14:textId="7FDEA2C7"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2.3.2 </w:t>
            </w:r>
            <w:r w:rsidR="002509EB" w:rsidRPr="00CF4E2F">
              <w:rPr>
                <w:rFonts w:ascii="Times New Roman"/>
                <w:b/>
                <w:sz w:val="18"/>
                <w:szCs w:val="18"/>
                <w:u w:val="single"/>
              </w:rPr>
              <w:t>Liabilities provided by regional governments or local authorities of a Member State or a third country</w:t>
            </w:r>
          </w:p>
          <w:p w14:paraId="28D5D5AE" w14:textId="77777777" w:rsidR="002509EB" w:rsidRPr="0092017F" w:rsidRDefault="002509EB" w:rsidP="003A4A78">
            <w:pPr>
              <w:pStyle w:val="TableParagraph"/>
              <w:ind w:left="102"/>
              <w:rPr>
                <w:rFonts w:ascii="Times New Roman"/>
                <w:sz w:val="18"/>
                <w:szCs w:val="18"/>
              </w:rPr>
            </w:pPr>
          </w:p>
          <w:p w14:paraId="2E733EC4" w14:textId="787DCADF"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428l(b)(ii) of CRR.</w:t>
            </w:r>
          </w:p>
          <w:p w14:paraId="163BB4C8" w14:textId="77777777" w:rsidR="002509EB" w:rsidRPr="00CF4E2F" w:rsidRDefault="002509EB" w:rsidP="003A4A78">
            <w:pPr>
              <w:pStyle w:val="TableParagraph"/>
              <w:ind w:left="102"/>
              <w:rPr>
                <w:rFonts w:ascii="Times New Roman"/>
                <w:sz w:val="18"/>
                <w:szCs w:val="18"/>
              </w:rPr>
            </w:pPr>
          </w:p>
          <w:p w14:paraId="0B930C64" w14:textId="3A27D9CB"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The amount reported in </w:t>
            </w:r>
            <w:r w:rsidR="00A22B8D">
              <w:rPr>
                <w:rFonts w:ascii="Times New Roman"/>
                <w:sz w:val="18"/>
                <w:szCs w:val="18"/>
              </w:rPr>
              <w:t>2.3</w:t>
            </w:r>
            <w:r w:rsidRPr="00CF4E2F">
              <w:rPr>
                <w:rFonts w:ascii="Times New Roman"/>
                <w:sz w:val="18"/>
                <w:szCs w:val="18"/>
              </w:rPr>
              <w:t xml:space="preserve"> that is provided by regional governments or local authorities of a Member State or a third country</w:t>
            </w:r>
            <w:r w:rsidR="004465B4">
              <w:rPr>
                <w:rFonts w:ascii="Times New Roman"/>
                <w:sz w:val="18"/>
                <w:szCs w:val="18"/>
              </w:rPr>
              <w:t>.</w:t>
            </w:r>
          </w:p>
          <w:p w14:paraId="28D2A30A" w14:textId="77777777" w:rsidR="002509EB" w:rsidRPr="00CF4E2F" w:rsidRDefault="002509EB" w:rsidP="003A4A78">
            <w:pPr>
              <w:pStyle w:val="TableParagraph"/>
              <w:ind w:left="102"/>
              <w:rPr>
                <w:rFonts w:ascii="Times New Roman"/>
                <w:b/>
                <w:sz w:val="18"/>
                <w:szCs w:val="18"/>
                <w:u w:val="single"/>
              </w:rPr>
            </w:pPr>
          </w:p>
        </w:tc>
      </w:tr>
      <w:tr w:rsidR="002509EB" w:rsidRPr="00CF4E2F" w14:paraId="0996524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8B81802" w14:textId="5227B0C4"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0180</w:t>
            </w:r>
          </w:p>
        </w:tc>
        <w:tc>
          <w:tcPr>
            <w:tcW w:w="7590" w:type="dxa"/>
            <w:tcBorders>
              <w:top w:val="single" w:sz="4" w:space="0" w:color="auto"/>
              <w:left w:val="single" w:sz="4" w:space="0" w:color="auto"/>
              <w:bottom w:val="single" w:sz="4" w:space="0" w:color="auto"/>
              <w:right w:val="single" w:sz="4" w:space="0" w:color="auto"/>
            </w:tcBorders>
          </w:tcPr>
          <w:p w14:paraId="097DCB2A" w14:textId="61E35186"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2.3.3 </w:t>
            </w:r>
            <w:r w:rsidR="002509EB" w:rsidRPr="00CF4E2F">
              <w:rPr>
                <w:rFonts w:ascii="Times New Roman"/>
                <w:b/>
                <w:sz w:val="18"/>
                <w:szCs w:val="18"/>
                <w:u w:val="single"/>
              </w:rPr>
              <w:t>Liabilities provided by public sector entities of a Member State or a third country</w:t>
            </w:r>
          </w:p>
          <w:p w14:paraId="39E7B3D8" w14:textId="77777777" w:rsidR="002509EB" w:rsidRPr="0092017F" w:rsidRDefault="002509EB" w:rsidP="003A4A78">
            <w:pPr>
              <w:pStyle w:val="TableParagraph"/>
              <w:ind w:left="102"/>
              <w:rPr>
                <w:rFonts w:ascii="Times New Roman"/>
                <w:sz w:val="18"/>
                <w:szCs w:val="18"/>
              </w:rPr>
            </w:pPr>
          </w:p>
          <w:p w14:paraId="08EB380B" w14:textId="77BEB524" w:rsidR="002509EB" w:rsidRPr="00CF4E2F" w:rsidRDefault="004465B4" w:rsidP="003A4A78">
            <w:pPr>
              <w:pStyle w:val="TableParagraph"/>
              <w:ind w:left="102"/>
              <w:rPr>
                <w:rFonts w:ascii="Times New Roman"/>
                <w:b/>
                <w:sz w:val="18"/>
                <w:szCs w:val="18"/>
                <w:u w:val="single"/>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428l(b)(iii) of CRR.</w:t>
            </w:r>
          </w:p>
          <w:p w14:paraId="42D1B7EA" w14:textId="77777777" w:rsidR="002509EB" w:rsidRPr="00CF4E2F" w:rsidRDefault="002509EB" w:rsidP="003A4A78">
            <w:pPr>
              <w:pStyle w:val="TableParagraph"/>
              <w:ind w:left="102"/>
              <w:rPr>
                <w:rFonts w:ascii="Times New Roman"/>
                <w:b/>
                <w:sz w:val="18"/>
                <w:szCs w:val="18"/>
                <w:u w:val="single"/>
              </w:rPr>
            </w:pPr>
          </w:p>
          <w:p w14:paraId="6E6DCC79" w14:textId="6FCF38F5" w:rsidR="002509EB" w:rsidRPr="00CF4E2F" w:rsidRDefault="002509EB" w:rsidP="004465B4">
            <w:pPr>
              <w:pStyle w:val="TableParagraph"/>
              <w:ind w:left="102"/>
              <w:rPr>
                <w:rFonts w:ascii="Times New Roman"/>
                <w:b/>
                <w:sz w:val="18"/>
                <w:szCs w:val="18"/>
                <w:u w:val="single"/>
              </w:rPr>
            </w:pPr>
            <w:r w:rsidRPr="00CF4E2F">
              <w:rPr>
                <w:rFonts w:ascii="Times New Roman"/>
                <w:sz w:val="18"/>
                <w:szCs w:val="18"/>
              </w:rPr>
              <w:t xml:space="preserve">The amount reported in </w:t>
            </w:r>
            <w:r w:rsidR="00A22B8D">
              <w:rPr>
                <w:rFonts w:ascii="Times New Roman"/>
                <w:sz w:val="18"/>
                <w:szCs w:val="18"/>
              </w:rPr>
              <w:t>2.3</w:t>
            </w:r>
            <w:r w:rsidR="00A22B8D" w:rsidRPr="00CF4E2F">
              <w:rPr>
                <w:rFonts w:ascii="Times New Roman"/>
                <w:sz w:val="18"/>
                <w:szCs w:val="18"/>
              </w:rPr>
              <w:t xml:space="preserve"> </w:t>
            </w:r>
            <w:r w:rsidRPr="00CF4E2F">
              <w:rPr>
                <w:rFonts w:ascii="Times New Roman"/>
                <w:sz w:val="18"/>
                <w:szCs w:val="18"/>
              </w:rPr>
              <w:t>that is provided by public sector entities of a Member State or a third country</w:t>
            </w:r>
            <w:r w:rsidR="004465B4">
              <w:rPr>
                <w:rFonts w:ascii="Times New Roman"/>
                <w:sz w:val="18"/>
                <w:szCs w:val="18"/>
              </w:rPr>
              <w:t>.</w:t>
            </w:r>
          </w:p>
          <w:p w14:paraId="054A2C68" w14:textId="77777777" w:rsidR="002509EB" w:rsidRPr="00CF4E2F" w:rsidRDefault="002509EB" w:rsidP="003A4A78">
            <w:pPr>
              <w:pStyle w:val="TableParagraph"/>
              <w:ind w:left="102"/>
              <w:rPr>
                <w:rFonts w:ascii="Times New Roman"/>
                <w:b/>
                <w:sz w:val="18"/>
                <w:szCs w:val="18"/>
                <w:u w:val="single"/>
              </w:rPr>
            </w:pPr>
          </w:p>
        </w:tc>
      </w:tr>
      <w:tr w:rsidR="002509EB" w:rsidRPr="00CF4E2F" w14:paraId="125E105E"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6DFF025" w14:textId="57B5393A"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0190</w:t>
            </w:r>
          </w:p>
        </w:tc>
        <w:tc>
          <w:tcPr>
            <w:tcW w:w="7590" w:type="dxa"/>
            <w:tcBorders>
              <w:top w:val="single" w:sz="4" w:space="0" w:color="auto"/>
              <w:left w:val="single" w:sz="4" w:space="0" w:color="auto"/>
              <w:bottom w:val="single" w:sz="4" w:space="0" w:color="auto"/>
              <w:right w:val="single" w:sz="4" w:space="0" w:color="auto"/>
            </w:tcBorders>
          </w:tcPr>
          <w:p w14:paraId="380CA0AC" w14:textId="3F82C5FD"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2.3.4 </w:t>
            </w:r>
            <w:r w:rsidR="002509EB" w:rsidRPr="00CF4E2F">
              <w:rPr>
                <w:rFonts w:ascii="Times New Roman"/>
                <w:b/>
                <w:sz w:val="18"/>
                <w:szCs w:val="18"/>
                <w:u w:val="single"/>
              </w:rPr>
              <w:t xml:space="preserve">Liabilities provided by multilateral development banks and international organisations </w:t>
            </w:r>
          </w:p>
          <w:p w14:paraId="577CA92B" w14:textId="77777777" w:rsidR="002509EB" w:rsidRPr="0092017F" w:rsidRDefault="002509EB" w:rsidP="003A4A78">
            <w:pPr>
              <w:pStyle w:val="TableParagraph"/>
              <w:ind w:left="102"/>
              <w:rPr>
                <w:rFonts w:ascii="Times New Roman"/>
                <w:sz w:val="18"/>
                <w:szCs w:val="18"/>
              </w:rPr>
            </w:pPr>
          </w:p>
          <w:p w14:paraId="6472C9C9" w14:textId="340E3718" w:rsidR="002509EB" w:rsidRPr="00CF4E2F" w:rsidRDefault="004465B4" w:rsidP="003A4A78">
            <w:pPr>
              <w:pStyle w:val="TableParagraph"/>
              <w:ind w:left="102"/>
              <w:rPr>
                <w:rFonts w:ascii="Times New Roman"/>
                <w:b/>
                <w:sz w:val="18"/>
                <w:szCs w:val="18"/>
                <w:u w:val="single"/>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428l(b)(iv) of CRR.</w:t>
            </w:r>
          </w:p>
          <w:p w14:paraId="22B404D4" w14:textId="77777777" w:rsidR="002509EB" w:rsidRPr="0092017F" w:rsidRDefault="002509EB" w:rsidP="003A4A78">
            <w:pPr>
              <w:pStyle w:val="TableParagraph"/>
              <w:ind w:left="102"/>
              <w:rPr>
                <w:rFonts w:ascii="Times New Roman"/>
                <w:sz w:val="18"/>
                <w:szCs w:val="18"/>
              </w:rPr>
            </w:pPr>
          </w:p>
          <w:p w14:paraId="3A4AC271" w14:textId="2B6FF067" w:rsidR="002509EB" w:rsidRPr="00CF4E2F" w:rsidRDefault="002509EB" w:rsidP="0092017F">
            <w:pPr>
              <w:pStyle w:val="TableParagraph"/>
              <w:ind w:left="102"/>
              <w:rPr>
                <w:rFonts w:ascii="Times New Roman"/>
                <w:b/>
                <w:sz w:val="18"/>
                <w:szCs w:val="18"/>
                <w:u w:val="single"/>
              </w:rPr>
            </w:pPr>
            <w:r w:rsidRPr="00CF4E2F">
              <w:rPr>
                <w:rFonts w:ascii="Times New Roman"/>
                <w:sz w:val="18"/>
                <w:szCs w:val="18"/>
              </w:rPr>
              <w:t xml:space="preserve">The amount reported in </w:t>
            </w:r>
            <w:r w:rsidR="00A22B8D">
              <w:rPr>
                <w:rFonts w:ascii="Times New Roman"/>
                <w:sz w:val="18"/>
                <w:szCs w:val="18"/>
              </w:rPr>
              <w:t>2.3</w:t>
            </w:r>
            <w:r w:rsidR="00A22B8D" w:rsidRPr="00CF4E2F">
              <w:rPr>
                <w:rFonts w:ascii="Times New Roman"/>
                <w:sz w:val="18"/>
                <w:szCs w:val="18"/>
              </w:rPr>
              <w:t xml:space="preserve"> </w:t>
            </w:r>
            <w:r w:rsidRPr="00CF4E2F">
              <w:rPr>
                <w:rFonts w:ascii="Times New Roman"/>
                <w:sz w:val="18"/>
                <w:szCs w:val="18"/>
              </w:rPr>
              <w:t>that is provided by multilateral development banks and international organisations</w:t>
            </w:r>
            <w:r w:rsidR="004465B4">
              <w:rPr>
                <w:rFonts w:ascii="Times New Roman"/>
                <w:sz w:val="18"/>
                <w:szCs w:val="18"/>
              </w:rPr>
              <w:t>.</w:t>
            </w:r>
          </w:p>
          <w:p w14:paraId="611233E7" w14:textId="77777777" w:rsidR="002509EB" w:rsidRPr="00CF4E2F" w:rsidRDefault="002509EB" w:rsidP="003A4A78">
            <w:pPr>
              <w:pStyle w:val="TableParagraph"/>
              <w:ind w:left="102"/>
              <w:rPr>
                <w:rFonts w:ascii="Times New Roman"/>
                <w:b/>
                <w:sz w:val="18"/>
                <w:szCs w:val="18"/>
                <w:u w:val="single"/>
              </w:rPr>
            </w:pPr>
          </w:p>
        </w:tc>
      </w:tr>
      <w:tr w:rsidR="002509EB" w:rsidRPr="00CF4E2F" w14:paraId="192DED5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DA6ABC2" w14:textId="53FD3DE5"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0200</w:t>
            </w:r>
          </w:p>
        </w:tc>
        <w:tc>
          <w:tcPr>
            <w:tcW w:w="7590" w:type="dxa"/>
            <w:tcBorders>
              <w:top w:val="single" w:sz="4" w:space="0" w:color="auto"/>
              <w:left w:val="single" w:sz="4" w:space="0" w:color="auto"/>
              <w:bottom w:val="single" w:sz="4" w:space="0" w:color="auto"/>
              <w:right w:val="single" w:sz="4" w:space="0" w:color="auto"/>
            </w:tcBorders>
          </w:tcPr>
          <w:p w14:paraId="3E180180" w14:textId="2BB96AA4"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2.3.5 </w:t>
            </w:r>
            <w:r w:rsidR="002509EB" w:rsidRPr="00CF4E2F">
              <w:rPr>
                <w:rFonts w:ascii="Times New Roman"/>
                <w:b/>
                <w:sz w:val="18"/>
                <w:szCs w:val="18"/>
                <w:u w:val="single"/>
              </w:rPr>
              <w:t>Liabilities provided by non-financial corporate customers</w:t>
            </w:r>
          </w:p>
          <w:p w14:paraId="39FE650A" w14:textId="77777777" w:rsidR="002509EB" w:rsidRPr="00CF4E2F" w:rsidRDefault="002509EB" w:rsidP="003A4A78">
            <w:pPr>
              <w:pStyle w:val="TableParagraph"/>
              <w:ind w:left="102"/>
              <w:rPr>
                <w:rFonts w:ascii="Times New Roman"/>
                <w:b/>
                <w:sz w:val="18"/>
                <w:szCs w:val="18"/>
                <w:u w:val="single"/>
              </w:rPr>
            </w:pPr>
          </w:p>
          <w:p w14:paraId="6F770CCB" w14:textId="75F92A40" w:rsidR="002509EB" w:rsidRPr="00CF4E2F" w:rsidRDefault="004465B4" w:rsidP="003A4A78">
            <w:pPr>
              <w:pStyle w:val="TableParagraph"/>
              <w:ind w:left="102"/>
              <w:rPr>
                <w:rFonts w:ascii="Times New Roman"/>
                <w:b/>
                <w:sz w:val="18"/>
                <w:szCs w:val="18"/>
                <w:u w:val="single"/>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428l(b)(v) of CRR.</w:t>
            </w:r>
          </w:p>
          <w:p w14:paraId="4532B19F" w14:textId="77777777" w:rsidR="002509EB" w:rsidRPr="00CF4E2F" w:rsidRDefault="002509EB" w:rsidP="003A4A78">
            <w:pPr>
              <w:pStyle w:val="TableParagraph"/>
              <w:ind w:left="102"/>
              <w:rPr>
                <w:rFonts w:ascii="Times New Roman"/>
                <w:b/>
                <w:sz w:val="18"/>
                <w:szCs w:val="18"/>
                <w:u w:val="single"/>
              </w:rPr>
            </w:pPr>
          </w:p>
          <w:p w14:paraId="37AA8E1F" w14:textId="3188081E" w:rsidR="002509EB" w:rsidRPr="00CF4E2F" w:rsidRDefault="002509EB" w:rsidP="00417A9F">
            <w:pPr>
              <w:pStyle w:val="TableParagraph"/>
              <w:ind w:left="102"/>
              <w:rPr>
                <w:rFonts w:ascii="Times New Roman"/>
                <w:b/>
                <w:sz w:val="18"/>
                <w:szCs w:val="18"/>
                <w:u w:val="single"/>
              </w:rPr>
            </w:pPr>
            <w:r w:rsidRPr="00CF4E2F">
              <w:rPr>
                <w:rFonts w:ascii="Times New Roman"/>
                <w:sz w:val="18"/>
                <w:szCs w:val="18"/>
              </w:rPr>
              <w:t xml:space="preserve">The amount reported in </w:t>
            </w:r>
            <w:r w:rsidR="003B3180">
              <w:rPr>
                <w:rFonts w:ascii="Times New Roman"/>
                <w:sz w:val="18"/>
                <w:szCs w:val="18"/>
              </w:rPr>
              <w:t>2.3</w:t>
            </w:r>
            <w:r w:rsidR="003B3180" w:rsidRPr="00CF4E2F">
              <w:rPr>
                <w:rFonts w:ascii="Times New Roman"/>
                <w:sz w:val="18"/>
                <w:szCs w:val="18"/>
              </w:rPr>
              <w:t xml:space="preserve"> </w:t>
            </w:r>
            <w:r w:rsidRPr="00CF4E2F">
              <w:rPr>
                <w:rFonts w:ascii="Times New Roman"/>
                <w:sz w:val="18"/>
                <w:szCs w:val="18"/>
              </w:rPr>
              <w:t>that is provided by non-financial corporate customers</w:t>
            </w:r>
            <w:r w:rsidR="00A22B8D">
              <w:rPr>
                <w:rFonts w:ascii="Times New Roman"/>
                <w:sz w:val="18"/>
                <w:szCs w:val="18"/>
              </w:rPr>
              <w:t>.</w:t>
            </w:r>
          </w:p>
          <w:p w14:paraId="251B08D1" w14:textId="77777777" w:rsidR="002509EB" w:rsidRPr="00CF4E2F" w:rsidRDefault="002509EB" w:rsidP="003A4A78">
            <w:pPr>
              <w:pStyle w:val="TableParagraph"/>
              <w:ind w:left="102"/>
              <w:rPr>
                <w:rFonts w:ascii="Times New Roman"/>
                <w:b/>
                <w:sz w:val="18"/>
                <w:szCs w:val="18"/>
                <w:u w:val="single"/>
              </w:rPr>
            </w:pPr>
          </w:p>
        </w:tc>
      </w:tr>
      <w:tr w:rsidR="002509EB" w:rsidRPr="00CF4E2F" w14:paraId="4A519BA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1F67A39" w14:textId="353C4C9D"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0210</w:t>
            </w:r>
          </w:p>
        </w:tc>
        <w:tc>
          <w:tcPr>
            <w:tcW w:w="7590" w:type="dxa"/>
            <w:tcBorders>
              <w:top w:val="single" w:sz="4" w:space="0" w:color="auto"/>
              <w:left w:val="single" w:sz="4" w:space="0" w:color="auto"/>
              <w:bottom w:val="single" w:sz="4" w:space="0" w:color="auto"/>
              <w:right w:val="single" w:sz="4" w:space="0" w:color="auto"/>
            </w:tcBorders>
          </w:tcPr>
          <w:p w14:paraId="37BB93DB" w14:textId="62E603B6"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2.3.6 </w:t>
            </w:r>
            <w:r w:rsidR="002509EB" w:rsidRPr="00CF4E2F">
              <w:rPr>
                <w:rFonts w:ascii="Times New Roman"/>
                <w:b/>
                <w:sz w:val="18"/>
                <w:szCs w:val="18"/>
                <w:u w:val="single"/>
              </w:rPr>
              <w:t>Liabilities provided by credit unions, personal investment companies and deposit brokers</w:t>
            </w:r>
          </w:p>
          <w:p w14:paraId="19B61CFF" w14:textId="77777777" w:rsidR="00B41C2F" w:rsidRPr="0092017F" w:rsidRDefault="00B41C2F" w:rsidP="00A66401">
            <w:pPr>
              <w:pStyle w:val="TableParagraph"/>
              <w:tabs>
                <w:tab w:val="left" w:pos="6165"/>
              </w:tabs>
              <w:ind w:left="102"/>
              <w:rPr>
                <w:rFonts w:ascii="Times New Roman"/>
                <w:sz w:val="18"/>
                <w:szCs w:val="18"/>
              </w:rPr>
            </w:pPr>
          </w:p>
          <w:p w14:paraId="2B16B96C" w14:textId="137727F6" w:rsidR="002509EB" w:rsidRPr="00CF4E2F" w:rsidRDefault="004465B4" w:rsidP="003A4A78">
            <w:pPr>
              <w:pStyle w:val="TableParagraph"/>
              <w:ind w:left="102"/>
              <w:rPr>
                <w:rFonts w:ascii="Times New Roman"/>
                <w:b/>
                <w:sz w:val="18"/>
                <w:szCs w:val="18"/>
                <w:u w:val="single"/>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428l(b)(vi) of CRR.</w:t>
            </w:r>
          </w:p>
          <w:p w14:paraId="21D41E75" w14:textId="77777777" w:rsidR="002509EB" w:rsidRPr="0092017F" w:rsidRDefault="002509EB" w:rsidP="003A4A78">
            <w:pPr>
              <w:pStyle w:val="TableParagraph"/>
              <w:ind w:left="102"/>
              <w:rPr>
                <w:rFonts w:ascii="Times New Roman"/>
                <w:sz w:val="18"/>
                <w:szCs w:val="18"/>
              </w:rPr>
            </w:pPr>
          </w:p>
          <w:p w14:paraId="7E67C2EE" w14:textId="45C1432A" w:rsidR="002509EB" w:rsidRPr="00CF4E2F" w:rsidRDefault="002509EB" w:rsidP="00022762">
            <w:pPr>
              <w:pStyle w:val="TableParagraph"/>
              <w:ind w:left="102"/>
              <w:rPr>
                <w:rFonts w:ascii="Times New Roman"/>
                <w:b/>
                <w:sz w:val="18"/>
                <w:szCs w:val="18"/>
                <w:u w:val="single"/>
              </w:rPr>
            </w:pPr>
            <w:r w:rsidRPr="00CF4E2F">
              <w:rPr>
                <w:rFonts w:ascii="Times New Roman"/>
                <w:sz w:val="18"/>
                <w:szCs w:val="18"/>
              </w:rPr>
              <w:t xml:space="preserve">The amount reported in </w:t>
            </w:r>
            <w:r w:rsidR="00A22B8D">
              <w:rPr>
                <w:rFonts w:ascii="Times New Roman"/>
                <w:sz w:val="18"/>
                <w:szCs w:val="18"/>
              </w:rPr>
              <w:t>2.3</w:t>
            </w:r>
            <w:r w:rsidR="00A22B8D" w:rsidRPr="00CF4E2F">
              <w:rPr>
                <w:rFonts w:ascii="Times New Roman"/>
                <w:sz w:val="18"/>
                <w:szCs w:val="18"/>
              </w:rPr>
              <w:t xml:space="preserve"> </w:t>
            </w:r>
            <w:r w:rsidRPr="00CF4E2F">
              <w:rPr>
                <w:rFonts w:ascii="Times New Roman"/>
                <w:sz w:val="18"/>
                <w:szCs w:val="18"/>
              </w:rPr>
              <w:t>that is provided by credit unions, personal investment companies and deposit brokers</w:t>
            </w:r>
            <w:r w:rsidR="004465B4">
              <w:rPr>
                <w:rFonts w:ascii="Times New Roman"/>
                <w:sz w:val="18"/>
                <w:szCs w:val="18"/>
              </w:rPr>
              <w:t>.</w:t>
            </w:r>
          </w:p>
          <w:p w14:paraId="6DAE1467" w14:textId="77777777" w:rsidR="002509EB" w:rsidRPr="00CF4E2F" w:rsidRDefault="002509EB" w:rsidP="003A4A78">
            <w:pPr>
              <w:pStyle w:val="TableParagraph"/>
              <w:ind w:left="102"/>
              <w:rPr>
                <w:rFonts w:ascii="Times New Roman"/>
                <w:b/>
                <w:sz w:val="18"/>
                <w:szCs w:val="18"/>
                <w:u w:val="single"/>
              </w:rPr>
            </w:pPr>
          </w:p>
        </w:tc>
      </w:tr>
      <w:tr w:rsidR="008B35C4" w:rsidRPr="00CF4E2F" w14:paraId="170E9337"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37CCD5E5" w14:textId="6553F561" w:rsidR="008B35C4" w:rsidRPr="00CF4E2F" w:rsidRDefault="008B35C4"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0220</w:t>
            </w:r>
          </w:p>
        </w:tc>
        <w:tc>
          <w:tcPr>
            <w:tcW w:w="7590" w:type="dxa"/>
            <w:tcBorders>
              <w:top w:val="single" w:sz="4" w:space="0" w:color="auto"/>
              <w:left w:val="single" w:sz="4" w:space="0" w:color="auto"/>
              <w:bottom w:val="single" w:sz="4" w:space="0" w:color="auto"/>
              <w:right w:val="single" w:sz="4" w:space="0" w:color="auto"/>
            </w:tcBorders>
          </w:tcPr>
          <w:p w14:paraId="50AE5A65" w14:textId="4DD85140" w:rsidR="008B35C4" w:rsidRPr="00CF4E2F" w:rsidRDefault="008B35C4" w:rsidP="00047F14">
            <w:pPr>
              <w:pStyle w:val="TableParagraph"/>
              <w:spacing w:before="120"/>
              <w:ind w:left="102"/>
              <w:rPr>
                <w:rFonts w:ascii="Times New Roman"/>
                <w:sz w:val="18"/>
                <w:szCs w:val="18"/>
              </w:rPr>
            </w:pPr>
            <w:r w:rsidRPr="00CF4E2F">
              <w:rPr>
                <w:rFonts w:ascii="Times New Roman"/>
                <w:b/>
                <w:sz w:val="18"/>
                <w:szCs w:val="18"/>
                <w:u w:val="single"/>
              </w:rPr>
              <w:t xml:space="preserve">2.4 ASF from liabilities </w:t>
            </w:r>
            <w:r w:rsidR="003B3180">
              <w:rPr>
                <w:rFonts w:ascii="Times New Roman"/>
                <w:b/>
                <w:sz w:val="18"/>
                <w:szCs w:val="18"/>
                <w:u w:val="single"/>
              </w:rPr>
              <w:t xml:space="preserve">and committed facilities </w:t>
            </w:r>
            <w:r w:rsidRPr="00CF4E2F">
              <w:rPr>
                <w:rFonts w:ascii="Times New Roman"/>
                <w:b/>
                <w:sz w:val="18"/>
                <w:szCs w:val="18"/>
                <w:u w:val="single"/>
              </w:rPr>
              <w:t>within a group or an IPS if subject to preferential treatment</w:t>
            </w:r>
          </w:p>
          <w:p w14:paraId="4BCEADB5" w14:textId="77777777" w:rsidR="008B35C4" w:rsidRPr="00CF4E2F" w:rsidRDefault="008B35C4" w:rsidP="00047F14">
            <w:pPr>
              <w:pStyle w:val="TableParagraph"/>
              <w:ind w:left="102"/>
              <w:rPr>
                <w:rFonts w:ascii="Times New Roman"/>
                <w:sz w:val="18"/>
                <w:szCs w:val="18"/>
              </w:rPr>
            </w:pPr>
          </w:p>
          <w:p w14:paraId="52EACA80" w14:textId="77777777" w:rsidR="008B35C4" w:rsidRPr="00CF4E2F" w:rsidRDefault="008B35C4" w:rsidP="00047F14">
            <w:pPr>
              <w:pStyle w:val="TableParagraph"/>
              <w:ind w:left="102"/>
              <w:rPr>
                <w:rFonts w:ascii="Times New Roman"/>
                <w:sz w:val="18"/>
                <w:szCs w:val="18"/>
              </w:rPr>
            </w:pPr>
            <w:r w:rsidRPr="00CF4E2F">
              <w:rPr>
                <w:rFonts w:ascii="Times New Roman"/>
                <w:sz w:val="18"/>
                <w:szCs w:val="18"/>
              </w:rPr>
              <w:t>Article 428h of CRR</w:t>
            </w:r>
            <w:r>
              <w:rPr>
                <w:rFonts w:ascii="Times New Roman"/>
                <w:sz w:val="18"/>
                <w:szCs w:val="18"/>
              </w:rPr>
              <w:t>.</w:t>
            </w:r>
          </w:p>
          <w:p w14:paraId="146770DC" w14:textId="77777777" w:rsidR="008B35C4" w:rsidRPr="00CF4E2F" w:rsidRDefault="008B35C4" w:rsidP="00047F14">
            <w:pPr>
              <w:pStyle w:val="TableParagraph"/>
              <w:ind w:left="102"/>
              <w:rPr>
                <w:rFonts w:ascii="Times New Roman"/>
                <w:sz w:val="18"/>
                <w:szCs w:val="18"/>
              </w:rPr>
            </w:pPr>
          </w:p>
          <w:p w14:paraId="5F617206" w14:textId="1603752B" w:rsidR="008B35C4" w:rsidRPr="00CF4E2F" w:rsidRDefault="008B35C4" w:rsidP="00047F14">
            <w:pPr>
              <w:pStyle w:val="TableParagraph"/>
              <w:ind w:left="102"/>
              <w:rPr>
                <w:rFonts w:ascii="Times New Roman"/>
                <w:sz w:val="18"/>
                <w:szCs w:val="18"/>
              </w:rPr>
            </w:pPr>
            <w:r w:rsidRPr="00CF4E2F">
              <w:rPr>
                <w:rFonts w:ascii="Times New Roman"/>
                <w:sz w:val="18"/>
                <w:szCs w:val="18"/>
              </w:rPr>
              <w:t>Institutions shall report here liabilities</w:t>
            </w:r>
            <w:r w:rsidR="003B3180">
              <w:rPr>
                <w:rFonts w:ascii="Times New Roman"/>
                <w:sz w:val="18"/>
                <w:szCs w:val="18"/>
              </w:rPr>
              <w:t xml:space="preserve"> and committed facilities</w:t>
            </w:r>
            <w:r w:rsidRPr="00CF4E2F">
              <w:rPr>
                <w:rFonts w:ascii="Times New Roman"/>
                <w:sz w:val="18"/>
                <w:szCs w:val="18"/>
              </w:rPr>
              <w:t xml:space="preserve"> </w:t>
            </w:r>
            <w:r>
              <w:rPr>
                <w:rFonts w:ascii="Times New Roman"/>
                <w:sz w:val="18"/>
                <w:szCs w:val="18"/>
              </w:rPr>
              <w:t xml:space="preserve">for which the </w:t>
            </w:r>
            <w:r w:rsidRPr="00CF4E2F">
              <w:rPr>
                <w:rFonts w:ascii="Times New Roman"/>
                <w:sz w:val="18"/>
                <w:szCs w:val="18"/>
              </w:rPr>
              <w:t xml:space="preserve">competent </w:t>
            </w:r>
            <w:r>
              <w:rPr>
                <w:rFonts w:ascii="Times New Roman"/>
                <w:sz w:val="18"/>
                <w:szCs w:val="18"/>
              </w:rPr>
              <w:t xml:space="preserve">authority has granted the </w:t>
            </w:r>
            <w:r w:rsidRPr="00CF4E2F">
              <w:rPr>
                <w:rFonts w:ascii="Times New Roman"/>
                <w:sz w:val="18"/>
                <w:szCs w:val="18"/>
              </w:rPr>
              <w:t xml:space="preserve">preferential treatment </w:t>
            </w:r>
            <w:r>
              <w:rPr>
                <w:rFonts w:ascii="Times New Roman"/>
                <w:sz w:val="18"/>
                <w:szCs w:val="18"/>
              </w:rPr>
              <w:t xml:space="preserve">referred to in </w:t>
            </w:r>
            <w:r w:rsidRPr="00CF4E2F">
              <w:rPr>
                <w:rFonts w:ascii="Times New Roman"/>
                <w:sz w:val="18"/>
                <w:szCs w:val="18"/>
              </w:rPr>
              <w:t>Article 428h of CRR.</w:t>
            </w:r>
          </w:p>
          <w:p w14:paraId="43CFD441" w14:textId="521C7BFF" w:rsidR="008B35C4" w:rsidRPr="00CF4E2F" w:rsidRDefault="008B35C4" w:rsidP="003A4A78">
            <w:pPr>
              <w:pStyle w:val="TableParagraph"/>
              <w:ind w:left="102"/>
              <w:rPr>
                <w:rFonts w:ascii="Times New Roman"/>
                <w:sz w:val="18"/>
                <w:szCs w:val="18"/>
              </w:rPr>
            </w:pPr>
          </w:p>
        </w:tc>
      </w:tr>
      <w:tr w:rsidR="002509EB" w:rsidRPr="00CF4E2F" w14:paraId="033059D1"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2532510A" w14:textId="60F97BFA"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0230</w:t>
            </w:r>
          </w:p>
        </w:tc>
        <w:tc>
          <w:tcPr>
            <w:tcW w:w="7590" w:type="dxa"/>
            <w:tcBorders>
              <w:top w:val="single" w:sz="4" w:space="0" w:color="auto"/>
              <w:left w:val="single" w:sz="4" w:space="0" w:color="auto"/>
              <w:bottom w:val="single" w:sz="4" w:space="0" w:color="auto"/>
              <w:right w:val="single" w:sz="4" w:space="0" w:color="auto"/>
            </w:tcBorders>
          </w:tcPr>
          <w:p w14:paraId="165BBEFB" w14:textId="4ABAE9FC"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2.5 </w:t>
            </w:r>
            <w:r w:rsidR="002509EB" w:rsidRPr="00CF4E2F">
              <w:rPr>
                <w:rFonts w:ascii="Times New Roman"/>
                <w:b/>
                <w:sz w:val="18"/>
                <w:szCs w:val="18"/>
                <w:u w:val="single"/>
              </w:rPr>
              <w:t>ASF from financial customers and central banks</w:t>
            </w:r>
          </w:p>
          <w:p w14:paraId="1B26B1C1" w14:textId="77777777" w:rsidR="002509EB" w:rsidRPr="0092017F" w:rsidRDefault="002509EB" w:rsidP="0092017F">
            <w:pPr>
              <w:pStyle w:val="TableParagraph"/>
              <w:ind w:left="102"/>
              <w:rPr>
                <w:rFonts w:ascii="Times New Roman"/>
                <w:sz w:val="18"/>
                <w:szCs w:val="18"/>
              </w:rPr>
            </w:pPr>
          </w:p>
          <w:p w14:paraId="7FBD40B1" w14:textId="1D5E20DD" w:rsidR="00BA07B2" w:rsidRPr="00A66401" w:rsidRDefault="00BA07B2" w:rsidP="00A66401">
            <w:pPr>
              <w:pStyle w:val="TableParagraph"/>
              <w:ind w:left="102"/>
              <w:rPr>
                <w:rFonts w:ascii="Times New Roman"/>
                <w:sz w:val="18"/>
                <w:szCs w:val="18"/>
              </w:rPr>
            </w:pPr>
            <w:r w:rsidRPr="00A66401">
              <w:rPr>
                <w:rFonts w:ascii="Times New Roman"/>
                <w:sz w:val="18"/>
                <w:szCs w:val="18"/>
              </w:rPr>
              <w:t xml:space="preserve">Institutions shall report here </w:t>
            </w:r>
            <w:r w:rsidRPr="00CF4E2F">
              <w:rPr>
                <w:rFonts w:ascii="Times New Roman"/>
                <w:sz w:val="18"/>
                <w:szCs w:val="18"/>
              </w:rPr>
              <w:t>the sum of items 2.5</w:t>
            </w:r>
            <w:r w:rsidRPr="00A66401">
              <w:rPr>
                <w:rFonts w:ascii="Times New Roman"/>
                <w:sz w:val="18"/>
                <w:szCs w:val="18"/>
              </w:rPr>
              <w:t xml:space="preserve">.1 </w:t>
            </w:r>
            <w:r w:rsidR="00897639" w:rsidRPr="00CF4E2F">
              <w:rPr>
                <w:rFonts w:ascii="Times New Roman"/>
                <w:sz w:val="18"/>
                <w:szCs w:val="18"/>
              </w:rPr>
              <w:t>to</w:t>
            </w:r>
            <w:r w:rsidRPr="00A66401">
              <w:rPr>
                <w:rFonts w:ascii="Times New Roman"/>
                <w:sz w:val="18"/>
                <w:szCs w:val="18"/>
              </w:rPr>
              <w:t xml:space="preserve"> 2</w:t>
            </w:r>
            <w:r w:rsidRPr="00CF4E2F">
              <w:rPr>
                <w:rFonts w:ascii="Times New Roman"/>
                <w:sz w:val="18"/>
                <w:szCs w:val="18"/>
              </w:rPr>
              <w:t>.5.3</w:t>
            </w:r>
            <w:r w:rsidRPr="00A66401">
              <w:rPr>
                <w:rFonts w:ascii="Times New Roman"/>
                <w:sz w:val="18"/>
                <w:szCs w:val="18"/>
              </w:rPr>
              <w:t>.</w:t>
            </w:r>
          </w:p>
          <w:p w14:paraId="58BA6E8F" w14:textId="539B168F" w:rsidR="00BA07B2" w:rsidRPr="0092017F" w:rsidRDefault="00BA07B2" w:rsidP="0092017F">
            <w:pPr>
              <w:pStyle w:val="TableParagraph"/>
              <w:ind w:left="102"/>
              <w:rPr>
                <w:rFonts w:ascii="Times New Roman"/>
                <w:sz w:val="18"/>
                <w:szCs w:val="18"/>
              </w:rPr>
            </w:pPr>
          </w:p>
        </w:tc>
      </w:tr>
      <w:tr w:rsidR="002509EB" w:rsidRPr="00CF4E2F" w14:paraId="7F18052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0F24FAF" w14:textId="5E161BAE" w:rsidR="002509EB" w:rsidRPr="00A0201D"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0240</w:t>
            </w:r>
          </w:p>
        </w:tc>
        <w:tc>
          <w:tcPr>
            <w:tcW w:w="7590" w:type="dxa"/>
            <w:tcBorders>
              <w:top w:val="single" w:sz="4" w:space="0" w:color="auto"/>
              <w:left w:val="single" w:sz="4" w:space="0" w:color="auto"/>
              <w:bottom w:val="single" w:sz="4" w:space="0" w:color="auto"/>
              <w:right w:val="single" w:sz="4" w:space="0" w:color="auto"/>
            </w:tcBorders>
          </w:tcPr>
          <w:p w14:paraId="1AE7E597" w14:textId="70FD0DE0" w:rsidR="002509EB" w:rsidRPr="00CF4E2F" w:rsidRDefault="00BA07B2" w:rsidP="00A66401">
            <w:pPr>
              <w:pStyle w:val="TableParagraph"/>
              <w:spacing w:before="120"/>
              <w:ind w:left="102"/>
              <w:rPr>
                <w:rFonts w:ascii="Times New Roman"/>
                <w:b/>
                <w:sz w:val="18"/>
                <w:szCs w:val="18"/>
                <w:u w:val="single"/>
              </w:rPr>
            </w:pPr>
            <w:r w:rsidRPr="00A0201D">
              <w:rPr>
                <w:rFonts w:ascii="Times New Roman"/>
                <w:b/>
                <w:sz w:val="18"/>
                <w:szCs w:val="18"/>
                <w:u w:val="single"/>
              </w:rPr>
              <w:t>2.5.0.1 o</w:t>
            </w:r>
            <w:r w:rsidR="002509EB" w:rsidRPr="00A0201D">
              <w:rPr>
                <w:rFonts w:ascii="Times New Roman"/>
                <w:b/>
                <w:sz w:val="18"/>
                <w:szCs w:val="18"/>
                <w:u w:val="single"/>
              </w:rPr>
              <w:t>f which sight deposits provided by network member to central institution</w:t>
            </w:r>
          </w:p>
          <w:p w14:paraId="4D5F8362" w14:textId="77777777" w:rsidR="002509EB" w:rsidRPr="0092017F" w:rsidRDefault="002509EB" w:rsidP="003A4A78">
            <w:pPr>
              <w:pStyle w:val="TableParagraph"/>
              <w:ind w:left="102"/>
              <w:rPr>
                <w:rFonts w:ascii="Times New Roman"/>
                <w:sz w:val="18"/>
                <w:szCs w:val="18"/>
              </w:rPr>
            </w:pPr>
          </w:p>
          <w:p w14:paraId="644022E9" w14:textId="6DB4A2D4"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428g of CRR</w:t>
            </w:r>
            <w:r>
              <w:rPr>
                <w:rFonts w:ascii="Times New Roman"/>
                <w:sz w:val="18"/>
                <w:szCs w:val="18"/>
              </w:rPr>
              <w:t>.</w:t>
            </w:r>
          </w:p>
          <w:p w14:paraId="0B883C75" w14:textId="77777777" w:rsidR="002509EB" w:rsidRPr="00CF4E2F" w:rsidRDefault="002509EB" w:rsidP="003A4A78">
            <w:pPr>
              <w:pStyle w:val="TableParagraph"/>
              <w:ind w:left="102"/>
              <w:rPr>
                <w:rFonts w:ascii="Times New Roman"/>
                <w:sz w:val="18"/>
                <w:szCs w:val="18"/>
              </w:rPr>
            </w:pPr>
          </w:p>
          <w:p w14:paraId="048418FE" w14:textId="080C921C"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Central institutions in an IPS </w:t>
            </w:r>
            <w:r w:rsidR="00022762">
              <w:rPr>
                <w:rFonts w:ascii="Times New Roman"/>
                <w:sz w:val="18"/>
                <w:szCs w:val="18"/>
              </w:rPr>
              <w:t>or</w:t>
            </w:r>
            <w:r w:rsidR="00022762" w:rsidRPr="00CF4E2F">
              <w:rPr>
                <w:rFonts w:ascii="Times New Roman"/>
                <w:sz w:val="18"/>
                <w:szCs w:val="18"/>
              </w:rPr>
              <w:t xml:space="preserve"> </w:t>
            </w:r>
            <w:r w:rsidR="00022762">
              <w:rPr>
                <w:rFonts w:ascii="Times New Roman"/>
                <w:sz w:val="18"/>
                <w:szCs w:val="18"/>
              </w:rPr>
              <w:t xml:space="preserve">in </w:t>
            </w:r>
            <w:r w:rsidRPr="00CF4E2F">
              <w:rPr>
                <w:rFonts w:ascii="Times New Roman"/>
                <w:sz w:val="18"/>
                <w:szCs w:val="18"/>
              </w:rPr>
              <w:t xml:space="preserve">cooperative networks shall report the sight deposits received by institutions belonging to that IPS or cooperative network that are treated as liquid assets by the depositing institution in accordance with Article 16 of </w:t>
            </w:r>
            <w:r w:rsidR="004465B4">
              <w:rPr>
                <w:rFonts w:ascii="Times New Roman"/>
                <w:sz w:val="18"/>
                <w:szCs w:val="18"/>
              </w:rPr>
              <w:t xml:space="preserve">Delegated </w:t>
            </w:r>
            <w:r w:rsidRPr="00CF4E2F">
              <w:rPr>
                <w:rFonts w:ascii="Times New Roman"/>
                <w:sz w:val="18"/>
                <w:szCs w:val="18"/>
              </w:rPr>
              <w:t>Regulation (EU) 2015/61.</w:t>
            </w:r>
          </w:p>
          <w:p w14:paraId="5ABF7C7F" w14:textId="77777777" w:rsidR="002509EB" w:rsidRPr="00AA031A" w:rsidRDefault="002509EB" w:rsidP="003A4A78">
            <w:pPr>
              <w:pStyle w:val="TableParagraph"/>
              <w:ind w:left="102"/>
              <w:rPr>
                <w:rFonts w:ascii="Times New Roman"/>
                <w:sz w:val="18"/>
                <w:szCs w:val="18"/>
              </w:rPr>
            </w:pPr>
          </w:p>
        </w:tc>
      </w:tr>
      <w:tr w:rsidR="002509EB" w:rsidRPr="00CF4E2F" w14:paraId="72027E7B"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57899988" w14:textId="19CFC0AD"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0250</w:t>
            </w:r>
          </w:p>
        </w:tc>
        <w:tc>
          <w:tcPr>
            <w:tcW w:w="7590" w:type="dxa"/>
            <w:tcBorders>
              <w:top w:val="single" w:sz="4" w:space="0" w:color="auto"/>
              <w:left w:val="single" w:sz="4" w:space="0" w:color="auto"/>
              <w:bottom w:val="single" w:sz="4" w:space="0" w:color="auto"/>
              <w:right w:val="single" w:sz="4" w:space="0" w:color="auto"/>
            </w:tcBorders>
          </w:tcPr>
          <w:p w14:paraId="54D3C874" w14:textId="7C935B23"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2.5.1 </w:t>
            </w:r>
            <w:r w:rsidR="002509EB" w:rsidRPr="00CF4E2F">
              <w:rPr>
                <w:rFonts w:ascii="Times New Roman"/>
                <w:b/>
                <w:sz w:val="18"/>
                <w:szCs w:val="18"/>
                <w:u w:val="single"/>
              </w:rPr>
              <w:t>Liabilities provided by the ECB or the central bank of a Member State</w:t>
            </w:r>
          </w:p>
          <w:p w14:paraId="5BBDE002" w14:textId="77777777" w:rsidR="002509EB" w:rsidRPr="0092017F" w:rsidRDefault="002509EB" w:rsidP="003A4A78">
            <w:pPr>
              <w:pStyle w:val="TableParagraph"/>
              <w:ind w:left="102"/>
              <w:rPr>
                <w:rFonts w:ascii="Times New Roman"/>
                <w:sz w:val="18"/>
                <w:szCs w:val="18"/>
              </w:rPr>
            </w:pPr>
          </w:p>
          <w:p w14:paraId="1E478CB6" w14:textId="007A1E1A"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w:t>
            </w:r>
            <w:r w:rsidR="00CC2331">
              <w:rPr>
                <w:rFonts w:ascii="Times New Roman"/>
                <w:sz w:val="18"/>
                <w:szCs w:val="18"/>
              </w:rPr>
              <w:t>428k(3)</w:t>
            </w:r>
            <w:r w:rsidR="002509EB" w:rsidRPr="00CF4E2F">
              <w:rPr>
                <w:rFonts w:ascii="Times New Roman"/>
                <w:sz w:val="18"/>
                <w:szCs w:val="18"/>
              </w:rPr>
              <w:t>(c)(i) and 428l(c)(i) of CRR.</w:t>
            </w:r>
          </w:p>
          <w:p w14:paraId="39EDEFBE" w14:textId="77777777" w:rsidR="002509EB" w:rsidRPr="00CF4E2F" w:rsidRDefault="002509EB" w:rsidP="003A4A78">
            <w:pPr>
              <w:pStyle w:val="TableParagraph"/>
              <w:ind w:left="102"/>
              <w:rPr>
                <w:rFonts w:ascii="Times New Roman"/>
                <w:sz w:val="18"/>
                <w:szCs w:val="18"/>
              </w:rPr>
            </w:pPr>
          </w:p>
          <w:p w14:paraId="78132CC1" w14:textId="5FEA88F0" w:rsidR="002509EB" w:rsidRPr="00CF4E2F" w:rsidRDefault="002509EB" w:rsidP="003A4A78">
            <w:pPr>
              <w:pStyle w:val="TableParagraph"/>
              <w:ind w:left="102"/>
              <w:rPr>
                <w:rFonts w:ascii="Times New Roman"/>
                <w:b/>
                <w:sz w:val="18"/>
                <w:szCs w:val="18"/>
                <w:u w:val="single"/>
              </w:rPr>
            </w:pPr>
            <w:r w:rsidRPr="00CF4E2F">
              <w:rPr>
                <w:rFonts w:ascii="Times New Roman"/>
                <w:sz w:val="18"/>
                <w:szCs w:val="18"/>
              </w:rPr>
              <w:t xml:space="preserve">Liabilities provided by the ECB or the central bank of a Member State irrespective of whether or not they are </w:t>
            </w:r>
            <w:r w:rsidR="008B35C4">
              <w:rPr>
                <w:rFonts w:ascii="Times New Roman"/>
                <w:sz w:val="18"/>
                <w:szCs w:val="18"/>
              </w:rPr>
              <w:t xml:space="preserve">related to </w:t>
            </w:r>
            <w:r w:rsidRPr="00CF4E2F">
              <w:rPr>
                <w:rFonts w:ascii="Times New Roman"/>
                <w:sz w:val="18"/>
                <w:szCs w:val="18"/>
              </w:rPr>
              <w:t>securities financing transactions.</w:t>
            </w:r>
          </w:p>
          <w:p w14:paraId="12A8D510" w14:textId="77777777" w:rsidR="002509EB" w:rsidRPr="0092017F" w:rsidRDefault="002509EB" w:rsidP="003A4A78">
            <w:pPr>
              <w:pStyle w:val="TableParagraph"/>
              <w:ind w:left="102"/>
              <w:rPr>
                <w:rFonts w:ascii="Times New Roman"/>
                <w:sz w:val="18"/>
                <w:szCs w:val="18"/>
              </w:rPr>
            </w:pPr>
          </w:p>
        </w:tc>
      </w:tr>
      <w:tr w:rsidR="002509EB" w:rsidRPr="00CF4E2F" w14:paraId="0D8BEC6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4BB334F" w14:textId="521F6DBC"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0260</w:t>
            </w:r>
          </w:p>
        </w:tc>
        <w:tc>
          <w:tcPr>
            <w:tcW w:w="7590" w:type="dxa"/>
            <w:tcBorders>
              <w:top w:val="single" w:sz="4" w:space="0" w:color="auto"/>
              <w:left w:val="single" w:sz="4" w:space="0" w:color="auto"/>
              <w:bottom w:val="single" w:sz="4" w:space="0" w:color="auto"/>
              <w:right w:val="single" w:sz="4" w:space="0" w:color="auto"/>
            </w:tcBorders>
          </w:tcPr>
          <w:p w14:paraId="7CAC5D00" w14:textId="2AC77DEC"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2.5.2 </w:t>
            </w:r>
            <w:r w:rsidR="002509EB" w:rsidRPr="00CF4E2F">
              <w:rPr>
                <w:rFonts w:ascii="Times New Roman"/>
                <w:b/>
                <w:sz w:val="18"/>
                <w:szCs w:val="18"/>
                <w:u w:val="single"/>
              </w:rPr>
              <w:t>Liabilities provided by the central bank of a third country</w:t>
            </w:r>
          </w:p>
          <w:p w14:paraId="7B78BA23" w14:textId="77777777" w:rsidR="002509EB" w:rsidRPr="0092017F" w:rsidRDefault="002509EB" w:rsidP="003A4A78">
            <w:pPr>
              <w:pStyle w:val="TableParagraph"/>
              <w:ind w:left="102"/>
              <w:rPr>
                <w:rFonts w:ascii="Times New Roman"/>
                <w:sz w:val="18"/>
                <w:szCs w:val="18"/>
              </w:rPr>
            </w:pPr>
          </w:p>
          <w:p w14:paraId="6189DBB5" w14:textId="67E17674"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w:t>
            </w:r>
            <w:r w:rsidR="00CC2331">
              <w:rPr>
                <w:rFonts w:ascii="Times New Roman"/>
                <w:sz w:val="18"/>
                <w:szCs w:val="18"/>
              </w:rPr>
              <w:t>428k(3)</w:t>
            </w:r>
            <w:r w:rsidR="002509EB" w:rsidRPr="00CF4E2F">
              <w:rPr>
                <w:rFonts w:ascii="Times New Roman"/>
                <w:sz w:val="18"/>
                <w:szCs w:val="18"/>
              </w:rPr>
              <w:t>(c)(ii) and 428l(c)(ii) of CRR.</w:t>
            </w:r>
          </w:p>
          <w:p w14:paraId="00BE8680" w14:textId="77777777" w:rsidR="002509EB" w:rsidRPr="00CF4E2F" w:rsidRDefault="002509EB" w:rsidP="003A4A78">
            <w:pPr>
              <w:pStyle w:val="TableParagraph"/>
              <w:ind w:left="102"/>
              <w:rPr>
                <w:rFonts w:ascii="Times New Roman"/>
                <w:sz w:val="18"/>
                <w:szCs w:val="18"/>
              </w:rPr>
            </w:pPr>
          </w:p>
          <w:p w14:paraId="283A8483" w14:textId="2C140869" w:rsidR="002509EB" w:rsidRPr="00CF4E2F" w:rsidRDefault="002509EB" w:rsidP="003A4A78">
            <w:pPr>
              <w:pStyle w:val="TableParagraph"/>
              <w:ind w:left="102"/>
              <w:rPr>
                <w:rFonts w:ascii="Times New Roman"/>
                <w:b/>
                <w:sz w:val="18"/>
                <w:szCs w:val="18"/>
                <w:u w:val="single"/>
              </w:rPr>
            </w:pPr>
            <w:r w:rsidRPr="00CF4E2F">
              <w:rPr>
                <w:rFonts w:ascii="Times New Roman"/>
                <w:sz w:val="18"/>
                <w:szCs w:val="18"/>
              </w:rPr>
              <w:t xml:space="preserve">Liabilities provided by the central bank of a third country irrespective of whether or not they are </w:t>
            </w:r>
            <w:r w:rsidR="008B35C4">
              <w:rPr>
                <w:rFonts w:ascii="Times New Roman"/>
                <w:sz w:val="18"/>
                <w:szCs w:val="18"/>
              </w:rPr>
              <w:t xml:space="preserve">related to </w:t>
            </w:r>
            <w:r w:rsidRPr="00CF4E2F">
              <w:rPr>
                <w:rFonts w:ascii="Times New Roman"/>
                <w:sz w:val="18"/>
                <w:szCs w:val="18"/>
              </w:rPr>
              <w:t>securities financing transactions.</w:t>
            </w:r>
          </w:p>
          <w:p w14:paraId="67FA6F47" w14:textId="77777777" w:rsidR="002509EB" w:rsidRPr="0092017F" w:rsidRDefault="002509EB" w:rsidP="003A4A78">
            <w:pPr>
              <w:pStyle w:val="TableParagraph"/>
              <w:ind w:left="102"/>
              <w:rPr>
                <w:rFonts w:ascii="Times New Roman"/>
                <w:sz w:val="18"/>
                <w:szCs w:val="18"/>
              </w:rPr>
            </w:pPr>
          </w:p>
        </w:tc>
      </w:tr>
      <w:tr w:rsidR="002509EB" w:rsidRPr="00CF4E2F" w14:paraId="6E3E67F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4BF8A892" w14:textId="1AC1AAAD"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0270</w:t>
            </w:r>
          </w:p>
        </w:tc>
        <w:tc>
          <w:tcPr>
            <w:tcW w:w="7590" w:type="dxa"/>
            <w:tcBorders>
              <w:top w:val="single" w:sz="4" w:space="0" w:color="auto"/>
              <w:left w:val="single" w:sz="4" w:space="0" w:color="auto"/>
              <w:bottom w:val="single" w:sz="4" w:space="0" w:color="auto"/>
              <w:right w:val="single" w:sz="4" w:space="0" w:color="auto"/>
            </w:tcBorders>
          </w:tcPr>
          <w:p w14:paraId="1D67C6A0" w14:textId="1E405C79"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2.5.3 </w:t>
            </w:r>
            <w:r w:rsidR="002509EB" w:rsidRPr="00CF4E2F">
              <w:rPr>
                <w:rFonts w:ascii="Times New Roman"/>
                <w:b/>
                <w:sz w:val="18"/>
                <w:szCs w:val="18"/>
                <w:u w:val="single"/>
              </w:rPr>
              <w:t>Liabilities provided by financial customers</w:t>
            </w:r>
          </w:p>
          <w:p w14:paraId="313BBCF2" w14:textId="77777777" w:rsidR="002509EB" w:rsidRPr="0092017F" w:rsidRDefault="002509EB" w:rsidP="003A4A78">
            <w:pPr>
              <w:pStyle w:val="TableParagraph"/>
              <w:ind w:left="102"/>
              <w:rPr>
                <w:rFonts w:ascii="Times New Roman"/>
                <w:sz w:val="18"/>
                <w:szCs w:val="18"/>
              </w:rPr>
            </w:pPr>
          </w:p>
          <w:p w14:paraId="5BCC5B11" w14:textId="4F8A2405"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w:t>
            </w:r>
            <w:r w:rsidR="00CC2331">
              <w:rPr>
                <w:rFonts w:ascii="Times New Roman"/>
                <w:sz w:val="18"/>
                <w:szCs w:val="18"/>
              </w:rPr>
              <w:t>428k(3)</w:t>
            </w:r>
            <w:r w:rsidR="002509EB" w:rsidRPr="00CF4E2F">
              <w:rPr>
                <w:rFonts w:ascii="Times New Roman"/>
                <w:sz w:val="18"/>
                <w:szCs w:val="18"/>
              </w:rPr>
              <w:t>(c)(iii) and 428l(c)(iii) of CRR.</w:t>
            </w:r>
          </w:p>
          <w:p w14:paraId="49CE7C22" w14:textId="77777777" w:rsidR="002509EB" w:rsidRPr="00CF4E2F" w:rsidRDefault="002509EB" w:rsidP="003A4A78">
            <w:pPr>
              <w:pStyle w:val="TableParagraph"/>
              <w:ind w:left="102"/>
              <w:rPr>
                <w:rFonts w:ascii="Times New Roman"/>
                <w:sz w:val="18"/>
                <w:szCs w:val="18"/>
              </w:rPr>
            </w:pPr>
          </w:p>
          <w:p w14:paraId="117CFFD8" w14:textId="5764504A"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Liabilities provided by financial customers irrespective of whether or not they are </w:t>
            </w:r>
            <w:r w:rsidR="004C2BB7">
              <w:rPr>
                <w:rFonts w:ascii="Times New Roman"/>
                <w:sz w:val="18"/>
                <w:szCs w:val="18"/>
              </w:rPr>
              <w:t xml:space="preserve">related to </w:t>
            </w:r>
            <w:r w:rsidRPr="00CF4E2F">
              <w:rPr>
                <w:rFonts w:ascii="Times New Roman"/>
                <w:sz w:val="18"/>
                <w:szCs w:val="18"/>
              </w:rPr>
              <w:t>securities financing transactions.</w:t>
            </w:r>
          </w:p>
          <w:p w14:paraId="036FACA2" w14:textId="77777777" w:rsidR="002509EB" w:rsidRPr="0092017F" w:rsidRDefault="002509EB" w:rsidP="003A4A78">
            <w:pPr>
              <w:pStyle w:val="TableParagraph"/>
              <w:ind w:left="102"/>
              <w:rPr>
                <w:rFonts w:ascii="Times New Roman"/>
                <w:sz w:val="18"/>
                <w:szCs w:val="18"/>
              </w:rPr>
            </w:pPr>
          </w:p>
        </w:tc>
      </w:tr>
      <w:tr w:rsidR="002509EB" w:rsidRPr="00CF4E2F" w14:paraId="4B1AEB2B"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B265F04" w14:textId="12BD7F79"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0280</w:t>
            </w:r>
          </w:p>
        </w:tc>
        <w:tc>
          <w:tcPr>
            <w:tcW w:w="7590" w:type="dxa"/>
            <w:tcBorders>
              <w:top w:val="single" w:sz="4" w:space="0" w:color="auto"/>
              <w:left w:val="single" w:sz="4" w:space="0" w:color="auto"/>
              <w:bottom w:val="single" w:sz="4" w:space="0" w:color="auto"/>
              <w:right w:val="single" w:sz="4" w:space="0" w:color="auto"/>
            </w:tcBorders>
          </w:tcPr>
          <w:p w14:paraId="3A180DF8" w14:textId="0AD00985"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2.5.3.1 O</w:t>
            </w:r>
            <w:r w:rsidR="002509EB" w:rsidRPr="00CF4E2F">
              <w:rPr>
                <w:rFonts w:ascii="Times New Roman"/>
                <w:b/>
                <w:sz w:val="18"/>
                <w:szCs w:val="18"/>
                <w:u w:val="single"/>
              </w:rPr>
              <w:t>perational deposits</w:t>
            </w:r>
          </w:p>
          <w:p w14:paraId="47DCC420" w14:textId="77777777" w:rsidR="002509EB" w:rsidRPr="0092017F" w:rsidRDefault="002509EB" w:rsidP="003A4A78">
            <w:pPr>
              <w:pStyle w:val="TableParagraph"/>
              <w:ind w:left="102"/>
              <w:rPr>
                <w:rFonts w:ascii="Times New Roman"/>
                <w:sz w:val="18"/>
                <w:szCs w:val="18"/>
              </w:rPr>
            </w:pPr>
          </w:p>
          <w:p w14:paraId="7B5CE214" w14:textId="38BE7008" w:rsidR="002509EB" w:rsidRPr="00CF4E2F" w:rsidRDefault="004465B4"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428l(a) of CRR.</w:t>
            </w:r>
          </w:p>
          <w:p w14:paraId="355A0D08" w14:textId="77777777" w:rsidR="002509EB" w:rsidRPr="00CF4E2F" w:rsidRDefault="002509EB" w:rsidP="003A4A78">
            <w:pPr>
              <w:pStyle w:val="TableParagraph"/>
              <w:ind w:left="102"/>
              <w:rPr>
                <w:rFonts w:ascii="Times New Roman"/>
                <w:sz w:val="18"/>
                <w:szCs w:val="18"/>
              </w:rPr>
            </w:pPr>
          </w:p>
          <w:p w14:paraId="02890DE2" w14:textId="4D23D301" w:rsidR="004C2BB7" w:rsidRPr="00CF4E2F" w:rsidRDefault="002509EB" w:rsidP="004C2BB7">
            <w:pPr>
              <w:pStyle w:val="TableParagraph"/>
              <w:ind w:left="102"/>
              <w:rPr>
                <w:rFonts w:ascii="Times New Roman"/>
                <w:sz w:val="18"/>
                <w:szCs w:val="18"/>
              </w:rPr>
            </w:pPr>
            <w:r w:rsidRPr="00CF4E2F">
              <w:rPr>
                <w:rFonts w:ascii="Times New Roman"/>
                <w:sz w:val="18"/>
                <w:szCs w:val="18"/>
              </w:rPr>
              <w:t xml:space="preserve">Institutions shall report here the part of the operational deposits from financial customers, in accordance with </w:t>
            </w:r>
            <w:r w:rsidR="004C2BB7">
              <w:rPr>
                <w:rFonts w:ascii="Times New Roman"/>
                <w:sz w:val="18"/>
                <w:szCs w:val="18"/>
              </w:rPr>
              <w:t>A</w:t>
            </w:r>
            <w:r w:rsidRPr="00CF4E2F">
              <w:rPr>
                <w:rFonts w:ascii="Times New Roman"/>
                <w:sz w:val="18"/>
                <w:szCs w:val="18"/>
              </w:rPr>
              <w:t xml:space="preserve">rticle 27 of Delegated Regulation (EU) 2015/61, which is necessary for the provision of operational services. Deposits arising out of a correspondent banking relationship or from the provision of prime brokerage services shall be considered non-operational deposits in accordance with Article 27(5) of Delegated Regulation (EU) 2015/61 under </w:t>
            </w:r>
            <w:r w:rsidR="00A22B8D">
              <w:rPr>
                <w:rFonts w:ascii="Times New Roman"/>
                <w:sz w:val="18"/>
                <w:szCs w:val="18"/>
              </w:rPr>
              <w:t>item 2.5.3.3</w:t>
            </w:r>
            <w:r w:rsidR="004C2BB7">
              <w:rPr>
                <w:rFonts w:ascii="Times New Roman"/>
                <w:sz w:val="18"/>
                <w:szCs w:val="18"/>
              </w:rPr>
              <w:t>.</w:t>
            </w:r>
          </w:p>
          <w:p w14:paraId="5EE654EA" w14:textId="77777777" w:rsidR="004C2BB7" w:rsidRPr="00CF4E2F" w:rsidRDefault="004C2BB7" w:rsidP="004C2BB7">
            <w:pPr>
              <w:pStyle w:val="TableParagraph"/>
              <w:ind w:left="102"/>
              <w:rPr>
                <w:rFonts w:ascii="Times New Roman"/>
                <w:sz w:val="18"/>
                <w:szCs w:val="18"/>
              </w:rPr>
            </w:pPr>
            <w:r w:rsidRPr="00CF4E2F">
              <w:rPr>
                <w:rFonts w:ascii="Times New Roman"/>
                <w:sz w:val="18"/>
                <w:szCs w:val="18"/>
              </w:rPr>
              <w:t xml:space="preserve">Operational deposits as per Article 27 (1) (c) of the Commission Delegated Regulation (EU) 2015/61 shall not be reported here but within item 2.3. </w:t>
            </w:r>
            <w:r w:rsidRPr="00CF4E2F">
              <w:rPr>
                <w:rFonts w:ascii="Times New Roman"/>
                <w:sz w:val="18"/>
                <w:szCs w:val="18"/>
              </w:rPr>
              <w:t>“</w:t>
            </w:r>
            <w:r w:rsidRPr="00CF4E2F">
              <w:rPr>
                <w:rFonts w:ascii="Times New Roman"/>
                <w:sz w:val="18"/>
                <w:szCs w:val="18"/>
              </w:rPr>
              <w:t>ASF from other non-financial customers (except central banks)</w:t>
            </w:r>
            <w:r w:rsidRPr="00CF4E2F">
              <w:rPr>
                <w:rFonts w:ascii="Times New Roman"/>
                <w:sz w:val="18"/>
                <w:szCs w:val="18"/>
              </w:rPr>
              <w:t>”</w:t>
            </w:r>
            <w:r w:rsidRPr="00CF4E2F">
              <w:rPr>
                <w:rFonts w:ascii="Times New Roman"/>
                <w:sz w:val="18"/>
                <w:szCs w:val="18"/>
              </w:rPr>
              <w:t>.)</w:t>
            </w:r>
            <w:r w:rsidRPr="00CF4E2F">
              <w:rPr>
                <w:rFonts w:ascii="Times New Roman"/>
                <w:sz w:val="18"/>
                <w:szCs w:val="18"/>
              </w:rPr>
              <w:t>”</w:t>
            </w:r>
            <w:r w:rsidRPr="00CF4E2F">
              <w:rPr>
                <w:rFonts w:ascii="Times New Roman"/>
                <w:sz w:val="18"/>
                <w:szCs w:val="18"/>
              </w:rPr>
              <w:t>.</w:t>
            </w:r>
          </w:p>
          <w:p w14:paraId="51230A9E" w14:textId="77777777" w:rsidR="002509EB" w:rsidRPr="00CF4E2F" w:rsidRDefault="002509EB" w:rsidP="00E06921">
            <w:pPr>
              <w:pStyle w:val="TableParagraph"/>
              <w:ind w:left="102"/>
              <w:rPr>
                <w:rFonts w:ascii="Times New Roman"/>
                <w:sz w:val="18"/>
                <w:szCs w:val="18"/>
              </w:rPr>
            </w:pPr>
          </w:p>
          <w:p w14:paraId="485B1DFF" w14:textId="7F082613"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The part of the operational deposits in excess of the amount necessary for the provision of operational services shall not be reported here but shall be reported under </w:t>
            </w:r>
            <w:r w:rsidR="00A22B8D">
              <w:rPr>
                <w:rFonts w:ascii="Times New Roman"/>
                <w:sz w:val="18"/>
                <w:szCs w:val="18"/>
              </w:rPr>
              <w:t>item 2.5.3.2</w:t>
            </w:r>
            <w:r w:rsidR="004465B4">
              <w:rPr>
                <w:rFonts w:ascii="Times New Roman"/>
                <w:sz w:val="18"/>
                <w:szCs w:val="18"/>
              </w:rPr>
              <w:t>.</w:t>
            </w:r>
          </w:p>
          <w:p w14:paraId="6A9AAE3B" w14:textId="77777777" w:rsidR="002509EB" w:rsidRPr="00AA031A" w:rsidRDefault="002509EB" w:rsidP="003A4A78">
            <w:pPr>
              <w:pStyle w:val="TableParagraph"/>
              <w:ind w:left="102"/>
              <w:rPr>
                <w:rFonts w:ascii="Times New Roman"/>
                <w:sz w:val="18"/>
                <w:szCs w:val="18"/>
              </w:rPr>
            </w:pPr>
          </w:p>
        </w:tc>
      </w:tr>
      <w:tr w:rsidR="004C2BB7" w:rsidRPr="00CF4E2F" w14:paraId="314DF4F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2BCB360" w14:textId="6A09EE82" w:rsidR="004C2BB7" w:rsidRPr="00CF4E2F" w:rsidRDefault="004C2BB7"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0290</w:t>
            </w:r>
          </w:p>
        </w:tc>
        <w:tc>
          <w:tcPr>
            <w:tcW w:w="7590" w:type="dxa"/>
            <w:tcBorders>
              <w:top w:val="single" w:sz="4" w:space="0" w:color="auto"/>
              <w:left w:val="single" w:sz="4" w:space="0" w:color="auto"/>
              <w:bottom w:val="single" w:sz="4" w:space="0" w:color="auto"/>
              <w:right w:val="single" w:sz="4" w:space="0" w:color="auto"/>
            </w:tcBorders>
          </w:tcPr>
          <w:p w14:paraId="3C19C0C0" w14:textId="77777777" w:rsidR="004C2BB7" w:rsidRPr="00CF4E2F" w:rsidRDefault="004C2BB7" w:rsidP="00047F14">
            <w:pPr>
              <w:pStyle w:val="TableParagraph"/>
              <w:spacing w:before="120"/>
              <w:ind w:left="102"/>
              <w:rPr>
                <w:rFonts w:ascii="Times New Roman"/>
                <w:b/>
                <w:sz w:val="18"/>
                <w:szCs w:val="18"/>
                <w:u w:val="single"/>
              </w:rPr>
            </w:pPr>
            <w:r w:rsidRPr="00CF4E2F">
              <w:rPr>
                <w:rFonts w:ascii="Times New Roman"/>
                <w:b/>
                <w:sz w:val="18"/>
                <w:szCs w:val="18"/>
                <w:u w:val="single"/>
              </w:rPr>
              <w:t>2.5.3.2 Excess operational deposits</w:t>
            </w:r>
          </w:p>
          <w:p w14:paraId="4304576C" w14:textId="77777777" w:rsidR="004C2BB7" w:rsidRPr="00022762" w:rsidRDefault="004C2BB7" w:rsidP="00047F14">
            <w:pPr>
              <w:pStyle w:val="TableParagraph"/>
              <w:ind w:left="102"/>
              <w:rPr>
                <w:rFonts w:ascii="Times New Roman"/>
                <w:sz w:val="18"/>
                <w:szCs w:val="18"/>
              </w:rPr>
            </w:pPr>
          </w:p>
          <w:p w14:paraId="7F83FF59" w14:textId="10AC7917" w:rsidR="004C2BB7" w:rsidRPr="004C2BB7" w:rsidRDefault="004C2BB7" w:rsidP="004C2BB7">
            <w:pPr>
              <w:pStyle w:val="TableParagraph"/>
              <w:ind w:left="102"/>
              <w:rPr>
                <w:rFonts w:ascii="Times New Roman"/>
                <w:b/>
                <w:sz w:val="18"/>
                <w:szCs w:val="18"/>
                <w:u w:val="single"/>
                <w:lang w:val="en-GB"/>
              </w:rPr>
            </w:pPr>
            <w:r w:rsidRPr="00CF4E2F">
              <w:rPr>
                <w:rFonts w:ascii="Times New Roman" w:eastAsia="Times New Roman" w:hAnsi="Times New Roman"/>
                <w:sz w:val="18"/>
                <w:szCs w:val="18"/>
              </w:rPr>
              <w:t>Institutions shall report here the part of the operational deposits from financial customers in excess of those required for the provision of operational services.</w:t>
            </w:r>
          </w:p>
          <w:p w14:paraId="05E7EB74" w14:textId="4647312C" w:rsidR="004C2BB7" w:rsidRPr="00CF4E2F" w:rsidRDefault="004C2BB7" w:rsidP="00047F14">
            <w:pPr>
              <w:pStyle w:val="TableParagraph"/>
              <w:ind w:left="102"/>
              <w:rPr>
                <w:rFonts w:ascii="Times New Roman"/>
                <w:sz w:val="18"/>
                <w:szCs w:val="18"/>
              </w:rPr>
            </w:pPr>
            <w:r w:rsidRPr="00CF4E2F">
              <w:rPr>
                <w:rFonts w:ascii="Times New Roman"/>
                <w:sz w:val="18"/>
                <w:szCs w:val="18"/>
              </w:rPr>
              <w:t xml:space="preserve">Operational deposits as per Article 27 (1) (c) of the Commission Delegated Regulation (EU) 2015/61 shall not be reported here but within item 2.3. </w:t>
            </w:r>
            <w:r w:rsidRPr="00CF4E2F">
              <w:rPr>
                <w:rFonts w:ascii="Times New Roman"/>
                <w:sz w:val="18"/>
                <w:szCs w:val="18"/>
              </w:rPr>
              <w:t>“</w:t>
            </w:r>
            <w:r w:rsidRPr="00CF4E2F">
              <w:rPr>
                <w:rFonts w:ascii="Times New Roman"/>
                <w:sz w:val="18"/>
                <w:szCs w:val="18"/>
              </w:rPr>
              <w:t>ASF from other non-financial customers (except central banks)</w:t>
            </w:r>
            <w:r w:rsidRPr="00CF4E2F">
              <w:rPr>
                <w:rFonts w:ascii="Times New Roman"/>
                <w:sz w:val="18"/>
                <w:szCs w:val="18"/>
              </w:rPr>
              <w:t>”</w:t>
            </w:r>
            <w:r w:rsidRPr="00CF4E2F">
              <w:rPr>
                <w:rFonts w:ascii="Times New Roman"/>
                <w:sz w:val="18"/>
                <w:szCs w:val="18"/>
              </w:rPr>
              <w:t>.</w:t>
            </w:r>
          </w:p>
          <w:p w14:paraId="68B2E026" w14:textId="77777777" w:rsidR="004C2BB7" w:rsidRPr="00CF4E2F" w:rsidRDefault="004C2BB7" w:rsidP="00022762">
            <w:pPr>
              <w:pStyle w:val="TableParagraph"/>
              <w:ind w:left="102"/>
              <w:rPr>
                <w:rFonts w:ascii="Times New Roman"/>
                <w:b/>
                <w:sz w:val="18"/>
                <w:szCs w:val="18"/>
                <w:u w:val="single"/>
              </w:rPr>
            </w:pPr>
          </w:p>
        </w:tc>
      </w:tr>
      <w:tr w:rsidR="002509EB" w:rsidRPr="00CF4E2F" w14:paraId="0C242F69"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6BA5A94" w14:textId="35B29A73"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0300</w:t>
            </w:r>
          </w:p>
        </w:tc>
        <w:tc>
          <w:tcPr>
            <w:tcW w:w="7590" w:type="dxa"/>
            <w:tcBorders>
              <w:top w:val="single" w:sz="4" w:space="0" w:color="auto"/>
              <w:left w:val="single" w:sz="4" w:space="0" w:color="auto"/>
              <w:bottom w:val="single" w:sz="4" w:space="0" w:color="auto"/>
              <w:right w:val="single" w:sz="4" w:space="0" w:color="auto"/>
            </w:tcBorders>
          </w:tcPr>
          <w:p w14:paraId="0631ACDF" w14:textId="1FDC0E83" w:rsidR="002509EB" w:rsidRPr="00CF4E2F" w:rsidRDefault="00BA07B2" w:rsidP="00A66401">
            <w:pPr>
              <w:pStyle w:val="TableParagraph"/>
              <w:spacing w:before="120"/>
              <w:ind w:left="102"/>
              <w:rPr>
                <w:rFonts w:ascii="Times New Roman"/>
                <w:b/>
                <w:sz w:val="18"/>
                <w:szCs w:val="18"/>
                <w:u w:val="single"/>
              </w:rPr>
            </w:pPr>
            <w:r w:rsidRPr="00CF4E2F">
              <w:rPr>
                <w:rFonts w:ascii="Times New Roman"/>
                <w:b/>
                <w:sz w:val="18"/>
                <w:szCs w:val="18"/>
                <w:u w:val="single"/>
              </w:rPr>
              <w:t>2.5.3.3 Other liabilities</w:t>
            </w:r>
          </w:p>
          <w:p w14:paraId="3AC196F7" w14:textId="77777777" w:rsidR="002509EB" w:rsidRPr="00022762" w:rsidRDefault="002509EB" w:rsidP="003A4A78">
            <w:pPr>
              <w:pStyle w:val="TableParagraph"/>
              <w:ind w:left="102"/>
              <w:rPr>
                <w:rFonts w:ascii="Times New Roman"/>
                <w:sz w:val="18"/>
                <w:szCs w:val="18"/>
              </w:rPr>
            </w:pPr>
          </w:p>
          <w:p w14:paraId="2FC96529" w14:textId="77777777" w:rsidR="002509EB" w:rsidRPr="00CF4E2F" w:rsidRDefault="002509EB" w:rsidP="003A4A78">
            <w:pPr>
              <w:pStyle w:val="TableParagraph"/>
              <w:ind w:left="102"/>
              <w:rPr>
                <w:rFonts w:ascii="Times New Roman" w:hAnsi="Times New Roman"/>
                <w:sz w:val="18"/>
                <w:szCs w:val="18"/>
              </w:rPr>
            </w:pPr>
            <w:r w:rsidRPr="00CF4E2F">
              <w:rPr>
                <w:rFonts w:ascii="Times New Roman" w:hAnsi="Times New Roman"/>
                <w:sz w:val="18"/>
                <w:szCs w:val="18"/>
              </w:rPr>
              <w:t>Institutions shall report here liabilities provided by financial customer that are not operational deposits where the counterparty can be identified.</w:t>
            </w:r>
          </w:p>
          <w:p w14:paraId="5C3AB128" w14:textId="77777777" w:rsidR="002509EB" w:rsidRPr="00022762" w:rsidRDefault="002509EB" w:rsidP="003A4A78">
            <w:pPr>
              <w:pStyle w:val="TableParagraph"/>
              <w:ind w:left="102"/>
              <w:rPr>
                <w:rFonts w:ascii="Times New Roman"/>
                <w:sz w:val="18"/>
                <w:szCs w:val="18"/>
              </w:rPr>
            </w:pPr>
          </w:p>
          <w:p w14:paraId="1FB99CDF" w14:textId="7E89A796" w:rsidR="002509EB" w:rsidRDefault="002509EB" w:rsidP="003A4A78">
            <w:pPr>
              <w:pStyle w:val="TableParagraph"/>
              <w:ind w:left="102"/>
              <w:rPr>
                <w:rFonts w:ascii="Times New Roman" w:hAnsi="Times New Roman"/>
                <w:sz w:val="18"/>
                <w:szCs w:val="18"/>
              </w:rPr>
            </w:pPr>
            <w:r w:rsidRPr="00CF4E2F">
              <w:rPr>
                <w:rFonts w:ascii="Times New Roman" w:hAnsi="Times New Roman"/>
                <w:sz w:val="18"/>
                <w:szCs w:val="18"/>
              </w:rPr>
              <w:t xml:space="preserve">The part of operational deposits in excess of those required for the provision of operational services shall not be reported here but shall be reported under </w:t>
            </w:r>
            <w:r w:rsidR="00A22B8D">
              <w:rPr>
                <w:rFonts w:ascii="Times New Roman" w:hAnsi="Times New Roman"/>
                <w:sz w:val="18"/>
                <w:szCs w:val="18"/>
              </w:rPr>
              <w:t>item 2.5.3.2.</w:t>
            </w:r>
          </w:p>
          <w:p w14:paraId="52AB2E83" w14:textId="22F2322D" w:rsidR="00022762" w:rsidRPr="00CF4E2F" w:rsidRDefault="00022762" w:rsidP="003A4A78">
            <w:pPr>
              <w:pStyle w:val="TableParagraph"/>
              <w:ind w:left="102"/>
              <w:rPr>
                <w:rFonts w:ascii="Times New Roman"/>
                <w:b/>
                <w:sz w:val="18"/>
                <w:szCs w:val="18"/>
                <w:u w:val="single"/>
              </w:rPr>
            </w:pPr>
          </w:p>
        </w:tc>
      </w:tr>
      <w:tr w:rsidR="002509EB" w:rsidRPr="00CF4E2F" w14:paraId="1095456F"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33B7E1F" w14:textId="58257E2C"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0310</w:t>
            </w:r>
          </w:p>
        </w:tc>
        <w:tc>
          <w:tcPr>
            <w:tcW w:w="7590" w:type="dxa"/>
            <w:tcBorders>
              <w:top w:val="single" w:sz="4" w:space="0" w:color="auto"/>
              <w:left w:val="single" w:sz="4" w:space="0" w:color="auto"/>
              <w:bottom w:val="single" w:sz="4" w:space="0" w:color="auto"/>
              <w:right w:val="single" w:sz="4" w:space="0" w:color="auto"/>
            </w:tcBorders>
          </w:tcPr>
          <w:p w14:paraId="661DAD46" w14:textId="3A13A457" w:rsidR="002509EB" w:rsidRPr="0092017F" w:rsidRDefault="00BA07B2" w:rsidP="00A66401">
            <w:pPr>
              <w:pStyle w:val="TableParagraph"/>
              <w:spacing w:before="120"/>
              <w:ind w:left="102"/>
              <w:rPr>
                <w:rFonts w:ascii="Times New Roman"/>
                <w:b/>
                <w:sz w:val="18"/>
                <w:szCs w:val="18"/>
                <w:u w:val="single"/>
              </w:rPr>
            </w:pPr>
            <w:r w:rsidRPr="0092017F">
              <w:rPr>
                <w:rFonts w:ascii="Times New Roman"/>
                <w:b/>
                <w:sz w:val="18"/>
                <w:szCs w:val="18"/>
                <w:u w:val="single"/>
              </w:rPr>
              <w:t xml:space="preserve">2.6 </w:t>
            </w:r>
            <w:r w:rsidR="00452A84" w:rsidRPr="0092017F">
              <w:rPr>
                <w:rFonts w:ascii="Times New Roman"/>
                <w:b/>
                <w:sz w:val="18"/>
                <w:szCs w:val="18"/>
                <w:u w:val="single"/>
              </w:rPr>
              <w:t>ASF from liabilities provided where the counterparty cannot be determined</w:t>
            </w:r>
          </w:p>
          <w:p w14:paraId="28228F8F" w14:textId="77777777" w:rsidR="00B41C2F" w:rsidRPr="00CF4E2F" w:rsidRDefault="00B41C2F" w:rsidP="003A4A78">
            <w:pPr>
              <w:pStyle w:val="TableParagraph"/>
              <w:ind w:left="102"/>
              <w:rPr>
                <w:rFonts w:ascii="Times New Roman"/>
                <w:sz w:val="18"/>
                <w:szCs w:val="18"/>
              </w:rPr>
            </w:pPr>
          </w:p>
          <w:p w14:paraId="1B8D349E" w14:textId="0194BDFE" w:rsidR="002509EB" w:rsidRPr="00CF4E2F" w:rsidRDefault="00EC1DC7"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0702E9">
              <w:rPr>
                <w:rFonts w:ascii="Times New Roman"/>
                <w:sz w:val="18"/>
                <w:szCs w:val="18"/>
              </w:rPr>
              <w:t>s</w:t>
            </w:r>
            <w:r w:rsidR="002509EB" w:rsidRPr="00CF4E2F">
              <w:rPr>
                <w:rFonts w:ascii="Times New Roman"/>
                <w:sz w:val="18"/>
                <w:szCs w:val="18"/>
              </w:rPr>
              <w:t xml:space="preserve"> </w:t>
            </w:r>
            <w:r w:rsidR="00092251">
              <w:rPr>
                <w:rFonts w:ascii="Times New Roman"/>
                <w:sz w:val="18"/>
                <w:szCs w:val="18"/>
              </w:rPr>
              <w:t>428k(3)(d)</w:t>
            </w:r>
            <w:r w:rsidR="002509EB" w:rsidRPr="00CF4E2F">
              <w:rPr>
                <w:rFonts w:ascii="Times New Roman"/>
                <w:sz w:val="18"/>
                <w:szCs w:val="18"/>
              </w:rPr>
              <w:t xml:space="preserve"> and 428l(d) of CRR.</w:t>
            </w:r>
          </w:p>
          <w:p w14:paraId="1328513E" w14:textId="77777777" w:rsidR="002509EB" w:rsidRPr="00CF4E2F" w:rsidRDefault="002509EB" w:rsidP="003A4A78">
            <w:pPr>
              <w:pStyle w:val="TableParagraph"/>
              <w:ind w:left="102"/>
              <w:rPr>
                <w:rFonts w:ascii="Times New Roman"/>
                <w:sz w:val="18"/>
                <w:szCs w:val="18"/>
              </w:rPr>
            </w:pPr>
          </w:p>
          <w:p w14:paraId="0CC161B6" w14:textId="27712498" w:rsidR="002509EB" w:rsidRPr="00CF4E2F" w:rsidRDefault="002509EB" w:rsidP="00EC1DC7">
            <w:pPr>
              <w:pStyle w:val="TableParagraph"/>
              <w:ind w:left="102"/>
              <w:rPr>
                <w:rFonts w:ascii="Times New Roman"/>
                <w:sz w:val="18"/>
                <w:szCs w:val="18"/>
              </w:rPr>
            </w:pPr>
            <w:r w:rsidRPr="00CF4E2F">
              <w:rPr>
                <w:rFonts w:ascii="Times New Roman"/>
                <w:sz w:val="18"/>
                <w:szCs w:val="18"/>
              </w:rPr>
              <w:t>Institutions shall report here liabilities where the counterparty cannot be determined</w:t>
            </w:r>
            <w:r w:rsidR="00EC1DC7">
              <w:rPr>
                <w:rFonts w:ascii="Times New Roman"/>
                <w:sz w:val="18"/>
                <w:szCs w:val="18"/>
              </w:rPr>
              <w:t xml:space="preserve">, including securities issued </w:t>
            </w:r>
            <w:r w:rsidRPr="00CF4E2F">
              <w:rPr>
                <w:rFonts w:ascii="Times New Roman"/>
                <w:sz w:val="18"/>
                <w:szCs w:val="18"/>
              </w:rPr>
              <w:t>where the holder cannot be identified.</w:t>
            </w:r>
          </w:p>
          <w:p w14:paraId="71CE40B5" w14:textId="77777777" w:rsidR="002509EB" w:rsidRPr="00CF4E2F" w:rsidRDefault="002509EB" w:rsidP="003A4A78">
            <w:pPr>
              <w:pStyle w:val="TableParagraph"/>
              <w:ind w:left="102"/>
              <w:rPr>
                <w:rFonts w:ascii="Times New Roman"/>
                <w:b/>
                <w:sz w:val="18"/>
                <w:szCs w:val="18"/>
                <w:u w:val="single"/>
              </w:rPr>
            </w:pPr>
          </w:p>
        </w:tc>
      </w:tr>
      <w:tr w:rsidR="002509EB" w:rsidRPr="00CF4E2F" w14:paraId="35B548E1"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49957988" w14:textId="1E947EA4" w:rsidR="002509EB" w:rsidRPr="00A0201D"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0320</w:t>
            </w:r>
          </w:p>
        </w:tc>
        <w:tc>
          <w:tcPr>
            <w:tcW w:w="7590" w:type="dxa"/>
            <w:tcBorders>
              <w:top w:val="single" w:sz="4" w:space="0" w:color="auto"/>
              <w:left w:val="single" w:sz="4" w:space="0" w:color="auto"/>
              <w:bottom w:val="single" w:sz="4" w:space="0" w:color="auto"/>
              <w:right w:val="single" w:sz="4" w:space="0" w:color="auto"/>
            </w:tcBorders>
          </w:tcPr>
          <w:p w14:paraId="066437D1" w14:textId="1DFF1AC2" w:rsidR="002509EB" w:rsidRPr="00A0201D" w:rsidRDefault="00BA07B2" w:rsidP="00A66401">
            <w:pPr>
              <w:pStyle w:val="TableParagraph"/>
              <w:spacing w:before="120"/>
              <w:ind w:left="102"/>
              <w:rPr>
                <w:rFonts w:ascii="Times New Roman"/>
                <w:b/>
                <w:sz w:val="18"/>
                <w:szCs w:val="18"/>
                <w:u w:val="single"/>
              </w:rPr>
            </w:pPr>
            <w:r w:rsidRPr="00A0201D">
              <w:rPr>
                <w:rFonts w:ascii="Times New Roman"/>
                <w:b/>
                <w:sz w:val="18"/>
                <w:szCs w:val="18"/>
                <w:u w:val="single"/>
              </w:rPr>
              <w:t xml:space="preserve">2.7 </w:t>
            </w:r>
            <w:r w:rsidR="002509EB" w:rsidRPr="00A0201D">
              <w:rPr>
                <w:rFonts w:ascii="Times New Roman"/>
                <w:b/>
                <w:sz w:val="18"/>
                <w:szCs w:val="18"/>
                <w:u w:val="single"/>
              </w:rPr>
              <w:t>ASF from net derivatives liabilities</w:t>
            </w:r>
          </w:p>
          <w:p w14:paraId="4DBE057F" w14:textId="77777777" w:rsidR="002509EB" w:rsidRPr="0092017F" w:rsidRDefault="002509EB" w:rsidP="003A4A78">
            <w:pPr>
              <w:pStyle w:val="TableParagraph"/>
              <w:ind w:left="102"/>
              <w:rPr>
                <w:rFonts w:ascii="Times New Roman"/>
                <w:sz w:val="18"/>
                <w:szCs w:val="18"/>
              </w:rPr>
            </w:pPr>
          </w:p>
          <w:p w14:paraId="0DE5B84D" w14:textId="42497B83"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Article </w:t>
            </w:r>
            <w:r w:rsidR="005B0070">
              <w:rPr>
                <w:rFonts w:ascii="Times New Roman"/>
                <w:sz w:val="18"/>
                <w:szCs w:val="18"/>
              </w:rPr>
              <w:t>428k(4)</w:t>
            </w:r>
            <w:r w:rsidR="00EC1DC7">
              <w:rPr>
                <w:rFonts w:ascii="Times New Roman"/>
                <w:sz w:val="18"/>
                <w:szCs w:val="18"/>
              </w:rPr>
              <w:t xml:space="preserve"> of CRR.</w:t>
            </w:r>
          </w:p>
          <w:p w14:paraId="40DC094F" w14:textId="77777777" w:rsidR="002509EB" w:rsidRPr="0092017F" w:rsidRDefault="002509EB" w:rsidP="003A4A78">
            <w:pPr>
              <w:pStyle w:val="TableParagraph"/>
              <w:ind w:left="102"/>
              <w:rPr>
                <w:rFonts w:ascii="Times New Roman"/>
                <w:sz w:val="18"/>
                <w:szCs w:val="18"/>
              </w:rPr>
            </w:pPr>
          </w:p>
          <w:p w14:paraId="22CB265A" w14:textId="181419F3" w:rsidR="002509EB" w:rsidRPr="00CF4E2F" w:rsidRDefault="002509EB" w:rsidP="003A4A78">
            <w:pPr>
              <w:pStyle w:val="TableParagraph"/>
              <w:ind w:left="102"/>
              <w:rPr>
                <w:rFonts w:ascii="Times New Roman"/>
                <w:sz w:val="18"/>
                <w:szCs w:val="18"/>
              </w:rPr>
            </w:pPr>
            <w:r w:rsidRPr="00A66401">
              <w:rPr>
                <w:rFonts w:ascii="Times New Roman"/>
                <w:sz w:val="18"/>
                <w:szCs w:val="18"/>
              </w:rPr>
              <w:t xml:space="preserve">The negative difference between netting sets calculated in accordance with Article </w:t>
            </w:r>
            <w:r w:rsidR="005B0070">
              <w:rPr>
                <w:rFonts w:ascii="Times New Roman"/>
                <w:sz w:val="18"/>
                <w:szCs w:val="18"/>
              </w:rPr>
              <w:t>428k(4)</w:t>
            </w:r>
            <w:r w:rsidRPr="00A66401">
              <w:rPr>
                <w:rFonts w:ascii="Times New Roman"/>
                <w:sz w:val="18"/>
                <w:szCs w:val="18"/>
              </w:rPr>
              <w:t xml:space="preserve"> of </w:t>
            </w:r>
            <w:r w:rsidR="00416B4D" w:rsidRPr="00A66401">
              <w:rPr>
                <w:rFonts w:ascii="Times New Roman"/>
                <w:sz w:val="18"/>
                <w:szCs w:val="18"/>
              </w:rPr>
              <w:t>CRR</w:t>
            </w:r>
            <w:r w:rsidRPr="00A66401">
              <w:rPr>
                <w:rFonts w:ascii="Times New Roman"/>
                <w:sz w:val="18"/>
                <w:szCs w:val="18"/>
              </w:rPr>
              <w:t>.</w:t>
            </w:r>
          </w:p>
          <w:p w14:paraId="545E0366" w14:textId="58ADE8DC" w:rsidR="00B41C2F" w:rsidRPr="0040192D" w:rsidRDefault="00B41C2F" w:rsidP="003A4A78">
            <w:pPr>
              <w:pStyle w:val="TableParagraph"/>
              <w:ind w:left="102"/>
              <w:rPr>
                <w:rFonts w:ascii="Times New Roman"/>
                <w:sz w:val="18"/>
                <w:szCs w:val="18"/>
              </w:rPr>
            </w:pPr>
          </w:p>
        </w:tc>
      </w:tr>
      <w:tr w:rsidR="004C2BB7" w:rsidRPr="00CF4E2F" w14:paraId="055A3D37"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6B9BE00" w14:textId="41CB15AC" w:rsidR="004C2BB7" w:rsidRPr="00A0201D" w:rsidRDefault="004C2BB7"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0330</w:t>
            </w:r>
          </w:p>
        </w:tc>
        <w:tc>
          <w:tcPr>
            <w:tcW w:w="7590" w:type="dxa"/>
            <w:tcBorders>
              <w:top w:val="single" w:sz="4" w:space="0" w:color="auto"/>
              <w:left w:val="single" w:sz="4" w:space="0" w:color="auto"/>
              <w:bottom w:val="single" w:sz="4" w:space="0" w:color="auto"/>
              <w:right w:val="single" w:sz="4" w:space="0" w:color="auto"/>
            </w:tcBorders>
          </w:tcPr>
          <w:p w14:paraId="3F9200BC" w14:textId="5430D87D" w:rsidR="004C2BB7" w:rsidRPr="00A0201D" w:rsidRDefault="004C2BB7" w:rsidP="00047F14">
            <w:pPr>
              <w:pStyle w:val="TableParagraph"/>
              <w:spacing w:before="120"/>
              <w:ind w:left="102"/>
              <w:rPr>
                <w:rFonts w:ascii="Times New Roman"/>
                <w:b/>
                <w:sz w:val="18"/>
                <w:szCs w:val="18"/>
                <w:u w:val="single"/>
              </w:rPr>
            </w:pPr>
            <w:r w:rsidRPr="00A0201D">
              <w:rPr>
                <w:rFonts w:ascii="Times New Roman"/>
                <w:b/>
                <w:sz w:val="18"/>
                <w:szCs w:val="18"/>
                <w:u w:val="single"/>
              </w:rPr>
              <w:t>2.8 ASF from authorised interdependent liabilities</w:t>
            </w:r>
          </w:p>
          <w:p w14:paraId="5F32F8A6" w14:textId="77777777" w:rsidR="004C2BB7" w:rsidRPr="0092017F" w:rsidRDefault="004C2BB7" w:rsidP="00047F14">
            <w:pPr>
              <w:pStyle w:val="TableParagraph"/>
              <w:ind w:left="102"/>
              <w:rPr>
                <w:rFonts w:ascii="Times New Roman"/>
                <w:sz w:val="18"/>
                <w:szCs w:val="18"/>
              </w:rPr>
            </w:pPr>
          </w:p>
          <w:p w14:paraId="4179D5AA" w14:textId="5634378C" w:rsidR="004C2BB7" w:rsidRPr="00CF4E2F" w:rsidRDefault="004C2BB7" w:rsidP="00047F14">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Pr="00CF4E2F">
              <w:rPr>
                <w:rFonts w:ascii="Times New Roman"/>
                <w:sz w:val="18"/>
                <w:szCs w:val="18"/>
              </w:rPr>
              <w:t xml:space="preserve"> </w:t>
            </w:r>
            <w:r w:rsidR="00CC2331">
              <w:rPr>
                <w:rFonts w:ascii="Times New Roman"/>
                <w:sz w:val="18"/>
                <w:szCs w:val="18"/>
              </w:rPr>
              <w:t>428k(3)</w:t>
            </w:r>
            <w:r w:rsidRPr="00CF4E2F">
              <w:rPr>
                <w:rFonts w:ascii="Times New Roman"/>
                <w:sz w:val="18"/>
                <w:szCs w:val="18"/>
              </w:rPr>
              <w:t>(b) of CRR.</w:t>
            </w:r>
          </w:p>
          <w:p w14:paraId="7A06C108" w14:textId="77777777" w:rsidR="004C2BB7" w:rsidRPr="00CF4E2F" w:rsidRDefault="004C2BB7" w:rsidP="00047F14">
            <w:pPr>
              <w:pStyle w:val="TableParagraph"/>
              <w:ind w:left="102"/>
              <w:rPr>
                <w:rFonts w:ascii="Times New Roman"/>
                <w:sz w:val="18"/>
                <w:szCs w:val="18"/>
              </w:rPr>
            </w:pPr>
          </w:p>
          <w:p w14:paraId="70284DC8" w14:textId="057D2FE9" w:rsidR="004C2BB7" w:rsidRPr="00CF4E2F" w:rsidRDefault="004C2BB7" w:rsidP="00047F14">
            <w:pPr>
              <w:pStyle w:val="TableParagraph"/>
              <w:ind w:left="102"/>
              <w:rPr>
                <w:rFonts w:ascii="Times New Roman"/>
                <w:sz w:val="18"/>
                <w:szCs w:val="18"/>
              </w:rPr>
            </w:pPr>
            <w:r w:rsidRPr="00CF4E2F">
              <w:rPr>
                <w:rFonts w:ascii="Times New Roman"/>
                <w:sz w:val="18"/>
                <w:szCs w:val="18"/>
              </w:rPr>
              <w:t>Institutions shall report here liabilities that have been approved by the relevant competent authority to be treated as interdependent with assets in accordance with Art. 428f of CRR.</w:t>
            </w:r>
            <w:r w:rsidRPr="00A66401">
              <w:rPr>
                <w:rFonts w:ascii="Times New Roman"/>
                <w:sz w:val="18"/>
                <w:szCs w:val="18"/>
              </w:rPr>
              <w:t xml:space="preserve"> </w:t>
            </w:r>
            <w:r w:rsidRPr="00CF4E2F">
              <w:rPr>
                <w:rFonts w:ascii="Times New Roman" w:eastAsia="Times New Roman" w:hAnsi="Times New Roman" w:cs="Times New Roman"/>
                <w:sz w:val="18"/>
                <w:szCs w:val="18"/>
              </w:rPr>
              <w:t>Institutions shall report here the sum of items 2.</w:t>
            </w:r>
            <w:r w:rsidRPr="0040192D">
              <w:rPr>
                <w:rFonts w:ascii="Times New Roman" w:eastAsia="Times New Roman" w:hAnsi="Times New Roman" w:cs="Times New Roman"/>
                <w:sz w:val="18"/>
                <w:szCs w:val="18"/>
              </w:rPr>
              <w:t>8</w:t>
            </w:r>
            <w:r w:rsidRPr="00A0201D">
              <w:rPr>
                <w:rFonts w:ascii="Times New Roman" w:eastAsia="Times New Roman" w:hAnsi="Times New Roman" w:cs="Times New Roman"/>
                <w:sz w:val="18"/>
                <w:szCs w:val="18"/>
              </w:rPr>
              <w:t>.1 to 2.8.5</w:t>
            </w:r>
            <w:r w:rsidRPr="00CF4E2F">
              <w:rPr>
                <w:rFonts w:ascii="Times New Roman" w:eastAsia="Times New Roman" w:hAnsi="Times New Roman" w:cs="Times New Roman"/>
                <w:sz w:val="18"/>
                <w:szCs w:val="18"/>
              </w:rPr>
              <w:t>.</w:t>
            </w:r>
          </w:p>
          <w:p w14:paraId="60B11AB3" w14:textId="77777777" w:rsidR="004C2BB7" w:rsidRPr="0092017F" w:rsidRDefault="004C2BB7" w:rsidP="003A4A78">
            <w:pPr>
              <w:pStyle w:val="TableParagraph"/>
              <w:ind w:left="102"/>
              <w:rPr>
                <w:rFonts w:ascii="Times New Roman"/>
                <w:sz w:val="18"/>
                <w:szCs w:val="18"/>
              </w:rPr>
            </w:pPr>
          </w:p>
        </w:tc>
      </w:tr>
      <w:tr w:rsidR="002509EB" w:rsidRPr="00CF4E2F" w14:paraId="0EB58FFA"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1EB27F1" w14:textId="73F8B44A" w:rsidR="002509EB" w:rsidRPr="00A0201D"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0340</w:t>
            </w:r>
          </w:p>
        </w:tc>
        <w:tc>
          <w:tcPr>
            <w:tcW w:w="7590" w:type="dxa"/>
            <w:tcBorders>
              <w:top w:val="single" w:sz="4" w:space="0" w:color="auto"/>
              <w:left w:val="single" w:sz="4" w:space="0" w:color="auto"/>
              <w:bottom w:val="single" w:sz="4" w:space="0" w:color="auto"/>
              <w:right w:val="single" w:sz="4" w:space="0" w:color="auto"/>
            </w:tcBorders>
          </w:tcPr>
          <w:p w14:paraId="656834E5" w14:textId="6FDB3E23" w:rsidR="002509EB" w:rsidRPr="00A0201D" w:rsidRDefault="00897639" w:rsidP="00A66401">
            <w:pPr>
              <w:pStyle w:val="TableParagraph"/>
              <w:spacing w:before="120"/>
              <w:ind w:left="102"/>
              <w:rPr>
                <w:rFonts w:ascii="Times New Roman"/>
                <w:b/>
                <w:sz w:val="18"/>
                <w:szCs w:val="18"/>
                <w:u w:val="single"/>
              </w:rPr>
            </w:pPr>
            <w:r w:rsidRPr="00A0201D">
              <w:rPr>
                <w:rFonts w:ascii="Times New Roman"/>
                <w:b/>
                <w:sz w:val="18"/>
                <w:szCs w:val="18"/>
                <w:u w:val="single"/>
              </w:rPr>
              <w:t xml:space="preserve">2.8.1 </w:t>
            </w:r>
            <w:r w:rsidR="002509EB" w:rsidRPr="00A0201D">
              <w:rPr>
                <w:rFonts w:ascii="Times New Roman"/>
                <w:b/>
                <w:sz w:val="18"/>
                <w:szCs w:val="18"/>
                <w:u w:val="single"/>
              </w:rPr>
              <w:t>Centralised regulated savings</w:t>
            </w:r>
          </w:p>
          <w:p w14:paraId="69C22834" w14:textId="77777777" w:rsidR="002509EB" w:rsidRPr="0092017F" w:rsidRDefault="002509EB" w:rsidP="003A4A78">
            <w:pPr>
              <w:pStyle w:val="TableParagraph"/>
              <w:ind w:left="102"/>
              <w:rPr>
                <w:rFonts w:ascii="Times New Roman"/>
                <w:sz w:val="18"/>
                <w:szCs w:val="18"/>
              </w:rPr>
            </w:pPr>
          </w:p>
          <w:p w14:paraId="588D4C20" w14:textId="4C88B954"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Pr="00CF4E2F">
              <w:rPr>
                <w:rFonts w:ascii="Times New Roman"/>
                <w:sz w:val="18"/>
                <w:szCs w:val="18"/>
              </w:rPr>
              <w:t xml:space="preserve"> </w:t>
            </w:r>
            <w:r w:rsidR="002509EB" w:rsidRPr="00CF4E2F">
              <w:rPr>
                <w:rFonts w:ascii="Times New Roman"/>
                <w:sz w:val="18"/>
                <w:szCs w:val="18"/>
              </w:rPr>
              <w:t>428f(2)(a) of CRR.</w:t>
            </w:r>
          </w:p>
          <w:p w14:paraId="3FAE3D6B" w14:textId="77777777" w:rsidR="002509EB" w:rsidRPr="00CF4E2F" w:rsidRDefault="002509EB" w:rsidP="003A4A78">
            <w:pPr>
              <w:pStyle w:val="TableParagraph"/>
              <w:ind w:left="102"/>
              <w:rPr>
                <w:rFonts w:ascii="Times New Roman"/>
                <w:sz w:val="18"/>
                <w:szCs w:val="18"/>
              </w:rPr>
            </w:pPr>
          </w:p>
          <w:p w14:paraId="1A770AE3" w14:textId="34364D49"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Liabilities </w:t>
            </w:r>
            <w:r w:rsidR="004C2BB7">
              <w:rPr>
                <w:rFonts w:ascii="Times New Roman"/>
                <w:sz w:val="18"/>
                <w:szCs w:val="18"/>
              </w:rPr>
              <w:t>related</w:t>
            </w:r>
            <w:r w:rsidR="004C2BB7" w:rsidRPr="00CF4E2F">
              <w:rPr>
                <w:rFonts w:ascii="Times New Roman"/>
                <w:sz w:val="18"/>
                <w:szCs w:val="18"/>
              </w:rPr>
              <w:t xml:space="preserve"> </w:t>
            </w:r>
            <w:r w:rsidRPr="00CF4E2F">
              <w:rPr>
                <w:rFonts w:ascii="Times New Roman"/>
                <w:sz w:val="18"/>
                <w:szCs w:val="18"/>
              </w:rPr>
              <w:t xml:space="preserve">to centralized regulated savings </w:t>
            </w:r>
            <w:r w:rsidR="00683CCE">
              <w:rPr>
                <w:rFonts w:ascii="Times New Roman"/>
                <w:sz w:val="18"/>
                <w:szCs w:val="18"/>
              </w:rPr>
              <w:t>that</w:t>
            </w:r>
            <w:r w:rsidRPr="00CF4E2F">
              <w:rPr>
                <w:rFonts w:ascii="Times New Roman"/>
                <w:sz w:val="18"/>
                <w:szCs w:val="18"/>
              </w:rPr>
              <w:t>have been approved by the relevant competent authority to be treated as interdependent with assets in accordance with Art</w:t>
            </w:r>
            <w:r w:rsidR="000702E9">
              <w:rPr>
                <w:rFonts w:ascii="Times New Roman"/>
                <w:sz w:val="18"/>
                <w:szCs w:val="18"/>
              </w:rPr>
              <w:t>icle</w:t>
            </w:r>
            <w:r w:rsidR="000702E9" w:rsidRPr="00CF4E2F">
              <w:rPr>
                <w:rFonts w:ascii="Times New Roman"/>
                <w:sz w:val="18"/>
                <w:szCs w:val="18"/>
              </w:rPr>
              <w:t xml:space="preserve"> </w:t>
            </w:r>
            <w:r w:rsidRPr="00CF4E2F">
              <w:rPr>
                <w:rFonts w:ascii="Times New Roman"/>
                <w:sz w:val="18"/>
                <w:szCs w:val="18"/>
              </w:rPr>
              <w:t>428f(2)(a) of CRR.</w:t>
            </w:r>
          </w:p>
          <w:p w14:paraId="63E97836" w14:textId="77777777" w:rsidR="002509EB" w:rsidRPr="0092017F" w:rsidRDefault="002509EB" w:rsidP="003A4A78">
            <w:pPr>
              <w:pStyle w:val="TableParagraph"/>
              <w:ind w:left="102"/>
              <w:rPr>
                <w:rFonts w:ascii="Times New Roman"/>
                <w:sz w:val="18"/>
                <w:szCs w:val="18"/>
              </w:rPr>
            </w:pPr>
          </w:p>
        </w:tc>
      </w:tr>
      <w:tr w:rsidR="002509EB" w:rsidRPr="00CF4E2F" w14:paraId="1670076C"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66133EC" w14:textId="27297432"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0350</w:t>
            </w:r>
          </w:p>
        </w:tc>
        <w:tc>
          <w:tcPr>
            <w:tcW w:w="7590" w:type="dxa"/>
            <w:tcBorders>
              <w:top w:val="single" w:sz="4" w:space="0" w:color="auto"/>
              <w:left w:val="single" w:sz="4" w:space="0" w:color="auto"/>
              <w:bottom w:val="single" w:sz="4" w:space="0" w:color="auto"/>
              <w:right w:val="single" w:sz="4" w:space="0" w:color="auto"/>
            </w:tcBorders>
          </w:tcPr>
          <w:p w14:paraId="3A11D73A" w14:textId="716E0E4F"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2.8.2 </w:t>
            </w:r>
            <w:r w:rsidR="002509EB" w:rsidRPr="00CF4E2F">
              <w:rPr>
                <w:rFonts w:ascii="Times New Roman"/>
                <w:b/>
                <w:sz w:val="18"/>
                <w:szCs w:val="18"/>
                <w:u w:val="single"/>
              </w:rPr>
              <w:t>Promotional loans and relevant credit and liquidity facilities</w:t>
            </w:r>
          </w:p>
          <w:p w14:paraId="597A9486" w14:textId="77777777" w:rsidR="002509EB" w:rsidRPr="0092017F" w:rsidRDefault="002509EB" w:rsidP="003A4A78">
            <w:pPr>
              <w:pStyle w:val="TableParagraph"/>
              <w:ind w:left="102"/>
              <w:rPr>
                <w:rFonts w:ascii="Times New Roman"/>
                <w:sz w:val="18"/>
                <w:szCs w:val="18"/>
              </w:rPr>
            </w:pPr>
          </w:p>
          <w:p w14:paraId="4EA0CB52" w14:textId="0492B2A5"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Pr="00CF4E2F">
              <w:rPr>
                <w:rFonts w:ascii="Times New Roman"/>
                <w:sz w:val="18"/>
                <w:szCs w:val="18"/>
              </w:rPr>
              <w:t xml:space="preserve"> </w:t>
            </w:r>
            <w:r w:rsidR="002509EB" w:rsidRPr="00CF4E2F">
              <w:rPr>
                <w:rFonts w:ascii="Times New Roman"/>
                <w:sz w:val="18"/>
                <w:szCs w:val="18"/>
              </w:rPr>
              <w:t>428f(2)(b) of CRR.</w:t>
            </w:r>
          </w:p>
          <w:p w14:paraId="09A4DF2F" w14:textId="77777777" w:rsidR="002509EB" w:rsidRPr="00CF4E2F" w:rsidRDefault="002509EB" w:rsidP="003A4A78">
            <w:pPr>
              <w:pStyle w:val="TableParagraph"/>
              <w:ind w:left="102"/>
              <w:rPr>
                <w:rFonts w:ascii="Times New Roman"/>
                <w:sz w:val="18"/>
                <w:szCs w:val="18"/>
              </w:rPr>
            </w:pPr>
          </w:p>
          <w:p w14:paraId="1512D21D" w14:textId="5A6AD8D2"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Liabilities </w:t>
            </w:r>
            <w:r w:rsidR="004C2BB7">
              <w:rPr>
                <w:rFonts w:ascii="Times New Roman"/>
                <w:sz w:val="18"/>
                <w:szCs w:val="18"/>
              </w:rPr>
              <w:t>related</w:t>
            </w:r>
            <w:r w:rsidR="004C2BB7" w:rsidRPr="00CF4E2F">
              <w:rPr>
                <w:rFonts w:ascii="Times New Roman"/>
                <w:sz w:val="18"/>
                <w:szCs w:val="18"/>
              </w:rPr>
              <w:t xml:space="preserve"> </w:t>
            </w:r>
            <w:r w:rsidRPr="00CF4E2F">
              <w:rPr>
                <w:rFonts w:ascii="Times New Roman"/>
                <w:sz w:val="18"/>
                <w:szCs w:val="18"/>
              </w:rPr>
              <w:t>to promotional loans and credit and liquidity facilities that have been approved by the relevant competent authority to be treated as interdependent with assets in accordance with Art</w:t>
            </w:r>
            <w:r w:rsidR="000702E9">
              <w:rPr>
                <w:rFonts w:ascii="Times New Roman"/>
                <w:sz w:val="18"/>
                <w:szCs w:val="18"/>
              </w:rPr>
              <w:t>icle</w:t>
            </w:r>
            <w:r w:rsidRPr="00CF4E2F">
              <w:rPr>
                <w:rFonts w:ascii="Times New Roman"/>
                <w:sz w:val="18"/>
                <w:szCs w:val="18"/>
              </w:rPr>
              <w:t xml:space="preserve"> 428f(2)(b) of CRR.</w:t>
            </w:r>
          </w:p>
          <w:p w14:paraId="0E135351" w14:textId="77777777" w:rsidR="002509EB" w:rsidRPr="0092017F" w:rsidRDefault="002509EB" w:rsidP="003A4A78">
            <w:pPr>
              <w:pStyle w:val="TableParagraph"/>
              <w:ind w:left="102"/>
              <w:rPr>
                <w:rFonts w:ascii="Times New Roman"/>
                <w:sz w:val="18"/>
                <w:szCs w:val="18"/>
              </w:rPr>
            </w:pPr>
          </w:p>
        </w:tc>
      </w:tr>
      <w:tr w:rsidR="002509EB" w:rsidRPr="00CF4E2F" w14:paraId="7C51D947"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2D9682A" w14:textId="7C5B58A2"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0360</w:t>
            </w:r>
          </w:p>
        </w:tc>
        <w:tc>
          <w:tcPr>
            <w:tcW w:w="7590" w:type="dxa"/>
            <w:tcBorders>
              <w:top w:val="single" w:sz="4" w:space="0" w:color="auto"/>
              <w:left w:val="single" w:sz="4" w:space="0" w:color="auto"/>
              <w:bottom w:val="single" w:sz="4" w:space="0" w:color="auto"/>
              <w:right w:val="single" w:sz="4" w:space="0" w:color="auto"/>
            </w:tcBorders>
          </w:tcPr>
          <w:p w14:paraId="497DFA5C" w14:textId="367DAB99"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2.8.3 </w:t>
            </w:r>
            <w:r w:rsidR="002509EB" w:rsidRPr="00CF4E2F">
              <w:rPr>
                <w:rFonts w:ascii="Times New Roman"/>
                <w:b/>
                <w:sz w:val="18"/>
                <w:szCs w:val="18"/>
                <w:u w:val="single"/>
              </w:rPr>
              <w:t>Eligible covered bonds</w:t>
            </w:r>
          </w:p>
          <w:p w14:paraId="00FA72DE" w14:textId="77777777" w:rsidR="002509EB" w:rsidRPr="0092017F" w:rsidRDefault="002509EB" w:rsidP="003A4A78">
            <w:pPr>
              <w:pStyle w:val="TableParagraph"/>
              <w:ind w:left="102"/>
              <w:rPr>
                <w:rFonts w:ascii="Times New Roman"/>
                <w:sz w:val="18"/>
                <w:szCs w:val="18"/>
              </w:rPr>
            </w:pPr>
          </w:p>
          <w:p w14:paraId="23156127" w14:textId="56610D4A"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428f(2)(c) of CRR.</w:t>
            </w:r>
          </w:p>
          <w:p w14:paraId="063CD8FC" w14:textId="77777777" w:rsidR="002509EB" w:rsidRPr="00CF4E2F" w:rsidRDefault="002509EB" w:rsidP="003A4A78">
            <w:pPr>
              <w:pStyle w:val="TableParagraph"/>
              <w:ind w:left="102"/>
              <w:rPr>
                <w:rFonts w:ascii="Times New Roman"/>
                <w:sz w:val="18"/>
                <w:szCs w:val="18"/>
              </w:rPr>
            </w:pPr>
          </w:p>
          <w:p w14:paraId="675CE2EB" w14:textId="24C0BAB4"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Liabilities </w:t>
            </w:r>
            <w:r w:rsidR="004C2BB7">
              <w:rPr>
                <w:rFonts w:ascii="Times New Roman"/>
                <w:sz w:val="18"/>
                <w:szCs w:val="18"/>
              </w:rPr>
              <w:t>related</w:t>
            </w:r>
            <w:r w:rsidR="004C2BB7" w:rsidRPr="00CF4E2F">
              <w:rPr>
                <w:rFonts w:ascii="Times New Roman"/>
                <w:sz w:val="18"/>
                <w:szCs w:val="18"/>
              </w:rPr>
              <w:t xml:space="preserve"> </w:t>
            </w:r>
            <w:r w:rsidRPr="00CF4E2F">
              <w:rPr>
                <w:rFonts w:ascii="Times New Roman"/>
                <w:sz w:val="18"/>
                <w:szCs w:val="18"/>
              </w:rPr>
              <w:t>to covered bonds that have been approved by the relevant competent authority to be treated as interdependent with assets in accordance with Art</w:t>
            </w:r>
            <w:r w:rsidR="00B857A1">
              <w:rPr>
                <w:rFonts w:ascii="Times New Roman"/>
                <w:sz w:val="18"/>
                <w:szCs w:val="18"/>
              </w:rPr>
              <w:t>icle</w:t>
            </w:r>
            <w:r w:rsidRPr="00CF4E2F">
              <w:rPr>
                <w:rFonts w:ascii="Times New Roman"/>
                <w:sz w:val="18"/>
                <w:szCs w:val="18"/>
              </w:rPr>
              <w:t xml:space="preserve"> 428f(2)(c) of CRR.</w:t>
            </w:r>
          </w:p>
          <w:p w14:paraId="717A4FBC" w14:textId="77777777" w:rsidR="002509EB" w:rsidRPr="0092017F" w:rsidRDefault="002509EB" w:rsidP="003A4A78">
            <w:pPr>
              <w:pStyle w:val="TableParagraph"/>
              <w:ind w:left="102"/>
              <w:rPr>
                <w:rFonts w:ascii="Times New Roman"/>
                <w:sz w:val="18"/>
                <w:szCs w:val="18"/>
              </w:rPr>
            </w:pPr>
          </w:p>
        </w:tc>
      </w:tr>
      <w:tr w:rsidR="002509EB" w:rsidRPr="00CF4E2F" w14:paraId="42F8D5C4"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6B096DE7" w14:textId="57644113"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0370</w:t>
            </w:r>
          </w:p>
        </w:tc>
        <w:tc>
          <w:tcPr>
            <w:tcW w:w="7590" w:type="dxa"/>
            <w:tcBorders>
              <w:top w:val="single" w:sz="4" w:space="0" w:color="auto"/>
              <w:left w:val="single" w:sz="4" w:space="0" w:color="auto"/>
              <w:bottom w:val="single" w:sz="4" w:space="0" w:color="auto"/>
              <w:right w:val="single" w:sz="4" w:space="0" w:color="auto"/>
            </w:tcBorders>
          </w:tcPr>
          <w:p w14:paraId="63CA3386" w14:textId="420F027F"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2.8.4 </w:t>
            </w:r>
            <w:r w:rsidR="002509EB" w:rsidRPr="00CF4E2F">
              <w:rPr>
                <w:rFonts w:ascii="Times New Roman"/>
                <w:b/>
                <w:sz w:val="18"/>
                <w:szCs w:val="18"/>
                <w:u w:val="single"/>
              </w:rPr>
              <w:t>Derivatives client clearing activities</w:t>
            </w:r>
          </w:p>
          <w:p w14:paraId="5F277837" w14:textId="77777777" w:rsidR="002509EB" w:rsidRPr="0092017F" w:rsidRDefault="002509EB" w:rsidP="003A4A78">
            <w:pPr>
              <w:pStyle w:val="TableParagraph"/>
              <w:ind w:left="102"/>
              <w:rPr>
                <w:rFonts w:ascii="Times New Roman"/>
                <w:sz w:val="18"/>
                <w:szCs w:val="18"/>
              </w:rPr>
            </w:pPr>
          </w:p>
          <w:p w14:paraId="083BBC56" w14:textId="48551272"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428f(2)(d) of CRR.</w:t>
            </w:r>
          </w:p>
          <w:p w14:paraId="76B4E75C" w14:textId="77777777" w:rsidR="002509EB" w:rsidRPr="00CF4E2F" w:rsidRDefault="002509EB" w:rsidP="003A4A78">
            <w:pPr>
              <w:pStyle w:val="TableParagraph"/>
              <w:ind w:left="102"/>
              <w:rPr>
                <w:rFonts w:ascii="Times New Roman"/>
                <w:sz w:val="18"/>
                <w:szCs w:val="18"/>
              </w:rPr>
            </w:pPr>
          </w:p>
          <w:p w14:paraId="151CB680" w14:textId="53E588D4"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Liabilities </w:t>
            </w:r>
            <w:r w:rsidR="004C2BB7">
              <w:rPr>
                <w:rFonts w:ascii="Times New Roman"/>
                <w:sz w:val="18"/>
                <w:szCs w:val="18"/>
              </w:rPr>
              <w:t>related</w:t>
            </w:r>
            <w:r w:rsidR="004C2BB7" w:rsidRPr="00CF4E2F">
              <w:rPr>
                <w:rFonts w:ascii="Times New Roman"/>
                <w:sz w:val="18"/>
                <w:szCs w:val="18"/>
              </w:rPr>
              <w:t xml:space="preserve"> </w:t>
            </w:r>
            <w:r w:rsidRPr="00CF4E2F">
              <w:rPr>
                <w:rFonts w:ascii="Times New Roman"/>
                <w:sz w:val="18"/>
                <w:szCs w:val="18"/>
              </w:rPr>
              <w:t>to derivatives client clearing activities that have been approved by the relevant competent authority to be treated as interdependent with assets in accordance with Art</w:t>
            </w:r>
            <w:r w:rsidR="000702E9">
              <w:rPr>
                <w:rFonts w:ascii="Times New Roman"/>
                <w:sz w:val="18"/>
                <w:szCs w:val="18"/>
              </w:rPr>
              <w:t>icle</w:t>
            </w:r>
            <w:r w:rsidR="000702E9" w:rsidRPr="00CF4E2F">
              <w:rPr>
                <w:rFonts w:ascii="Times New Roman"/>
                <w:sz w:val="18"/>
                <w:szCs w:val="18"/>
              </w:rPr>
              <w:t xml:space="preserve"> </w:t>
            </w:r>
            <w:r w:rsidRPr="00CF4E2F">
              <w:rPr>
                <w:rFonts w:ascii="Times New Roman"/>
                <w:sz w:val="18"/>
                <w:szCs w:val="18"/>
              </w:rPr>
              <w:t>428f(2)(d) of CRR.</w:t>
            </w:r>
          </w:p>
          <w:p w14:paraId="09920C91" w14:textId="77777777" w:rsidR="002509EB" w:rsidRPr="0092017F" w:rsidRDefault="002509EB" w:rsidP="003A4A78">
            <w:pPr>
              <w:pStyle w:val="TableParagraph"/>
              <w:ind w:left="102"/>
              <w:rPr>
                <w:rFonts w:ascii="Times New Roman"/>
                <w:sz w:val="18"/>
                <w:szCs w:val="18"/>
              </w:rPr>
            </w:pPr>
          </w:p>
        </w:tc>
      </w:tr>
      <w:tr w:rsidR="002509EB" w:rsidRPr="00CF4E2F" w14:paraId="41CE1930"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5F2D97CB" w14:textId="3C216A6B"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0380</w:t>
            </w:r>
          </w:p>
        </w:tc>
        <w:tc>
          <w:tcPr>
            <w:tcW w:w="7590" w:type="dxa"/>
            <w:tcBorders>
              <w:top w:val="single" w:sz="4" w:space="0" w:color="auto"/>
              <w:left w:val="single" w:sz="4" w:space="0" w:color="auto"/>
              <w:bottom w:val="single" w:sz="4" w:space="0" w:color="auto"/>
              <w:right w:val="single" w:sz="4" w:space="0" w:color="auto"/>
            </w:tcBorders>
          </w:tcPr>
          <w:p w14:paraId="73252D8B" w14:textId="2AF3FBA6"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2.8.5 </w:t>
            </w:r>
            <w:r w:rsidR="002509EB" w:rsidRPr="00CF4E2F">
              <w:rPr>
                <w:rFonts w:ascii="Times New Roman"/>
                <w:b/>
                <w:sz w:val="18"/>
                <w:szCs w:val="18"/>
                <w:u w:val="single"/>
              </w:rPr>
              <w:t>Others</w:t>
            </w:r>
          </w:p>
          <w:p w14:paraId="745135CA" w14:textId="77777777" w:rsidR="002509EB" w:rsidRPr="0092017F" w:rsidRDefault="002509EB" w:rsidP="003A4A78">
            <w:pPr>
              <w:pStyle w:val="TableParagraph"/>
              <w:ind w:left="102"/>
              <w:rPr>
                <w:rFonts w:ascii="Times New Roman"/>
                <w:sz w:val="18"/>
                <w:szCs w:val="18"/>
              </w:rPr>
            </w:pPr>
          </w:p>
          <w:p w14:paraId="6A896FCE" w14:textId="4102C5FB" w:rsidR="002509EB" w:rsidRPr="00CF4E2F" w:rsidRDefault="002509EB" w:rsidP="003A4A78">
            <w:pPr>
              <w:pStyle w:val="TableParagraph"/>
              <w:ind w:left="102"/>
              <w:rPr>
                <w:rFonts w:ascii="Times New Roman"/>
                <w:b/>
                <w:sz w:val="18"/>
                <w:szCs w:val="18"/>
                <w:u w:val="single"/>
              </w:rPr>
            </w:pPr>
            <w:r w:rsidRPr="00CF4E2F">
              <w:rPr>
                <w:rFonts w:ascii="Times New Roman"/>
                <w:sz w:val="18"/>
                <w:szCs w:val="18"/>
              </w:rPr>
              <w:t>Art</w:t>
            </w:r>
            <w:r w:rsidR="000702E9">
              <w:rPr>
                <w:rFonts w:ascii="Times New Roman"/>
                <w:sz w:val="18"/>
                <w:szCs w:val="18"/>
              </w:rPr>
              <w:t>icle</w:t>
            </w:r>
            <w:r w:rsidR="000702E9" w:rsidRPr="00CF4E2F">
              <w:rPr>
                <w:rFonts w:ascii="Times New Roman"/>
                <w:sz w:val="18"/>
                <w:szCs w:val="18"/>
              </w:rPr>
              <w:t xml:space="preserve"> </w:t>
            </w:r>
            <w:r w:rsidRPr="00CF4E2F">
              <w:rPr>
                <w:rFonts w:ascii="Times New Roman"/>
                <w:sz w:val="18"/>
                <w:szCs w:val="18"/>
              </w:rPr>
              <w:t>428f(1) of CRR.</w:t>
            </w:r>
          </w:p>
          <w:p w14:paraId="3593218E" w14:textId="77777777" w:rsidR="002509EB" w:rsidRPr="0092017F" w:rsidRDefault="002509EB" w:rsidP="003A4A78">
            <w:pPr>
              <w:pStyle w:val="TableParagraph"/>
              <w:ind w:left="102"/>
              <w:rPr>
                <w:rFonts w:ascii="Times New Roman"/>
                <w:sz w:val="18"/>
                <w:szCs w:val="18"/>
              </w:rPr>
            </w:pPr>
          </w:p>
          <w:p w14:paraId="687B17C1" w14:textId="34576F12" w:rsidR="002509EB" w:rsidRPr="00CF4E2F" w:rsidRDefault="002509EB" w:rsidP="003A4A78">
            <w:pPr>
              <w:pStyle w:val="TableParagraph"/>
              <w:ind w:left="102"/>
              <w:rPr>
                <w:rFonts w:ascii="Times New Roman"/>
                <w:sz w:val="18"/>
                <w:szCs w:val="18"/>
              </w:rPr>
            </w:pPr>
            <w:r w:rsidRPr="00CF4E2F">
              <w:rPr>
                <w:rFonts w:ascii="Times New Roman"/>
                <w:sz w:val="18"/>
                <w:szCs w:val="18"/>
              </w:rPr>
              <w:t>Liabilities that fulfil all the conditions established in Article 428f(1) of CRR and that have been approved by the relevant competent authority to be treated as interdependent with assets in accordance with Art</w:t>
            </w:r>
            <w:r w:rsidR="000702E9">
              <w:rPr>
                <w:rFonts w:ascii="Times New Roman"/>
                <w:sz w:val="18"/>
                <w:szCs w:val="18"/>
              </w:rPr>
              <w:t>icle</w:t>
            </w:r>
            <w:r w:rsidR="000702E9" w:rsidRPr="00CF4E2F">
              <w:rPr>
                <w:rFonts w:ascii="Times New Roman"/>
                <w:sz w:val="18"/>
                <w:szCs w:val="18"/>
              </w:rPr>
              <w:t xml:space="preserve"> </w:t>
            </w:r>
            <w:r w:rsidRPr="00CF4E2F">
              <w:rPr>
                <w:rFonts w:ascii="Times New Roman"/>
                <w:sz w:val="18"/>
                <w:szCs w:val="18"/>
              </w:rPr>
              <w:t>428f(1) of CRR.</w:t>
            </w:r>
          </w:p>
          <w:p w14:paraId="554B38C7" w14:textId="77777777" w:rsidR="002509EB" w:rsidRPr="00CF4E2F" w:rsidRDefault="002509EB" w:rsidP="003A4A78">
            <w:pPr>
              <w:pStyle w:val="TableParagraph"/>
              <w:ind w:left="102"/>
              <w:rPr>
                <w:rFonts w:ascii="Times New Roman"/>
                <w:b/>
                <w:sz w:val="18"/>
                <w:szCs w:val="18"/>
                <w:u w:val="single"/>
              </w:rPr>
            </w:pPr>
          </w:p>
        </w:tc>
      </w:tr>
      <w:tr w:rsidR="002509EB" w:rsidRPr="00CF4E2F" w14:paraId="48FBC325"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1AA919AF" w14:textId="68FC4FA7" w:rsidR="002509EB" w:rsidRPr="00A0201D" w:rsidRDefault="00897639" w:rsidP="003A4A78">
            <w:pPr>
              <w:pStyle w:val="TableParagraph"/>
              <w:spacing w:before="118"/>
              <w:ind w:left="57" w:right="96"/>
              <w:jc w:val="both"/>
              <w:rPr>
                <w:rFonts w:ascii="Times New Roman" w:eastAsia="Times New Roman" w:hAnsi="Times New Roman" w:cs="Times New Roman"/>
                <w:sz w:val="18"/>
                <w:szCs w:val="18"/>
              </w:rPr>
            </w:pPr>
            <w:r w:rsidRPr="00A0201D">
              <w:rPr>
                <w:rFonts w:ascii="Times New Roman" w:eastAsia="Times New Roman" w:hAnsi="Times New Roman" w:cs="Times New Roman"/>
                <w:sz w:val="18"/>
                <w:szCs w:val="18"/>
              </w:rPr>
              <w:t>0390</w:t>
            </w:r>
          </w:p>
        </w:tc>
        <w:tc>
          <w:tcPr>
            <w:tcW w:w="7590" w:type="dxa"/>
            <w:tcBorders>
              <w:top w:val="single" w:sz="4" w:space="0" w:color="auto"/>
              <w:left w:val="single" w:sz="4" w:space="0" w:color="auto"/>
              <w:bottom w:val="single" w:sz="4" w:space="0" w:color="auto"/>
              <w:right w:val="single" w:sz="4" w:space="0" w:color="auto"/>
            </w:tcBorders>
          </w:tcPr>
          <w:p w14:paraId="644B20D8" w14:textId="0079659F" w:rsidR="002509EB" w:rsidRPr="00CF4E2F" w:rsidRDefault="00897639" w:rsidP="00A66401">
            <w:pPr>
              <w:pStyle w:val="TableParagraph"/>
              <w:spacing w:before="120"/>
              <w:ind w:left="102"/>
              <w:rPr>
                <w:rFonts w:ascii="Times New Roman"/>
                <w:b/>
                <w:sz w:val="18"/>
                <w:szCs w:val="18"/>
                <w:u w:val="single"/>
              </w:rPr>
            </w:pPr>
            <w:r w:rsidRPr="00A0201D">
              <w:rPr>
                <w:rFonts w:ascii="Times New Roman"/>
                <w:b/>
                <w:sz w:val="18"/>
                <w:szCs w:val="18"/>
                <w:u w:val="single"/>
              </w:rPr>
              <w:t xml:space="preserve">2.9 </w:t>
            </w:r>
            <w:r w:rsidR="002509EB" w:rsidRPr="00A0201D">
              <w:rPr>
                <w:rFonts w:ascii="Times New Roman"/>
                <w:b/>
                <w:sz w:val="18"/>
                <w:szCs w:val="18"/>
                <w:u w:val="single"/>
              </w:rPr>
              <w:t xml:space="preserve">ASF from other liabilities </w:t>
            </w:r>
          </w:p>
          <w:p w14:paraId="4C3C481F" w14:textId="158F3F96" w:rsidR="00897639" w:rsidRPr="00CF4E2F" w:rsidRDefault="00897639" w:rsidP="00A66401">
            <w:pPr>
              <w:pStyle w:val="TableParagraph"/>
              <w:spacing w:before="120"/>
              <w:ind w:left="102"/>
              <w:rPr>
                <w:rFonts w:ascii="Times New Roman"/>
                <w:b/>
                <w:sz w:val="18"/>
                <w:szCs w:val="18"/>
                <w:u w:val="single"/>
              </w:rPr>
            </w:pPr>
            <w:r w:rsidRPr="00CF4E2F">
              <w:rPr>
                <w:rFonts w:ascii="Times New Roman" w:eastAsia="Times New Roman" w:hAnsi="Times New Roman" w:cs="Times New Roman"/>
                <w:sz w:val="18"/>
                <w:szCs w:val="18"/>
              </w:rPr>
              <w:t>Institutions shall report here the sum of items 2.9.1 to 2.9.4.</w:t>
            </w:r>
          </w:p>
          <w:p w14:paraId="3137E93E" w14:textId="77777777" w:rsidR="002509EB" w:rsidRPr="0092017F" w:rsidRDefault="002509EB" w:rsidP="0092017F">
            <w:pPr>
              <w:pStyle w:val="TableParagraph"/>
              <w:ind w:left="102"/>
              <w:rPr>
                <w:rFonts w:ascii="Times New Roman"/>
                <w:sz w:val="18"/>
                <w:szCs w:val="18"/>
              </w:rPr>
            </w:pPr>
          </w:p>
        </w:tc>
      </w:tr>
      <w:tr w:rsidR="002509EB" w:rsidRPr="00CF4E2F" w14:paraId="23944E66"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D7A3130" w14:textId="3288B021"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0400</w:t>
            </w:r>
          </w:p>
        </w:tc>
        <w:tc>
          <w:tcPr>
            <w:tcW w:w="7590" w:type="dxa"/>
            <w:tcBorders>
              <w:top w:val="single" w:sz="4" w:space="0" w:color="auto"/>
              <w:left w:val="single" w:sz="4" w:space="0" w:color="auto"/>
              <w:bottom w:val="single" w:sz="4" w:space="0" w:color="auto"/>
              <w:right w:val="single" w:sz="4" w:space="0" w:color="auto"/>
            </w:tcBorders>
          </w:tcPr>
          <w:p w14:paraId="53BDFAF8" w14:textId="1EF82130"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2.9.1 </w:t>
            </w:r>
            <w:r w:rsidR="002509EB" w:rsidRPr="00CF4E2F">
              <w:rPr>
                <w:rFonts w:ascii="Times New Roman"/>
                <w:b/>
                <w:sz w:val="18"/>
                <w:szCs w:val="18"/>
                <w:u w:val="single"/>
              </w:rPr>
              <w:t>Trade date payables</w:t>
            </w:r>
          </w:p>
          <w:p w14:paraId="3A51D1BD" w14:textId="77777777" w:rsidR="002509EB" w:rsidRPr="0092017F" w:rsidRDefault="002509EB" w:rsidP="003A4A78">
            <w:pPr>
              <w:pStyle w:val="TableParagraph"/>
              <w:ind w:left="102"/>
              <w:rPr>
                <w:rFonts w:ascii="Times New Roman"/>
                <w:sz w:val="18"/>
                <w:szCs w:val="18"/>
              </w:rPr>
            </w:pPr>
          </w:p>
          <w:p w14:paraId="6FE80ABC" w14:textId="2C43DF83"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Pr="00CF4E2F">
              <w:rPr>
                <w:rFonts w:ascii="Times New Roman"/>
                <w:sz w:val="18"/>
                <w:szCs w:val="18"/>
              </w:rPr>
              <w:t xml:space="preserve"> </w:t>
            </w:r>
            <w:r w:rsidR="00CC2331">
              <w:rPr>
                <w:rFonts w:ascii="Times New Roman"/>
                <w:sz w:val="18"/>
                <w:szCs w:val="18"/>
              </w:rPr>
              <w:t>428k(3)</w:t>
            </w:r>
            <w:r w:rsidR="002509EB" w:rsidRPr="00CF4E2F">
              <w:rPr>
                <w:rFonts w:ascii="Times New Roman"/>
                <w:sz w:val="18"/>
                <w:szCs w:val="18"/>
              </w:rPr>
              <w:t>(a) of CRR.</w:t>
            </w:r>
          </w:p>
          <w:p w14:paraId="33F0CEA6" w14:textId="77777777" w:rsidR="002509EB" w:rsidRPr="00CF4E2F" w:rsidRDefault="002509EB" w:rsidP="003A4A78">
            <w:pPr>
              <w:pStyle w:val="TableParagraph"/>
              <w:ind w:left="102"/>
              <w:rPr>
                <w:rFonts w:ascii="Times New Roman"/>
                <w:sz w:val="18"/>
                <w:szCs w:val="18"/>
              </w:rPr>
            </w:pPr>
          </w:p>
          <w:p w14:paraId="383495FD" w14:textId="39028825" w:rsidR="002509EB" w:rsidRPr="00CF4E2F" w:rsidRDefault="005C38A4" w:rsidP="003A4A78">
            <w:pPr>
              <w:pStyle w:val="TableParagraph"/>
              <w:ind w:left="102"/>
              <w:rPr>
                <w:rFonts w:ascii="Times New Roman"/>
                <w:sz w:val="18"/>
                <w:szCs w:val="18"/>
              </w:rPr>
            </w:pPr>
            <w:r>
              <w:rPr>
                <w:rFonts w:ascii="Times New Roman"/>
                <w:sz w:val="18"/>
                <w:szCs w:val="18"/>
              </w:rPr>
              <w:t>Institutions shall report here t</w:t>
            </w:r>
            <w:r w:rsidR="002509EB" w:rsidRPr="00CF4E2F">
              <w:rPr>
                <w:rFonts w:ascii="Times New Roman"/>
                <w:sz w:val="18"/>
                <w:szCs w:val="18"/>
              </w:rPr>
              <w:t>rade date payables arising from purchases of financial instruments, foreign currencies and commodities that are expected to settle within the standard settlement cycle or period that is customary for the relevant exchange or type of transactions or that have failed to, but are still expected to settle.</w:t>
            </w:r>
          </w:p>
          <w:p w14:paraId="546AE306" w14:textId="77777777" w:rsidR="002509EB" w:rsidRPr="00CF4E2F" w:rsidRDefault="002509EB" w:rsidP="003A4A78">
            <w:pPr>
              <w:pStyle w:val="TableParagraph"/>
              <w:ind w:left="102"/>
              <w:rPr>
                <w:rFonts w:ascii="Times New Roman"/>
                <w:b/>
                <w:sz w:val="18"/>
                <w:szCs w:val="18"/>
                <w:u w:val="single"/>
              </w:rPr>
            </w:pPr>
          </w:p>
        </w:tc>
      </w:tr>
      <w:tr w:rsidR="002509EB" w:rsidRPr="00CF4E2F" w14:paraId="4CEEF7B2"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B906424" w14:textId="40D9C27F"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0410</w:t>
            </w:r>
          </w:p>
        </w:tc>
        <w:tc>
          <w:tcPr>
            <w:tcW w:w="7590" w:type="dxa"/>
            <w:tcBorders>
              <w:top w:val="single" w:sz="4" w:space="0" w:color="auto"/>
              <w:left w:val="single" w:sz="4" w:space="0" w:color="auto"/>
              <w:bottom w:val="single" w:sz="4" w:space="0" w:color="auto"/>
              <w:right w:val="single" w:sz="4" w:space="0" w:color="auto"/>
            </w:tcBorders>
          </w:tcPr>
          <w:p w14:paraId="3D5E7EB0" w14:textId="307CBC63"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2.9.2 </w:t>
            </w:r>
            <w:r w:rsidR="002509EB" w:rsidRPr="00CF4E2F">
              <w:rPr>
                <w:rFonts w:ascii="Times New Roman"/>
                <w:b/>
                <w:sz w:val="18"/>
                <w:szCs w:val="18"/>
                <w:u w:val="single"/>
              </w:rPr>
              <w:t xml:space="preserve">Deferred tax </w:t>
            </w:r>
            <w:r w:rsidR="000702E9" w:rsidRPr="00CF4E2F">
              <w:rPr>
                <w:rFonts w:ascii="Times New Roman"/>
                <w:b/>
                <w:sz w:val="18"/>
                <w:szCs w:val="18"/>
                <w:u w:val="single"/>
              </w:rPr>
              <w:t>liabilities</w:t>
            </w:r>
          </w:p>
          <w:p w14:paraId="6D2EF5F5" w14:textId="77777777" w:rsidR="002509EB" w:rsidRPr="0092017F" w:rsidRDefault="002509EB" w:rsidP="003A4A78">
            <w:pPr>
              <w:pStyle w:val="TableParagraph"/>
              <w:ind w:left="102"/>
              <w:rPr>
                <w:rFonts w:ascii="Times New Roman"/>
                <w:sz w:val="18"/>
                <w:szCs w:val="18"/>
              </w:rPr>
            </w:pPr>
          </w:p>
          <w:p w14:paraId="3D9EB7E8" w14:textId="0B41FE41"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428k(1)(a) of CRR.</w:t>
            </w:r>
          </w:p>
          <w:p w14:paraId="0D021B85" w14:textId="77777777" w:rsidR="002509EB" w:rsidRPr="00CF4E2F" w:rsidRDefault="002509EB" w:rsidP="003A4A78">
            <w:pPr>
              <w:pStyle w:val="TableParagraph"/>
              <w:ind w:left="102"/>
              <w:rPr>
                <w:rFonts w:ascii="Times New Roman"/>
                <w:sz w:val="18"/>
                <w:szCs w:val="18"/>
              </w:rPr>
            </w:pPr>
          </w:p>
          <w:p w14:paraId="24E687CC" w14:textId="2B494ED7"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Institution shall report here deferred tax liabilities and </w:t>
            </w:r>
            <w:r w:rsidR="005C38A4">
              <w:rPr>
                <w:rFonts w:ascii="Times New Roman"/>
                <w:sz w:val="18"/>
                <w:szCs w:val="18"/>
              </w:rPr>
              <w:t xml:space="preserve">shall </w:t>
            </w:r>
            <w:r w:rsidRPr="00CF4E2F">
              <w:rPr>
                <w:rFonts w:ascii="Times New Roman"/>
                <w:sz w:val="18"/>
                <w:szCs w:val="18"/>
              </w:rPr>
              <w:t>consider the nearest possible date on which their amount can be realised as residual maturity.</w:t>
            </w:r>
          </w:p>
          <w:p w14:paraId="3AF465B7" w14:textId="77777777" w:rsidR="002509EB" w:rsidRPr="0092017F" w:rsidRDefault="002509EB" w:rsidP="003A4A78">
            <w:pPr>
              <w:pStyle w:val="TableParagraph"/>
              <w:ind w:left="102"/>
              <w:rPr>
                <w:rFonts w:ascii="Times New Roman"/>
                <w:sz w:val="18"/>
                <w:szCs w:val="18"/>
              </w:rPr>
            </w:pPr>
          </w:p>
        </w:tc>
      </w:tr>
      <w:tr w:rsidR="002509EB" w:rsidRPr="00CF4E2F" w14:paraId="5AF4D35A"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06A135D1" w14:textId="7D075A2D"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0420</w:t>
            </w:r>
          </w:p>
        </w:tc>
        <w:tc>
          <w:tcPr>
            <w:tcW w:w="7590" w:type="dxa"/>
            <w:tcBorders>
              <w:top w:val="single" w:sz="4" w:space="0" w:color="auto"/>
              <w:left w:val="single" w:sz="4" w:space="0" w:color="auto"/>
              <w:bottom w:val="single" w:sz="4" w:space="0" w:color="auto"/>
              <w:right w:val="single" w:sz="4" w:space="0" w:color="auto"/>
            </w:tcBorders>
          </w:tcPr>
          <w:p w14:paraId="719A57B5" w14:textId="761D7055"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2.9.3 </w:t>
            </w:r>
            <w:r w:rsidR="002509EB" w:rsidRPr="00CF4E2F">
              <w:rPr>
                <w:rFonts w:ascii="Times New Roman"/>
                <w:b/>
                <w:sz w:val="18"/>
                <w:szCs w:val="18"/>
                <w:u w:val="single"/>
              </w:rPr>
              <w:t>Minority interests</w:t>
            </w:r>
          </w:p>
          <w:p w14:paraId="4923B137" w14:textId="77777777" w:rsidR="002509EB" w:rsidRPr="0092017F" w:rsidRDefault="002509EB" w:rsidP="003A4A78">
            <w:pPr>
              <w:pStyle w:val="TableParagraph"/>
              <w:ind w:left="102"/>
              <w:rPr>
                <w:rFonts w:ascii="Times New Roman"/>
                <w:sz w:val="18"/>
                <w:szCs w:val="18"/>
              </w:rPr>
            </w:pPr>
          </w:p>
          <w:p w14:paraId="79526B8F" w14:textId="0C46706C"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w:t>
            </w:r>
            <w:r w:rsidR="002509EB" w:rsidRPr="00CF4E2F">
              <w:rPr>
                <w:rFonts w:ascii="Times New Roman"/>
                <w:sz w:val="18"/>
                <w:szCs w:val="18"/>
              </w:rPr>
              <w:t xml:space="preserve"> 428k(1)(b) of CRR.</w:t>
            </w:r>
          </w:p>
          <w:p w14:paraId="69F55252" w14:textId="77777777" w:rsidR="002509EB" w:rsidRPr="00CF4E2F" w:rsidRDefault="002509EB" w:rsidP="003A4A78">
            <w:pPr>
              <w:pStyle w:val="TableParagraph"/>
              <w:ind w:left="102"/>
              <w:rPr>
                <w:rFonts w:ascii="Times New Roman"/>
                <w:sz w:val="18"/>
                <w:szCs w:val="18"/>
              </w:rPr>
            </w:pPr>
          </w:p>
          <w:p w14:paraId="0363F9EC" w14:textId="36624EEB" w:rsidR="002509EB" w:rsidRPr="00CF4E2F" w:rsidRDefault="002509EB" w:rsidP="003A4A78">
            <w:pPr>
              <w:pStyle w:val="TableParagraph"/>
              <w:ind w:left="102"/>
              <w:rPr>
                <w:rFonts w:ascii="Times New Roman"/>
                <w:sz w:val="18"/>
                <w:szCs w:val="18"/>
              </w:rPr>
            </w:pPr>
            <w:r w:rsidRPr="00CF4E2F">
              <w:rPr>
                <w:rFonts w:ascii="Times New Roman"/>
                <w:sz w:val="18"/>
                <w:szCs w:val="18"/>
              </w:rPr>
              <w:t xml:space="preserve">Institution shall report here minority interests and </w:t>
            </w:r>
            <w:r w:rsidR="005C38A4">
              <w:rPr>
                <w:rFonts w:ascii="Times New Roman"/>
                <w:sz w:val="18"/>
                <w:szCs w:val="18"/>
              </w:rPr>
              <w:t xml:space="preserve">shall </w:t>
            </w:r>
            <w:r w:rsidRPr="00CF4E2F">
              <w:rPr>
                <w:rFonts w:ascii="Times New Roman"/>
                <w:sz w:val="18"/>
                <w:szCs w:val="18"/>
              </w:rPr>
              <w:t>consider the term of the instrument as residual maturity.</w:t>
            </w:r>
          </w:p>
          <w:p w14:paraId="2D7775F4" w14:textId="77777777" w:rsidR="002509EB" w:rsidRPr="0092017F" w:rsidRDefault="002509EB" w:rsidP="003A4A78">
            <w:pPr>
              <w:pStyle w:val="TableParagraph"/>
              <w:ind w:left="102"/>
              <w:rPr>
                <w:rFonts w:ascii="Times New Roman"/>
                <w:sz w:val="18"/>
                <w:szCs w:val="18"/>
              </w:rPr>
            </w:pPr>
          </w:p>
        </w:tc>
      </w:tr>
      <w:tr w:rsidR="002509EB" w:rsidRPr="00CF4E2F" w14:paraId="756819D3" w14:textId="77777777" w:rsidTr="003A4A78">
        <w:trPr>
          <w:trHeight w:val="304"/>
        </w:trPr>
        <w:tc>
          <w:tcPr>
            <w:tcW w:w="1418" w:type="dxa"/>
            <w:tcBorders>
              <w:top w:val="single" w:sz="4" w:space="0" w:color="auto"/>
              <w:left w:val="single" w:sz="4" w:space="0" w:color="auto"/>
              <w:bottom w:val="single" w:sz="4" w:space="0" w:color="auto"/>
              <w:right w:val="single" w:sz="4" w:space="0" w:color="auto"/>
            </w:tcBorders>
          </w:tcPr>
          <w:p w14:paraId="7D5D08FF" w14:textId="1E1B5A99" w:rsidR="002509EB" w:rsidRPr="00CF4E2F" w:rsidRDefault="00897639" w:rsidP="003A4A78">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0430</w:t>
            </w:r>
          </w:p>
        </w:tc>
        <w:tc>
          <w:tcPr>
            <w:tcW w:w="7590" w:type="dxa"/>
            <w:tcBorders>
              <w:top w:val="single" w:sz="4" w:space="0" w:color="auto"/>
              <w:left w:val="single" w:sz="4" w:space="0" w:color="auto"/>
              <w:bottom w:val="single" w:sz="4" w:space="0" w:color="auto"/>
              <w:right w:val="single" w:sz="4" w:space="0" w:color="auto"/>
            </w:tcBorders>
          </w:tcPr>
          <w:p w14:paraId="752F0EA7" w14:textId="187A3B5C" w:rsidR="002509EB" w:rsidRPr="00CF4E2F" w:rsidRDefault="00897639" w:rsidP="00A66401">
            <w:pPr>
              <w:pStyle w:val="TableParagraph"/>
              <w:spacing w:before="120"/>
              <w:ind w:left="102"/>
              <w:rPr>
                <w:rFonts w:ascii="Times New Roman"/>
                <w:b/>
                <w:sz w:val="18"/>
                <w:szCs w:val="18"/>
                <w:u w:val="single"/>
              </w:rPr>
            </w:pPr>
            <w:r w:rsidRPr="00CF4E2F">
              <w:rPr>
                <w:rFonts w:ascii="Times New Roman"/>
                <w:b/>
                <w:sz w:val="18"/>
                <w:szCs w:val="18"/>
                <w:u w:val="single"/>
              </w:rPr>
              <w:t xml:space="preserve">2.9.4 </w:t>
            </w:r>
            <w:r w:rsidR="002509EB" w:rsidRPr="00CF4E2F">
              <w:rPr>
                <w:rFonts w:ascii="Times New Roman"/>
                <w:b/>
                <w:sz w:val="18"/>
                <w:szCs w:val="18"/>
                <w:u w:val="single"/>
              </w:rPr>
              <w:t>Other liabilities</w:t>
            </w:r>
          </w:p>
          <w:p w14:paraId="29520BCA" w14:textId="77777777" w:rsidR="002509EB" w:rsidRPr="0092017F" w:rsidRDefault="002509EB" w:rsidP="003A4A78">
            <w:pPr>
              <w:pStyle w:val="TableParagraph"/>
              <w:ind w:left="102"/>
              <w:rPr>
                <w:rFonts w:ascii="Times New Roman"/>
                <w:sz w:val="18"/>
                <w:szCs w:val="18"/>
              </w:rPr>
            </w:pPr>
          </w:p>
          <w:p w14:paraId="4B9B063F" w14:textId="01000E5A" w:rsidR="002509EB" w:rsidRPr="00CF4E2F" w:rsidRDefault="000702E9" w:rsidP="003A4A78">
            <w:pPr>
              <w:pStyle w:val="TableParagraph"/>
              <w:ind w:left="102"/>
              <w:rPr>
                <w:rFonts w:ascii="Times New Roman"/>
                <w:sz w:val="18"/>
                <w:szCs w:val="18"/>
              </w:rPr>
            </w:pPr>
            <w:r w:rsidRPr="00CF4E2F">
              <w:rPr>
                <w:rFonts w:ascii="Times New Roman"/>
                <w:sz w:val="18"/>
                <w:szCs w:val="18"/>
              </w:rPr>
              <w:t>Art</w:t>
            </w:r>
            <w:r>
              <w:rPr>
                <w:rFonts w:ascii="Times New Roman"/>
                <w:sz w:val="18"/>
                <w:szCs w:val="18"/>
              </w:rPr>
              <w:t>icles</w:t>
            </w:r>
            <w:r w:rsidR="002509EB" w:rsidRPr="00CF4E2F">
              <w:rPr>
                <w:rFonts w:ascii="Times New Roman"/>
                <w:sz w:val="18"/>
                <w:szCs w:val="18"/>
              </w:rPr>
              <w:t xml:space="preserve"> 428k(1) </w:t>
            </w:r>
            <w:r w:rsidR="00A12150" w:rsidRPr="00CF4E2F">
              <w:rPr>
                <w:rFonts w:ascii="Times New Roman"/>
                <w:sz w:val="18"/>
                <w:szCs w:val="18"/>
              </w:rPr>
              <w:t xml:space="preserve">and </w:t>
            </w:r>
            <w:r w:rsidR="00CC2331">
              <w:rPr>
                <w:rFonts w:ascii="Times New Roman"/>
                <w:sz w:val="18"/>
                <w:szCs w:val="18"/>
              </w:rPr>
              <w:t>428k(3)</w:t>
            </w:r>
            <w:r w:rsidR="0029520A" w:rsidRPr="00CF4E2F">
              <w:rPr>
                <w:rFonts w:ascii="Times New Roman"/>
                <w:sz w:val="18"/>
                <w:szCs w:val="18"/>
              </w:rPr>
              <w:t xml:space="preserve"> </w:t>
            </w:r>
            <w:r w:rsidR="002509EB" w:rsidRPr="00CF4E2F">
              <w:rPr>
                <w:rFonts w:ascii="Times New Roman"/>
                <w:sz w:val="18"/>
                <w:szCs w:val="18"/>
              </w:rPr>
              <w:t>of CRR.</w:t>
            </w:r>
          </w:p>
          <w:p w14:paraId="154B6BC4" w14:textId="77777777" w:rsidR="002509EB" w:rsidRPr="0092017F" w:rsidRDefault="002509EB" w:rsidP="003A4A78">
            <w:pPr>
              <w:pStyle w:val="TableParagraph"/>
              <w:ind w:left="102"/>
              <w:rPr>
                <w:rFonts w:ascii="Times New Roman"/>
                <w:sz w:val="18"/>
                <w:szCs w:val="18"/>
              </w:rPr>
            </w:pPr>
          </w:p>
          <w:p w14:paraId="009DAF43" w14:textId="6125FDCB" w:rsidR="004C2BB7" w:rsidRPr="00CF4E2F" w:rsidRDefault="004C2BB7" w:rsidP="004C2BB7">
            <w:pPr>
              <w:pStyle w:val="TableParagraph"/>
              <w:ind w:left="102"/>
              <w:rPr>
                <w:rFonts w:ascii="Times New Roman"/>
                <w:sz w:val="18"/>
                <w:szCs w:val="18"/>
              </w:rPr>
            </w:pPr>
            <w:r w:rsidRPr="00CF4E2F">
              <w:rPr>
                <w:rFonts w:ascii="Times New Roman"/>
                <w:sz w:val="18"/>
                <w:szCs w:val="18"/>
              </w:rPr>
              <w:t>Institutions shall report here other liabilities</w:t>
            </w:r>
            <w:r>
              <w:rPr>
                <w:rFonts w:ascii="Times New Roman"/>
                <w:sz w:val="18"/>
                <w:szCs w:val="18"/>
              </w:rPr>
              <w:t xml:space="preserve">, including </w:t>
            </w:r>
            <w:r w:rsidRPr="00CF4E2F">
              <w:rPr>
                <w:rFonts w:ascii="Times New Roman"/>
                <w:sz w:val="18"/>
                <w:szCs w:val="18"/>
              </w:rPr>
              <w:t>short positions and open maturity positions.</w:t>
            </w:r>
          </w:p>
          <w:p w14:paraId="0971FF9F" w14:textId="6F32CD7A" w:rsidR="00712354" w:rsidRPr="00CF4E2F" w:rsidRDefault="00712354" w:rsidP="00A12150">
            <w:pPr>
              <w:pStyle w:val="TableParagraph"/>
              <w:ind w:left="102"/>
              <w:rPr>
                <w:rFonts w:ascii="Times New Roman"/>
                <w:sz w:val="18"/>
                <w:szCs w:val="18"/>
              </w:rPr>
            </w:pPr>
          </w:p>
        </w:tc>
      </w:tr>
    </w:tbl>
    <w:p w14:paraId="047635CF" w14:textId="70AD10A2" w:rsidR="00CC6A9F" w:rsidRPr="00A66401" w:rsidRDefault="00CC6A9F">
      <w:pPr>
        <w:rPr>
          <w:rFonts w:ascii="Times New Roman" w:eastAsiaTheme="minorHAnsi" w:hAnsi="Times New Roman"/>
          <w:color w:val="auto"/>
          <w:sz w:val="20"/>
          <w:szCs w:val="24"/>
          <w:lang w:val="en-US"/>
        </w:rPr>
      </w:pPr>
      <w:r w:rsidRPr="00A66401">
        <w:rPr>
          <w:lang w:val="en-US"/>
        </w:rPr>
        <w:br w:type="page"/>
      </w:r>
    </w:p>
    <w:p w14:paraId="1F4B0627" w14:textId="524F05A3" w:rsidR="00A66401" w:rsidRPr="00DD6B59" w:rsidRDefault="00A66401" w:rsidP="0055437F">
      <w:pPr>
        <w:pStyle w:val="BodyText1"/>
        <w:spacing w:before="120" w:after="120"/>
        <w:outlineLvl w:val="0"/>
        <w:rPr>
          <w:rFonts w:ascii="Times New Roman" w:hAnsi="Times New Roman"/>
          <w:b/>
          <w:sz w:val="24"/>
          <w:szCs w:val="24"/>
          <w:lang w:val="en-US"/>
        </w:rPr>
      </w:pPr>
      <w:bookmarkStart w:id="24" w:name="_Toc7641926"/>
      <w:r w:rsidRPr="00DD6B59">
        <w:rPr>
          <w:rFonts w:ascii="Times New Roman" w:hAnsi="Times New Roman"/>
          <w:b/>
          <w:sz w:val="24"/>
          <w:szCs w:val="24"/>
          <w:lang w:val="en-US"/>
        </w:rPr>
        <w:t>PART I</w:t>
      </w:r>
      <w:r w:rsidR="00F12D29">
        <w:rPr>
          <w:rFonts w:ascii="Times New Roman" w:hAnsi="Times New Roman"/>
          <w:b/>
          <w:sz w:val="24"/>
          <w:szCs w:val="24"/>
          <w:lang w:val="en-US"/>
        </w:rPr>
        <w:t>V</w:t>
      </w:r>
      <w:r w:rsidRPr="00DD6B59">
        <w:rPr>
          <w:rFonts w:ascii="Times New Roman" w:hAnsi="Times New Roman"/>
          <w:b/>
          <w:sz w:val="24"/>
          <w:szCs w:val="24"/>
          <w:lang w:val="en-US"/>
        </w:rPr>
        <w:t>: SIMPLIFIED REQUIRED STABLE FUNDING</w:t>
      </w:r>
      <w:bookmarkEnd w:id="24"/>
    </w:p>
    <w:p w14:paraId="1C37D9DE" w14:textId="77777777" w:rsidR="00A66401" w:rsidRPr="00DD6B59" w:rsidRDefault="00A66401" w:rsidP="00D967E5">
      <w:pPr>
        <w:pStyle w:val="BodyText1"/>
        <w:spacing w:before="120" w:after="120"/>
        <w:rPr>
          <w:lang w:val="en-US"/>
        </w:rPr>
      </w:pPr>
    </w:p>
    <w:p w14:paraId="25ADC901" w14:textId="77777777" w:rsidR="00A66401" w:rsidRPr="00DD6B59" w:rsidRDefault="00A66401" w:rsidP="0055437F">
      <w:pPr>
        <w:pStyle w:val="BodyText1"/>
        <w:numPr>
          <w:ilvl w:val="0"/>
          <w:numId w:val="30"/>
        </w:numPr>
        <w:spacing w:before="120" w:after="120"/>
        <w:outlineLvl w:val="0"/>
        <w:rPr>
          <w:rFonts w:ascii="Times New Roman" w:hAnsi="Times New Roman"/>
          <w:b/>
          <w:sz w:val="24"/>
          <w:szCs w:val="24"/>
          <w:lang w:val="en-US"/>
        </w:rPr>
      </w:pPr>
      <w:bookmarkStart w:id="25" w:name="_Toc7641927"/>
      <w:r w:rsidRPr="00DD6B59">
        <w:rPr>
          <w:rFonts w:ascii="Times New Roman" w:hAnsi="Times New Roman"/>
          <w:b/>
          <w:sz w:val="24"/>
          <w:szCs w:val="24"/>
          <w:lang w:val="en-US"/>
        </w:rPr>
        <w:t>Specific remarks</w:t>
      </w:r>
      <w:bookmarkEnd w:id="25"/>
    </w:p>
    <w:p w14:paraId="36CE0213" w14:textId="77777777" w:rsidR="00A66401" w:rsidRPr="00F63E30" w:rsidRDefault="00A66401" w:rsidP="00463F57">
      <w:pPr>
        <w:pStyle w:val="ListParagraph"/>
        <w:widowControl w:val="0"/>
        <w:numPr>
          <w:ilvl w:val="0"/>
          <w:numId w:val="24"/>
        </w:numPr>
        <w:tabs>
          <w:tab w:val="left" w:pos="1397"/>
        </w:tabs>
        <w:spacing w:line="276" w:lineRule="auto"/>
        <w:ind w:right="115"/>
        <w:contextualSpacing w:val="0"/>
        <w:rPr>
          <w:rFonts w:ascii="Times New Roman" w:eastAsia="Verdana" w:hAnsi="Times New Roman"/>
          <w:szCs w:val="18"/>
          <w:lang w:val="en-US"/>
        </w:rPr>
      </w:pPr>
      <w:r w:rsidRPr="00F63E30">
        <w:rPr>
          <w:rFonts w:ascii="Times New Roman" w:eastAsia="Verdana" w:hAnsi="Times New Roman"/>
          <w:szCs w:val="18"/>
          <w:lang w:val="en-US"/>
        </w:rPr>
        <w:t>Institutions shall report in the appropriate category all assets on which they retain beneficial ownership even if they are not accounted for in their balance sheet. Assets on which institutions do not retain beneficial ownership shall not be reported even if these assets are accounted for in their balance sheet.</w:t>
      </w:r>
    </w:p>
    <w:p w14:paraId="32022618" w14:textId="1CBFABD0" w:rsidR="00463F57" w:rsidRDefault="00A66401" w:rsidP="00463F57">
      <w:pPr>
        <w:pStyle w:val="ListParagraph"/>
        <w:widowControl w:val="0"/>
        <w:numPr>
          <w:ilvl w:val="0"/>
          <w:numId w:val="24"/>
        </w:numPr>
        <w:tabs>
          <w:tab w:val="left" w:pos="1397"/>
        </w:tabs>
        <w:spacing w:line="276" w:lineRule="auto"/>
        <w:ind w:right="116"/>
        <w:contextualSpacing w:val="0"/>
        <w:rPr>
          <w:rFonts w:ascii="Times New Roman" w:eastAsia="Verdana" w:hAnsi="Times New Roman"/>
          <w:szCs w:val="18"/>
          <w:lang w:val="en-US"/>
        </w:rPr>
      </w:pPr>
      <w:r w:rsidRPr="00CF4E2F">
        <w:rPr>
          <w:rFonts w:ascii="Times New Roman" w:eastAsia="Verdana" w:hAnsi="Times New Roman"/>
          <w:szCs w:val="18"/>
          <w:lang w:val="en-US"/>
        </w:rPr>
        <w:t>In accordance with Article 428</w:t>
      </w:r>
      <w:r>
        <w:rPr>
          <w:rFonts w:ascii="Times New Roman" w:eastAsia="Verdana" w:hAnsi="Times New Roman"/>
          <w:szCs w:val="18"/>
          <w:lang w:val="en-US"/>
        </w:rPr>
        <w:t>aq</w:t>
      </w:r>
      <w:r w:rsidRPr="00CF4E2F">
        <w:rPr>
          <w:rFonts w:ascii="Times New Roman" w:eastAsia="Verdana" w:hAnsi="Times New Roman"/>
          <w:szCs w:val="18"/>
          <w:lang w:val="en-US"/>
        </w:rPr>
        <w:t xml:space="preserve"> of </w:t>
      </w:r>
      <w:r w:rsidRPr="0040192D">
        <w:rPr>
          <w:rFonts w:ascii="Times New Roman" w:eastAsia="Verdana" w:hAnsi="Times New Roman"/>
          <w:szCs w:val="18"/>
          <w:lang w:val="en-US"/>
        </w:rPr>
        <w:t>CRR</w:t>
      </w:r>
      <w:r w:rsidRPr="00CF4E2F">
        <w:rPr>
          <w:rFonts w:ascii="Times New Roman" w:eastAsia="Verdana" w:hAnsi="Times New Roman"/>
          <w:szCs w:val="18"/>
          <w:lang w:val="en-US"/>
        </w:rPr>
        <w:t xml:space="preserve">, unless specified otherwise in Chapter 7 of Title IV of </w:t>
      </w:r>
      <w:r w:rsidR="00417A9F">
        <w:rPr>
          <w:rFonts w:ascii="Times New Roman" w:eastAsia="Verdana" w:hAnsi="Times New Roman"/>
          <w:szCs w:val="18"/>
          <w:lang w:val="en-US"/>
        </w:rPr>
        <w:t xml:space="preserve">Part Six of </w:t>
      </w:r>
      <w:r w:rsidRPr="00CF4E2F">
        <w:rPr>
          <w:rFonts w:ascii="Times New Roman" w:eastAsia="Verdana" w:hAnsi="Times New Roman"/>
          <w:szCs w:val="18"/>
          <w:lang w:val="en-US"/>
        </w:rPr>
        <w:t xml:space="preserve">CRR, the amount of required stable funding </w:t>
      </w:r>
      <w:r w:rsidR="00417A9F">
        <w:rPr>
          <w:rFonts w:ascii="Times New Roman" w:eastAsia="Verdana" w:hAnsi="Times New Roman"/>
          <w:szCs w:val="18"/>
          <w:lang w:val="en-US"/>
        </w:rPr>
        <w:t xml:space="preserve">(RSF) </w:t>
      </w:r>
      <w:r w:rsidRPr="00CF4E2F">
        <w:rPr>
          <w:rFonts w:ascii="Times New Roman" w:eastAsia="Verdana" w:hAnsi="Times New Roman"/>
          <w:szCs w:val="18"/>
          <w:lang w:val="en-US"/>
        </w:rPr>
        <w:t>shall be calculated by multiplying the amount of assets and off-balance sheet items by the required stable funding factors.</w:t>
      </w:r>
    </w:p>
    <w:p w14:paraId="18326088" w14:textId="62D83937" w:rsidR="00A66401" w:rsidRPr="00463F57" w:rsidRDefault="00463F57" w:rsidP="00463F57">
      <w:pPr>
        <w:pStyle w:val="ListParagraph"/>
        <w:widowControl w:val="0"/>
        <w:numPr>
          <w:ilvl w:val="0"/>
          <w:numId w:val="24"/>
        </w:numPr>
        <w:tabs>
          <w:tab w:val="left" w:pos="1397"/>
        </w:tabs>
        <w:spacing w:line="276" w:lineRule="auto"/>
        <w:ind w:right="116"/>
        <w:contextualSpacing w:val="0"/>
        <w:rPr>
          <w:rFonts w:ascii="Times New Roman" w:eastAsia="Verdana" w:hAnsi="Times New Roman"/>
          <w:szCs w:val="20"/>
          <w:lang w:val="en-US"/>
        </w:rPr>
      </w:pPr>
      <w:r w:rsidRPr="00772E66">
        <w:rPr>
          <w:rFonts w:ascii="Times New Roman" w:eastAsia="Verdana" w:hAnsi="Times New Roman"/>
          <w:szCs w:val="20"/>
          <w:lang w:val="en-US"/>
        </w:rPr>
        <w:t xml:space="preserve">Assets that are eligible as high-quality liquid assets (HQLA) in accordance with Delegated Regulation (EU) 2015/61 shall be reported as such, regardless if they comply with the operational requirements referred to in Article 8 of </w:t>
      </w:r>
      <w:r w:rsidR="00417A9F">
        <w:rPr>
          <w:rFonts w:ascii="Times New Roman" w:eastAsia="Verdana" w:hAnsi="Times New Roman"/>
          <w:szCs w:val="20"/>
          <w:lang w:val="en-US"/>
        </w:rPr>
        <w:t>that</w:t>
      </w:r>
      <w:r w:rsidRPr="00772E66">
        <w:rPr>
          <w:rFonts w:ascii="Times New Roman" w:eastAsia="Verdana" w:hAnsi="Times New Roman"/>
          <w:szCs w:val="20"/>
          <w:lang w:val="en-US"/>
        </w:rPr>
        <w:t xml:space="preserve"> </w:t>
      </w:r>
      <w:r w:rsidR="00417A9F">
        <w:rPr>
          <w:rFonts w:ascii="Times New Roman" w:eastAsia="Verdana" w:hAnsi="Times New Roman"/>
          <w:szCs w:val="20"/>
          <w:lang w:val="en-US"/>
        </w:rPr>
        <w:t xml:space="preserve">Delegated </w:t>
      </w:r>
      <w:r w:rsidRPr="00772E66">
        <w:rPr>
          <w:rFonts w:ascii="Times New Roman" w:eastAsia="Verdana" w:hAnsi="Times New Roman"/>
          <w:szCs w:val="20"/>
          <w:lang w:val="en-US"/>
        </w:rPr>
        <w:t>Regulation. Those assets shall be reported in designated columns regardless of their residual maturity.</w:t>
      </w:r>
    </w:p>
    <w:p w14:paraId="5FADFBC6" w14:textId="08EEA5D9" w:rsidR="00A66401" w:rsidRPr="00CF4E2F" w:rsidRDefault="00A66401" w:rsidP="00463F5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CF4E2F">
        <w:rPr>
          <w:rFonts w:ascii="Times New Roman" w:eastAsia="Verdana" w:hAnsi="Times New Roman"/>
          <w:szCs w:val="18"/>
          <w:lang w:val="en-US"/>
        </w:rPr>
        <w:t xml:space="preserve">All non-HQLA </w:t>
      </w:r>
      <w:r w:rsidRPr="00DD6B59">
        <w:rPr>
          <w:rFonts w:ascii="Times New Roman" w:hAnsi="Times New Roman"/>
          <w:sz w:val="18"/>
          <w:szCs w:val="18"/>
          <w:lang w:val="en-US"/>
        </w:rPr>
        <w:t xml:space="preserve">assets and off-balance sheet items </w:t>
      </w:r>
      <w:r w:rsidRPr="00CF4E2F">
        <w:rPr>
          <w:rFonts w:ascii="Times New Roman" w:eastAsia="Verdana" w:hAnsi="Times New Roman"/>
          <w:szCs w:val="18"/>
          <w:lang w:val="en-US"/>
        </w:rPr>
        <w:t>shall be repo</w:t>
      </w:r>
      <w:r w:rsidRPr="0040192D">
        <w:rPr>
          <w:rFonts w:ascii="Times New Roman" w:eastAsia="Verdana" w:hAnsi="Times New Roman"/>
          <w:szCs w:val="18"/>
          <w:lang w:val="en-US"/>
        </w:rPr>
        <w:t xml:space="preserve">rted with a breakdown by their residual </w:t>
      </w:r>
      <w:r w:rsidRPr="00CF4E2F">
        <w:rPr>
          <w:rFonts w:ascii="Times New Roman" w:eastAsia="Verdana" w:hAnsi="Times New Roman"/>
          <w:szCs w:val="18"/>
          <w:lang w:val="en-US"/>
        </w:rPr>
        <w:t xml:space="preserve">maturity in accordance with Article </w:t>
      </w:r>
      <w:r>
        <w:rPr>
          <w:rFonts w:ascii="Times New Roman" w:eastAsia="Verdana" w:hAnsi="Times New Roman"/>
          <w:szCs w:val="18"/>
          <w:lang w:val="en-US"/>
        </w:rPr>
        <w:t>428ar</w:t>
      </w:r>
      <w:r w:rsidRPr="00CF4E2F">
        <w:rPr>
          <w:rFonts w:ascii="Times New Roman" w:eastAsia="Verdana" w:hAnsi="Times New Roman"/>
          <w:szCs w:val="18"/>
          <w:lang w:val="en-US"/>
        </w:rPr>
        <w:t xml:space="preserve"> of CRR. The maturity buckets of the amount, standard factor</w:t>
      </w:r>
      <w:r w:rsidR="00463F57">
        <w:rPr>
          <w:rFonts w:ascii="Times New Roman" w:eastAsia="Verdana" w:hAnsi="Times New Roman"/>
          <w:szCs w:val="18"/>
          <w:lang w:val="en-US"/>
        </w:rPr>
        <w:t>s</w:t>
      </w:r>
      <w:r w:rsidRPr="00CF4E2F">
        <w:rPr>
          <w:rFonts w:ascii="Times New Roman" w:eastAsia="Verdana" w:hAnsi="Times New Roman"/>
          <w:szCs w:val="18"/>
          <w:lang w:val="en-US"/>
        </w:rPr>
        <w:t xml:space="preserve"> and applicable factor</w:t>
      </w:r>
      <w:r w:rsidR="00463F57">
        <w:rPr>
          <w:rFonts w:ascii="Times New Roman" w:eastAsia="Verdana" w:hAnsi="Times New Roman"/>
          <w:szCs w:val="18"/>
          <w:lang w:val="en-US"/>
        </w:rPr>
        <w:t>s</w:t>
      </w:r>
      <w:r w:rsidRPr="00CF4E2F">
        <w:rPr>
          <w:rFonts w:ascii="Times New Roman" w:eastAsia="Verdana" w:hAnsi="Times New Roman"/>
          <w:szCs w:val="18"/>
          <w:lang w:val="en-US"/>
        </w:rPr>
        <w:t xml:space="preserve"> are the following:</w:t>
      </w:r>
    </w:p>
    <w:p w14:paraId="30A0C7E0" w14:textId="28C52F38" w:rsidR="00A66401" w:rsidRPr="00DD6B59" w:rsidRDefault="00A66401" w:rsidP="00463F57">
      <w:pPr>
        <w:pStyle w:val="InstructionsText2"/>
        <w:numPr>
          <w:ilvl w:val="2"/>
          <w:numId w:val="24"/>
        </w:numPr>
        <w:spacing w:before="120" w:after="120" w:line="276" w:lineRule="auto"/>
        <w:rPr>
          <w:lang w:val="en-US"/>
        </w:rPr>
      </w:pPr>
      <w:r w:rsidRPr="00DD6B59">
        <w:rPr>
          <w:lang w:val="en-US"/>
        </w:rPr>
        <w:t xml:space="preserve">Residual maturity </w:t>
      </w:r>
      <w:r w:rsidR="00D10D55">
        <w:rPr>
          <w:lang w:val="en-US"/>
        </w:rPr>
        <w:t>of less than one</w:t>
      </w:r>
      <w:r w:rsidRPr="00DD6B59">
        <w:rPr>
          <w:lang w:val="en-US"/>
        </w:rPr>
        <w:t xml:space="preserve"> year or without stated maturity;</w:t>
      </w:r>
    </w:p>
    <w:p w14:paraId="2320BA43" w14:textId="0CD8B431" w:rsidR="00A66401" w:rsidRPr="00463F57" w:rsidRDefault="00A66401" w:rsidP="00463F57">
      <w:pPr>
        <w:pStyle w:val="InstructionsText2"/>
        <w:numPr>
          <w:ilvl w:val="2"/>
          <w:numId w:val="24"/>
        </w:numPr>
        <w:spacing w:before="120" w:after="120" w:line="276" w:lineRule="auto"/>
        <w:rPr>
          <w:lang w:val="en-US"/>
        </w:rPr>
      </w:pPr>
      <w:r w:rsidRPr="00DD6B59">
        <w:rPr>
          <w:lang w:val="en-US"/>
        </w:rPr>
        <w:t xml:space="preserve">Residual maturity </w:t>
      </w:r>
      <w:r w:rsidR="00D10D55">
        <w:rPr>
          <w:lang w:val="en-US"/>
        </w:rPr>
        <w:t xml:space="preserve">of one year or </w:t>
      </w:r>
      <w:r w:rsidRPr="00DD6B59">
        <w:rPr>
          <w:lang w:val="en-US"/>
        </w:rPr>
        <w:t>more.</w:t>
      </w:r>
    </w:p>
    <w:p w14:paraId="399666AB" w14:textId="7732681C" w:rsidR="00A66401" w:rsidRPr="00CF4E2F" w:rsidRDefault="00A66401" w:rsidP="00463F57">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CF4E2F">
        <w:rPr>
          <w:rFonts w:ascii="Times New Roman" w:eastAsia="Verdana" w:hAnsi="Times New Roman"/>
          <w:szCs w:val="18"/>
          <w:lang w:val="en-US"/>
        </w:rPr>
        <w:t xml:space="preserve">When calculating the residual maturity </w:t>
      </w:r>
      <w:r w:rsidR="00463F57" w:rsidRPr="00772E66">
        <w:rPr>
          <w:rFonts w:ascii="Times New Roman" w:eastAsia="Verdana" w:hAnsi="Times New Roman"/>
          <w:szCs w:val="20"/>
          <w:lang w:val="en-US"/>
        </w:rPr>
        <w:t xml:space="preserve">of non-HQLA </w:t>
      </w:r>
      <w:r w:rsidR="00463F57" w:rsidRPr="00361D7E">
        <w:rPr>
          <w:rFonts w:ascii="Times New Roman" w:hAnsi="Times New Roman"/>
          <w:szCs w:val="20"/>
          <w:lang w:val="en-US"/>
        </w:rPr>
        <w:t>assets and off-balance sheet item</w:t>
      </w:r>
      <w:r w:rsidRPr="00CF4E2F">
        <w:rPr>
          <w:rFonts w:ascii="Times New Roman" w:eastAsia="Verdana" w:hAnsi="Times New Roman"/>
          <w:szCs w:val="18"/>
          <w:lang w:val="en-US"/>
        </w:rPr>
        <w:t>, institutions shall take options into account, based on the assumption that the issuer or counterparty will exercise any option to extend the asset´s matu</w:t>
      </w:r>
      <w:r w:rsidRPr="0040192D">
        <w:rPr>
          <w:rFonts w:ascii="Times New Roman" w:eastAsia="Verdana" w:hAnsi="Times New Roman"/>
          <w:szCs w:val="18"/>
          <w:lang w:val="en-US"/>
        </w:rPr>
        <w:t>rity. For options exercisable at the discretion of the institution, the institution and competent authority shall take into account reputational factors that may limit the institution´s ability not to exercise the option, in particular considering markets’</w:t>
      </w:r>
      <w:r w:rsidRPr="00CF4E2F">
        <w:rPr>
          <w:rFonts w:ascii="Times New Roman" w:eastAsia="Verdana" w:hAnsi="Times New Roman"/>
          <w:szCs w:val="18"/>
          <w:lang w:val="en-US"/>
        </w:rPr>
        <w:t xml:space="preserve"> and clients’ expectations that the institution should extend the maturity of certain assets at their maturity date.</w:t>
      </w:r>
    </w:p>
    <w:p w14:paraId="0999ADA1" w14:textId="685F2FFC" w:rsidR="00A66401" w:rsidRPr="00F63E30" w:rsidRDefault="00A66401" w:rsidP="00463F57">
      <w:pPr>
        <w:pStyle w:val="ListParagraph"/>
        <w:numPr>
          <w:ilvl w:val="0"/>
          <w:numId w:val="24"/>
        </w:numPr>
        <w:spacing w:line="276" w:lineRule="auto"/>
        <w:contextualSpacing w:val="0"/>
        <w:rPr>
          <w:rFonts w:ascii="Times New Roman" w:eastAsia="Calibri" w:hAnsi="Times New Roman"/>
          <w:szCs w:val="18"/>
          <w:lang w:val="en-US"/>
        </w:rPr>
      </w:pPr>
      <w:r w:rsidRPr="00E25151">
        <w:rPr>
          <w:rFonts w:ascii="Times New Roman" w:eastAsia="Calibri" w:hAnsi="Times New Roman"/>
          <w:szCs w:val="18"/>
          <w:lang w:val="en-US"/>
        </w:rPr>
        <w:t>For some items, institutions shall report assets according to status of and/or maturity of encumbrance of that asset in accordance with Article</w:t>
      </w:r>
      <w:r w:rsidR="00C133BB">
        <w:rPr>
          <w:rFonts w:ascii="Times New Roman" w:eastAsia="Calibri" w:hAnsi="Times New Roman"/>
          <w:szCs w:val="18"/>
          <w:lang w:val="en-US"/>
        </w:rPr>
        <w:t>s</w:t>
      </w:r>
      <w:r w:rsidRPr="00E25151">
        <w:rPr>
          <w:rFonts w:ascii="Times New Roman" w:eastAsia="Calibri" w:hAnsi="Times New Roman"/>
          <w:szCs w:val="18"/>
          <w:lang w:val="en-US"/>
        </w:rPr>
        <w:t xml:space="preserve"> 428</w:t>
      </w:r>
      <w:r>
        <w:rPr>
          <w:rFonts w:ascii="Times New Roman" w:eastAsia="Calibri" w:hAnsi="Times New Roman"/>
          <w:szCs w:val="18"/>
          <w:lang w:val="en-US"/>
        </w:rPr>
        <w:t>aq</w:t>
      </w:r>
      <w:r w:rsidRPr="00E25151">
        <w:rPr>
          <w:rFonts w:ascii="Times New Roman" w:eastAsia="Calibri" w:hAnsi="Times New Roman"/>
          <w:szCs w:val="18"/>
          <w:lang w:val="en-US"/>
        </w:rPr>
        <w:t>(4), (5) and (6) of CRR.</w:t>
      </w:r>
    </w:p>
    <w:p w14:paraId="67A6A086" w14:textId="1FA3AB1D" w:rsidR="00A66401" w:rsidRPr="00DD6B59" w:rsidRDefault="00A66401" w:rsidP="00463F57">
      <w:pPr>
        <w:pStyle w:val="ListParagraph"/>
        <w:widowControl w:val="0"/>
        <w:numPr>
          <w:ilvl w:val="0"/>
          <w:numId w:val="24"/>
        </w:numPr>
        <w:spacing w:line="276" w:lineRule="auto"/>
        <w:ind w:right="114"/>
        <w:contextualSpacing w:val="0"/>
        <w:rPr>
          <w:rFonts w:ascii="Times New Roman" w:eastAsia="Calibri" w:hAnsi="Times New Roman"/>
          <w:szCs w:val="18"/>
          <w:lang w:val="en-US"/>
        </w:rPr>
      </w:pPr>
      <w:r w:rsidRPr="00DD6B59">
        <w:rPr>
          <w:rFonts w:ascii="Times New Roman" w:eastAsia="Calibri" w:hAnsi="Times New Roman"/>
          <w:szCs w:val="18"/>
          <w:lang w:val="en-US"/>
        </w:rPr>
        <w:t xml:space="preserve">The decision tree </w:t>
      </w:r>
      <w:r w:rsidR="00463F57">
        <w:rPr>
          <w:rFonts w:ascii="Times New Roman" w:eastAsia="Calibri" w:hAnsi="Times New Roman"/>
          <w:szCs w:val="18"/>
          <w:lang w:val="en-US"/>
        </w:rPr>
        <w:t xml:space="preserve">for </w:t>
      </w:r>
      <w:r w:rsidR="00C133BB">
        <w:rPr>
          <w:rFonts w:ascii="Times New Roman" w:eastAsia="Calibri" w:hAnsi="Times New Roman"/>
          <w:szCs w:val="18"/>
          <w:lang w:val="en-US"/>
        </w:rPr>
        <w:t xml:space="preserve">reporting template </w:t>
      </w:r>
      <w:r w:rsidR="00463F57">
        <w:rPr>
          <w:rFonts w:ascii="Times New Roman" w:eastAsia="Calibri" w:hAnsi="Times New Roman"/>
          <w:szCs w:val="18"/>
          <w:lang w:val="en-US"/>
        </w:rPr>
        <w:t xml:space="preserve">C 82.00 </w:t>
      </w:r>
      <w:r w:rsidRPr="00DD6B59">
        <w:rPr>
          <w:rFonts w:ascii="Times New Roman" w:eastAsia="Calibri" w:hAnsi="Times New Roman"/>
          <w:szCs w:val="18"/>
          <w:lang w:val="en-US"/>
        </w:rPr>
        <w:t xml:space="preserve">is part of the instructions to specify prioritization assessment criteria for the assignment of each reported item in order to secure homogenous and comparable reporting. Going through the decision tree alone is not sufficient, </w:t>
      </w:r>
      <w:r w:rsidR="00417A9F">
        <w:rPr>
          <w:rFonts w:ascii="Times New Roman" w:eastAsia="Calibri" w:hAnsi="Times New Roman"/>
          <w:szCs w:val="18"/>
          <w:lang w:val="en-US"/>
        </w:rPr>
        <w:t xml:space="preserve">i.e., </w:t>
      </w:r>
      <w:r w:rsidRPr="00DD6B59">
        <w:rPr>
          <w:rFonts w:ascii="Times New Roman" w:eastAsia="Calibri" w:hAnsi="Times New Roman"/>
          <w:szCs w:val="18"/>
          <w:lang w:val="en-US"/>
        </w:rPr>
        <w:t>institutions shall always comply with the rest of the instructions. For the sake of simplicity the decision tree ignores totals and subtotals; this however does not mean that they shall not be reported as well.</w:t>
      </w:r>
      <w:r w:rsidR="00463F57" w:rsidRPr="00DD6B59" w:rsidDel="00463F57">
        <w:rPr>
          <w:rFonts w:ascii="Times New Roman" w:eastAsia="Calibri" w:hAnsi="Times New Roman"/>
          <w:szCs w:val="18"/>
          <w:lang w:val="en-US"/>
        </w:rPr>
        <w:t xml:space="preserve"> </w:t>
      </w:r>
    </w:p>
    <w:p w14:paraId="23050BF6" w14:textId="02507C72" w:rsidR="00A66401" w:rsidRPr="0055437F" w:rsidRDefault="00683CCE" w:rsidP="0055437F">
      <w:pPr>
        <w:pStyle w:val="ListParagraph"/>
        <w:widowControl w:val="0"/>
        <w:numPr>
          <w:ilvl w:val="0"/>
          <w:numId w:val="24"/>
        </w:numPr>
        <w:spacing w:line="276" w:lineRule="auto"/>
        <w:ind w:right="114"/>
        <w:contextualSpacing w:val="0"/>
        <w:rPr>
          <w:rFonts w:ascii="Times New Roman" w:eastAsia="Calibri" w:hAnsi="Times New Roman"/>
          <w:szCs w:val="18"/>
          <w:lang w:val="en-US"/>
        </w:rPr>
      </w:pPr>
      <w:r>
        <w:rPr>
          <w:rFonts w:ascii="Times New Roman" w:eastAsia="Calibri" w:hAnsi="Times New Roman"/>
          <w:szCs w:val="18"/>
          <w:lang w:val="en-US"/>
        </w:rPr>
        <w:t>As specified under Article 428aq(5) of CRR, w</w:t>
      </w:r>
      <w:r w:rsidR="00A66401" w:rsidRPr="00DD6B59">
        <w:rPr>
          <w:rFonts w:ascii="Times New Roman" w:eastAsia="Calibri" w:hAnsi="Times New Roman"/>
          <w:szCs w:val="18"/>
          <w:lang w:val="en-US"/>
        </w:rPr>
        <w:t>here an institution re-uses or re-pledges an asset that was borrowed, including in securities financing transactions, and that is accounted for off-balance sheet, the transaction through which the that assets has been borrowed shall be treated as encumbered to the extent that this transaction cannot mature without the institution returning the asset borrowed.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A66401" w:rsidRPr="00CF4E2F" w14:paraId="2EF34CCE" w14:textId="77777777" w:rsidTr="00D6423A">
        <w:tc>
          <w:tcPr>
            <w:tcW w:w="529" w:type="dxa"/>
            <w:shd w:val="clear" w:color="auto" w:fill="auto"/>
            <w:vAlign w:val="center"/>
          </w:tcPr>
          <w:p w14:paraId="13A892D8" w14:textId="77777777" w:rsidR="00A66401" w:rsidRPr="0040192D" w:rsidRDefault="00A66401" w:rsidP="00D6423A">
            <w:pPr>
              <w:pStyle w:val="TableParagraph"/>
              <w:spacing w:before="37"/>
              <w:ind w:left="7"/>
              <w:jc w:val="center"/>
              <w:rPr>
                <w:rFonts w:ascii="Times New Roman" w:eastAsia="Times New Roman" w:hAnsi="Times New Roman"/>
                <w:sz w:val="16"/>
                <w:szCs w:val="16"/>
              </w:rPr>
            </w:pPr>
            <w:r w:rsidRPr="00CF4E2F">
              <w:rPr>
                <w:rFonts w:ascii="Times New Roman" w:hAnsi="Times New Roman"/>
                <w:b/>
                <w:sz w:val="16"/>
              </w:rPr>
              <w:t>#</w:t>
            </w:r>
          </w:p>
        </w:tc>
        <w:tc>
          <w:tcPr>
            <w:tcW w:w="5550" w:type="dxa"/>
            <w:shd w:val="clear" w:color="auto" w:fill="auto"/>
            <w:vAlign w:val="center"/>
          </w:tcPr>
          <w:p w14:paraId="45161DF8" w14:textId="77777777" w:rsidR="00A66401" w:rsidRPr="00CF4E2F" w:rsidRDefault="00A66401" w:rsidP="00D6423A">
            <w:pPr>
              <w:pStyle w:val="TableParagraph"/>
              <w:spacing w:before="37"/>
              <w:ind w:left="141"/>
              <w:jc w:val="center"/>
              <w:rPr>
                <w:rFonts w:ascii="Times New Roman" w:eastAsia="Times New Roman" w:hAnsi="Times New Roman"/>
                <w:sz w:val="16"/>
                <w:szCs w:val="16"/>
              </w:rPr>
            </w:pPr>
            <w:r w:rsidRPr="00CF4E2F">
              <w:rPr>
                <w:rFonts w:ascii="Times New Roman" w:hAnsi="Times New Roman"/>
                <w:b/>
                <w:sz w:val="16"/>
              </w:rPr>
              <w:t>Item</w:t>
            </w:r>
          </w:p>
        </w:tc>
        <w:tc>
          <w:tcPr>
            <w:tcW w:w="1305" w:type="dxa"/>
            <w:shd w:val="clear" w:color="auto" w:fill="auto"/>
            <w:vAlign w:val="center"/>
          </w:tcPr>
          <w:p w14:paraId="7C888117" w14:textId="77777777" w:rsidR="00A66401" w:rsidRPr="00CF4E2F" w:rsidRDefault="00A66401" w:rsidP="00D6423A">
            <w:pPr>
              <w:pStyle w:val="TableParagraph"/>
              <w:spacing w:before="37"/>
              <w:ind w:left="267"/>
              <w:jc w:val="center"/>
              <w:rPr>
                <w:rFonts w:ascii="Times New Roman" w:eastAsia="Times New Roman" w:hAnsi="Times New Roman"/>
                <w:sz w:val="16"/>
                <w:szCs w:val="16"/>
              </w:rPr>
            </w:pPr>
            <w:r w:rsidRPr="00CF4E2F">
              <w:rPr>
                <w:rFonts w:ascii="Times New Roman" w:hAnsi="Times New Roman"/>
                <w:b/>
                <w:sz w:val="16"/>
              </w:rPr>
              <w:t>Decision</w:t>
            </w:r>
          </w:p>
        </w:tc>
        <w:tc>
          <w:tcPr>
            <w:tcW w:w="2222" w:type="dxa"/>
            <w:shd w:val="clear" w:color="auto" w:fill="auto"/>
            <w:vAlign w:val="center"/>
          </w:tcPr>
          <w:p w14:paraId="1BCD52EF" w14:textId="77777777" w:rsidR="00A66401" w:rsidRPr="00CF4E2F" w:rsidRDefault="00A66401" w:rsidP="00D6423A">
            <w:pPr>
              <w:pStyle w:val="TableParagraph"/>
              <w:spacing w:before="37"/>
              <w:ind w:left="284"/>
              <w:jc w:val="center"/>
              <w:rPr>
                <w:rFonts w:ascii="Times New Roman" w:eastAsia="Times New Roman" w:hAnsi="Times New Roman"/>
                <w:sz w:val="16"/>
                <w:szCs w:val="16"/>
              </w:rPr>
            </w:pPr>
            <w:r w:rsidRPr="00CF4E2F">
              <w:rPr>
                <w:rFonts w:ascii="Times New Roman" w:hAnsi="Times New Roman"/>
                <w:b/>
                <w:sz w:val="16"/>
              </w:rPr>
              <w:t>Action</w:t>
            </w:r>
          </w:p>
        </w:tc>
      </w:tr>
      <w:tr w:rsidR="00A66401" w:rsidRPr="00CF4E2F" w14:paraId="1F74C42A" w14:textId="77777777" w:rsidTr="00D6423A">
        <w:tc>
          <w:tcPr>
            <w:tcW w:w="529" w:type="dxa"/>
            <w:vMerge w:val="restart"/>
            <w:shd w:val="clear" w:color="auto" w:fill="auto"/>
            <w:vAlign w:val="center"/>
          </w:tcPr>
          <w:p w14:paraId="46D6343B"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1</w:t>
            </w:r>
          </w:p>
        </w:tc>
        <w:tc>
          <w:tcPr>
            <w:tcW w:w="5550" w:type="dxa"/>
            <w:vMerge w:val="restart"/>
            <w:shd w:val="clear" w:color="auto" w:fill="auto"/>
            <w:vAlign w:val="center"/>
          </w:tcPr>
          <w:p w14:paraId="229E9A85" w14:textId="79A973E5" w:rsidR="00A66401" w:rsidRPr="00CF4E2F" w:rsidRDefault="00A66401" w:rsidP="00D6423A">
            <w:pPr>
              <w:pStyle w:val="TableParagraph"/>
              <w:ind w:left="243"/>
              <w:jc w:val="center"/>
              <w:rPr>
                <w:rFonts w:ascii="Times New Roman" w:eastAsia="Times New Roman" w:hAnsi="Times New Roman"/>
                <w:sz w:val="16"/>
                <w:szCs w:val="16"/>
              </w:rPr>
            </w:pPr>
            <w:r w:rsidRPr="00E25151">
              <w:rPr>
                <w:rFonts w:ascii="Times New Roman" w:hAnsi="Times New Roman"/>
                <w:sz w:val="16"/>
                <w:szCs w:val="16"/>
              </w:rPr>
              <w:t>Netting sets of derivative contracts with a negative fair value gross of collateral posted</w:t>
            </w:r>
            <w:r w:rsidR="00874C82" w:rsidRPr="00080A31">
              <w:rPr>
                <w:rFonts w:ascii="Times New Roman" w:hAnsi="Times New Roman"/>
                <w:sz w:val="16"/>
                <w:szCs w:val="16"/>
              </w:rPr>
              <w:t xml:space="preserve"> or settlement payments and receipts related to market valuation changes of these contracts</w:t>
            </w:r>
            <w:r w:rsidRPr="00E25151">
              <w:rPr>
                <w:rFonts w:ascii="Times New Roman" w:hAnsi="Times New Roman"/>
                <w:sz w:val="16"/>
                <w:szCs w:val="16"/>
              </w:rPr>
              <w:t>?</w:t>
            </w:r>
          </w:p>
        </w:tc>
        <w:tc>
          <w:tcPr>
            <w:tcW w:w="1305" w:type="dxa"/>
            <w:shd w:val="clear" w:color="auto" w:fill="auto"/>
            <w:vAlign w:val="center"/>
          </w:tcPr>
          <w:p w14:paraId="399AA70D" w14:textId="77777777" w:rsidR="00A66401" w:rsidRPr="00CF4E2F" w:rsidRDefault="00A66401" w:rsidP="00D6423A">
            <w:pPr>
              <w:pStyle w:val="TableParagraph"/>
              <w:spacing w:before="32"/>
              <w:ind w:left="433"/>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7D07632E" w14:textId="77777777" w:rsidR="00A66401" w:rsidRPr="00CF4E2F" w:rsidRDefault="00A66401" w:rsidP="00D6423A">
            <w:pPr>
              <w:pStyle w:val="TableParagraph"/>
              <w:ind w:left="137"/>
              <w:jc w:val="center"/>
              <w:rPr>
                <w:rFonts w:ascii="Times New Roman" w:eastAsia="Times New Roman" w:hAnsi="Times New Roman"/>
                <w:sz w:val="16"/>
                <w:szCs w:val="16"/>
              </w:rPr>
            </w:pPr>
            <w:r w:rsidRPr="00CF4E2F">
              <w:rPr>
                <w:rFonts w:ascii="Times New Roman" w:eastAsia="Times New Roman" w:hAnsi="Times New Roman"/>
                <w:sz w:val="16"/>
                <w:szCs w:val="16"/>
              </w:rPr>
              <w:t>ID</w:t>
            </w:r>
            <w:r>
              <w:rPr>
                <w:rFonts w:ascii="Times New Roman" w:eastAsia="Times New Roman" w:hAnsi="Times New Roman"/>
                <w:sz w:val="16"/>
                <w:szCs w:val="16"/>
              </w:rPr>
              <w:t xml:space="preserve"> 1.7.1</w:t>
            </w:r>
          </w:p>
        </w:tc>
      </w:tr>
      <w:tr w:rsidR="00A66401" w:rsidRPr="00CF4E2F" w14:paraId="17B83A09" w14:textId="77777777" w:rsidTr="00D6423A">
        <w:tc>
          <w:tcPr>
            <w:tcW w:w="529" w:type="dxa"/>
            <w:vMerge/>
            <w:shd w:val="clear" w:color="auto" w:fill="auto"/>
            <w:vAlign w:val="center"/>
          </w:tcPr>
          <w:p w14:paraId="5D963AD3"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675B9A00"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402FDAAD" w14:textId="77777777" w:rsidR="00A66401" w:rsidRPr="0040192D"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06E4EF2D" w14:textId="77777777" w:rsidR="00A66401" w:rsidRPr="00CF4E2F" w:rsidRDefault="00A66401" w:rsidP="00D6423A">
            <w:pPr>
              <w:pStyle w:val="TableParagraph"/>
              <w:ind w:left="137"/>
              <w:jc w:val="center"/>
              <w:rPr>
                <w:rFonts w:ascii="Times New Roman" w:eastAsia="Times New Roman" w:hAnsi="Times New Roman"/>
                <w:sz w:val="16"/>
                <w:szCs w:val="16"/>
              </w:rPr>
            </w:pPr>
            <w:r w:rsidRPr="00CF4E2F">
              <w:rPr>
                <w:rFonts w:ascii="Times New Roman" w:eastAsia="Times New Roman" w:hAnsi="Times New Roman"/>
                <w:sz w:val="16"/>
                <w:szCs w:val="16"/>
              </w:rPr>
              <w:t># 2</w:t>
            </w:r>
          </w:p>
        </w:tc>
      </w:tr>
      <w:tr w:rsidR="00A66401" w:rsidRPr="00CF4E2F" w14:paraId="4662FDD1" w14:textId="77777777" w:rsidTr="00D6423A">
        <w:tc>
          <w:tcPr>
            <w:tcW w:w="529" w:type="dxa"/>
            <w:vMerge w:val="restart"/>
            <w:shd w:val="clear" w:color="auto" w:fill="auto"/>
            <w:vAlign w:val="center"/>
          </w:tcPr>
          <w:p w14:paraId="119736F3"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2</w:t>
            </w:r>
          </w:p>
        </w:tc>
        <w:tc>
          <w:tcPr>
            <w:tcW w:w="5550" w:type="dxa"/>
            <w:vMerge w:val="restart"/>
            <w:shd w:val="clear" w:color="auto" w:fill="auto"/>
            <w:vAlign w:val="center"/>
          </w:tcPr>
          <w:p w14:paraId="7123CD49" w14:textId="77777777" w:rsidR="00A66401" w:rsidRPr="00CF4E2F" w:rsidRDefault="00A66401" w:rsidP="00D6423A">
            <w:pPr>
              <w:pStyle w:val="TableParagraph"/>
              <w:ind w:left="243"/>
              <w:jc w:val="center"/>
              <w:rPr>
                <w:rFonts w:ascii="Times New Roman" w:eastAsia="Times New Roman" w:hAnsi="Times New Roman"/>
                <w:sz w:val="16"/>
                <w:szCs w:val="16"/>
              </w:rPr>
            </w:pPr>
            <w:r w:rsidRPr="00E25151">
              <w:rPr>
                <w:rFonts w:ascii="Times New Roman" w:hAnsi="Times New Roman"/>
                <w:sz w:val="16"/>
                <w:szCs w:val="16"/>
              </w:rPr>
              <w:t>An asset or an off-balance sheet item posted as initial margin for derivatives?</w:t>
            </w:r>
          </w:p>
        </w:tc>
        <w:tc>
          <w:tcPr>
            <w:tcW w:w="1305" w:type="dxa"/>
            <w:shd w:val="clear" w:color="auto" w:fill="auto"/>
            <w:vAlign w:val="center"/>
          </w:tcPr>
          <w:p w14:paraId="05874E87" w14:textId="77777777" w:rsidR="00A66401" w:rsidRPr="00CF4E2F" w:rsidRDefault="00A66401" w:rsidP="00D6423A">
            <w:pPr>
              <w:pStyle w:val="TableParagraph"/>
              <w:spacing w:before="123"/>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32DC3ED3" w14:textId="77777777" w:rsidR="00A66401" w:rsidRPr="00CF4E2F" w:rsidRDefault="00A66401" w:rsidP="00D6423A">
            <w:pPr>
              <w:pStyle w:val="TableParagraph"/>
              <w:ind w:left="414" w:right="261" w:hanging="13"/>
              <w:jc w:val="center"/>
              <w:rPr>
                <w:rFonts w:ascii="Times New Roman" w:eastAsia="Times New Roman" w:hAnsi="Times New Roman"/>
                <w:sz w:val="16"/>
                <w:szCs w:val="16"/>
              </w:rPr>
            </w:pPr>
            <w:r>
              <w:rPr>
                <w:rFonts w:ascii="Times New Roman" w:eastAsia="Times New Roman" w:hAnsi="Times New Roman"/>
                <w:sz w:val="16"/>
                <w:szCs w:val="16"/>
              </w:rPr>
              <w:t>ID 1.7.3</w:t>
            </w:r>
          </w:p>
        </w:tc>
      </w:tr>
      <w:tr w:rsidR="00A66401" w:rsidRPr="00CF4E2F" w14:paraId="25F1BD7F" w14:textId="77777777" w:rsidTr="00D6423A">
        <w:tc>
          <w:tcPr>
            <w:tcW w:w="529" w:type="dxa"/>
            <w:vMerge/>
            <w:shd w:val="clear" w:color="auto" w:fill="auto"/>
            <w:vAlign w:val="center"/>
          </w:tcPr>
          <w:p w14:paraId="5EB01A9C"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24F9AACA"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1919D23D" w14:textId="77777777" w:rsidR="00A66401" w:rsidRPr="00CF4E2F" w:rsidRDefault="00A66401" w:rsidP="00D6423A">
            <w:pPr>
              <w:pStyle w:val="TableParagraph"/>
              <w:spacing w:before="32"/>
              <w:ind w:left="459"/>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EA3333F" w14:textId="3EB26276" w:rsidR="00A66401" w:rsidRPr="0040192D" w:rsidRDefault="00A66401" w:rsidP="00D6423A">
            <w:pPr>
              <w:pStyle w:val="TableParagraph"/>
              <w:ind w:left="137"/>
              <w:jc w:val="center"/>
              <w:rPr>
                <w:rFonts w:ascii="Times New Roman" w:hAnsi="Times New Roman"/>
                <w:sz w:val="16"/>
              </w:rPr>
            </w:pPr>
            <w:r>
              <w:rPr>
                <w:rFonts w:ascii="Times New Roman" w:hAnsi="Times New Roman"/>
                <w:sz w:val="16"/>
              </w:rPr>
              <w:t>#</w:t>
            </w:r>
            <w:r w:rsidR="00B202D8">
              <w:rPr>
                <w:rFonts w:ascii="Times New Roman" w:hAnsi="Times New Roman"/>
                <w:sz w:val="16"/>
              </w:rPr>
              <w:t xml:space="preserve"> </w:t>
            </w:r>
            <w:r>
              <w:rPr>
                <w:rFonts w:ascii="Times New Roman" w:hAnsi="Times New Roman"/>
                <w:sz w:val="16"/>
              </w:rPr>
              <w:t>3</w:t>
            </w:r>
          </w:p>
        </w:tc>
      </w:tr>
      <w:tr w:rsidR="00A66401" w:rsidRPr="00CF4E2F" w14:paraId="7ED6E533" w14:textId="77777777" w:rsidTr="00D6423A">
        <w:tc>
          <w:tcPr>
            <w:tcW w:w="529" w:type="dxa"/>
            <w:vMerge w:val="restart"/>
            <w:shd w:val="clear" w:color="auto" w:fill="auto"/>
            <w:vAlign w:val="center"/>
          </w:tcPr>
          <w:p w14:paraId="45FF8129"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3</w:t>
            </w:r>
          </w:p>
        </w:tc>
        <w:tc>
          <w:tcPr>
            <w:tcW w:w="5550" w:type="dxa"/>
            <w:vMerge w:val="restart"/>
            <w:shd w:val="clear" w:color="auto" w:fill="auto"/>
            <w:vAlign w:val="center"/>
          </w:tcPr>
          <w:p w14:paraId="760ADB6E" w14:textId="77777777" w:rsidR="00A66401" w:rsidRPr="00CF4E2F" w:rsidRDefault="00A66401" w:rsidP="00D6423A">
            <w:pPr>
              <w:pStyle w:val="TableParagraph"/>
              <w:ind w:left="243"/>
              <w:jc w:val="center"/>
              <w:rPr>
                <w:rFonts w:ascii="Times New Roman" w:eastAsia="Times New Roman" w:hAnsi="Times New Roman"/>
                <w:sz w:val="16"/>
                <w:szCs w:val="16"/>
              </w:rPr>
            </w:pPr>
            <w:r w:rsidRPr="00E25151">
              <w:rPr>
                <w:rFonts w:ascii="Times New Roman" w:hAnsi="Times New Roman"/>
                <w:sz w:val="16"/>
                <w:szCs w:val="16"/>
              </w:rPr>
              <w:t>An asset or an off-balance sheet item posted as contribution to CCP default fund?</w:t>
            </w:r>
          </w:p>
        </w:tc>
        <w:tc>
          <w:tcPr>
            <w:tcW w:w="1305" w:type="dxa"/>
            <w:shd w:val="clear" w:color="auto" w:fill="auto"/>
            <w:vAlign w:val="center"/>
          </w:tcPr>
          <w:p w14:paraId="19910D7D" w14:textId="77777777" w:rsidR="00A66401" w:rsidRPr="00CF4E2F" w:rsidRDefault="00A66401" w:rsidP="00D6423A">
            <w:pPr>
              <w:pStyle w:val="TableParagraph"/>
              <w:spacing w:before="123"/>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6CBF3811" w14:textId="77777777" w:rsidR="00A66401" w:rsidRPr="00CF4E2F" w:rsidRDefault="00A66401" w:rsidP="00D6423A">
            <w:pPr>
              <w:pStyle w:val="TableParagraph"/>
              <w:ind w:left="414" w:right="261" w:hanging="13"/>
              <w:jc w:val="center"/>
              <w:rPr>
                <w:rFonts w:ascii="Times New Roman" w:eastAsia="Times New Roman" w:hAnsi="Times New Roman"/>
                <w:sz w:val="16"/>
                <w:szCs w:val="16"/>
              </w:rPr>
            </w:pPr>
            <w:r>
              <w:rPr>
                <w:rFonts w:ascii="Times New Roman" w:eastAsia="Times New Roman" w:hAnsi="Times New Roman"/>
                <w:sz w:val="16"/>
                <w:szCs w:val="16"/>
              </w:rPr>
              <w:t>ID 1.8</w:t>
            </w:r>
          </w:p>
        </w:tc>
      </w:tr>
      <w:tr w:rsidR="00A66401" w:rsidRPr="00CF4E2F" w14:paraId="21E57DCB" w14:textId="77777777" w:rsidTr="00D6423A">
        <w:tc>
          <w:tcPr>
            <w:tcW w:w="529" w:type="dxa"/>
            <w:vMerge/>
            <w:shd w:val="clear" w:color="auto" w:fill="auto"/>
            <w:vAlign w:val="center"/>
          </w:tcPr>
          <w:p w14:paraId="1523CDA4"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1994C6A6"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7B959F60"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Pr>
                <w:rFonts w:ascii="Times New Roman" w:eastAsia="Times New Roman" w:hAnsi="Times New Roman"/>
                <w:sz w:val="16"/>
                <w:szCs w:val="16"/>
              </w:rPr>
              <w:t>No</w:t>
            </w:r>
          </w:p>
        </w:tc>
        <w:tc>
          <w:tcPr>
            <w:tcW w:w="2222" w:type="dxa"/>
            <w:shd w:val="clear" w:color="auto" w:fill="auto"/>
            <w:vAlign w:val="center"/>
          </w:tcPr>
          <w:p w14:paraId="3610143F" w14:textId="0374796D" w:rsidR="00A66401" w:rsidRPr="0040192D" w:rsidRDefault="00A66401" w:rsidP="00D6423A">
            <w:pPr>
              <w:pStyle w:val="TableParagraph"/>
              <w:ind w:left="306"/>
              <w:jc w:val="center"/>
              <w:rPr>
                <w:rFonts w:ascii="Times New Roman" w:eastAsia="Times New Roman" w:hAnsi="Times New Roman"/>
                <w:sz w:val="16"/>
                <w:szCs w:val="16"/>
              </w:rPr>
            </w:pPr>
            <w:r>
              <w:rPr>
                <w:rFonts w:ascii="Times New Roman" w:eastAsia="Times New Roman" w:hAnsi="Times New Roman"/>
                <w:sz w:val="16"/>
                <w:szCs w:val="16"/>
              </w:rPr>
              <w:t>#</w:t>
            </w:r>
            <w:r w:rsidR="00B202D8">
              <w:rPr>
                <w:rFonts w:ascii="Times New Roman" w:eastAsia="Times New Roman" w:hAnsi="Times New Roman"/>
                <w:sz w:val="16"/>
                <w:szCs w:val="16"/>
              </w:rPr>
              <w:t xml:space="preserve"> </w:t>
            </w:r>
            <w:r>
              <w:rPr>
                <w:rFonts w:ascii="Times New Roman" w:eastAsia="Times New Roman" w:hAnsi="Times New Roman"/>
                <w:sz w:val="16"/>
                <w:szCs w:val="16"/>
              </w:rPr>
              <w:t>4</w:t>
            </w:r>
          </w:p>
        </w:tc>
      </w:tr>
      <w:tr w:rsidR="00A66401" w:rsidRPr="00CF4E2F" w14:paraId="141D083D" w14:textId="77777777" w:rsidTr="00D6423A">
        <w:tc>
          <w:tcPr>
            <w:tcW w:w="529" w:type="dxa"/>
            <w:vMerge w:val="restart"/>
            <w:shd w:val="clear" w:color="auto" w:fill="auto"/>
            <w:vAlign w:val="center"/>
          </w:tcPr>
          <w:p w14:paraId="7C17A477"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4</w:t>
            </w:r>
          </w:p>
        </w:tc>
        <w:tc>
          <w:tcPr>
            <w:tcW w:w="5550" w:type="dxa"/>
            <w:vMerge w:val="restart"/>
            <w:shd w:val="clear" w:color="auto" w:fill="auto"/>
            <w:vAlign w:val="center"/>
          </w:tcPr>
          <w:p w14:paraId="320D73A0" w14:textId="77777777" w:rsidR="00A66401" w:rsidRPr="00CF4E2F" w:rsidRDefault="00A66401" w:rsidP="00D6423A">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An item on which the institution retains beneficial ownership?</w:t>
            </w:r>
          </w:p>
        </w:tc>
        <w:tc>
          <w:tcPr>
            <w:tcW w:w="1305" w:type="dxa"/>
            <w:shd w:val="clear" w:color="auto" w:fill="auto"/>
            <w:vAlign w:val="center"/>
          </w:tcPr>
          <w:p w14:paraId="4919877C" w14:textId="77777777" w:rsidR="00A66401" w:rsidRPr="00CF4E2F" w:rsidRDefault="00A66401" w:rsidP="00D6423A">
            <w:pPr>
              <w:pStyle w:val="TableParagraph"/>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736F6906" w14:textId="563F5946" w:rsidR="00A66401" w:rsidRPr="00CF4E2F" w:rsidRDefault="00A66401" w:rsidP="00B202D8">
            <w:pPr>
              <w:pStyle w:val="TableParagraph"/>
              <w:ind w:left="253" w:right="114" w:hanging="3"/>
              <w:jc w:val="center"/>
              <w:rPr>
                <w:rFonts w:ascii="Times New Roman" w:eastAsia="Times New Roman" w:hAnsi="Times New Roman"/>
                <w:sz w:val="16"/>
                <w:szCs w:val="16"/>
              </w:rPr>
            </w:pPr>
            <w:r>
              <w:rPr>
                <w:rFonts w:ascii="Times New Roman" w:eastAsia="Times New Roman" w:hAnsi="Times New Roman"/>
                <w:sz w:val="16"/>
                <w:szCs w:val="16"/>
              </w:rPr>
              <w:t>#</w:t>
            </w:r>
            <w:r w:rsidR="00B202D8">
              <w:rPr>
                <w:rFonts w:ascii="Times New Roman" w:eastAsia="Times New Roman" w:hAnsi="Times New Roman"/>
                <w:sz w:val="16"/>
                <w:szCs w:val="16"/>
              </w:rPr>
              <w:t xml:space="preserve"> 5</w:t>
            </w:r>
          </w:p>
        </w:tc>
      </w:tr>
      <w:tr w:rsidR="00A66401" w:rsidRPr="00CF4E2F" w14:paraId="15115408" w14:textId="77777777" w:rsidTr="00D6423A">
        <w:tc>
          <w:tcPr>
            <w:tcW w:w="529" w:type="dxa"/>
            <w:vMerge/>
            <w:shd w:val="clear" w:color="auto" w:fill="auto"/>
            <w:vAlign w:val="center"/>
          </w:tcPr>
          <w:p w14:paraId="38D1C5C8"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629D5748"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492A45E3"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Pr>
                <w:rFonts w:ascii="Times New Roman" w:eastAsia="Times New Roman" w:hAnsi="Times New Roman"/>
                <w:sz w:val="16"/>
                <w:szCs w:val="16"/>
              </w:rPr>
              <w:t>No</w:t>
            </w:r>
          </w:p>
        </w:tc>
        <w:tc>
          <w:tcPr>
            <w:tcW w:w="2222" w:type="dxa"/>
            <w:shd w:val="clear" w:color="auto" w:fill="auto"/>
            <w:vAlign w:val="center"/>
          </w:tcPr>
          <w:p w14:paraId="75C80268" w14:textId="0DF54E69" w:rsidR="00A66401" w:rsidRPr="0040192D" w:rsidRDefault="00A66401" w:rsidP="00D6423A">
            <w:pPr>
              <w:pStyle w:val="TableParagraph"/>
              <w:ind w:left="136"/>
              <w:jc w:val="center"/>
              <w:rPr>
                <w:rFonts w:ascii="Times New Roman" w:eastAsia="Times New Roman" w:hAnsi="Times New Roman"/>
                <w:sz w:val="16"/>
                <w:szCs w:val="16"/>
              </w:rPr>
            </w:pPr>
            <w:r>
              <w:rPr>
                <w:rFonts w:ascii="Times New Roman" w:eastAsia="Times New Roman" w:hAnsi="Times New Roman"/>
                <w:sz w:val="16"/>
                <w:szCs w:val="16"/>
              </w:rPr>
              <w:t>#</w:t>
            </w:r>
            <w:r w:rsidR="000B60B2">
              <w:rPr>
                <w:rFonts w:ascii="Times New Roman" w:eastAsia="Times New Roman" w:hAnsi="Times New Roman"/>
                <w:sz w:val="16"/>
                <w:szCs w:val="16"/>
              </w:rPr>
              <w:t xml:space="preserve"> </w:t>
            </w:r>
            <w:r>
              <w:rPr>
                <w:rFonts w:ascii="Times New Roman" w:eastAsia="Times New Roman" w:hAnsi="Times New Roman"/>
                <w:sz w:val="16"/>
                <w:szCs w:val="16"/>
              </w:rPr>
              <w:t>19</w:t>
            </w:r>
          </w:p>
        </w:tc>
      </w:tr>
      <w:tr w:rsidR="00A66401" w:rsidRPr="00CF4E2F" w14:paraId="3A9B059E" w14:textId="77777777" w:rsidTr="00D6423A">
        <w:tc>
          <w:tcPr>
            <w:tcW w:w="529" w:type="dxa"/>
            <w:vMerge w:val="restart"/>
            <w:shd w:val="clear" w:color="auto" w:fill="auto"/>
            <w:vAlign w:val="center"/>
          </w:tcPr>
          <w:p w14:paraId="54D1814F" w14:textId="77777777" w:rsidR="00A66401" w:rsidRPr="00DD6B59" w:rsidRDefault="00A66401" w:rsidP="00D6423A">
            <w:pPr>
              <w:jc w:val="center"/>
              <w:rPr>
                <w:rFonts w:ascii="Times New Roman" w:eastAsia="Calibri" w:hAnsi="Times New Roman"/>
                <w:sz w:val="16"/>
                <w:szCs w:val="16"/>
                <w:lang w:val="en-US"/>
              </w:rPr>
            </w:pPr>
            <w:r w:rsidRPr="00DD6B59">
              <w:rPr>
                <w:rFonts w:ascii="Times New Roman" w:eastAsia="Calibri" w:hAnsi="Times New Roman"/>
                <w:sz w:val="16"/>
                <w:szCs w:val="16"/>
                <w:lang w:val="en-US"/>
              </w:rPr>
              <w:t>5</w:t>
            </w:r>
          </w:p>
        </w:tc>
        <w:tc>
          <w:tcPr>
            <w:tcW w:w="5550" w:type="dxa"/>
            <w:vMerge w:val="restart"/>
            <w:shd w:val="clear" w:color="auto" w:fill="auto"/>
            <w:vAlign w:val="center"/>
          </w:tcPr>
          <w:p w14:paraId="045A9BB4" w14:textId="7E5875D5" w:rsidR="00A66401" w:rsidRPr="00CF4E2F" w:rsidRDefault="00A66401" w:rsidP="00B202D8">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An asset as</w:t>
            </w:r>
            <w:r w:rsidRPr="001A257C">
              <w:rPr>
                <w:rFonts w:ascii="Times New Roman" w:eastAsia="Calibri" w:hAnsi="Times New Roman"/>
                <w:sz w:val="16"/>
                <w:szCs w:val="16"/>
                <w:lang w:val="en-US"/>
              </w:rPr>
              <w:t>sociated with collateral posted as initial or variation margin for derivatives or as contribution to CCP default fund?</w:t>
            </w:r>
          </w:p>
        </w:tc>
        <w:tc>
          <w:tcPr>
            <w:tcW w:w="1305" w:type="dxa"/>
            <w:shd w:val="clear" w:color="auto" w:fill="auto"/>
            <w:vAlign w:val="center"/>
          </w:tcPr>
          <w:p w14:paraId="2314005D" w14:textId="77777777" w:rsidR="00A66401" w:rsidRPr="0040192D" w:rsidRDefault="00A66401" w:rsidP="00D6423A">
            <w:pPr>
              <w:pStyle w:val="TableParagraph"/>
              <w:spacing w:before="32"/>
              <w:ind w:left="459"/>
              <w:jc w:val="center"/>
              <w:rPr>
                <w:rFonts w:ascii="Times New Roman" w:hAnsi="Times New Roman"/>
                <w:sz w:val="16"/>
                <w:szCs w:val="16"/>
              </w:rPr>
            </w:pPr>
            <w:r>
              <w:rPr>
                <w:rFonts w:ascii="Times New Roman" w:hAnsi="Times New Roman"/>
                <w:sz w:val="16"/>
                <w:szCs w:val="16"/>
              </w:rPr>
              <w:t>Yes</w:t>
            </w:r>
          </w:p>
        </w:tc>
        <w:tc>
          <w:tcPr>
            <w:tcW w:w="2222" w:type="dxa"/>
            <w:shd w:val="clear" w:color="auto" w:fill="auto"/>
            <w:vAlign w:val="center"/>
          </w:tcPr>
          <w:p w14:paraId="515EBD8F" w14:textId="77777777" w:rsidR="00A66401" w:rsidRPr="00CF4E2F" w:rsidRDefault="00A66401" w:rsidP="00D6423A">
            <w:pPr>
              <w:pStyle w:val="TableParagraph"/>
              <w:ind w:left="136"/>
              <w:jc w:val="center"/>
              <w:rPr>
                <w:rFonts w:ascii="Times New Roman" w:hAnsi="Times New Roman"/>
                <w:sz w:val="16"/>
                <w:szCs w:val="16"/>
              </w:rPr>
            </w:pPr>
            <w:r>
              <w:rPr>
                <w:rFonts w:ascii="Times New Roman" w:hAnsi="Times New Roman"/>
                <w:sz w:val="16"/>
                <w:szCs w:val="16"/>
              </w:rPr>
              <w:t>Do not report.</w:t>
            </w:r>
          </w:p>
        </w:tc>
      </w:tr>
      <w:tr w:rsidR="00A66401" w:rsidRPr="00CF4E2F" w14:paraId="79F9E000" w14:textId="77777777" w:rsidTr="00D6423A">
        <w:tc>
          <w:tcPr>
            <w:tcW w:w="529" w:type="dxa"/>
            <w:vMerge/>
            <w:shd w:val="clear" w:color="auto" w:fill="auto"/>
            <w:vAlign w:val="center"/>
          </w:tcPr>
          <w:p w14:paraId="6833631A" w14:textId="77777777" w:rsidR="00A66401" w:rsidRPr="00DD6B59"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166DBB15"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0AAED7EB" w14:textId="77777777" w:rsidR="00A66401" w:rsidRPr="00CF4E2F" w:rsidRDefault="00A66401" w:rsidP="00D6423A">
            <w:pPr>
              <w:pStyle w:val="TableParagraph"/>
              <w:spacing w:before="32"/>
              <w:ind w:left="459"/>
              <w:jc w:val="center"/>
              <w:rPr>
                <w:rFonts w:ascii="Times New Roman" w:hAnsi="Times New Roman"/>
                <w:sz w:val="16"/>
                <w:szCs w:val="16"/>
              </w:rPr>
            </w:pPr>
            <w:r>
              <w:rPr>
                <w:rFonts w:ascii="Times New Roman" w:hAnsi="Times New Roman"/>
                <w:sz w:val="16"/>
                <w:szCs w:val="16"/>
              </w:rPr>
              <w:t>No</w:t>
            </w:r>
          </w:p>
        </w:tc>
        <w:tc>
          <w:tcPr>
            <w:tcW w:w="2222" w:type="dxa"/>
            <w:shd w:val="clear" w:color="auto" w:fill="auto"/>
            <w:vAlign w:val="center"/>
          </w:tcPr>
          <w:p w14:paraId="709E0A31" w14:textId="6337EE46" w:rsidR="00A66401" w:rsidRPr="00CF4E2F" w:rsidRDefault="00A66401" w:rsidP="00D6423A">
            <w:pPr>
              <w:pStyle w:val="TableParagraph"/>
              <w:ind w:left="136"/>
              <w:jc w:val="center"/>
              <w:rPr>
                <w:rFonts w:ascii="Times New Roman" w:hAnsi="Times New Roman"/>
                <w:sz w:val="16"/>
                <w:szCs w:val="16"/>
              </w:rPr>
            </w:pPr>
            <w:r>
              <w:rPr>
                <w:rFonts w:ascii="Times New Roman" w:hAnsi="Times New Roman"/>
                <w:sz w:val="16"/>
                <w:szCs w:val="16"/>
              </w:rPr>
              <w:t>#</w:t>
            </w:r>
            <w:r w:rsidR="00B202D8">
              <w:rPr>
                <w:rFonts w:ascii="Times New Roman" w:hAnsi="Times New Roman"/>
                <w:sz w:val="16"/>
                <w:szCs w:val="16"/>
              </w:rPr>
              <w:t xml:space="preserve"> </w:t>
            </w:r>
            <w:r>
              <w:rPr>
                <w:rFonts w:ascii="Times New Roman" w:hAnsi="Times New Roman"/>
                <w:sz w:val="16"/>
                <w:szCs w:val="16"/>
              </w:rPr>
              <w:t>6</w:t>
            </w:r>
          </w:p>
        </w:tc>
      </w:tr>
      <w:tr w:rsidR="00A66401" w:rsidRPr="00CF4E2F" w14:paraId="6F313BE5" w14:textId="77777777" w:rsidTr="00D6423A">
        <w:tc>
          <w:tcPr>
            <w:tcW w:w="529" w:type="dxa"/>
            <w:vMerge w:val="restart"/>
            <w:shd w:val="clear" w:color="auto" w:fill="auto"/>
            <w:vAlign w:val="center"/>
          </w:tcPr>
          <w:p w14:paraId="021356EA"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6</w:t>
            </w:r>
          </w:p>
        </w:tc>
        <w:tc>
          <w:tcPr>
            <w:tcW w:w="5550" w:type="dxa"/>
            <w:vMerge w:val="restart"/>
            <w:shd w:val="clear" w:color="auto" w:fill="auto"/>
            <w:vAlign w:val="center"/>
          </w:tcPr>
          <w:p w14:paraId="3AFA0CAD" w14:textId="77777777" w:rsidR="00A66401" w:rsidRPr="00CF4E2F" w:rsidRDefault="00A66401" w:rsidP="00D6423A">
            <w:pPr>
              <w:pStyle w:val="TableParagraph"/>
              <w:ind w:left="243"/>
              <w:jc w:val="center"/>
              <w:rPr>
                <w:rFonts w:ascii="Times New Roman" w:eastAsia="Times New Roman" w:hAnsi="Times New Roman"/>
                <w:sz w:val="16"/>
                <w:szCs w:val="16"/>
              </w:rPr>
            </w:pPr>
            <w:r w:rsidRPr="00CF4E2F">
              <w:rPr>
                <w:rFonts w:ascii="Times New Roman" w:eastAsia="Times New Roman" w:hAnsi="Times New Roman"/>
                <w:sz w:val="16"/>
                <w:szCs w:val="16"/>
              </w:rPr>
              <w:t>Non-performing assets or defaulted securities?</w:t>
            </w:r>
          </w:p>
        </w:tc>
        <w:tc>
          <w:tcPr>
            <w:tcW w:w="1305" w:type="dxa"/>
            <w:shd w:val="clear" w:color="auto" w:fill="auto"/>
            <w:vAlign w:val="center"/>
          </w:tcPr>
          <w:p w14:paraId="25C50F22" w14:textId="77777777" w:rsidR="00A66401" w:rsidRPr="00CF4E2F" w:rsidRDefault="00A66401" w:rsidP="00D6423A">
            <w:pPr>
              <w:pStyle w:val="TableParagraph"/>
              <w:spacing w:before="34"/>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13E2645F" w14:textId="77777777" w:rsidR="00A66401" w:rsidRPr="00CF4E2F" w:rsidRDefault="00A66401" w:rsidP="00D6423A">
            <w:pPr>
              <w:pStyle w:val="TableParagraph"/>
              <w:ind w:left="137"/>
              <w:jc w:val="center"/>
              <w:rPr>
                <w:rFonts w:ascii="Times New Roman" w:eastAsia="Times New Roman" w:hAnsi="Times New Roman"/>
                <w:sz w:val="16"/>
                <w:szCs w:val="16"/>
              </w:rPr>
            </w:pPr>
            <w:r>
              <w:rPr>
                <w:rFonts w:ascii="Times New Roman" w:eastAsia="Times New Roman" w:hAnsi="Times New Roman"/>
                <w:sz w:val="16"/>
                <w:szCs w:val="16"/>
              </w:rPr>
              <w:t>ID 1.9</w:t>
            </w:r>
          </w:p>
        </w:tc>
      </w:tr>
      <w:tr w:rsidR="00A66401" w:rsidRPr="00CF4E2F" w14:paraId="6A5018BC" w14:textId="77777777" w:rsidTr="00D6423A">
        <w:tc>
          <w:tcPr>
            <w:tcW w:w="529" w:type="dxa"/>
            <w:vMerge/>
            <w:shd w:val="clear" w:color="auto" w:fill="auto"/>
            <w:vAlign w:val="center"/>
          </w:tcPr>
          <w:p w14:paraId="4ED3A08C"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27C30B7A"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009C2163"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Pr>
                <w:rFonts w:ascii="Times New Roman" w:eastAsia="Times New Roman" w:hAnsi="Times New Roman"/>
                <w:sz w:val="16"/>
                <w:szCs w:val="16"/>
              </w:rPr>
              <w:t>No</w:t>
            </w:r>
          </w:p>
        </w:tc>
        <w:tc>
          <w:tcPr>
            <w:tcW w:w="2222" w:type="dxa"/>
            <w:shd w:val="clear" w:color="auto" w:fill="auto"/>
            <w:vAlign w:val="center"/>
          </w:tcPr>
          <w:p w14:paraId="00B9932F" w14:textId="5A30929A" w:rsidR="00A66401" w:rsidRPr="0040192D"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w:t>
            </w:r>
            <w:r w:rsidR="00B202D8">
              <w:rPr>
                <w:rFonts w:ascii="Times New Roman" w:eastAsia="Times New Roman" w:hAnsi="Times New Roman"/>
                <w:sz w:val="16"/>
                <w:szCs w:val="16"/>
              </w:rPr>
              <w:t xml:space="preserve"> </w:t>
            </w:r>
            <w:r>
              <w:rPr>
                <w:rFonts w:ascii="Times New Roman" w:eastAsia="Times New Roman" w:hAnsi="Times New Roman"/>
                <w:sz w:val="16"/>
                <w:szCs w:val="16"/>
              </w:rPr>
              <w:t>7</w:t>
            </w:r>
          </w:p>
        </w:tc>
      </w:tr>
      <w:tr w:rsidR="00A66401" w:rsidRPr="00CF4E2F" w14:paraId="623CB09B" w14:textId="77777777" w:rsidTr="00D6423A">
        <w:tc>
          <w:tcPr>
            <w:tcW w:w="529" w:type="dxa"/>
            <w:vMerge w:val="restart"/>
            <w:shd w:val="clear" w:color="auto" w:fill="auto"/>
            <w:vAlign w:val="center"/>
          </w:tcPr>
          <w:p w14:paraId="1DD1E583"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7</w:t>
            </w:r>
          </w:p>
        </w:tc>
        <w:tc>
          <w:tcPr>
            <w:tcW w:w="5550" w:type="dxa"/>
            <w:vMerge w:val="restart"/>
            <w:shd w:val="clear" w:color="auto" w:fill="auto"/>
            <w:vAlign w:val="center"/>
          </w:tcPr>
          <w:p w14:paraId="185E8B77" w14:textId="77777777" w:rsidR="00A66401" w:rsidRPr="00CF4E2F" w:rsidRDefault="00A66401" w:rsidP="00D6423A">
            <w:pPr>
              <w:pStyle w:val="TableParagraph"/>
              <w:spacing w:before="80"/>
              <w:ind w:left="243" w:right="100"/>
              <w:jc w:val="center"/>
              <w:rPr>
                <w:rFonts w:ascii="Times New Roman" w:eastAsia="Times New Roman" w:hAnsi="Times New Roman"/>
                <w:sz w:val="16"/>
                <w:szCs w:val="16"/>
              </w:rPr>
            </w:pPr>
            <w:r w:rsidRPr="00CF4E2F">
              <w:rPr>
                <w:rFonts w:ascii="Times New Roman" w:eastAsia="Times New Roman" w:hAnsi="Times New Roman"/>
                <w:sz w:val="16"/>
                <w:szCs w:val="16"/>
              </w:rPr>
              <w:t>Trade date receivables?</w:t>
            </w:r>
          </w:p>
        </w:tc>
        <w:tc>
          <w:tcPr>
            <w:tcW w:w="1305" w:type="dxa"/>
            <w:shd w:val="clear" w:color="auto" w:fill="auto"/>
            <w:vAlign w:val="center"/>
          </w:tcPr>
          <w:p w14:paraId="7E190288" w14:textId="77777777" w:rsidR="00A66401" w:rsidRPr="00CF4E2F" w:rsidRDefault="00A66401" w:rsidP="00D6423A">
            <w:pPr>
              <w:pStyle w:val="TableParagraph"/>
              <w:spacing w:before="32"/>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2083255A" w14:textId="77777777" w:rsidR="00A66401" w:rsidRPr="00CF4E2F" w:rsidRDefault="00A66401" w:rsidP="00D6423A">
            <w:pPr>
              <w:pStyle w:val="TableParagraph"/>
              <w:ind w:left="306"/>
              <w:jc w:val="center"/>
              <w:rPr>
                <w:rFonts w:ascii="Times New Roman" w:eastAsia="Times New Roman" w:hAnsi="Times New Roman"/>
                <w:sz w:val="16"/>
                <w:szCs w:val="16"/>
              </w:rPr>
            </w:pPr>
            <w:r>
              <w:rPr>
                <w:rFonts w:ascii="Times New Roman" w:eastAsia="Times New Roman" w:hAnsi="Times New Roman"/>
                <w:sz w:val="16"/>
                <w:szCs w:val="16"/>
              </w:rPr>
              <w:t>ID 1.9</w:t>
            </w:r>
          </w:p>
        </w:tc>
      </w:tr>
      <w:tr w:rsidR="00A66401" w:rsidRPr="00CF4E2F" w14:paraId="500B5177" w14:textId="77777777" w:rsidTr="00D6423A">
        <w:tc>
          <w:tcPr>
            <w:tcW w:w="529" w:type="dxa"/>
            <w:vMerge/>
            <w:shd w:val="clear" w:color="auto" w:fill="auto"/>
            <w:vAlign w:val="center"/>
          </w:tcPr>
          <w:p w14:paraId="4D500C04"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12E9C9E6"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2DF34B3B"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Pr>
                <w:rFonts w:ascii="Times New Roman" w:eastAsia="Times New Roman" w:hAnsi="Times New Roman"/>
                <w:sz w:val="16"/>
                <w:szCs w:val="16"/>
              </w:rPr>
              <w:t>No</w:t>
            </w:r>
          </w:p>
        </w:tc>
        <w:tc>
          <w:tcPr>
            <w:tcW w:w="2222" w:type="dxa"/>
            <w:shd w:val="clear" w:color="auto" w:fill="auto"/>
            <w:vAlign w:val="center"/>
          </w:tcPr>
          <w:p w14:paraId="6999E5A1" w14:textId="40AB5FC8" w:rsidR="00A66401" w:rsidRPr="0040192D" w:rsidRDefault="00A66401" w:rsidP="00D6423A">
            <w:pPr>
              <w:pStyle w:val="TableParagraph"/>
              <w:ind w:left="137"/>
              <w:jc w:val="center"/>
              <w:rPr>
                <w:rFonts w:ascii="Times New Roman" w:eastAsia="Times New Roman" w:hAnsi="Times New Roman"/>
                <w:sz w:val="16"/>
                <w:szCs w:val="16"/>
              </w:rPr>
            </w:pPr>
            <w:r>
              <w:rPr>
                <w:rFonts w:ascii="Times New Roman" w:eastAsia="Times New Roman" w:hAnsi="Times New Roman"/>
                <w:sz w:val="16"/>
                <w:szCs w:val="16"/>
              </w:rPr>
              <w:t>#</w:t>
            </w:r>
            <w:r w:rsidR="00B202D8">
              <w:rPr>
                <w:rFonts w:ascii="Times New Roman" w:eastAsia="Times New Roman" w:hAnsi="Times New Roman"/>
                <w:sz w:val="16"/>
                <w:szCs w:val="16"/>
              </w:rPr>
              <w:t xml:space="preserve"> </w:t>
            </w:r>
            <w:r>
              <w:rPr>
                <w:rFonts w:ascii="Times New Roman" w:eastAsia="Times New Roman" w:hAnsi="Times New Roman"/>
                <w:sz w:val="16"/>
                <w:szCs w:val="16"/>
              </w:rPr>
              <w:t>8</w:t>
            </w:r>
          </w:p>
        </w:tc>
      </w:tr>
      <w:tr w:rsidR="00A66401" w:rsidRPr="00CF4E2F" w14:paraId="65EFC926" w14:textId="77777777" w:rsidTr="00D6423A">
        <w:tc>
          <w:tcPr>
            <w:tcW w:w="529" w:type="dxa"/>
            <w:vMerge w:val="restart"/>
            <w:shd w:val="clear" w:color="auto" w:fill="auto"/>
            <w:vAlign w:val="center"/>
          </w:tcPr>
          <w:p w14:paraId="5D41255C"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hAnsi="Times New Roman"/>
                <w:sz w:val="16"/>
              </w:rPr>
              <w:t>8</w:t>
            </w:r>
          </w:p>
        </w:tc>
        <w:tc>
          <w:tcPr>
            <w:tcW w:w="5550" w:type="dxa"/>
            <w:vMerge w:val="restart"/>
            <w:shd w:val="clear" w:color="auto" w:fill="auto"/>
            <w:vAlign w:val="center"/>
          </w:tcPr>
          <w:p w14:paraId="2743202D" w14:textId="2EE3F811" w:rsidR="00A66401" w:rsidRPr="00CF4E2F" w:rsidRDefault="0006614D" w:rsidP="00874C82">
            <w:pPr>
              <w:pStyle w:val="TableParagraph"/>
              <w:ind w:left="243"/>
              <w:jc w:val="center"/>
              <w:rPr>
                <w:rFonts w:ascii="Times New Roman" w:eastAsia="Times New Roman" w:hAnsi="Times New Roman"/>
                <w:sz w:val="16"/>
                <w:szCs w:val="16"/>
              </w:rPr>
            </w:pPr>
            <w:r w:rsidRPr="00CF4E2F">
              <w:rPr>
                <w:rFonts w:ascii="Times New Roman" w:eastAsia="Calibri" w:hAnsi="Times New Roman"/>
                <w:sz w:val="16"/>
                <w:szCs w:val="16"/>
              </w:rPr>
              <w:t>Authorized interdependent assets</w:t>
            </w:r>
            <w:r w:rsidR="00A66401" w:rsidRPr="00CF4E2F">
              <w:rPr>
                <w:rFonts w:ascii="Times New Roman" w:eastAsia="Calibri" w:hAnsi="Times New Roman"/>
                <w:sz w:val="16"/>
                <w:szCs w:val="16"/>
              </w:rPr>
              <w:t>?</w:t>
            </w:r>
          </w:p>
        </w:tc>
        <w:tc>
          <w:tcPr>
            <w:tcW w:w="1305" w:type="dxa"/>
            <w:shd w:val="clear" w:color="auto" w:fill="auto"/>
            <w:vAlign w:val="center"/>
          </w:tcPr>
          <w:p w14:paraId="55362B73" w14:textId="77777777" w:rsidR="00A66401" w:rsidRPr="00CF4E2F" w:rsidRDefault="00A66401" w:rsidP="00D6423A">
            <w:pPr>
              <w:pStyle w:val="TableParagraph"/>
              <w:spacing w:before="125"/>
              <w:ind w:left="433"/>
              <w:jc w:val="center"/>
              <w:rPr>
                <w:rFonts w:ascii="Times New Roman" w:eastAsia="Times New Roman" w:hAnsi="Times New Roman"/>
                <w:sz w:val="16"/>
                <w:szCs w:val="16"/>
              </w:rPr>
            </w:pPr>
            <w:r>
              <w:rPr>
                <w:rFonts w:ascii="Times New Roman" w:eastAsia="Times New Roman" w:hAnsi="Times New Roman"/>
                <w:sz w:val="16"/>
                <w:szCs w:val="16"/>
              </w:rPr>
              <w:t>Yes</w:t>
            </w:r>
          </w:p>
        </w:tc>
        <w:tc>
          <w:tcPr>
            <w:tcW w:w="2222" w:type="dxa"/>
            <w:shd w:val="clear" w:color="auto" w:fill="auto"/>
            <w:vAlign w:val="center"/>
          </w:tcPr>
          <w:p w14:paraId="1A2DB119" w14:textId="77777777" w:rsidR="00A66401" w:rsidRPr="00CF4E2F" w:rsidRDefault="00A66401" w:rsidP="00D6423A">
            <w:pPr>
              <w:pStyle w:val="TableParagraph"/>
              <w:ind w:left="414" w:right="244" w:hanging="34"/>
              <w:jc w:val="center"/>
              <w:rPr>
                <w:rFonts w:ascii="Times New Roman" w:eastAsia="Times New Roman" w:hAnsi="Times New Roman"/>
                <w:sz w:val="16"/>
                <w:szCs w:val="16"/>
              </w:rPr>
            </w:pPr>
            <w:r w:rsidRPr="00F44B55">
              <w:rPr>
                <w:rFonts w:ascii="Times New Roman" w:hAnsi="Times New Roman"/>
                <w:sz w:val="16"/>
                <w:szCs w:val="16"/>
              </w:rPr>
              <w:t>Allocate into one relevant item of ID 1.5</w:t>
            </w:r>
          </w:p>
        </w:tc>
      </w:tr>
      <w:tr w:rsidR="00A66401" w:rsidRPr="00CF4E2F" w14:paraId="0250C46B" w14:textId="77777777" w:rsidTr="00D6423A">
        <w:tc>
          <w:tcPr>
            <w:tcW w:w="529" w:type="dxa"/>
            <w:vMerge/>
            <w:shd w:val="clear" w:color="auto" w:fill="auto"/>
            <w:vAlign w:val="center"/>
          </w:tcPr>
          <w:p w14:paraId="3B049211" w14:textId="77777777" w:rsidR="00A66401" w:rsidRPr="00DD6B59"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39647928" w14:textId="77777777" w:rsidR="00A66401" w:rsidRPr="00DD6B59" w:rsidRDefault="00A66401" w:rsidP="00D6423A">
            <w:pPr>
              <w:jc w:val="center"/>
              <w:rPr>
                <w:rFonts w:ascii="Times New Roman" w:eastAsia="Calibri" w:hAnsi="Times New Roman"/>
                <w:sz w:val="22"/>
                <w:lang w:val="en-US"/>
              </w:rPr>
            </w:pPr>
          </w:p>
        </w:tc>
        <w:tc>
          <w:tcPr>
            <w:tcW w:w="1305" w:type="dxa"/>
            <w:shd w:val="clear" w:color="auto" w:fill="auto"/>
            <w:vAlign w:val="center"/>
          </w:tcPr>
          <w:p w14:paraId="5E88CB5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40EDEAAD" w14:textId="56295F41" w:rsidR="00A66401" w:rsidRPr="0040192D" w:rsidRDefault="00A66401" w:rsidP="00D6423A">
            <w:pPr>
              <w:pStyle w:val="TableParagraph"/>
              <w:ind w:left="136"/>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874C82">
              <w:rPr>
                <w:rFonts w:ascii="Times New Roman" w:eastAsia="Times New Roman" w:hAnsi="Times New Roman"/>
                <w:sz w:val="16"/>
                <w:szCs w:val="16"/>
              </w:rPr>
              <w:t xml:space="preserve"> </w:t>
            </w:r>
            <w:r>
              <w:rPr>
                <w:rFonts w:ascii="Times New Roman" w:eastAsia="Times New Roman" w:hAnsi="Times New Roman"/>
                <w:sz w:val="16"/>
                <w:szCs w:val="16"/>
              </w:rPr>
              <w:t>9</w:t>
            </w:r>
          </w:p>
        </w:tc>
      </w:tr>
      <w:tr w:rsidR="00A66401" w:rsidRPr="00CF4E2F" w14:paraId="7B1980BF" w14:textId="77777777" w:rsidTr="00D6423A">
        <w:tc>
          <w:tcPr>
            <w:tcW w:w="529" w:type="dxa"/>
            <w:vMerge w:val="restart"/>
            <w:shd w:val="clear" w:color="auto" w:fill="auto"/>
            <w:vAlign w:val="center"/>
          </w:tcPr>
          <w:p w14:paraId="6F8C00FA"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eastAsia="Calibri" w:hAnsi="Times New Roman"/>
                <w:sz w:val="16"/>
                <w:szCs w:val="16"/>
              </w:rPr>
              <w:t>9</w:t>
            </w:r>
          </w:p>
        </w:tc>
        <w:tc>
          <w:tcPr>
            <w:tcW w:w="5550" w:type="dxa"/>
            <w:vMerge w:val="restart"/>
            <w:shd w:val="clear" w:color="auto" w:fill="auto"/>
            <w:vAlign w:val="center"/>
          </w:tcPr>
          <w:p w14:paraId="690E7B4B" w14:textId="19C0FF44" w:rsidR="00A66401" w:rsidRPr="00CF4E2F" w:rsidRDefault="0006614D" w:rsidP="009F3A78">
            <w:pPr>
              <w:pStyle w:val="TableParagraph"/>
              <w:ind w:left="243"/>
              <w:jc w:val="center"/>
              <w:rPr>
                <w:rFonts w:ascii="Times New Roman" w:eastAsia="Times New Roman" w:hAnsi="Times New Roman"/>
                <w:sz w:val="16"/>
                <w:szCs w:val="16"/>
              </w:rPr>
            </w:pPr>
            <w:r w:rsidRPr="00CF4E2F">
              <w:rPr>
                <w:rFonts w:ascii="Times New Roman" w:eastAsia="Calibri" w:hAnsi="Times New Roman"/>
                <w:sz w:val="16"/>
                <w:szCs w:val="16"/>
              </w:rPr>
              <w:t xml:space="preserve">Assets within a group or an IPS </w:t>
            </w:r>
            <w:r>
              <w:rPr>
                <w:rFonts w:ascii="Times New Roman" w:eastAsia="Calibri" w:hAnsi="Times New Roman"/>
                <w:sz w:val="16"/>
                <w:szCs w:val="16"/>
              </w:rPr>
              <w:t>for which the competent authority has granted the</w:t>
            </w:r>
            <w:r w:rsidRPr="00CF4E2F">
              <w:rPr>
                <w:rFonts w:ascii="Times New Roman" w:eastAsia="Calibri" w:hAnsi="Times New Roman"/>
                <w:sz w:val="16"/>
                <w:szCs w:val="16"/>
              </w:rPr>
              <w:t xml:space="preserve"> preferential treatment?</w:t>
            </w:r>
          </w:p>
        </w:tc>
        <w:tc>
          <w:tcPr>
            <w:tcW w:w="1305" w:type="dxa"/>
            <w:shd w:val="clear" w:color="auto" w:fill="auto"/>
            <w:vAlign w:val="center"/>
          </w:tcPr>
          <w:p w14:paraId="6B9CE28E" w14:textId="77777777" w:rsidR="00A66401" w:rsidRPr="00CF4E2F" w:rsidRDefault="00A66401" w:rsidP="00D6423A">
            <w:pPr>
              <w:pStyle w:val="TableParagraph"/>
              <w:spacing w:before="32"/>
              <w:ind w:left="433"/>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7CAC5A84" w14:textId="77777777" w:rsidR="00A66401" w:rsidRPr="00CF4E2F" w:rsidRDefault="00A66401" w:rsidP="00D6423A">
            <w:pPr>
              <w:pStyle w:val="TableParagraph"/>
              <w:jc w:val="center"/>
              <w:rPr>
                <w:rFonts w:ascii="Times New Roman" w:eastAsia="Times New Roman" w:hAnsi="Times New Roman"/>
                <w:sz w:val="16"/>
                <w:szCs w:val="16"/>
              </w:rPr>
            </w:pPr>
            <w:r w:rsidRPr="00CF4E2F">
              <w:rPr>
                <w:rFonts w:ascii="Times New Roman" w:hAnsi="Times New Roman"/>
                <w:sz w:val="16"/>
                <w:szCs w:val="16"/>
              </w:rPr>
              <w:t>ID 1.6</w:t>
            </w:r>
          </w:p>
        </w:tc>
      </w:tr>
      <w:tr w:rsidR="00A66401" w:rsidRPr="00CF4E2F" w14:paraId="25EB9360" w14:textId="77777777" w:rsidTr="00D6423A">
        <w:tc>
          <w:tcPr>
            <w:tcW w:w="529" w:type="dxa"/>
            <w:vMerge/>
            <w:shd w:val="clear" w:color="auto" w:fill="auto"/>
            <w:vAlign w:val="center"/>
          </w:tcPr>
          <w:p w14:paraId="1C6D16E6" w14:textId="77777777" w:rsidR="00A66401" w:rsidRPr="00CF4E2F" w:rsidRDefault="00A66401" w:rsidP="00D6423A">
            <w:pPr>
              <w:jc w:val="center"/>
              <w:rPr>
                <w:rFonts w:ascii="Times New Roman" w:eastAsia="Calibri" w:hAnsi="Times New Roman"/>
                <w:sz w:val="22"/>
                <w:lang w:val="en-US"/>
              </w:rPr>
            </w:pPr>
          </w:p>
        </w:tc>
        <w:tc>
          <w:tcPr>
            <w:tcW w:w="5550" w:type="dxa"/>
            <w:vMerge/>
            <w:shd w:val="clear" w:color="auto" w:fill="auto"/>
            <w:vAlign w:val="center"/>
          </w:tcPr>
          <w:p w14:paraId="2014449B" w14:textId="77777777" w:rsidR="00A66401" w:rsidRPr="00CF4E2F" w:rsidRDefault="00A66401" w:rsidP="00D6423A">
            <w:pPr>
              <w:jc w:val="center"/>
              <w:rPr>
                <w:rFonts w:ascii="Times New Roman" w:eastAsia="Calibri" w:hAnsi="Times New Roman"/>
                <w:sz w:val="22"/>
                <w:lang w:val="en-US"/>
              </w:rPr>
            </w:pPr>
          </w:p>
        </w:tc>
        <w:tc>
          <w:tcPr>
            <w:tcW w:w="1305" w:type="dxa"/>
            <w:shd w:val="clear" w:color="auto" w:fill="auto"/>
            <w:vAlign w:val="center"/>
          </w:tcPr>
          <w:p w14:paraId="4498B9FC"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223E3EC" w14:textId="77777777" w:rsidR="00A66401" w:rsidRPr="00CF4E2F" w:rsidRDefault="00A66401" w:rsidP="00D6423A">
            <w:pPr>
              <w:pStyle w:val="TableParagraph"/>
              <w:jc w:val="center"/>
              <w:rPr>
                <w:rFonts w:ascii="Times New Roman" w:eastAsia="Times New Roman" w:hAnsi="Times New Roman"/>
                <w:sz w:val="16"/>
                <w:szCs w:val="16"/>
              </w:rPr>
            </w:pPr>
            <w:r w:rsidRPr="00CF4E2F">
              <w:rPr>
                <w:rFonts w:ascii="Times New Roman" w:hAnsi="Times New Roman"/>
                <w:sz w:val="16"/>
              </w:rPr>
              <w:t># 10</w:t>
            </w:r>
          </w:p>
        </w:tc>
      </w:tr>
      <w:tr w:rsidR="00A66401" w:rsidRPr="00CF4E2F" w14:paraId="5EA9A80E" w14:textId="77777777" w:rsidTr="00D6423A">
        <w:tc>
          <w:tcPr>
            <w:tcW w:w="529" w:type="dxa"/>
            <w:vMerge w:val="restart"/>
            <w:shd w:val="clear" w:color="auto" w:fill="auto"/>
            <w:vAlign w:val="center"/>
          </w:tcPr>
          <w:p w14:paraId="59819E05" w14:textId="77777777" w:rsidR="00A66401" w:rsidRPr="0040192D" w:rsidRDefault="00A66401" w:rsidP="00D6423A">
            <w:pPr>
              <w:pStyle w:val="TableParagraph"/>
              <w:ind w:left="7"/>
              <w:jc w:val="center"/>
              <w:rPr>
                <w:rFonts w:ascii="Times New Roman" w:eastAsia="Times New Roman" w:hAnsi="Times New Roman"/>
                <w:sz w:val="16"/>
                <w:szCs w:val="16"/>
              </w:rPr>
            </w:pPr>
            <w:r w:rsidRPr="00CF4E2F">
              <w:rPr>
                <w:rFonts w:ascii="Times New Roman" w:eastAsia="Calibri" w:hAnsi="Times New Roman"/>
                <w:sz w:val="16"/>
                <w:szCs w:val="16"/>
              </w:rPr>
              <w:t>10</w:t>
            </w:r>
          </w:p>
        </w:tc>
        <w:tc>
          <w:tcPr>
            <w:tcW w:w="5550" w:type="dxa"/>
            <w:vMerge w:val="restart"/>
            <w:shd w:val="clear" w:color="auto" w:fill="auto"/>
            <w:vAlign w:val="center"/>
          </w:tcPr>
          <w:p w14:paraId="5C97FEFB" w14:textId="77777777" w:rsidR="00A66401" w:rsidRPr="00CF4E2F" w:rsidRDefault="00A66401" w:rsidP="00D6423A">
            <w:pPr>
              <w:pStyle w:val="TableParagraph"/>
              <w:ind w:left="243"/>
              <w:jc w:val="center"/>
              <w:rPr>
                <w:rFonts w:ascii="Times New Roman" w:eastAsia="Times New Roman" w:hAnsi="Times New Roman"/>
                <w:sz w:val="16"/>
                <w:szCs w:val="16"/>
              </w:rPr>
            </w:pPr>
            <w:r w:rsidRPr="00CF4E2F">
              <w:rPr>
                <w:rFonts w:ascii="Times New Roman" w:eastAsia="Calibri" w:hAnsi="Times New Roman"/>
                <w:sz w:val="16"/>
                <w:szCs w:val="16"/>
              </w:rPr>
              <w:t>Central bank assets?</w:t>
            </w:r>
          </w:p>
        </w:tc>
        <w:tc>
          <w:tcPr>
            <w:tcW w:w="1305" w:type="dxa"/>
            <w:shd w:val="clear" w:color="auto" w:fill="auto"/>
            <w:vAlign w:val="center"/>
          </w:tcPr>
          <w:p w14:paraId="4E1DC2DE" w14:textId="77777777" w:rsidR="00A66401" w:rsidRPr="00CF4E2F" w:rsidRDefault="00A66401" w:rsidP="00D6423A">
            <w:pPr>
              <w:pStyle w:val="TableParagraph"/>
              <w:ind w:left="433"/>
              <w:jc w:val="center"/>
              <w:rPr>
                <w:rFonts w:ascii="Times New Roman" w:eastAsia="Times New Roman" w:hAnsi="Times New Roman"/>
                <w:sz w:val="16"/>
                <w:szCs w:val="16"/>
              </w:rPr>
            </w:pPr>
            <w:r w:rsidRPr="00CF4E2F">
              <w:rPr>
                <w:rFonts w:ascii="Times New Roman" w:hAnsi="Times New Roman"/>
                <w:sz w:val="16"/>
                <w:szCs w:val="16"/>
              </w:rPr>
              <w:t>Yes</w:t>
            </w:r>
          </w:p>
        </w:tc>
        <w:tc>
          <w:tcPr>
            <w:tcW w:w="2222" w:type="dxa"/>
            <w:shd w:val="clear" w:color="auto" w:fill="auto"/>
            <w:vAlign w:val="center"/>
          </w:tcPr>
          <w:p w14:paraId="66C996C3" w14:textId="77777777" w:rsidR="00A66401" w:rsidRPr="00CF4E2F" w:rsidRDefault="00A66401" w:rsidP="00D6423A">
            <w:pPr>
              <w:pStyle w:val="TableParagraph"/>
              <w:ind w:right="121"/>
              <w:jc w:val="center"/>
              <w:rPr>
                <w:rFonts w:ascii="Times New Roman" w:eastAsia="Times New Roman" w:hAnsi="Times New Roman"/>
                <w:sz w:val="16"/>
                <w:szCs w:val="16"/>
              </w:rPr>
            </w:pPr>
            <w:r w:rsidRPr="00CF4E2F">
              <w:rPr>
                <w:rFonts w:ascii="Times New Roman" w:hAnsi="Times New Roman"/>
                <w:sz w:val="16"/>
                <w:szCs w:val="16"/>
              </w:rPr>
              <w:t>Allocate into one relevant item of ID 1.1</w:t>
            </w:r>
          </w:p>
        </w:tc>
      </w:tr>
      <w:tr w:rsidR="00A66401" w:rsidRPr="00CF4E2F" w14:paraId="477C38E6" w14:textId="77777777" w:rsidTr="00D6423A">
        <w:tc>
          <w:tcPr>
            <w:tcW w:w="529" w:type="dxa"/>
            <w:vMerge/>
            <w:shd w:val="clear" w:color="auto" w:fill="auto"/>
            <w:vAlign w:val="center"/>
          </w:tcPr>
          <w:p w14:paraId="2DA10C89"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166AA961" w14:textId="77777777" w:rsidR="00A66401" w:rsidRPr="00CF4E2F" w:rsidRDefault="00A66401" w:rsidP="00D6423A">
            <w:pPr>
              <w:jc w:val="center"/>
              <w:rPr>
                <w:rFonts w:ascii="Times New Roman" w:eastAsia="Calibri" w:hAnsi="Times New Roman"/>
                <w:sz w:val="22"/>
                <w:lang w:val="en-US"/>
              </w:rPr>
            </w:pPr>
          </w:p>
        </w:tc>
        <w:tc>
          <w:tcPr>
            <w:tcW w:w="1305" w:type="dxa"/>
            <w:shd w:val="clear" w:color="auto" w:fill="auto"/>
            <w:vAlign w:val="center"/>
          </w:tcPr>
          <w:p w14:paraId="14F0BE44"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hAnsi="Times New Roman"/>
                <w:sz w:val="16"/>
                <w:szCs w:val="16"/>
              </w:rPr>
              <w:t>No</w:t>
            </w:r>
          </w:p>
        </w:tc>
        <w:tc>
          <w:tcPr>
            <w:tcW w:w="2222" w:type="dxa"/>
            <w:shd w:val="clear" w:color="auto" w:fill="auto"/>
            <w:vAlign w:val="center"/>
          </w:tcPr>
          <w:p w14:paraId="72BFE9E0" w14:textId="77777777" w:rsidR="00A66401" w:rsidRPr="00CF4E2F" w:rsidRDefault="00A66401" w:rsidP="00D6423A">
            <w:pPr>
              <w:pStyle w:val="TableParagraph"/>
              <w:jc w:val="center"/>
              <w:rPr>
                <w:rFonts w:ascii="Times New Roman" w:eastAsia="Times New Roman" w:hAnsi="Times New Roman"/>
                <w:sz w:val="16"/>
                <w:szCs w:val="16"/>
              </w:rPr>
            </w:pPr>
            <w:r w:rsidRPr="00CF4E2F">
              <w:rPr>
                <w:rFonts w:ascii="Times New Roman" w:hAnsi="Times New Roman"/>
                <w:sz w:val="16"/>
                <w:szCs w:val="16"/>
              </w:rPr>
              <w:t># 11</w:t>
            </w:r>
          </w:p>
        </w:tc>
      </w:tr>
      <w:tr w:rsidR="00A66401" w:rsidRPr="00CF4E2F" w14:paraId="41AAF4DC" w14:textId="77777777" w:rsidTr="00D6423A">
        <w:tc>
          <w:tcPr>
            <w:tcW w:w="529" w:type="dxa"/>
            <w:vMerge w:val="restart"/>
            <w:shd w:val="clear" w:color="auto" w:fill="auto"/>
            <w:vAlign w:val="center"/>
          </w:tcPr>
          <w:p w14:paraId="039FB995"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11</w:t>
            </w:r>
          </w:p>
        </w:tc>
        <w:tc>
          <w:tcPr>
            <w:tcW w:w="5550" w:type="dxa"/>
            <w:vMerge w:val="restart"/>
            <w:shd w:val="clear" w:color="auto" w:fill="auto"/>
            <w:vAlign w:val="center"/>
          </w:tcPr>
          <w:p w14:paraId="219F3D6E"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Liquid assets?</w:t>
            </w:r>
          </w:p>
        </w:tc>
        <w:tc>
          <w:tcPr>
            <w:tcW w:w="1305" w:type="dxa"/>
            <w:shd w:val="clear" w:color="auto" w:fill="auto"/>
            <w:vAlign w:val="center"/>
          </w:tcPr>
          <w:p w14:paraId="7504768E"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47451E5F" w14:textId="77777777" w:rsidR="00A66401" w:rsidRPr="00CF4E2F" w:rsidRDefault="00A66401" w:rsidP="00D6423A">
            <w:pPr>
              <w:pStyle w:val="TableParagraph"/>
              <w:jc w:val="center"/>
              <w:rPr>
                <w:rFonts w:ascii="Times New Roman" w:eastAsia="Times New Roman" w:hAnsi="Times New Roman"/>
                <w:sz w:val="16"/>
                <w:szCs w:val="16"/>
              </w:rPr>
            </w:pPr>
            <w:r w:rsidRPr="00CF4E2F">
              <w:rPr>
                <w:rFonts w:ascii="Times New Roman" w:hAnsi="Times New Roman"/>
                <w:sz w:val="16"/>
                <w:szCs w:val="16"/>
              </w:rPr>
              <w:t>Allocate into one rel</w:t>
            </w:r>
            <w:r>
              <w:rPr>
                <w:rFonts w:ascii="Times New Roman" w:hAnsi="Times New Roman"/>
                <w:sz w:val="16"/>
                <w:szCs w:val="16"/>
              </w:rPr>
              <w:t>evant item of ID 1.2.1 to 1.2.4</w:t>
            </w:r>
          </w:p>
        </w:tc>
      </w:tr>
      <w:tr w:rsidR="00A66401" w:rsidRPr="00CF4E2F" w14:paraId="513389AE" w14:textId="77777777" w:rsidTr="00D6423A">
        <w:tc>
          <w:tcPr>
            <w:tcW w:w="529" w:type="dxa"/>
            <w:vMerge/>
            <w:shd w:val="clear" w:color="auto" w:fill="auto"/>
            <w:vAlign w:val="center"/>
          </w:tcPr>
          <w:p w14:paraId="5680674C"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1707C479"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20092515"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9E06947" w14:textId="77777777" w:rsidR="00A66401" w:rsidRPr="00CF4E2F" w:rsidRDefault="00A66401" w:rsidP="00D6423A">
            <w:pPr>
              <w:pStyle w:val="TableParagraph"/>
              <w:jc w:val="center"/>
              <w:rPr>
                <w:rFonts w:ascii="Times New Roman" w:eastAsia="Times New Roman" w:hAnsi="Times New Roman"/>
                <w:sz w:val="16"/>
                <w:szCs w:val="16"/>
              </w:rPr>
            </w:pPr>
            <w:r>
              <w:rPr>
                <w:rFonts w:ascii="Times New Roman" w:hAnsi="Times New Roman"/>
                <w:sz w:val="16"/>
                <w:szCs w:val="16"/>
              </w:rPr>
              <w:t># 12</w:t>
            </w:r>
          </w:p>
        </w:tc>
      </w:tr>
      <w:tr w:rsidR="00A66401" w:rsidRPr="00CF4E2F" w14:paraId="74AF7522" w14:textId="77777777" w:rsidTr="00D6423A">
        <w:tc>
          <w:tcPr>
            <w:tcW w:w="529" w:type="dxa"/>
            <w:vMerge w:val="restart"/>
            <w:shd w:val="clear" w:color="auto" w:fill="auto"/>
            <w:vAlign w:val="center"/>
          </w:tcPr>
          <w:p w14:paraId="4135BD97" w14:textId="77777777" w:rsidR="00A66401" w:rsidRPr="0040192D"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w:t>
            </w:r>
            <w:r>
              <w:rPr>
                <w:rFonts w:ascii="Times New Roman" w:eastAsia="Calibri" w:hAnsi="Times New Roman"/>
                <w:sz w:val="16"/>
                <w:szCs w:val="16"/>
                <w:lang w:val="en-US"/>
              </w:rPr>
              <w:t>2</w:t>
            </w:r>
          </w:p>
        </w:tc>
        <w:tc>
          <w:tcPr>
            <w:tcW w:w="5550" w:type="dxa"/>
            <w:vMerge w:val="restart"/>
            <w:shd w:val="clear" w:color="auto" w:fill="auto"/>
            <w:vAlign w:val="center"/>
          </w:tcPr>
          <w:p w14:paraId="45B71A7A"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Non-liquid asset securities?</w:t>
            </w:r>
          </w:p>
        </w:tc>
        <w:tc>
          <w:tcPr>
            <w:tcW w:w="1305" w:type="dxa"/>
            <w:shd w:val="clear" w:color="auto" w:fill="auto"/>
            <w:vAlign w:val="center"/>
          </w:tcPr>
          <w:p w14:paraId="1C7FA53F"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7F31D14"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hAnsi="Times New Roman"/>
                <w:sz w:val="16"/>
                <w:szCs w:val="16"/>
              </w:rPr>
              <w:t>ID 1.3</w:t>
            </w:r>
          </w:p>
        </w:tc>
      </w:tr>
      <w:tr w:rsidR="00A66401" w:rsidRPr="00CF4E2F" w14:paraId="0E95FE3D" w14:textId="77777777" w:rsidTr="00D6423A">
        <w:tc>
          <w:tcPr>
            <w:tcW w:w="529" w:type="dxa"/>
            <w:vMerge/>
            <w:shd w:val="clear" w:color="auto" w:fill="auto"/>
            <w:vAlign w:val="center"/>
          </w:tcPr>
          <w:p w14:paraId="0A2D96A3"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11F8934E"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0837D1A2"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6071F377"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hAnsi="Times New Roman"/>
                <w:sz w:val="16"/>
                <w:szCs w:val="16"/>
              </w:rPr>
              <w:t># 13</w:t>
            </w:r>
          </w:p>
        </w:tc>
      </w:tr>
      <w:tr w:rsidR="00A66401" w:rsidRPr="00CF4E2F" w14:paraId="24AC7879" w14:textId="77777777" w:rsidTr="00D6423A">
        <w:tc>
          <w:tcPr>
            <w:tcW w:w="529" w:type="dxa"/>
            <w:vMerge w:val="restart"/>
            <w:shd w:val="clear" w:color="auto" w:fill="auto"/>
            <w:vAlign w:val="center"/>
          </w:tcPr>
          <w:p w14:paraId="2B47341E" w14:textId="77777777" w:rsidR="00A66401" w:rsidRPr="0040192D"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13</w:t>
            </w:r>
          </w:p>
        </w:tc>
        <w:tc>
          <w:tcPr>
            <w:tcW w:w="5550" w:type="dxa"/>
            <w:vMerge w:val="restart"/>
            <w:shd w:val="clear" w:color="auto" w:fill="auto"/>
            <w:vAlign w:val="center"/>
          </w:tcPr>
          <w:p w14:paraId="65A72116"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Trade finance on-balance sheet products?</w:t>
            </w:r>
          </w:p>
        </w:tc>
        <w:tc>
          <w:tcPr>
            <w:tcW w:w="1305" w:type="dxa"/>
            <w:shd w:val="clear" w:color="auto" w:fill="auto"/>
            <w:vAlign w:val="center"/>
          </w:tcPr>
          <w:p w14:paraId="57AD400D"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C7F249D"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hAnsi="Times New Roman"/>
                <w:sz w:val="16"/>
              </w:rPr>
              <w:t>ID 1.4.3</w:t>
            </w:r>
          </w:p>
        </w:tc>
      </w:tr>
      <w:tr w:rsidR="00A66401" w:rsidRPr="00CF4E2F" w14:paraId="5A4533E3" w14:textId="77777777" w:rsidTr="00D6423A">
        <w:tc>
          <w:tcPr>
            <w:tcW w:w="529" w:type="dxa"/>
            <w:vMerge/>
            <w:shd w:val="clear" w:color="auto" w:fill="auto"/>
            <w:vAlign w:val="center"/>
          </w:tcPr>
          <w:p w14:paraId="079680D8"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33D98B80"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3BC98DB5"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E4E3B49"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hAnsi="Times New Roman"/>
                <w:sz w:val="16"/>
                <w:szCs w:val="16"/>
              </w:rPr>
              <w:t># 14</w:t>
            </w:r>
          </w:p>
        </w:tc>
      </w:tr>
      <w:tr w:rsidR="00A66401" w:rsidRPr="00CF4E2F" w14:paraId="78F36AE0" w14:textId="77777777" w:rsidTr="00D6423A">
        <w:tc>
          <w:tcPr>
            <w:tcW w:w="529" w:type="dxa"/>
            <w:vMerge w:val="restart"/>
            <w:shd w:val="clear" w:color="auto" w:fill="auto"/>
            <w:vAlign w:val="center"/>
          </w:tcPr>
          <w:p w14:paraId="2BE47989" w14:textId="77777777" w:rsidR="00A66401" w:rsidRPr="0040192D"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14</w:t>
            </w:r>
          </w:p>
        </w:tc>
        <w:tc>
          <w:tcPr>
            <w:tcW w:w="5550" w:type="dxa"/>
            <w:vMerge w:val="restart"/>
            <w:shd w:val="clear" w:color="auto" w:fill="auto"/>
            <w:vAlign w:val="center"/>
          </w:tcPr>
          <w:p w14:paraId="77175016"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NSFR derivative assets?</w:t>
            </w:r>
          </w:p>
        </w:tc>
        <w:tc>
          <w:tcPr>
            <w:tcW w:w="1305" w:type="dxa"/>
            <w:shd w:val="clear" w:color="auto" w:fill="auto"/>
            <w:vAlign w:val="center"/>
          </w:tcPr>
          <w:p w14:paraId="54685B9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428EBCF2"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hAnsi="Times New Roman"/>
                <w:sz w:val="16"/>
              </w:rPr>
              <w:t>ID 1.7.2</w:t>
            </w:r>
          </w:p>
        </w:tc>
      </w:tr>
      <w:tr w:rsidR="00A66401" w:rsidRPr="00CF4E2F" w14:paraId="3BD6D47B" w14:textId="77777777" w:rsidTr="00D6423A">
        <w:tc>
          <w:tcPr>
            <w:tcW w:w="529" w:type="dxa"/>
            <w:vMerge/>
            <w:shd w:val="clear" w:color="auto" w:fill="auto"/>
            <w:vAlign w:val="center"/>
          </w:tcPr>
          <w:p w14:paraId="2D5800D9"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242546D9"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451BA74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50ED54B0"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hAnsi="Times New Roman"/>
                <w:sz w:val="16"/>
                <w:szCs w:val="16"/>
              </w:rPr>
              <w:t># 15</w:t>
            </w:r>
          </w:p>
        </w:tc>
      </w:tr>
      <w:tr w:rsidR="00A66401" w:rsidRPr="00CF4E2F" w14:paraId="2BD2FB0A" w14:textId="77777777" w:rsidTr="00D6423A">
        <w:tc>
          <w:tcPr>
            <w:tcW w:w="529" w:type="dxa"/>
            <w:vMerge w:val="restart"/>
            <w:shd w:val="clear" w:color="auto" w:fill="auto"/>
            <w:vAlign w:val="center"/>
          </w:tcPr>
          <w:p w14:paraId="3BA245C8"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w:t>
            </w:r>
            <w:r>
              <w:rPr>
                <w:rFonts w:ascii="Times New Roman" w:eastAsia="Calibri" w:hAnsi="Times New Roman"/>
                <w:sz w:val="16"/>
                <w:szCs w:val="16"/>
                <w:lang w:val="en-US"/>
              </w:rPr>
              <w:t>5</w:t>
            </w:r>
          </w:p>
        </w:tc>
        <w:tc>
          <w:tcPr>
            <w:tcW w:w="5550" w:type="dxa"/>
            <w:vMerge w:val="restart"/>
            <w:shd w:val="clear" w:color="auto" w:fill="auto"/>
            <w:vAlign w:val="center"/>
          </w:tcPr>
          <w:p w14:paraId="5B5BCDFD" w14:textId="77777777" w:rsidR="00A66401" w:rsidRPr="0040192D"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Loans?</w:t>
            </w:r>
          </w:p>
        </w:tc>
        <w:tc>
          <w:tcPr>
            <w:tcW w:w="1305" w:type="dxa"/>
            <w:shd w:val="clear" w:color="auto" w:fill="auto"/>
            <w:vAlign w:val="center"/>
          </w:tcPr>
          <w:p w14:paraId="6BFA55EC"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7DBF37F7"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hAnsi="Times New Roman"/>
                <w:sz w:val="16"/>
                <w:szCs w:val="16"/>
              </w:rPr>
              <w:t># 1</w:t>
            </w:r>
            <w:r>
              <w:rPr>
                <w:rFonts w:ascii="Times New Roman" w:hAnsi="Times New Roman"/>
                <w:sz w:val="16"/>
                <w:szCs w:val="16"/>
              </w:rPr>
              <w:t>6</w:t>
            </w:r>
          </w:p>
        </w:tc>
      </w:tr>
      <w:tr w:rsidR="00A66401" w:rsidRPr="00CF4E2F" w14:paraId="2A399C5F" w14:textId="77777777" w:rsidTr="00D6423A">
        <w:tc>
          <w:tcPr>
            <w:tcW w:w="529" w:type="dxa"/>
            <w:vMerge/>
            <w:shd w:val="clear" w:color="auto" w:fill="auto"/>
            <w:vAlign w:val="center"/>
          </w:tcPr>
          <w:p w14:paraId="57F56F4B"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7DBB8714"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1E3A0D9E"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42929E9" w14:textId="77777777" w:rsidR="00A66401" w:rsidRPr="00CF4E2F" w:rsidRDefault="00A66401" w:rsidP="00D6423A">
            <w:pPr>
              <w:pStyle w:val="TableParagraph"/>
              <w:ind w:left="490"/>
              <w:jc w:val="center"/>
              <w:rPr>
                <w:rFonts w:ascii="Times New Roman" w:eastAsia="Times New Roman" w:hAnsi="Times New Roman"/>
                <w:sz w:val="16"/>
                <w:szCs w:val="16"/>
              </w:rPr>
            </w:pPr>
            <w:r w:rsidRPr="00BD784F">
              <w:rPr>
                <w:rFonts w:ascii="Times New Roman" w:hAnsi="Times New Roman"/>
                <w:sz w:val="16"/>
                <w:szCs w:val="16"/>
              </w:rPr>
              <w:t># 2</w:t>
            </w:r>
            <w:r w:rsidRPr="00DD6B59">
              <w:rPr>
                <w:rFonts w:ascii="Times New Roman" w:hAnsi="Times New Roman"/>
                <w:sz w:val="16"/>
                <w:szCs w:val="16"/>
              </w:rPr>
              <w:t>0</w:t>
            </w:r>
          </w:p>
        </w:tc>
      </w:tr>
      <w:tr w:rsidR="00A66401" w:rsidRPr="00CF4E2F" w14:paraId="5A22041B" w14:textId="77777777" w:rsidTr="00D6423A">
        <w:tc>
          <w:tcPr>
            <w:tcW w:w="529" w:type="dxa"/>
            <w:vMerge w:val="restart"/>
            <w:shd w:val="clear" w:color="auto" w:fill="auto"/>
            <w:vAlign w:val="center"/>
          </w:tcPr>
          <w:p w14:paraId="7F30C259"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w:t>
            </w:r>
            <w:r>
              <w:rPr>
                <w:rFonts w:ascii="Times New Roman" w:eastAsia="Calibri" w:hAnsi="Times New Roman"/>
                <w:sz w:val="16"/>
                <w:szCs w:val="16"/>
                <w:lang w:val="en-US"/>
              </w:rPr>
              <w:t>6</w:t>
            </w:r>
          </w:p>
        </w:tc>
        <w:tc>
          <w:tcPr>
            <w:tcW w:w="5550" w:type="dxa"/>
            <w:vMerge w:val="restart"/>
            <w:shd w:val="clear" w:color="auto" w:fill="auto"/>
            <w:vAlign w:val="center"/>
          </w:tcPr>
          <w:p w14:paraId="0C9CC85F" w14:textId="77777777" w:rsidR="00A66401" w:rsidRPr="0040192D"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Loans </w:t>
            </w:r>
            <w:r>
              <w:rPr>
                <w:rFonts w:ascii="Times New Roman" w:eastAsia="Calibri" w:hAnsi="Times New Roman"/>
                <w:sz w:val="16"/>
                <w:szCs w:val="16"/>
                <w:lang w:val="en-US"/>
              </w:rPr>
              <w:t>to non-financial customers</w:t>
            </w:r>
            <w:r w:rsidRPr="00CF4E2F">
              <w:rPr>
                <w:rFonts w:ascii="Times New Roman" w:eastAsia="Calibri" w:hAnsi="Times New Roman"/>
                <w:sz w:val="16"/>
                <w:szCs w:val="16"/>
                <w:lang w:val="en-US"/>
              </w:rPr>
              <w:t>?</w:t>
            </w:r>
          </w:p>
        </w:tc>
        <w:tc>
          <w:tcPr>
            <w:tcW w:w="1305" w:type="dxa"/>
            <w:shd w:val="clear" w:color="auto" w:fill="auto"/>
            <w:vAlign w:val="center"/>
          </w:tcPr>
          <w:p w14:paraId="75BF97AF"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522B1719"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hAnsi="Times New Roman"/>
                <w:sz w:val="16"/>
              </w:rPr>
              <w:t>ID 1.4.1</w:t>
            </w:r>
          </w:p>
        </w:tc>
      </w:tr>
      <w:tr w:rsidR="00A66401" w:rsidRPr="00CF4E2F" w14:paraId="0A9C8A49" w14:textId="77777777" w:rsidTr="00D6423A">
        <w:tc>
          <w:tcPr>
            <w:tcW w:w="529" w:type="dxa"/>
            <w:vMerge/>
            <w:shd w:val="clear" w:color="auto" w:fill="auto"/>
            <w:vAlign w:val="center"/>
          </w:tcPr>
          <w:p w14:paraId="66045A78"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500FA58E"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034F0B03"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0A661E14"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hAnsi="Times New Roman"/>
                <w:sz w:val="16"/>
                <w:szCs w:val="16"/>
              </w:rPr>
              <w:t># 1</w:t>
            </w:r>
            <w:r>
              <w:rPr>
                <w:rFonts w:ascii="Times New Roman" w:hAnsi="Times New Roman"/>
                <w:sz w:val="16"/>
                <w:szCs w:val="16"/>
              </w:rPr>
              <w:t>7</w:t>
            </w:r>
          </w:p>
        </w:tc>
      </w:tr>
      <w:tr w:rsidR="00A66401" w:rsidRPr="00CF4E2F" w14:paraId="4A636C8E" w14:textId="77777777" w:rsidTr="00D6423A">
        <w:tc>
          <w:tcPr>
            <w:tcW w:w="529" w:type="dxa"/>
            <w:vMerge w:val="restart"/>
            <w:shd w:val="clear" w:color="auto" w:fill="auto"/>
            <w:vAlign w:val="center"/>
          </w:tcPr>
          <w:p w14:paraId="3271D2A6"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1</w:t>
            </w:r>
            <w:r>
              <w:rPr>
                <w:rFonts w:ascii="Times New Roman" w:eastAsia="Calibri" w:hAnsi="Times New Roman"/>
                <w:sz w:val="16"/>
                <w:szCs w:val="16"/>
                <w:lang w:val="en-US"/>
              </w:rPr>
              <w:t>7</w:t>
            </w:r>
          </w:p>
        </w:tc>
        <w:tc>
          <w:tcPr>
            <w:tcW w:w="5550" w:type="dxa"/>
            <w:vMerge w:val="restart"/>
            <w:shd w:val="clear" w:color="auto" w:fill="auto"/>
            <w:vAlign w:val="center"/>
          </w:tcPr>
          <w:p w14:paraId="53AB0778" w14:textId="77777777" w:rsidR="00A66401" w:rsidRPr="0040192D"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Loans to financial customers</w:t>
            </w:r>
            <w:r w:rsidRPr="00CF4E2F">
              <w:rPr>
                <w:rFonts w:ascii="Times New Roman" w:eastAsia="Calibri" w:hAnsi="Times New Roman"/>
                <w:sz w:val="16"/>
                <w:szCs w:val="16"/>
                <w:lang w:val="en-US"/>
              </w:rPr>
              <w:t>?</w:t>
            </w:r>
          </w:p>
        </w:tc>
        <w:tc>
          <w:tcPr>
            <w:tcW w:w="1305" w:type="dxa"/>
            <w:shd w:val="clear" w:color="auto" w:fill="auto"/>
            <w:vAlign w:val="center"/>
          </w:tcPr>
          <w:p w14:paraId="634A5F62"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73A15CF" w14:textId="77777777" w:rsidR="00A66401" w:rsidRPr="0040192D"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1.4.2</w:t>
            </w:r>
          </w:p>
        </w:tc>
      </w:tr>
      <w:tr w:rsidR="00A66401" w:rsidRPr="00CF4E2F" w14:paraId="5670E296" w14:textId="77777777" w:rsidTr="00D6423A">
        <w:tc>
          <w:tcPr>
            <w:tcW w:w="529" w:type="dxa"/>
            <w:vMerge/>
            <w:shd w:val="clear" w:color="auto" w:fill="auto"/>
            <w:vAlign w:val="center"/>
          </w:tcPr>
          <w:p w14:paraId="634872ED"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6D6DEB27" w14:textId="77777777" w:rsidR="00A66401" w:rsidRPr="0040192D"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2CE31714" w14:textId="77777777" w:rsidR="00A66401" w:rsidRPr="00DD6B59" w:rsidDel="006B3D96" w:rsidRDefault="00A66401" w:rsidP="00D6423A">
            <w:pPr>
              <w:pStyle w:val="TableParagraph"/>
              <w:spacing w:before="32"/>
              <w:ind w:left="459"/>
              <w:jc w:val="center"/>
              <w:rPr>
                <w:rStyle w:val="CommentReference"/>
                <w:rFonts w:ascii="Verdana" w:eastAsia="Times New Roman" w:hAnsi="Verdana"/>
              </w:rPr>
            </w:pPr>
            <w:r w:rsidRPr="00CF4E2F">
              <w:rPr>
                <w:rFonts w:ascii="Times New Roman" w:eastAsia="Times New Roman" w:hAnsi="Times New Roman"/>
                <w:sz w:val="16"/>
                <w:szCs w:val="16"/>
              </w:rPr>
              <w:t>No</w:t>
            </w:r>
          </w:p>
        </w:tc>
        <w:tc>
          <w:tcPr>
            <w:tcW w:w="2222" w:type="dxa"/>
            <w:shd w:val="clear" w:color="auto" w:fill="auto"/>
            <w:vAlign w:val="center"/>
          </w:tcPr>
          <w:p w14:paraId="1EF920ED" w14:textId="77777777" w:rsidR="00A66401" w:rsidRPr="0040192D" w:rsidRDefault="00A66401" w:rsidP="00D6423A">
            <w:pPr>
              <w:pStyle w:val="TableParagraph"/>
              <w:ind w:left="490"/>
              <w:jc w:val="center"/>
              <w:rPr>
                <w:rFonts w:ascii="Times New Roman" w:eastAsia="Times New Roman" w:hAnsi="Times New Roman"/>
                <w:sz w:val="16"/>
                <w:szCs w:val="16"/>
              </w:rPr>
            </w:pPr>
            <w:r>
              <w:rPr>
                <w:rFonts w:ascii="Times New Roman" w:hAnsi="Times New Roman"/>
                <w:sz w:val="16"/>
                <w:szCs w:val="16"/>
              </w:rPr>
              <w:t># 18</w:t>
            </w:r>
          </w:p>
        </w:tc>
      </w:tr>
      <w:tr w:rsidR="00A66401" w:rsidRPr="00CF4E2F" w14:paraId="2DC5E758" w14:textId="77777777" w:rsidTr="00D6423A">
        <w:tc>
          <w:tcPr>
            <w:tcW w:w="529" w:type="dxa"/>
            <w:vMerge w:val="restart"/>
            <w:shd w:val="clear" w:color="auto" w:fill="auto"/>
            <w:vAlign w:val="center"/>
          </w:tcPr>
          <w:p w14:paraId="43B18110" w14:textId="77777777" w:rsidR="00A66401" w:rsidRPr="00CF4E2F" w:rsidRDefault="00A66401" w:rsidP="00D6423A">
            <w:pPr>
              <w:jc w:val="center"/>
              <w:rPr>
                <w:rFonts w:ascii="Times New Roman" w:hAnsi="Times New Roman"/>
                <w:sz w:val="16"/>
                <w:szCs w:val="16"/>
              </w:rPr>
            </w:pPr>
            <w:r>
              <w:rPr>
                <w:rFonts w:ascii="Times New Roman" w:hAnsi="Times New Roman"/>
                <w:sz w:val="16"/>
                <w:szCs w:val="16"/>
              </w:rPr>
              <w:t>18</w:t>
            </w:r>
          </w:p>
        </w:tc>
        <w:tc>
          <w:tcPr>
            <w:tcW w:w="5550" w:type="dxa"/>
            <w:vMerge w:val="restart"/>
            <w:shd w:val="clear" w:color="auto" w:fill="auto"/>
            <w:vAlign w:val="center"/>
          </w:tcPr>
          <w:p w14:paraId="0BB12439" w14:textId="77777777" w:rsidR="00A66401" w:rsidRPr="00CF4E2F" w:rsidRDefault="00A66401" w:rsidP="00D6423A">
            <w:pPr>
              <w:jc w:val="center"/>
              <w:rPr>
                <w:rFonts w:ascii="Times New Roman" w:hAnsi="Times New Roman"/>
                <w:sz w:val="16"/>
                <w:szCs w:val="16"/>
              </w:rPr>
            </w:pPr>
            <w:r w:rsidRPr="00CF4E2F">
              <w:rPr>
                <w:rFonts w:ascii="Times New Roman" w:hAnsi="Times New Roman"/>
                <w:sz w:val="16"/>
                <w:szCs w:val="16"/>
              </w:rPr>
              <w:t>Any other asset not considered in the above categories?</w:t>
            </w:r>
          </w:p>
        </w:tc>
        <w:tc>
          <w:tcPr>
            <w:tcW w:w="1305" w:type="dxa"/>
            <w:shd w:val="clear" w:color="auto" w:fill="auto"/>
            <w:vAlign w:val="center"/>
          </w:tcPr>
          <w:p w14:paraId="25C7574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B6C1DF3" w14:textId="77777777" w:rsidR="00A66401" w:rsidRPr="00CF4E2F" w:rsidRDefault="00A66401" w:rsidP="00D6423A">
            <w:pPr>
              <w:pStyle w:val="TableParagraph"/>
              <w:ind w:left="490"/>
              <w:jc w:val="center"/>
              <w:rPr>
                <w:rFonts w:ascii="Times New Roman" w:hAnsi="Times New Roman"/>
                <w:sz w:val="16"/>
                <w:szCs w:val="16"/>
              </w:rPr>
            </w:pPr>
            <w:r>
              <w:rPr>
                <w:rFonts w:ascii="Times New Roman" w:eastAsia="Times New Roman" w:hAnsi="Times New Roman"/>
                <w:sz w:val="16"/>
                <w:szCs w:val="16"/>
              </w:rPr>
              <w:t>ID 1.9</w:t>
            </w:r>
          </w:p>
        </w:tc>
      </w:tr>
      <w:tr w:rsidR="00A66401" w:rsidRPr="00CF4E2F" w14:paraId="0AF13268" w14:textId="77777777" w:rsidTr="00D6423A">
        <w:tc>
          <w:tcPr>
            <w:tcW w:w="529" w:type="dxa"/>
            <w:vMerge/>
            <w:shd w:val="clear" w:color="auto" w:fill="auto"/>
            <w:vAlign w:val="center"/>
          </w:tcPr>
          <w:p w14:paraId="1C48DC62" w14:textId="77777777" w:rsidR="00A66401" w:rsidRPr="00CF4E2F" w:rsidRDefault="00A66401" w:rsidP="00D6423A">
            <w:pPr>
              <w:jc w:val="center"/>
              <w:rPr>
                <w:rFonts w:ascii="Times New Roman" w:hAnsi="Times New Roman"/>
                <w:sz w:val="16"/>
                <w:szCs w:val="16"/>
              </w:rPr>
            </w:pPr>
          </w:p>
        </w:tc>
        <w:tc>
          <w:tcPr>
            <w:tcW w:w="5550" w:type="dxa"/>
            <w:vMerge/>
            <w:shd w:val="clear" w:color="auto" w:fill="auto"/>
            <w:vAlign w:val="center"/>
          </w:tcPr>
          <w:p w14:paraId="323B6508" w14:textId="77777777" w:rsidR="00A66401" w:rsidRPr="00CF4E2F" w:rsidRDefault="00A66401" w:rsidP="00D6423A">
            <w:pPr>
              <w:jc w:val="center"/>
              <w:rPr>
                <w:rFonts w:ascii="Times New Roman" w:hAnsi="Times New Roman"/>
                <w:sz w:val="16"/>
                <w:szCs w:val="16"/>
              </w:rPr>
            </w:pPr>
          </w:p>
        </w:tc>
        <w:tc>
          <w:tcPr>
            <w:tcW w:w="1305" w:type="dxa"/>
            <w:shd w:val="clear" w:color="auto" w:fill="auto"/>
            <w:vAlign w:val="center"/>
          </w:tcPr>
          <w:p w14:paraId="2B9FBE0C"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A4A998B"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r w:rsidR="00A66401" w:rsidRPr="00CF4E2F" w14:paraId="5C5762C4" w14:textId="77777777" w:rsidTr="00D6423A">
        <w:tc>
          <w:tcPr>
            <w:tcW w:w="529" w:type="dxa"/>
            <w:vMerge w:val="restart"/>
            <w:shd w:val="clear" w:color="auto" w:fill="auto"/>
            <w:vAlign w:val="center"/>
          </w:tcPr>
          <w:p w14:paraId="62276924" w14:textId="77777777" w:rsidR="00A66401" w:rsidRPr="00CF4E2F" w:rsidRDefault="00A66401" w:rsidP="00D6423A">
            <w:pPr>
              <w:jc w:val="center"/>
              <w:rPr>
                <w:rFonts w:ascii="Times New Roman" w:hAnsi="Times New Roman"/>
                <w:sz w:val="16"/>
                <w:szCs w:val="16"/>
              </w:rPr>
            </w:pPr>
            <w:r>
              <w:rPr>
                <w:rFonts w:ascii="Times New Roman" w:hAnsi="Times New Roman"/>
                <w:sz w:val="16"/>
              </w:rPr>
              <w:t>19</w:t>
            </w:r>
          </w:p>
        </w:tc>
        <w:tc>
          <w:tcPr>
            <w:tcW w:w="5550" w:type="dxa"/>
            <w:vMerge w:val="restart"/>
            <w:shd w:val="clear" w:color="auto" w:fill="auto"/>
            <w:vAlign w:val="center"/>
          </w:tcPr>
          <w:p w14:paraId="1CF96E1C" w14:textId="77777777" w:rsidR="00A66401" w:rsidRPr="00CF4E2F" w:rsidRDefault="00A66401" w:rsidP="00D6423A">
            <w:pPr>
              <w:jc w:val="center"/>
              <w:rPr>
                <w:rFonts w:ascii="Times New Roman" w:hAnsi="Times New Roman"/>
                <w:sz w:val="16"/>
                <w:szCs w:val="16"/>
              </w:rPr>
            </w:pPr>
            <w:r w:rsidRPr="00CF4E2F">
              <w:rPr>
                <w:rFonts w:ascii="Times New Roman" w:hAnsi="Times New Roman"/>
                <w:sz w:val="16"/>
                <w:szCs w:val="16"/>
              </w:rPr>
              <w:t>An off-balance sheet exposure?</w:t>
            </w:r>
          </w:p>
        </w:tc>
        <w:tc>
          <w:tcPr>
            <w:tcW w:w="1305" w:type="dxa"/>
            <w:shd w:val="clear" w:color="auto" w:fill="auto"/>
            <w:vAlign w:val="center"/>
          </w:tcPr>
          <w:p w14:paraId="2801EE75"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D25C083"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 20</w:t>
            </w:r>
          </w:p>
        </w:tc>
      </w:tr>
      <w:tr w:rsidR="00A66401" w:rsidRPr="00CF4E2F" w14:paraId="363DF7B9" w14:textId="77777777" w:rsidTr="00D6423A">
        <w:tc>
          <w:tcPr>
            <w:tcW w:w="529" w:type="dxa"/>
            <w:vMerge/>
            <w:shd w:val="clear" w:color="auto" w:fill="auto"/>
            <w:vAlign w:val="center"/>
          </w:tcPr>
          <w:p w14:paraId="1F74D8BD" w14:textId="77777777" w:rsidR="00A66401" w:rsidRPr="00CF4E2F" w:rsidRDefault="00A66401" w:rsidP="00D6423A">
            <w:pPr>
              <w:jc w:val="center"/>
              <w:rPr>
                <w:rFonts w:ascii="Times New Roman" w:hAnsi="Times New Roman"/>
                <w:sz w:val="16"/>
              </w:rPr>
            </w:pPr>
          </w:p>
        </w:tc>
        <w:tc>
          <w:tcPr>
            <w:tcW w:w="5550" w:type="dxa"/>
            <w:vMerge/>
            <w:shd w:val="clear" w:color="auto" w:fill="auto"/>
            <w:vAlign w:val="center"/>
          </w:tcPr>
          <w:p w14:paraId="60AB94D6" w14:textId="77777777" w:rsidR="00A66401" w:rsidRPr="00CF4E2F" w:rsidRDefault="00A66401" w:rsidP="00D6423A">
            <w:pPr>
              <w:jc w:val="center"/>
              <w:rPr>
                <w:rFonts w:ascii="Times New Roman" w:hAnsi="Times New Roman"/>
                <w:sz w:val="16"/>
                <w:szCs w:val="16"/>
              </w:rPr>
            </w:pPr>
          </w:p>
        </w:tc>
        <w:tc>
          <w:tcPr>
            <w:tcW w:w="1305" w:type="dxa"/>
            <w:shd w:val="clear" w:color="auto" w:fill="auto"/>
            <w:vAlign w:val="center"/>
          </w:tcPr>
          <w:p w14:paraId="3179CF34"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90EC23A"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r w:rsidR="00A66401" w:rsidRPr="00CF4E2F" w14:paraId="5CE41579" w14:textId="77777777" w:rsidTr="00D6423A">
        <w:tc>
          <w:tcPr>
            <w:tcW w:w="529" w:type="dxa"/>
            <w:vMerge w:val="restart"/>
            <w:shd w:val="clear" w:color="auto" w:fill="auto"/>
            <w:vAlign w:val="center"/>
          </w:tcPr>
          <w:p w14:paraId="02554715" w14:textId="77777777" w:rsidR="00A66401" w:rsidRPr="00CF4E2F" w:rsidRDefault="00A66401" w:rsidP="00D6423A">
            <w:pPr>
              <w:jc w:val="center"/>
              <w:rPr>
                <w:rFonts w:ascii="Times New Roman" w:hAnsi="Times New Roman"/>
                <w:sz w:val="16"/>
              </w:rPr>
            </w:pPr>
            <w:r>
              <w:rPr>
                <w:rFonts w:ascii="Times New Roman" w:eastAsia="Calibri" w:hAnsi="Times New Roman"/>
                <w:sz w:val="16"/>
                <w:szCs w:val="16"/>
                <w:lang w:val="en-US"/>
              </w:rPr>
              <w:t>20</w:t>
            </w:r>
          </w:p>
        </w:tc>
        <w:tc>
          <w:tcPr>
            <w:tcW w:w="5550" w:type="dxa"/>
            <w:vMerge w:val="restart"/>
            <w:shd w:val="clear" w:color="auto" w:fill="auto"/>
            <w:vAlign w:val="center"/>
          </w:tcPr>
          <w:p w14:paraId="1C94A010" w14:textId="77777777" w:rsidR="00A66401" w:rsidRPr="00CF4E2F" w:rsidRDefault="00A66401" w:rsidP="00D6423A">
            <w:pPr>
              <w:jc w:val="center"/>
              <w:rPr>
                <w:rFonts w:ascii="Times New Roman" w:hAnsi="Times New Roman"/>
                <w:sz w:val="16"/>
                <w:szCs w:val="16"/>
              </w:rPr>
            </w:pPr>
            <w:r w:rsidRPr="00CF4E2F">
              <w:rPr>
                <w:rFonts w:ascii="Times New Roman" w:eastAsia="Calibri" w:hAnsi="Times New Roman"/>
                <w:sz w:val="16"/>
                <w:szCs w:val="16"/>
                <w:lang w:val="en-US"/>
              </w:rPr>
              <w:t>Non-performing exposure?</w:t>
            </w:r>
          </w:p>
        </w:tc>
        <w:tc>
          <w:tcPr>
            <w:tcW w:w="1305" w:type="dxa"/>
            <w:shd w:val="clear" w:color="auto" w:fill="auto"/>
            <w:vAlign w:val="center"/>
          </w:tcPr>
          <w:p w14:paraId="0CCD387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7FC15FB"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w:t>
            </w:r>
            <w:r w:rsidRPr="00CF4E2F">
              <w:rPr>
                <w:rFonts w:ascii="Times New Roman" w:eastAsia="Times New Roman" w:hAnsi="Times New Roman"/>
                <w:sz w:val="16"/>
                <w:szCs w:val="16"/>
              </w:rPr>
              <w:t>.</w:t>
            </w:r>
            <w:r>
              <w:rPr>
                <w:rFonts w:ascii="Times New Roman" w:eastAsia="Times New Roman" w:hAnsi="Times New Roman"/>
                <w:sz w:val="16"/>
                <w:szCs w:val="16"/>
              </w:rPr>
              <w:t>10.</w:t>
            </w:r>
            <w:r w:rsidRPr="00CF4E2F">
              <w:rPr>
                <w:rFonts w:ascii="Times New Roman" w:eastAsia="Times New Roman" w:hAnsi="Times New Roman"/>
                <w:sz w:val="16"/>
                <w:szCs w:val="16"/>
              </w:rPr>
              <w:t>4</w:t>
            </w:r>
          </w:p>
        </w:tc>
      </w:tr>
      <w:tr w:rsidR="00A66401" w:rsidRPr="00CF4E2F" w14:paraId="1AA9B7D1" w14:textId="77777777" w:rsidTr="00D6423A">
        <w:tc>
          <w:tcPr>
            <w:tcW w:w="529" w:type="dxa"/>
            <w:vMerge/>
            <w:shd w:val="clear" w:color="auto" w:fill="auto"/>
            <w:vAlign w:val="center"/>
          </w:tcPr>
          <w:p w14:paraId="3518B440"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0FC7C74E"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7E35BCD2"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6E99BB0C"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 21</w:t>
            </w:r>
          </w:p>
        </w:tc>
      </w:tr>
      <w:tr w:rsidR="00A66401" w:rsidRPr="00CF4E2F" w14:paraId="20C41F5E" w14:textId="77777777" w:rsidTr="00D6423A">
        <w:tc>
          <w:tcPr>
            <w:tcW w:w="529" w:type="dxa"/>
            <w:vMerge w:val="restart"/>
            <w:shd w:val="clear" w:color="auto" w:fill="auto"/>
            <w:vAlign w:val="center"/>
          </w:tcPr>
          <w:p w14:paraId="7BFD9B86" w14:textId="77777777" w:rsidR="00A66401" w:rsidRPr="00CF4E2F"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21</w:t>
            </w:r>
          </w:p>
        </w:tc>
        <w:tc>
          <w:tcPr>
            <w:tcW w:w="5550" w:type="dxa"/>
            <w:vMerge w:val="restart"/>
            <w:shd w:val="clear" w:color="auto" w:fill="auto"/>
            <w:vAlign w:val="center"/>
          </w:tcPr>
          <w:p w14:paraId="4B445246"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Committed facilities?</w:t>
            </w:r>
          </w:p>
        </w:tc>
        <w:tc>
          <w:tcPr>
            <w:tcW w:w="1305" w:type="dxa"/>
            <w:shd w:val="clear" w:color="auto" w:fill="auto"/>
            <w:vAlign w:val="center"/>
          </w:tcPr>
          <w:p w14:paraId="1715252B"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213F9F04"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 22</w:t>
            </w:r>
          </w:p>
        </w:tc>
      </w:tr>
      <w:tr w:rsidR="00A66401" w:rsidRPr="00CF4E2F" w14:paraId="329F5312" w14:textId="77777777" w:rsidTr="00D6423A">
        <w:tc>
          <w:tcPr>
            <w:tcW w:w="529" w:type="dxa"/>
            <w:vMerge/>
            <w:shd w:val="clear" w:color="auto" w:fill="auto"/>
            <w:vAlign w:val="center"/>
          </w:tcPr>
          <w:p w14:paraId="1EF4147E"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14C2FA38"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17060505"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5CFB6004" w14:textId="21251E5C" w:rsidR="00A66401" w:rsidRPr="00CF4E2F" w:rsidRDefault="00A66401" w:rsidP="000B60B2">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0B60B2">
              <w:rPr>
                <w:rFonts w:ascii="Times New Roman" w:eastAsia="Times New Roman" w:hAnsi="Times New Roman"/>
                <w:sz w:val="16"/>
                <w:szCs w:val="16"/>
              </w:rPr>
              <w:t>23</w:t>
            </w:r>
          </w:p>
        </w:tc>
      </w:tr>
      <w:tr w:rsidR="00A66401" w:rsidRPr="00CF4E2F" w14:paraId="0ACE5CB9" w14:textId="77777777" w:rsidTr="00D6423A">
        <w:tc>
          <w:tcPr>
            <w:tcW w:w="529" w:type="dxa"/>
            <w:vMerge w:val="restart"/>
            <w:shd w:val="clear" w:color="auto" w:fill="auto"/>
            <w:vAlign w:val="center"/>
          </w:tcPr>
          <w:p w14:paraId="2542964F" w14:textId="77777777" w:rsidR="00A66401" w:rsidRPr="00CF4E2F"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22</w:t>
            </w:r>
          </w:p>
        </w:tc>
        <w:tc>
          <w:tcPr>
            <w:tcW w:w="5550" w:type="dxa"/>
            <w:vMerge w:val="restart"/>
            <w:shd w:val="clear" w:color="auto" w:fill="auto"/>
            <w:vAlign w:val="center"/>
          </w:tcPr>
          <w:p w14:paraId="068D1418" w14:textId="3C0DBBB9" w:rsidR="00A66401" w:rsidRPr="00CF4E2F" w:rsidRDefault="0006614D" w:rsidP="000B60B2">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Committed facilities </w:t>
            </w:r>
            <w:r>
              <w:rPr>
                <w:rFonts w:ascii="Times New Roman" w:eastAsia="Calibri" w:hAnsi="Times New Roman"/>
                <w:sz w:val="16"/>
                <w:szCs w:val="16"/>
                <w:lang w:val="en-US"/>
              </w:rPr>
              <w:t xml:space="preserve">for which the competent authority has granted the </w:t>
            </w:r>
            <w:r w:rsidRPr="00CF4E2F">
              <w:rPr>
                <w:rFonts w:ascii="Times New Roman" w:eastAsia="Calibri" w:hAnsi="Times New Roman"/>
                <w:sz w:val="16"/>
                <w:szCs w:val="16"/>
                <w:lang w:val="en-US"/>
              </w:rPr>
              <w:t>preferential treatment?</w:t>
            </w:r>
          </w:p>
        </w:tc>
        <w:tc>
          <w:tcPr>
            <w:tcW w:w="1305" w:type="dxa"/>
            <w:shd w:val="clear" w:color="auto" w:fill="auto"/>
            <w:vAlign w:val="center"/>
          </w:tcPr>
          <w:p w14:paraId="6D488374"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1E7F5D3"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1.10.1</w:t>
            </w:r>
          </w:p>
        </w:tc>
      </w:tr>
      <w:tr w:rsidR="00A66401" w:rsidRPr="00CF4E2F" w14:paraId="77FA9AA7" w14:textId="77777777" w:rsidTr="00D6423A">
        <w:tc>
          <w:tcPr>
            <w:tcW w:w="529" w:type="dxa"/>
            <w:vMerge/>
            <w:shd w:val="clear" w:color="auto" w:fill="auto"/>
            <w:vAlign w:val="center"/>
          </w:tcPr>
          <w:p w14:paraId="29C7DA1C"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730720C9"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7381BD32"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534422DF"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1.10.2</w:t>
            </w:r>
          </w:p>
        </w:tc>
      </w:tr>
      <w:tr w:rsidR="00A66401" w:rsidRPr="00CF4E2F" w14:paraId="7F6F1A77" w14:textId="77777777" w:rsidTr="00D6423A">
        <w:tc>
          <w:tcPr>
            <w:tcW w:w="529" w:type="dxa"/>
            <w:vMerge w:val="restart"/>
            <w:shd w:val="clear" w:color="auto" w:fill="auto"/>
            <w:vAlign w:val="center"/>
          </w:tcPr>
          <w:p w14:paraId="640BEA1C" w14:textId="77777777" w:rsidR="00A66401" w:rsidRPr="00CF4E2F"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2</w:t>
            </w:r>
            <w:r>
              <w:rPr>
                <w:rFonts w:ascii="Times New Roman" w:eastAsia="Calibri" w:hAnsi="Times New Roman"/>
                <w:sz w:val="16"/>
                <w:szCs w:val="16"/>
                <w:lang w:val="en-US"/>
              </w:rPr>
              <w:t>3</w:t>
            </w:r>
          </w:p>
        </w:tc>
        <w:tc>
          <w:tcPr>
            <w:tcW w:w="5550" w:type="dxa"/>
            <w:vMerge w:val="restart"/>
            <w:shd w:val="clear" w:color="auto" w:fill="auto"/>
            <w:vAlign w:val="center"/>
          </w:tcPr>
          <w:p w14:paraId="38210E50" w14:textId="77777777" w:rsidR="00A66401" w:rsidRPr="00CF4E2F" w:rsidRDefault="00A66401" w:rsidP="00D6423A">
            <w:pPr>
              <w:jc w:val="center"/>
              <w:rPr>
                <w:rFonts w:ascii="Times New Roman" w:eastAsia="Calibri" w:hAnsi="Times New Roman"/>
                <w:sz w:val="16"/>
                <w:szCs w:val="16"/>
                <w:lang w:val="en-US"/>
              </w:rPr>
            </w:pPr>
            <w:r w:rsidRPr="00AC2898">
              <w:rPr>
                <w:rFonts w:ascii="Times New Roman" w:eastAsia="Calibri" w:hAnsi="Times New Roman"/>
                <w:sz w:val="16"/>
                <w:szCs w:val="16"/>
                <w:lang w:val="en-US"/>
              </w:rPr>
              <w:t>Trade finance off-balance sheet item?</w:t>
            </w:r>
          </w:p>
        </w:tc>
        <w:tc>
          <w:tcPr>
            <w:tcW w:w="1305" w:type="dxa"/>
            <w:shd w:val="clear" w:color="auto" w:fill="auto"/>
            <w:vAlign w:val="center"/>
          </w:tcPr>
          <w:p w14:paraId="672EDA3E"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0B776BCC"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1.10.3</w:t>
            </w:r>
          </w:p>
        </w:tc>
      </w:tr>
      <w:tr w:rsidR="00A66401" w:rsidRPr="00CF4E2F" w14:paraId="3F7203B5" w14:textId="77777777" w:rsidTr="00D6423A">
        <w:tc>
          <w:tcPr>
            <w:tcW w:w="529" w:type="dxa"/>
            <w:vMerge/>
            <w:shd w:val="clear" w:color="auto" w:fill="auto"/>
            <w:vAlign w:val="center"/>
          </w:tcPr>
          <w:p w14:paraId="6457519F"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04E32D7D" w14:textId="77777777" w:rsidR="00A66401" w:rsidRPr="00AC2898"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1A54B708"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3EFE5E3C"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 24</w:t>
            </w:r>
          </w:p>
        </w:tc>
      </w:tr>
      <w:tr w:rsidR="00A66401" w:rsidRPr="00CF4E2F" w14:paraId="004CA455" w14:textId="77777777" w:rsidTr="00D6423A">
        <w:tc>
          <w:tcPr>
            <w:tcW w:w="529" w:type="dxa"/>
            <w:vMerge w:val="restart"/>
            <w:shd w:val="clear" w:color="auto" w:fill="auto"/>
            <w:vAlign w:val="center"/>
          </w:tcPr>
          <w:p w14:paraId="1404FD6A" w14:textId="77777777" w:rsidR="00A66401" w:rsidRPr="00CF4E2F" w:rsidRDefault="00A66401" w:rsidP="00D6423A">
            <w:pPr>
              <w:jc w:val="center"/>
              <w:rPr>
                <w:rFonts w:ascii="Times New Roman" w:eastAsia="Calibri" w:hAnsi="Times New Roman"/>
                <w:sz w:val="16"/>
                <w:szCs w:val="16"/>
                <w:lang w:val="en-US"/>
              </w:rPr>
            </w:pPr>
            <w:r>
              <w:rPr>
                <w:rFonts w:ascii="Times New Roman" w:eastAsia="Calibri" w:hAnsi="Times New Roman"/>
                <w:sz w:val="16"/>
                <w:szCs w:val="16"/>
                <w:lang w:val="en-US"/>
              </w:rPr>
              <w:t>24</w:t>
            </w:r>
          </w:p>
        </w:tc>
        <w:tc>
          <w:tcPr>
            <w:tcW w:w="5550" w:type="dxa"/>
            <w:vMerge w:val="restart"/>
            <w:shd w:val="clear" w:color="auto" w:fill="auto"/>
            <w:vAlign w:val="center"/>
          </w:tcPr>
          <w:p w14:paraId="1E7A8A00" w14:textId="05736A9F" w:rsidR="00A66401" w:rsidRPr="00AC2898" w:rsidRDefault="00A66401" w:rsidP="00D6423A">
            <w:pPr>
              <w:jc w:val="center"/>
              <w:rPr>
                <w:rFonts w:ascii="Times New Roman" w:eastAsia="Calibri" w:hAnsi="Times New Roman"/>
                <w:sz w:val="16"/>
                <w:szCs w:val="16"/>
                <w:lang w:val="en-US"/>
              </w:rPr>
            </w:pPr>
            <w:r w:rsidRPr="00CF4E2F">
              <w:rPr>
                <w:rFonts w:ascii="Times New Roman" w:eastAsia="Calibri" w:hAnsi="Times New Roman"/>
                <w:sz w:val="16"/>
                <w:szCs w:val="16"/>
                <w:lang w:val="en-US"/>
              </w:rPr>
              <w:t xml:space="preserve">Other off-balance sheet exposure </w:t>
            </w:r>
            <w:r w:rsidR="00CA4FE7">
              <w:rPr>
                <w:rFonts w:ascii="Times New Roman" w:eastAsia="Calibri" w:hAnsi="Times New Roman"/>
                <w:sz w:val="16"/>
                <w:szCs w:val="16"/>
                <w:lang w:val="en-US"/>
              </w:rPr>
              <w:t>for which the competent authority has determined the RSF factor</w:t>
            </w:r>
            <w:r w:rsidRPr="00CF4E2F">
              <w:rPr>
                <w:rFonts w:ascii="Times New Roman" w:eastAsia="Calibri" w:hAnsi="Times New Roman"/>
                <w:sz w:val="16"/>
                <w:szCs w:val="16"/>
                <w:lang w:val="en-US"/>
              </w:rPr>
              <w:t>?</w:t>
            </w:r>
          </w:p>
        </w:tc>
        <w:tc>
          <w:tcPr>
            <w:tcW w:w="1305" w:type="dxa"/>
            <w:shd w:val="clear" w:color="auto" w:fill="auto"/>
            <w:vAlign w:val="center"/>
          </w:tcPr>
          <w:p w14:paraId="5E0CE835"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0351AA9" w14:textId="77777777" w:rsidR="00A66401" w:rsidRPr="00CF4E2F" w:rsidRDefault="00A66401" w:rsidP="00D6423A">
            <w:pPr>
              <w:pStyle w:val="TableParagraph"/>
              <w:ind w:left="490"/>
              <w:jc w:val="center"/>
              <w:rPr>
                <w:rFonts w:ascii="Times New Roman" w:eastAsia="Times New Roman" w:hAnsi="Times New Roman"/>
                <w:sz w:val="16"/>
                <w:szCs w:val="16"/>
              </w:rPr>
            </w:pPr>
            <w:r>
              <w:rPr>
                <w:rFonts w:ascii="Times New Roman" w:eastAsia="Times New Roman" w:hAnsi="Times New Roman"/>
                <w:sz w:val="16"/>
                <w:szCs w:val="16"/>
              </w:rPr>
              <w:t>ID 1.10.5</w:t>
            </w:r>
          </w:p>
        </w:tc>
      </w:tr>
      <w:tr w:rsidR="00A66401" w:rsidRPr="00CF4E2F" w14:paraId="346BBDB1" w14:textId="77777777" w:rsidTr="00D6423A">
        <w:tc>
          <w:tcPr>
            <w:tcW w:w="529" w:type="dxa"/>
            <w:vMerge/>
            <w:shd w:val="clear" w:color="auto" w:fill="auto"/>
            <w:vAlign w:val="center"/>
          </w:tcPr>
          <w:p w14:paraId="174909AD" w14:textId="77777777" w:rsidR="00A66401" w:rsidRPr="00CF4E2F" w:rsidRDefault="00A66401" w:rsidP="00D6423A">
            <w:pPr>
              <w:jc w:val="center"/>
              <w:rPr>
                <w:rFonts w:ascii="Times New Roman" w:eastAsia="Calibri" w:hAnsi="Times New Roman"/>
                <w:sz w:val="16"/>
                <w:szCs w:val="16"/>
                <w:lang w:val="en-US"/>
              </w:rPr>
            </w:pPr>
          </w:p>
        </w:tc>
        <w:tc>
          <w:tcPr>
            <w:tcW w:w="5550" w:type="dxa"/>
            <w:vMerge/>
            <w:shd w:val="clear" w:color="auto" w:fill="auto"/>
            <w:vAlign w:val="center"/>
          </w:tcPr>
          <w:p w14:paraId="6804FF8C" w14:textId="77777777" w:rsidR="00A66401" w:rsidRPr="00CF4E2F" w:rsidRDefault="00A66401" w:rsidP="00D6423A">
            <w:pPr>
              <w:jc w:val="center"/>
              <w:rPr>
                <w:rFonts w:ascii="Times New Roman" w:eastAsia="Calibri" w:hAnsi="Times New Roman"/>
                <w:sz w:val="16"/>
                <w:szCs w:val="16"/>
                <w:lang w:val="en-US"/>
              </w:rPr>
            </w:pPr>
          </w:p>
        </w:tc>
        <w:tc>
          <w:tcPr>
            <w:tcW w:w="1305" w:type="dxa"/>
            <w:shd w:val="clear" w:color="auto" w:fill="auto"/>
            <w:vAlign w:val="center"/>
          </w:tcPr>
          <w:p w14:paraId="22CC93EE" w14:textId="77777777" w:rsidR="00A66401" w:rsidRPr="00CF4E2F" w:rsidRDefault="00A66401" w:rsidP="00D6423A">
            <w:pPr>
              <w:pStyle w:val="TableParagraph"/>
              <w:spacing w:before="32"/>
              <w:ind w:left="459"/>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D53D6FF" w14:textId="77777777" w:rsidR="00A66401" w:rsidRPr="00CF4E2F" w:rsidRDefault="00A66401" w:rsidP="00D6423A">
            <w:pPr>
              <w:pStyle w:val="TableParagraph"/>
              <w:ind w:left="490"/>
              <w:jc w:val="center"/>
              <w:rPr>
                <w:rFonts w:ascii="Times New Roman" w:eastAsia="Times New Roman" w:hAnsi="Times New Roman"/>
                <w:sz w:val="16"/>
                <w:szCs w:val="16"/>
              </w:rPr>
            </w:pPr>
            <w:r w:rsidRPr="00CF4E2F">
              <w:rPr>
                <w:rFonts w:ascii="Times New Roman" w:eastAsia="Times New Roman" w:hAnsi="Times New Roman"/>
                <w:sz w:val="16"/>
                <w:szCs w:val="16"/>
              </w:rPr>
              <w:t>Do not report.</w:t>
            </w:r>
          </w:p>
        </w:tc>
      </w:tr>
    </w:tbl>
    <w:p w14:paraId="195F6691" w14:textId="26891130" w:rsidR="00A66401" w:rsidRPr="00DD6B59" w:rsidRDefault="00A66401" w:rsidP="0055437F">
      <w:pPr>
        <w:pStyle w:val="BodyText1"/>
        <w:numPr>
          <w:ilvl w:val="0"/>
          <w:numId w:val="30"/>
        </w:numPr>
        <w:spacing w:before="120" w:after="120"/>
        <w:ind w:left="714" w:hanging="357"/>
        <w:outlineLvl w:val="0"/>
        <w:rPr>
          <w:rFonts w:ascii="Times New Roman" w:hAnsi="Times New Roman"/>
          <w:b/>
          <w:sz w:val="24"/>
          <w:szCs w:val="24"/>
          <w:lang w:val="en-US"/>
        </w:rPr>
      </w:pPr>
      <w:bookmarkStart w:id="26" w:name="_Toc7641928"/>
      <w:r w:rsidRPr="00DD6B59">
        <w:rPr>
          <w:rFonts w:ascii="Times New Roman" w:hAnsi="Times New Roman"/>
          <w:b/>
          <w:sz w:val="24"/>
          <w:szCs w:val="24"/>
          <w:lang w:val="en-US"/>
        </w:rPr>
        <w:t>Instructions concerning specific columns</w:t>
      </w:r>
      <w:bookmarkEnd w:id="26"/>
    </w:p>
    <w:p w14:paraId="7BEE83A4" w14:textId="77777777" w:rsidR="00A66401" w:rsidRPr="0055437F" w:rsidRDefault="00A66401" w:rsidP="00D967E5">
      <w:pPr>
        <w:pStyle w:val="BodyText1"/>
        <w:spacing w:before="120" w:after="120"/>
        <w:ind w:left="720"/>
        <w:rPr>
          <w:lang w:val="en-US"/>
        </w:rPr>
      </w:pP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90"/>
      </w:tblGrid>
      <w:tr w:rsidR="00A66401" w:rsidRPr="00CF4E2F" w14:paraId="04CE3462" w14:textId="77777777" w:rsidTr="00D6423A">
        <w:trPr>
          <w:trHeight w:val="304"/>
        </w:trPr>
        <w:tc>
          <w:tcPr>
            <w:tcW w:w="1446"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83D28E9" w14:textId="77777777" w:rsidR="00A66401" w:rsidRPr="0040192D" w:rsidRDefault="00A66401" w:rsidP="00D6423A">
            <w:pPr>
              <w:pStyle w:val="TableParagraph"/>
              <w:spacing w:before="117" w:after="120"/>
              <w:ind w:left="102"/>
              <w:rPr>
                <w:rFonts w:ascii="Times New Roman" w:hAnsi="Times New Roman"/>
                <w:sz w:val="18"/>
                <w:szCs w:val="18"/>
              </w:rPr>
            </w:pPr>
            <w:r w:rsidRPr="00CF4E2F">
              <w:rPr>
                <w:rFonts w:ascii="Times New Roman"/>
                <w:spacing w:val="-1"/>
                <w:sz w:val="18"/>
                <w:szCs w:val="18"/>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2D572FB6" w14:textId="77777777" w:rsidR="00A66401" w:rsidRPr="00CF4E2F" w:rsidRDefault="00A66401" w:rsidP="00D6423A">
            <w:pPr>
              <w:pStyle w:val="TableParagraph"/>
              <w:spacing w:before="117" w:after="120"/>
              <w:ind w:left="102"/>
              <w:rPr>
                <w:rFonts w:ascii="Times New Roman" w:hAnsi="Times New Roman"/>
                <w:bCs/>
                <w:sz w:val="18"/>
                <w:szCs w:val="18"/>
                <w:u w:val="single"/>
              </w:rPr>
            </w:pPr>
            <w:r w:rsidRPr="00CF4E2F">
              <w:rPr>
                <w:rFonts w:ascii="Times New Roman" w:hAnsi="Times New Roman"/>
                <w:sz w:val="18"/>
                <w:szCs w:val="18"/>
              </w:rPr>
              <w:t xml:space="preserve">Legal </w:t>
            </w:r>
            <w:r w:rsidRPr="00CF4E2F">
              <w:rPr>
                <w:rFonts w:ascii="Times New Roman"/>
                <w:spacing w:val="-1"/>
                <w:sz w:val="18"/>
                <w:szCs w:val="18"/>
              </w:rPr>
              <w:t>references</w:t>
            </w:r>
            <w:r w:rsidRPr="00CF4E2F">
              <w:rPr>
                <w:rFonts w:ascii="Times New Roman" w:hAnsi="Times New Roman"/>
                <w:sz w:val="18"/>
                <w:szCs w:val="18"/>
              </w:rPr>
              <w:t xml:space="preserve"> and instructions</w:t>
            </w:r>
          </w:p>
        </w:tc>
      </w:tr>
      <w:tr w:rsidR="00A66401" w:rsidRPr="00CF4E2F" w14:paraId="13A5DB57" w14:textId="77777777" w:rsidTr="00D6423A">
        <w:trPr>
          <w:trHeight w:val="304"/>
        </w:trPr>
        <w:tc>
          <w:tcPr>
            <w:tcW w:w="1446" w:type="dxa"/>
          </w:tcPr>
          <w:p w14:paraId="75BC5037"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sz w:val="18"/>
                <w:szCs w:val="18"/>
              </w:rPr>
              <w:t>0010-00</w:t>
            </w:r>
            <w:r w:rsidRPr="0040192D">
              <w:rPr>
                <w:rFonts w:ascii="Times New Roman"/>
                <w:sz w:val="18"/>
                <w:szCs w:val="18"/>
              </w:rPr>
              <w:t>2</w:t>
            </w:r>
            <w:r w:rsidRPr="00CF4E2F">
              <w:rPr>
                <w:rFonts w:ascii="Times New Roman"/>
                <w:sz w:val="18"/>
                <w:szCs w:val="18"/>
              </w:rPr>
              <w:t>0</w:t>
            </w:r>
          </w:p>
        </w:tc>
        <w:tc>
          <w:tcPr>
            <w:tcW w:w="7590" w:type="dxa"/>
          </w:tcPr>
          <w:p w14:paraId="545E4C29" w14:textId="6F196316"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Amount of non-HQLA</w:t>
            </w:r>
          </w:p>
          <w:p w14:paraId="409C963D" w14:textId="77777777" w:rsidR="00A66401" w:rsidRPr="00CF4E2F" w:rsidRDefault="00A66401" w:rsidP="00D6423A">
            <w:pPr>
              <w:pStyle w:val="TableParagraph"/>
              <w:ind w:left="102"/>
              <w:rPr>
                <w:rFonts w:ascii="Times New Roman" w:eastAsia="Times New Roman" w:hAnsi="Times New Roman" w:cs="Times New Roman"/>
                <w:sz w:val="18"/>
                <w:szCs w:val="18"/>
              </w:rPr>
            </w:pPr>
          </w:p>
          <w:p w14:paraId="62729BA8" w14:textId="2E1A3D05" w:rsidR="00C133BB" w:rsidRDefault="00A66401" w:rsidP="00D6423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in columns 0010-0020 the amount, unless specified otherwise in Chapter </w:t>
            </w:r>
            <w:r>
              <w:rPr>
                <w:rFonts w:ascii="Times New Roman" w:eastAsia="Times New Roman" w:hAnsi="Times New Roman" w:cs="Times New Roman"/>
                <w:sz w:val="18"/>
                <w:szCs w:val="18"/>
              </w:rPr>
              <w:t xml:space="preserve">7 </w:t>
            </w:r>
            <w:r w:rsidRPr="00CF4E2F">
              <w:rPr>
                <w:rFonts w:ascii="Times New Roman" w:eastAsia="Times New Roman" w:hAnsi="Times New Roman" w:cs="Times New Roman"/>
                <w:sz w:val="18"/>
                <w:szCs w:val="18"/>
              </w:rPr>
              <w:t xml:space="preserve">of </w:t>
            </w:r>
            <w:r w:rsidR="00607717">
              <w:rPr>
                <w:rFonts w:ascii="Times New Roman" w:eastAsia="Times New Roman" w:hAnsi="Times New Roman" w:cs="Times New Roman"/>
                <w:sz w:val="18"/>
                <w:szCs w:val="18"/>
              </w:rPr>
              <w:t xml:space="preserve">Title IV of </w:t>
            </w:r>
            <w:r w:rsidR="00417A9F">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 xml:space="preserve">CRR, of the assets and off-balance sheet items referred to in Section 2 in Chapter </w:t>
            </w:r>
            <w:r>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 xml:space="preserve"> of </w:t>
            </w:r>
            <w:r w:rsidR="00607717">
              <w:rPr>
                <w:rFonts w:ascii="Times New Roman" w:eastAsia="Times New Roman" w:hAnsi="Times New Roman" w:cs="Times New Roman"/>
                <w:sz w:val="18"/>
                <w:szCs w:val="18"/>
              </w:rPr>
              <w:t xml:space="preserve">Title IV of </w:t>
            </w:r>
            <w:r w:rsidR="00417A9F">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CRR.</w:t>
            </w:r>
          </w:p>
          <w:p w14:paraId="61CA76B0" w14:textId="77777777" w:rsidR="00C133BB" w:rsidRPr="00CF4E2F" w:rsidRDefault="00C133BB" w:rsidP="00D6423A">
            <w:pPr>
              <w:pStyle w:val="TableParagraph"/>
              <w:ind w:left="102"/>
              <w:rPr>
                <w:rFonts w:ascii="Times New Roman" w:eastAsia="Times New Roman" w:hAnsi="Times New Roman" w:cs="Times New Roman"/>
                <w:sz w:val="18"/>
                <w:szCs w:val="18"/>
              </w:rPr>
            </w:pPr>
          </w:p>
          <w:p w14:paraId="2A3DCC0B" w14:textId="2BC6180D" w:rsidR="00A66401" w:rsidRPr="00CF4E2F" w:rsidRDefault="00A66401" w:rsidP="004808CC">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shall be reported in columns 0010-0020 when the corresponding item is not eligible as liquid asset pursuant to </w:t>
            </w:r>
            <w:r w:rsidR="00294179">
              <w:rPr>
                <w:rFonts w:ascii="Times New Roman" w:eastAsia="Times New Roman" w:hAnsi="Times New Roman" w:cs="Times New Roman"/>
                <w:sz w:val="18"/>
                <w:szCs w:val="18"/>
              </w:rPr>
              <w:t>Delegated Regulation (EU) 2015/61</w:t>
            </w:r>
            <w:r w:rsidRPr="00CF4E2F">
              <w:rPr>
                <w:rFonts w:ascii="Times New Roman" w:eastAsia="Times New Roman" w:hAnsi="Times New Roman" w:cs="Times New Roman"/>
                <w:sz w:val="18"/>
                <w:szCs w:val="18"/>
              </w:rPr>
              <w:t xml:space="preserve">, regardless of whether they comply with the operational requirements </w:t>
            </w:r>
            <w:r w:rsidR="00294179">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1FC996AB" w14:textId="77777777" w:rsidR="00A66401" w:rsidRPr="00CF4E2F" w:rsidRDefault="00A66401" w:rsidP="00D6423A">
            <w:pPr>
              <w:pStyle w:val="TableParagraph"/>
              <w:ind w:left="102"/>
              <w:rPr>
                <w:rFonts w:ascii="Times New Roman" w:eastAsia="Times New Roman" w:hAnsi="Times New Roman" w:cs="Times New Roman"/>
                <w:sz w:val="18"/>
                <w:szCs w:val="18"/>
              </w:rPr>
            </w:pPr>
          </w:p>
        </w:tc>
      </w:tr>
      <w:tr w:rsidR="00A66401" w:rsidRPr="00CF4E2F" w14:paraId="0DAE65F7" w14:textId="77777777" w:rsidTr="00D6423A">
        <w:trPr>
          <w:trHeight w:val="304"/>
        </w:trPr>
        <w:tc>
          <w:tcPr>
            <w:tcW w:w="1446" w:type="dxa"/>
          </w:tcPr>
          <w:p w14:paraId="5CDC5B71"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w:t>
            </w:r>
            <w:r w:rsidRPr="0040192D">
              <w:rPr>
                <w:rFonts w:ascii="Times New Roman" w:eastAsia="Times New Roman" w:hAnsi="Times New Roman" w:cs="Times New Roman"/>
                <w:sz w:val="18"/>
                <w:szCs w:val="18"/>
              </w:rPr>
              <w:t>3</w:t>
            </w:r>
            <w:r w:rsidRPr="00CF4E2F">
              <w:rPr>
                <w:rFonts w:ascii="Times New Roman" w:eastAsia="Times New Roman" w:hAnsi="Times New Roman" w:cs="Times New Roman"/>
                <w:sz w:val="18"/>
                <w:szCs w:val="18"/>
              </w:rPr>
              <w:t>0</w:t>
            </w:r>
          </w:p>
        </w:tc>
        <w:tc>
          <w:tcPr>
            <w:tcW w:w="7590" w:type="dxa"/>
          </w:tcPr>
          <w:p w14:paraId="0CACD8CB" w14:textId="77777777" w:rsidR="00A66401" w:rsidRPr="00CF4E2F" w:rsidRDefault="00A66401" w:rsidP="00D6423A">
            <w:pPr>
              <w:pStyle w:val="TableParagraph"/>
              <w:spacing w:before="117"/>
              <w:ind w:left="102" w:right="99"/>
              <w:jc w:val="both"/>
              <w:rPr>
                <w:rFonts w:ascii="Times New Roman" w:eastAsia="Times New Roman" w:hAnsi="Times New Roman" w:cs="Times New Roman"/>
                <w:b/>
                <w:sz w:val="18"/>
                <w:szCs w:val="18"/>
                <w:u w:val="single"/>
              </w:rPr>
            </w:pPr>
            <w:r w:rsidRPr="00CF4E2F">
              <w:rPr>
                <w:rFonts w:ascii="Times New Roman" w:eastAsia="Times New Roman" w:hAnsi="Times New Roman" w:cs="Times New Roman"/>
                <w:b/>
                <w:sz w:val="18"/>
                <w:szCs w:val="18"/>
                <w:u w:val="single"/>
              </w:rPr>
              <w:t>Amount of HQLA</w:t>
            </w:r>
          </w:p>
          <w:p w14:paraId="5E0595F2" w14:textId="77777777" w:rsidR="00A66401" w:rsidRPr="00CF4E2F" w:rsidRDefault="00A66401" w:rsidP="00D6423A">
            <w:pPr>
              <w:pStyle w:val="TableParagraph"/>
              <w:ind w:left="102"/>
              <w:rPr>
                <w:rFonts w:ascii="Times New Roman" w:eastAsia="Times New Roman" w:hAnsi="Times New Roman" w:cs="Times New Roman"/>
                <w:sz w:val="18"/>
                <w:szCs w:val="18"/>
              </w:rPr>
            </w:pPr>
          </w:p>
          <w:p w14:paraId="17565995" w14:textId="77777777" w:rsidR="00A66401" w:rsidRPr="00CF4E2F" w:rsidRDefault="00A66401" w:rsidP="00D6423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See instructions in columns 0010-0020.</w:t>
            </w:r>
          </w:p>
          <w:p w14:paraId="66B7557C" w14:textId="70A25829" w:rsidR="00A66401" w:rsidRPr="00CF4E2F" w:rsidRDefault="00A66401" w:rsidP="00D6423A">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shall be reported in column 0030 when the corresponding item is eligible as liquid asset pursuant </w:t>
            </w:r>
            <w:r w:rsidR="00294179">
              <w:rPr>
                <w:rFonts w:ascii="Times New Roman" w:eastAsia="Times New Roman" w:hAnsi="Times New Roman" w:cs="Times New Roman"/>
                <w:sz w:val="18"/>
                <w:szCs w:val="18"/>
              </w:rPr>
              <w:t>to Delegated Regulation (EU) 2015/61</w:t>
            </w:r>
            <w:r w:rsidR="00294179" w:rsidRPr="00CF4E2F">
              <w:rPr>
                <w:rFonts w:ascii="Times New Roman" w:eastAsia="Times New Roman" w:hAnsi="Times New Roman" w:cs="Times New Roman"/>
                <w:sz w:val="18"/>
                <w:szCs w:val="18"/>
              </w:rPr>
              <w:t xml:space="preserve">, regardless of whether they comply with the operational requirements </w:t>
            </w:r>
            <w:r w:rsidR="00294179">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22576445" w14:textId="77777777" w:rsidR="00A66401" w:rsidRPr="00CF4E2F" w:rsidRDefault="00A66401" w:rsidP="004808CC">
            <w:pPr>
              <w:pStyle w:val="TableParagraph"/>
              <w:ind w:left="102" w:right="99"/>
              <w:jc w:val="both"/>
              <w:rPr>
                <w:rFonts w:ascii="Times New Roman" w:eastAsia="Times New Roman" w:hAnsi="Times New Roman" w:cs="Times New Roman"/>
                <w:b/>
                <w:sz w:val="18"/>
                <w:szCs w:val="18"/>
                <w:u w:val="single"/>
              </w:rPr>
            </w:pPr>
          </w:p>
        </w:tc>
      </w:tr>
      <w:tr w:rsidR="00A66401" w:rsidRPr="00CF4E2F" w14:paraId="29E8831D" w14:textId="77777777" w:rsidTr="00D6423A">
        <w:trPr>
          <w:trHeight w:val="304"/>
        </w:trPr>
        <w:tc>
          <w:tcPr>
            <w:tcW w:w="1446" w:type="dxa"/>
          </w:tcPr>
          <w:p w14:paraId="768A5F5D"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w:t>
            </w:r>
            <w:r w:rsidRPr="0040192D">
              <w:rPr>
                <w:rFonts w:ascii="Times New Roman" w:eastAsia="Times New Roman" w:hAnsi="Times New Roman" w:cs="Times New Roman"/>
                <w:sz w:val="18"/>
                <w:szCs w:val="18"/>
              </w:rPr>
              <w:t>4</w:t>
            </w:r>
            <w:r w:rsidRPr="00CF4E2F">
              <w:rPr>
                <w:rFonts w:ascii="Times New Roman" w:eastAsia="Times New Roman" w:hAnsi="Times New Roman" w:cs="Times New Roman"/>
                <w:sz w:val="18"/>
                <w:szCs w:val="18"/>
              </w:rPr>
              <w:t>0-0060</w:t>
            </w:r>
          </w:p>
        </w:tc>
        <w:tc>
          <w:tcPr>
            <w:tcW w:w="7590" w:type="dxa"/>
          </w:tcPr>
          <w:p w14:paraId="35795A30" w14:textId="08223F9C"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Standard RSF factor</w:t>
            </w:r>
          </w:p>
          <w:p w14:paraId="0B85B064" w14:textId="742906F9" w:rsidR="00A66401" w:rsidRPr="00CF4E2F" w:rsidRDefault="00A66401" w:rsidP="00D6423A">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Section 2 of Chapter 7 of </w:t>
            </w:r>
            <w:r w:rsidR="00607717">
              <w:rPr>
                <w:rFonts w:ascii="Times New Roman" w:eastAsia="Times New Roman" w:hAnsi="Times New Roman" w:cs="Times New Roman"/>
                <w:sz w:val="18"/>
                <w:szCs w:val="18"/>
              </w:rPr>
              <w:t xml:space="preserve">Title IV of </w:t>
            </w:r>
            <w:r w:rsidR="00417A9F">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CRR.</w:t>
            </w:r>
          </w:p>
          <w:p w14:paraId="22CCB4B6" w14:textId="7D063FC1" w:rsidR="00A66401" w:rsidRPr="00CF4E2F" w:rsidRDefault="00A66401" w:rsidP="00D6423A">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standard factors in columns 0040-0060 are those specified in Chapter 7 of </w:t>
            </w:r>
            <w:r w:rsidR="00607717">
              <w:rPr>
                <w:rFonts w:ascii="Times New Roman" w:eastAsia="Times New Roman" w:hAnsi="Times New Roman" w:cs="Times New Roman"/>
                <w:sz w:val="18"/>
                <w:szCs w:val="18"/>
              </w:rPr>
              <w:t xml:space="preserve">Title IV of </w:t>
            </w:r>
            <w:r w:rsidR="00417A9F">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 xml:space="preserve">CRR by default that would determine the part of the amount of the assets </w:t>
            </w:r>
            <w:r w:rsidR="00F07579">
              <w:rPr>
                <w:rFonts w:ascii="Times New Roman" w:eastAsia="Times New Roman" w:hAnsi="Times New Roman" w:cs="Times New Roman"/>
                <w:sz w:val="18"/>
                <w:szCs w:val="18"/>
              </w:rPr>
              <w:t>and</w:t>
            </w:r>
            <w:r w:rsidR="00F07579" w:rsidRPr="00CF4E2F">
              <w:rPr>
                <w:rFonts w:ascii="Times New Roman" w:eastAsia="Times New Roman" w:hAnsi="Times New Roman" w:cs="Times New Roman"/>
                <w:sz w:val="18"/>
                <w:szCs w:val="18"/>
              </w:rPr>
              <w:t xml:space="preserve"> </w:t>
            </w:r>
            <w:r w:rsidRPr="00CF4E2F">
              <w:rPr>
                <w:rFonts w:ascii="Times New Roman" w:eastAsia="Times New Roman" w:hAnsi="Times New Roman" w:cs="Times New Roman"/>
                <w:sz w:val="18"/>
                <w:szCs w:val="18"/>
              </w:rPr>
              <w:t xml:space="preserve">off-balance sheet </w:t>
            </w:r>
            <w:r w:rsidR="00F07579">
              <w:rPr>
                <w:rFonts w:ascii="Times New Roman" w:eastAsia="Times New Roman" w:hAnsi="Times New Roman" w:cs="Times New Roman"/>
                <w:sz w:val="18"/>
                <w:szCs w:val="18"/>
              </w:rPr>
              <w:t xml:space="preserve">items </w:t>
            </w:r>
            <w:r w:rsidRPr="00CF4E2F">
              <w:rPr>
                <w:rFonts w:ascii="Times New Roman" w:eastAsia="Times New Roman" w:hAnsi="Times New Roman" w:cs="Times New Roman"/>
                <w:sz w:val="18"/>
                <w:szCs w:val="18"/>
              </w:rPr>
              <w:t>that is required stable funding.</w:t>
            </w:r>
            <w:r w:rsidRPr="00CF4E2F">
              <w:rPr>
                <w:sz w:val="18"/>
                <w:szCs w:val="18"/>
              </w:rPr>
              <w:t xml:space="preserve"> </w:t>
            </w:r>
            <w:r w:rsidRPr="00CF4E2F">
              <w:rPr>
                <w:rFonts w:ascii="Times New Roman" w:eastAsia="Times New Roman" w:hAnsi="Times New Roman" w:cs="Times New Roman"/>
                <w:sz w:val="18"/>
                <w:szCs w:val="18"/>
              </w:rPr>
              <w:t>They are provided for information only and are not meant to be filled in by institutions.</w:t>
            </w:r>
          </w:p>
          <w:p w14:paraId="223D6F6E" w14:textId="77777777" w:rsidR="00A66401" w:rsidRPr="00CF4E2F" w:rsidRDefault="00A66401" w:rsidP="004808CC">
            <w:pPr>
              <w:pStyle w:val="TableParagraph"/>
              <w:ind w:left="102" w:right="99"/>
              <w:rPr>
                <w:rFonts w:ascii="Times New Roman" w:eastAsia="Times New Roman" w:hAnsi="Times New Roman" w:cs="Times New Roman"/>
                <w:sz w:val="18"/>
                <w:szCs w:val="18"/>
              </w:rPr>
            </w:pPr>
          </w:p>
        </w:tc>
      </w:tr>
      <w:tr w:rsidR="00A66401" w:rsidRPr="00CF4E2F" w14:paraId="3B87610B" w14:textId="77777777" w:rsidTr="00D6423A">
        <w:trPr>
          <w:trHeight w:val="304"/>
        </w:trPr>
        <w:tc>
          <w:tcPr>
            <w:tcW w:w="1446" w:type="dxa"/>
          </w:tcPr>
          <w:p w14:paraId="57FAB332"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w:t>
            </w:r>
            <w:r w:rsidRPr="0040192D">
              <w:rPr>
                <w:rFonts w:ascii="Times New Roman" w:eastAsia="Times New Roman" w:hAnsi="Times New Roman" w:cs="Times New Roman"/>
                <w:sz w:val="18"/>
                <w:szCs w:val="18"/>
              </w:rPr>
              <w:t>7</w:t>
            </w:r>
            <w:r w:rsidRPr="00CF4E2F">
              <w:rPr>
                <w:rFonts w:ascii="Times New Roman" w:eastAsia="Times New Roman" w:hAnsi="Times New Roman" w:cs="Times New Roman"/>
                <w:sz w:val="18"/>
                <w:szCs w:val="18"/>
              </w:rPr>
              <w:t>0-0900</w:t>
            </w:r>
          </w:p>
        </w:tc>
        <w:tc>
          <w:tcPr>
            <w:tcW w:w="7590" w:type="dxa"/>
          </w:tcPr>
          <w:p w14:paraId="47B95FD4" w14:textId="401F1988" w:rsidR="00A66401" w:rsidRPr="00CF4E2F" w:rsidRDefault="00A66401" w:rsidP="00D6423A">
            <w:pPr>
              <w:pStyle w:val="TableParagraph"/>
              <w:spacing w:before="117"/>
              <w:ind w:left="102" w:right="99"/>
              <w:rPr>
                <w:rFonts w:ascii="Times New Roman"/>
                <w:b/>
                <w:sz w:val="18"/>
                <w:szCs w:val="18"/>
                <w:u w:val="thick" w:color="000000"/>
              </w:rPr>
            </w:pPr>
            <w:r w:rsidRPr="00CF4E2F">
              <w:rPr>
                <w:rFonts w:ascii="Times New Roman"/>
                <w:b/>
                <w:sz w:val="18"/>
                <w:szCs w:val="18"/>
                <w:u w:val="thick" w:color="000000"/>
              </w:rPr>
              <w:t>Applicable RSF factor</w:t>
            </w:r>
          </w:p>
          <w:p w14:paraId="2D9E199D" w14:textId="77777777" w:rsidR="00A66401" w:rsidRPr="00DD6B59" w:rsidRDefault="00A66401" w:rsidP="00D6423A">
            <w:pPr>
              <w:pStyle w:val="TableParagraph"/>
              <w:spacing w:before="117"/>
              <w:ind w:left="102" w:right="99"/>
              <w:rPr>
                <w:rFonts w:ascii="Times New Roman" w:eastAsia="Times New Roman" w:hAnsi="Times New Roman" w:cs="Times New Roman"/>
                <w:color w:val="000000"/>
                <w:sz w:val="18"/>
                <w:szCs w:val="18"/>
              </w:rPr>
            </w:pPr>
            <w:r w:rsidRPr="00DD6B59">
              <w:rPr>
                <w:rFonts w:ascii="Times New Roman" w:eastAsia="Times New Roman" w:hAnsi="Times New Roman" w:cs="Times New Roman"/>
                <w:color w:val="000000"/>
                <w:sz w:val="18"/>
                <w:szCs w:val="18"/>
              </w:rPr>
              <w:t>Chapter 2 and Chapter 7 of CRR.</w:t>
            </w:r>
          </w:p>
          <w:p w14:paraId="25496E75" w14:textId="77777777" w:rsidR="00A66401" w:rsidRPr="00DD6B59" w:rsidRDefault="00A66401" w:rsidP="004808CC">
            <w:pPr>
              <w:pStyle w:val="TableParagraph"/>
              <w:ind w:left="102" w:right="99"/>
              <w:rPr>
                <w:rFonts w:ascii="Times New Roman" w:eastAsia="Times New Roman" w:hAnsi="Times New Roman" w:cs="Times New Roman"/>
                <w:color w:val="000000"/>
                <w:sz w:val="18"/>
                <w:szCs w:val="18"/>
              </w:rPr>
            </w:pPr>
          </w:p>
          <w:p w14:paraId="056D8694" w14:textId="0DF415B4" w:rsidR="00A66401" w:rsidRPr="00DD6B59" w:rsidRDefault="00A66401" w:rsidP="004808CC">
            <w:pPr>
              <w:autoSpaceDE w:val="0"/>
              <w:autoSpaceDN w:val="0"/>
              <w:adjustRightInd w:val="0"/>
              <w:ind w:left="102"/>
              <w:rPr>
                <w:rFonts w:ascii="Times New Roman" w:hAnsi="Times New Roman"/>
                <w:szCs w:val="18"/>
                <w:lang w:val="en-US"/>
              </w:rPr>
            </w:pPr>
            <w:r w:rsidRPr="00DD6B59">
              <w:rPr>
                <w:rFonts w:ascii="Times New Roman" w:hAnsi="Times New Roman"/>
                <w:szCs w:val="18"/>
                <w:lang w:val="en-US"/>
              </w:rPr>
              <w:t xml:space="preserve">Institutions shall report in columns 0070-0900 the applicable factor applied to items in Chapter 7 </w:t>
            </w:r>
            <w:r w:rsidR="00607717">
              <w:rPr>
                <w:rFonts w:ascii="Times New Roman" w:hAnsi="Times New Roman"/>
                <w:szCs w:val="18"/>
                <w:lang w:val="en-US"/>
              </w:rPr>
              <w:t xml:space="preserve">of Title IV </w:t>
            </w:r>
            <w:r w:rsidRPr="00DD6B59">
              <w:rPr>
                <w:rFonts w:ascii="Times New Roman" w:hAnsi="Times New Roman"/>
                <w:szCs w:val="18"/>
                <w:lang w:val="en-US"/>
              </w:rPr>
              <w:t xml:space="preserve">of </w:t>
            </w:r>
            <w:r w:rsidR="00417A9F">
              <w:rPr>
                <w:rFonts w:ascii="Times New Roman" w:hAnsi="Times New Roman"/>
                <w:szCs w:val="18"/>
                <w:lang w:val="en-US"/>
              </w:rPr>
              <w:t xml:space="preserve">Part Six of </w:t>
            </w:r>
            <w:r w:rsidRPr="00DD6B59">
              <w:rPr>
                <w:rFonts w:ascii="Times New Roman" w:hAnsi="Times New Roman"/>
                <w:szCs w:val="18"/>
                <w:lang w:val="en-US"/>
              </w:rPr>
              <w:t>CRR. Applicable factors may result in weighted average values and shall be reported in decimal terms (i.e. 1.00 for an applicable weight of 100 per cent, or 0.50 for an applicable weight of 50 per cent). Applicable factors may reflect, but are not limited to, firm-specific and national discretions.</w:t>
            </w:r>
          </w:p>
          <w:p w14:paraId="55D084E6" w14:textId="77777777" w:rsidR="00A66401" w:rsidRPr="00DD6B59" w:rsidRDefault="00A66401" w:rsidP="00D6423A">
            <w:pPr>
              <w:autoSpaceDE w:val="0"/>
              <w:autoSpaceDN w:val="0"/>
              <w:adjustRightInd w:val="0"/>
              <w:ind w:left="102"/>
              <w:rPr>
                <w:rFonts w:ascii="Times New Roman" w:hAnsi="Times New Roman"/>
                <w:szCs w:val="18"/>
                <w:lang w:val="en-US"/>
              </w:rPr>
            </w:pPr>
          </w:p>
        </w:tc>
      </w:tr>
      <w:tr w:rsidR="00A66401" w:rsidRPr="00CF4E2F" w14:paraId="56CCD81A" w14:textId="77777777" w:rsidTr="00D6423A">
        <w:trPr>
          <w:trHeight w:val="304"/>
        </w:trPr>
        <w:tc>
          <w:tcPr>
            <w:tcW w:w="1446" w:type="dxa"/>
          </w:tcPr>
          <w:p w14:paraId="53A2B5A4"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w:t>
            </w:r>
            <w:r w:rsidRPr="0040192D">
              <w:rPr>
                <w:rFonts w:ascii="Times New Roman" w:eastAsia="Times New Roman" w:hAnsi="Times New Roman" w:cs="Times New Roman"/>
                <w:sz w:val="18"/>
                <w:szCs w:val="18"/>
              </w:rPr>
              <w:t>0</w:t>
            </w:r>
            <w:r w:rsidRPr="00CF4E2F">
              <w:rPr>
                <w:rFonts w:ascii="Times New Roman" w:eastAsia="Times New Roman" w:hAnsi="Times New Roman" w:cs="Times New Roman"/>
                <w:sz w:val="18"/>
                <w:szCs w:val="18"/>
              </w:rPr>
              <w:t>0</w:t>
            </w:r>
          </w:p>
        </w:tc>
        <w:tc>
          <w:tcPr>
            <w:tcW w:w="7590" w:type="dxa"/>
          </w:tcPr>
          <w:p w14:paraId="241F3BD5" w14:textId="77777777" w:rsidR="00A66401" w:rsidRPr="00CF4E2F" w:rsidRDefault="00A66401" w:rsidP="00D6423A">
            <w:pPr>
              <w:pStyle w:val="TableParagraph"/>
              <w:spacing w:before="117"/>
              <w:ind w:left="102" w:right="100" w:hanging="39"/>
              <w:rPr>
                <w:rFonts w:ascii="Times New Roman" w:eastAsia="Times New Roman" w:hAnsi="Times New Roman" w:cs="Times New Roman"/>
                <w:b/>
                <w:sz w:val="18"/>
                <w:szCs w:val="18"/>
                <w:u w:val="single"/>
              </w:rPr>
            </w:pPr>
            <w:r w:rsidRPr="00CF4E2F">
              <w:rPr>
                <w:rFonts w:ascii="Times New Roman"/>
                <w:b/>
                <w:sz w:val="18"/>
                <w:szCs w:val="18"/>
                <w:u w:val="thick" w:color="000000"/>
              </w:rPr>
              <w:t>Required stable funding:</w:t>
            </w:r>
          </w:p>
          <w:p w14:paraId="5D471964" w14:textId="25F0D9B0" w:rsidR="00A66401" w:rsidRPr="00CF4E2F" w:rsidRDefault="00A66401" w:rsidP="00D6423A">
            <w:pPr>
              <w:pStyle w:val="TableParagraph"/>
              <w:spacing w:before="117"/>
              <w:ind w:left="33"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in Column 0100 the required stable funding in accordance with Chapter 7 </w:t>
            </w:r>
            <w:r w:rsidR="00607717">
              <w:rPr>
                <w:rFonts w:ascii="Times New Roman" w:eastAsia="Times New Roman" w:hAnsi="Times New Roman" w:cs="Times New Roman"/>
                <w:sz w:val="18"/>
                <w:szCs w:val="18"/>
              </w:rPr>
              <w:t xml:space="preserve">of Title IV </w:t>
            </w:r>
            <w:r w:rsidRPr="00CF4E2F">
              <w:rPr>
                <w:rFonts w:ascii="Times New Roman" w:eastAsia="Times New Roman" w:hAnsi="Times New Roman" w:cs="Times New Roman"/>
                <w:sz w:val="18"/>
                <w:szCs w:val="18"/>
              </w:rPr>
              <w:t xml:space="preserve">of </w:t>
            </w:r>
            <w:r w:rsidR="00417A9F">
              <w:rPr>
                <w:rFonts w:ascii="Times New Roman" w:eastAsia="Times New Roman" w:hAnsi="Times New Roman" w:cs="Times New Roman"/>
                <w:sz w:val="18"/>
                <w:szCs w:val="18"/>
              </w:rPr>
              <w:t xml:space="preserve">Part Six of </w:t>
            </w:r>
            <w:r w:rsidRPr="00CF4E2F">
              <w:rPr>
                <w:rFonts w:ascii="Times New Roman" w:eastAsia="Times New Roman" w:hAnsi="Times New Roman" w:cs="Times New Roman"/>
                <w:sz w:val="18"/>
                <w:szCs w:val="18"/>
              </w:rPr>
              <w:t>CRR.</w:t>
            </w:r>
          </w:p>
          <w:p w14:paraId="0BA60851" w14:textId="77777777" w:rsidR="00A66401" w:rsidRPr="00CF4E2F" w:rsidRDefault="00A66401" w:rsidP="004808CC">
            <w:pPr>
              <w:pStyle w:val="TableParagraph"/>
              <w:spacing w:before="117"/>
              <w:ind w:left="72" w:right="100" w:hanging="3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This is calculated by the following formula:</w:t>
            </w:r>
            <w:r w:rsidRPr="00CF4E2F">
              <w:rPr>
                <w:rFonts w:ascii="Times New Roman" w:eastAsia="Times New Roman" w:hAnsi="Times New Roman" w:cs="Times New Roman"/>
                <w:sz w:val="18"/>
                <w:szCs w:val="18"/>
              </w:rPr>
              <w:br/>
              <w:t>c0100 = SUM{(c0010 * c 0070), (c0020 * c 0080), (c0030 * c 0090)</w:t>
            </w:r>
          </w:p>
          <w:p w14:paraId="7B99CFFB" w14:textId="77777777" w:rsidR="00A66401" w:rsidRPr="00CF4E2F" w:rsidRDefault="00A66401" w:rsidP="004808CC">
            <w:pPr>
              <w:pStyle w:val="TableParagraph"/>
              <w:ind w:left="72" w:right="100" w:hanging="39"/>
              <w:rPr>
                <w:rFonts w:ascii="Times New Roman"/>
                <w:b/>
                <w:sz w:val="18"/>
                <w:szCs w:val="18"/>
                <w:u w:val="thick" w:color="000000"/>
              </w:rPr>
            </w:pPr>
          </w:p>
        </w:tc>
      </w:tr>
    </w:tbl>
    <w:p w14:paraId="0B8B4A78" w14:textId="00465E84" w:rsidR="00A66401" w:rsidRPr="00DD6B59" w:rsidRDefault="00A66401" w:rsidP="0055437F">
      <w:pPr>
        <w:pStyle w:val="InstructionsText2"/>
        <w:spacing w:before="120" w:after="120"/>
        <w:ind w:left="714" w:hanging="357"/>
        <w:rPr>
          <w:lang w:val="en-US"/>
        </w:rPr>
      </w:pPr>
    </w:p>
    <w:p w14:paraId="79B49C15" w14:textId="67262E1F" w:rsidR="00A66401" w:rsidRPr="00DD6B59" w:rsidRDefault="00A66401" w:rsidP="000342AB">
      <w:pPr>
        <w:pStyle w:val="BodyText1"/>
        <w:numPr>
          <w:ilvl w:val="0"/>
          <w:numId w:val="30"/>
        </w:numPr>
        <w:spacing w:before="120" w:after="120"/>
        <w:ind w:left="714" w:hanging="357"/>
        <w:outlineLvl w:val="0"/>
        <w:rPr>
          <w:rFonts w:ascii="Times New Roman" w:hAnsi="Times New Roman"/>
          <w:b/>
          <w:sz w:val="24"/>
          <w:szCs w:val="24"/>
          <w:lang w:val="en-US"/>
        </w:rPr>
      </w:pPr>
      <w:bookmarkStart w:id="27" w:name="_Toc7641929"/>
      <w:r w:rsidRPr="00DD6B59">
        <w:rPr>
          <w:rFonts w:ascii="Times New Roman" w:hAnsi="Times New Roman"/>
          <w:b/>
          <w:sz w:val="24"/>
          <w:szCs w:val="24"/>
          <w:lang w:val="en-US"/>
        </w:rPr>
        <w:t>Instructions concerning specific rows</w:t>
      </w:r>
      <w:bookmarkEnd w:id="27"/>
    </w:p>
    <w:p w14:paraId="20D4BE34" w14:textId="77777777" w:rsidR="00A66401" w:rsidRPr="0055437F" w:rsidRDefault="00A66401" w:rsidP="00D967E5">
      <w:pPr>
        <w:pStyle w:val="BodyText1"/>
        <w:spacing w:before="120" w:after="120"/>
        <w:ind w:left="720"/>
        <w:rPr>
          <w:lang w:val="en-US"/>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66401" w:rsidRPr="00CF4E2F" w14:paraId="3AFF1187" w14:textId="77777777" w:rsidTr="00D6423A">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C918C03" w14:textId="77777777" w:rsidR="00A66401" w:rsidRPr="0040192D" w:rsidRDefault="00A66401" w:rsidP="00D6423A">
            <w:pPr>
              <w:pStyle w:val="TableParagraph"/>
              <w:spacing w:before="117" w:after="120"/>
              <w:ind w:left="102"/>
              <w:rPr>
                <w:rFonts w:ascii="Times New Roman" w:hAnsi="Times New Roman"/>
                <w:sz w:val="18"/>
                <w:szCs w:val="18"/>
              </w:rPr>
            </w:pPr>
            <w:r w:rsidRPr="00CF4E2F">
              <w:rPr>
                <w:rFonts w:ascii="Times New Roman"/>
                <w:spacing w:val="-1"/>
                <w:sz w:val="18"/>
                <w:szCs w:val="18"/>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6B50EA2" w14:textId="77777777" w:rsidR="00A66401" w:rsidRPr="00CF4E2F" w:rsidRDefault="00A66401" w:rsidP="00D6423A">
            <w:pPr>
              <w:pStyle w:val="TableParagraph"/>
              <w:spacing w:before="117" w:after="120"/>
              <w:ind w:left="102"/>
              <w:rPr>
                <w:rFonts w:ascii="Times New Roman" w:hAnsi="Times New Roman"/>
                <w:bCs/>
                <w:sz w:val="18"/>
                <w:szCs w:val="18"/>
                <w:u w:val="single"/>
              </w:rPr>
            </w:pPr>
            <w:r w:rsidRPr="00CF4E2F">
              <w:rPr>
                <w:rFonts w:ascii="Times New Roman" w:hAnsi="Times New Roman"/>
                <w:sz w:val="18"/>
                <w:szCs w:val="18"/>
              </w:rPr>
              <w:t xml:space="preserve">Legal </w:t>
            </w:r>
            <w:r w:rsidRPr="00CF4E2F">
              <w:rPr>
                <w:rFonts w:ascii="Times New Roman"/>
                <w:spacing w:val="-1"/>
                <w:sz w:val="18"/>
                <w:szCs w:val="18"/>
              </w:rPr>
              <w:t>references</w:t>
            </w:r>
            <w:r w:rsidRPr="00CF4E2F">
              <w:rPr>
                <w:rFonts w:ascii="Times New Roman" w:hAnsi="Times New Roman"/>
                <w:sz w:val="18"/>
                <w:szCs w:val="18"/>
              </w:rPr>
              <w:t xml:space="preserve"> and instructions</w:t>
            </w:r>
          </w:p>
        </w:tc>
      </w:tr>
      <w:tr w:rsidR="00A66401" w:rsidRPr="00CF4E2F" w14:paraId="1D3D4605" w14:textId="77777777" w:rsidTr="00D6423A">
        <w:trPr>
          <w:trHeight w:val="304"/>
        </w:trPr>
        <w:tc>
          <w:tcPr>
            <w:tcW w:w="1418" w:type="dxa"/>
          </w:tcPr>
          <w:p w14:paraId="6650361E"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40192D">
              <w:rPr>
                <w:rFonts w:ascii="Times New Roman"/>
                <w:sz w:val="18"/>
                <w:szCs w:val="18"/>
              </w:rPr>
              <w:t>0010</w:t>
            </w:r>
          </w:p>
        </w:tc>
        <w:tc>
          <w:tcPr>
            <w:tcW w:w="7590" w:type="dxa"/>
          </w:tcPr>
          <w:p w14:paraId="2E390114"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 REQUIRED STABLE FUNDING</w:t>
            </w:r>
          </w:p>
          <w:p w14:paraId="5BEB307C" w14:textId="77777777" w:rsidR="00A66401" w:rsidRPr="00CF4E2F" w:rsidRDefault="00A66401" w:rsidP="00D6423A">
            <w:pPr>
              <w:pStyle w:val="TableParagraph"/>
              <w:ind w:left="102"/>
              <w:rPr>
                <w:rFonts w:ascii="Times New Roman" w:eastAsia="Times New Roman" w:hAnsi="Times New Roman" w:cs="Times New Roman"/>
                <w:sz w:val="18"/>
                <w:szCs w:val="18"/>
              </w:rPr>
            </w:pPr>
          </w:p>
          <w:p w14:paraId="68AFE52D" w14:textId="2D84B978" w:rsidR="00A66401" w:rsidRPr="00CF4E2F" w:rsidRDefault="00A66401" w:rsidP="00D6423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Chapter 7 </w:t>
            </w:r>
            <w:r w:rsidR="0037739F">
              <w:rPr>
                <w:rFonts w:ascii="Times New Roman" w:eastAsia="Times New Roman" w:hAnsi="Times New Roman" w:cs="Times New Roman"/>
                <w:sz w:val="18"/>
                <w:szCs w:val="18"/>
              </w:rPr>
              <w:t xml:space="preserve">of Title IV of Part Six of </w:t>
            </w:r>
            <w:r w:rsidR="00F41674">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3EF7F146" w14:textId="77777777" w:rsidR="00A66401" w:rsidRPr="00CF4E2F" w:rsidRDefault="00A66401" w:rsidP="00D6423A">
            <w:pPr>
              <w:pStyle w:val="TableParagraph"/>
              <w:ind w:left="102"/>
              <w:rPr>
                <w:rFonts w:ascii="Times New Roman" w:eastAsia="Times New Roman" w:hAnsi="Times New Roman" w:cs="Times New Roman"/>
                <w:sz w:val="18"/>
                <w:szCs w:val="18"/>
              </w:rPr>
            </w:pPr>
          </w:p>
          <w:p w14:paraId="48EFE2EB" w14:textId="7757FF6A" w:rsidR="00A66401" w:rsidRPr="00CF4E2F" w:rsidRDefault="00A66401" w:rsidP="00D6423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items subject to the required stable funding in accordance with Chapter 7 of </w:t>
            </w:r>
            <w:r w:rsidR="00607717">
              <w:rPr>
                <w:rFonts w:ascii="Times New Roman" w:eastAsia="Times New Roman" w:hAnsi="Times New Roman" w:cs="Times New Roman"/>
                <w:sz w:val="18"/>
                <w:szCs w:val="18"/>
              </w:rPr>
              <w:t xml:space="preserve">Title IV of Part Six of </w:t>
            </w:r>
            <w:r w:rsidR="00417A9F">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35E13F11" w14:textId="77777777" w:rsidR="00A66401" w:rsidRPr="00CF4E2F" w:rsidRDefault="00A66401" w:rsidP="00D6423A">
            <w:pPr>
              <w:pStyle w:val="TableParagraph"/>
              <w:ind w:left="102"/>
              <w:rPr>
                <w:rFonts w:ascii="Times New Roman" w:eastAsia="Times New Roman" w:hAnsi="Times New Roman" w:cs="Times New Roman"/>
                <w:sz w:val="18"/>
                <w:szCs w:val="18"/>
              </w:rPr>
            </w:pPr>
          </w:p>
        </w:tc>
      </w:tr>
      <w:tr w:rsidR="00A66401" w:rsidRPr="00CF4E2F" w14:paraId="17112808" w14:textId="77777777" w:rsidTr="00D6423A">
        <w:trPr>
          <w:trHeight w:val="304"/>
        </w:trPr>
        <w:tc>
          <w:tcPr>
            <w:tcW w:w="1418" w:type="dxa"/>
          </w:tcPr>
          <w:p w14:paraId="52B3F54C" w14:textId="77777777" w:rsidR="00A66401" w:rsidRPr="00CF4E2F"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0020</w:t>
            </w:r>
          </w:p>
        </w:tc>
        <w:tc>
          <w:tcPr>
            <w:tcW w:w="7590" w:type="dxa"/>
          </w:tcPr>
          <w:p w14:paraId="5CD64963" w14:textId="31CE5FA5"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1.1 RSF from central bank assets</w:t>
            </w:r>
          </w:p>
          <w:p w14:paraId="23CA4092" w14:textId="77777777" w:rsidR="00A66401" w:rsidRPr="00CF4E2F" w:rsidRDefault="00A66401" w:rsidP="00D6423A">
            <w:pPr>
              <w:pStyle w:val="TableParagraph"/>
              <w:ind w:left="102"/>
              <w:rPr>
                <w:rFonts w:ascii="Times New Roman" w:eastAsia="Times New Roman" w:hAnsi="Times New Roman" w:cs="Times New Roman"/>
                <w:sz w:val="18"/>
                <w:szCs w:val="18"/>
              </w:rPr>
            </w:pPr>
          </w:p>
          <w:p w14:paraId="211BE035" w14:textId="2CD3772D" w:rsidR="00A66401" w:rsidRPr="00CF4E2F" w:rsidRDefault="00A66401" w:rsidP="00D6423A">
            <w:pPr>
              <w:pStyle w:val="TableParagraph"/>
              <w:ind w:left="102"/>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Article 428as(b) and (c) and Article 428ad(d) of </w:t>
            </w:r>
            <w:r w:rsidR="00F41674">
              <w:rPr>
                <w:rFonts w:ascii="Times New Roman" w:eastAsia="Times New Roman" w:hAnsi="Times New Roman" w:cs="Times New Roman"/>
                <w:sz w:val="18"/>
                <w:szCs w:val="18"/>
              </w:rPr>
              <w:t>CRR</w:t>
            </w:r>
            <w:r w:rsidRPr="00CF4E2F">
              <w:rPr>
                <w:rFonts w:ascii="Times New Roman" w:eastAsia="Times New Roman" w:hAnsi="Times New Roman" w:cs="Times New Roman"/>
                <w:sz w:val="18"/>
                <w:szCs w:val="18"/>
              </w:rPr>
              <w:t>.</w:t>
            </w:r>
          </w:p>
          <w:p w14:paraId="45750973" w14:textId="77777777" w:rsidR="00A66401" w:rsidRDefault="00A66401" w:rsidP="00D6423A">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central bank assets.</w:t>
            </w:r>
          </w:p>
          <w:p w14:paraId="35F86375" w14:textId="6820D87C" w:rsidR="00A66401" w:rsidRPr="00CF4E2F" w:rsidRDefault="00A66401" w:rsidP="00D6423A">
            <w:pPr>
              <w:pStyle w:val="TableParagraph"/>
              <w:spacing w:before="117"/>
              <w:ind w:left="102" w:right="99"/>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Note that a reduced RSF factor may apply</w:t>
            </w:r>
            <w:r>
              <w:rPr>
                <w:rFonts w:ascii="Times New Roman" w:eastAsia="Times New Roman" w:hAnsi="Times New Roman" w:cs="Times New Roman"/>
                <w:sz w:val="18"/>
                <w:szCs w:val="18"/>
              </w:rPr>
              <w:t xml:space="preserve"> in accordance with Article 428aq</w:t>
            </w:r>
            <w:r w:rsidRPr="00CF4E2F">
              <w:rPr>
                <w:rFonts w:ascii="Times New Roman" w:eastAsia="Times New Roman" w:hAnsi="Times New Roman" w:cs="Times New Roman"/>
                <w:sz w:val="18"/>
                <w:szCs w:val="18"/>
              </w:rPr>
              <w:t xml:space="preserve">(7) of </w:t>
            </w:r>
            <w:r w:rsidR="00C133BB">
              <w:rPr>
                <w:rFonts w:ascii="Times New Roman" w:eastAsia="Times New Roman" w:hAnsi="Times New Roman" w:cs="Times New Roman"/>
                <w:sz w:val="18"/>
                <w:szCs w:val="18"/>
              </w:rPr>
              <w:t>CRR</w:t>
            </w:r>
            <w:r>
              <w:rPr>
                <w:rFonts w:ascii="Times New Roman" w:eastAsia="Times New Roman" w:hAnsi="Times New Roman" w:cs="Times New Roman"/>
                <w:sz w:val="18"/>
                <w:szCs w:val="18"/>
              </w:rPr>
              <w:t>.</w:t>
            </w:r>
          </w:p>
          <w:p w14:paraId="150C61D0" w14:textId="77777777" w:rsidR="00A66401" w:rsidRPr="00CF4E2F" w:rsidRDefault="00A66401" w:rsidP="004808CC">
            <w:pPr>
              <w:pStyle w:val="TableParagraph"/>
              <w:ind w:left="102" w:right="99"/>
              <w:rPr>
                <w:rFonts w:ascii="Times New Roman" w:eastAsia="Times New Roman" w:hAnsi="Times New Roman" w:cs="Times New Roman"/>
                <w:sz w:val="18"/>
                <w:szCs w:val="18"/>
              </w:rPr>
            </w:pPr>
          </w:p>
        </w:tc>
      </w:tr>
      <w:tr w:rsidR="00A66401" w:rsidRPr="00CF4E2F" w14:paraId="4970FE16" w14:textId="77777777" w:rsidTr="00D6423A">
        <w:trPr>
          <w:trHeight w:val="304"/>
        </w:trPr>
        <w:tc>
          <w:tcPr>
            <w:tcW w:w="1418" w:type="dxa"/>
          </w:tcPr>
          <w:p w14:paraId="0839689E"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0030</w:t>
            </w:r>
          </w:p>
        </w:tc>
        <w:tc>
          <w:tcPr>
            <w:tcW w:w="7590" w:type="dxa"/>
          </w:tcPr>
          <w:p w14:paraId="1D6F213C"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1.1.1 cash, reserves and HQLA exposures to central banks</w:t>
            </w:r>
          </w:p>
          <w:p w14:paraId="4B5AB83D" w14:textId="5BC62FB2" w:rsidR="00A66401" w:rsidRDefault="00A66401" w:rsidP="00D6423A">
            <w:pPr>
              <w:pStyle w:val="TableParagraph"/>
              <w:spacing w:before="117"/>
              <w:ind w:left="102" w:right="100"/>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cash and reserves at central banks, including excess reserves. Institutions shall also report here any other exposures to central banks that are considered </w:t>
            </w:r>
            <w:r w:rsidR="00417A9F">
              <w:rPr>
                <w:rFonts w:ascii="Times New Roman" w:eastAsia="Times New Roman" w:hAnsi="Times New Roman" w:cs="Times New Roman"/>
                <w:sz w:val="18"/>
                <w:szCs w:val="18"/>
              </w:rPr>
              <w:t xml:space="preserve">as high-quality </w:t>
            </w:r>
            <w:r w:rsidRPr="00CF4E2F">
              <w:rPr>
                <w:rFonts w:ascii="Times New Roman" w:eastAsia="Times New Roman" w:hAnsi="Times New Roman" w:cs="Times New Roman"/>
                <w:sz w:val="18"/>
                <w:szCs w:val="18"/>
              </w:rPr>
              <w:t xml:space="preserve">liquid assets pursuant to Delegated </w:t>
            </w:r>
            <w:r w:rsidR="00A63EBD">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 xml:space="preserve">egulation (EU) 2015/61 regardless if they comply with the operational requirements </w:t>
            </w:r>
            <w:r w:rsidR="00A63EBD">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725AD3E6" w14:textId="4C67205C" w:rsidR="00A66401" w:rsidRPr="00CF4E2F" w:rsidRDefault="00A66401" w:rsidP="00D6423A">
            <w:pPr>
              <w:pStyle w:val="TableParagraph"/>
              <w:spacing w:before="117"/>
              <w:ind w:left="102" w:right="100"/>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Minimum reserves that are not considered as </w:t>
            </w:r>
            <w:r w:rsidR="00417A9F">
              <w:rPr>
                <w:rFonts w:ascii="Times New Roman" w:eastAsia="Times New Roman" w:hAnsi="Times New Roman" w:cs="Times New Roman"/>
                <w:sz w:val="18"/>
                <w:szCs w:val="18"/>
              </w:rPr>
              <w:t xml:space="preserve">high-quality </w:t>
            </w:r>
            <w:r w:rsidRPr="00CF4E2F">
              <w:rPr>
                <w:rFonts w:ascii="Times New Roman" w:eastAsia="Times New Roman" w:hAnsi="Times New Roman" w:cs="Times New Roman"/>
                <w:sz w:val="18"/>
                <w:szCs w:val="18"/>
              </w:rPr>
              <w:t xml:space="preserve">liquid assets pursuant to Delegated </w:t>
            </w:r>
            <w:r w:rsidR="00A63EBD">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egulation (EU) 2015/61 shall be reported in the relevant non-HQLA column.</w:t>
            </w:r>
          </w:p>
          <w:p w14:paraId="2180134C" w14:textId="77777777" w:rsidR="00A66401" w:rsidRPr="00CF4E2F" w:rsidRDefault="00A66401" w:rsidP="004808CC">
            <w:pPr>
              <w:pStyle w:val="TableParagraph"/>
              <w:ind w:left="102" w:right="100"/>
              <w:jc w:val="both"/>
              <w:rPr>
                <w:rFonts w:ascii="Times New Roman" w:eastAsia="Times New Roman" w:hAnsi="Times New Roman" w:cs="Times New Roman"/>
                <w:sz w:val="18"/>
                <w:szCs w:val="18"/>
              </w:rPr>
            </w:pPr>
          </w:p>
        </w:tc>
      </w:tr>
      <w:tr w:rsidR="00A66401" w:rsidRPr="00CF4E2F" w14:paraId="1E835760" w14:textId="77777777" w:rsidTr="00D6423A">
        <w:trPr>
          <w:trHeight w:val="304"/>
        </w:trPr>
        <w:tc>
          <w:tcPr>
            <w:tcW w:w="1418" w:type="dxa"/>
          </w:tcPr>
          <w:p w14:paraId="0ED063AB"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0040</w:t>
            </w:r>
          </w:p>
        </w:tc>
        <w:tc>
          <w:tcPr>
            <w:tcW w:w="7590" w:type="dxa"/>
          </w:tcPr>
          <w:p w14:paraId="6B8C4A25"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1.1.2 other non-HQLA central bank exposures</w:t>
            </w:r>
          </w:p>
          <w:p w14:paraId="00056209" w14:textId="790503B2" w:rsidR="00A66401" w:rsidRPr="00CF4E2F" w:rsidRDefault="00A66401" w:rsidP="00D6423A">
            <w:pPr>
              <w:pStyle w:val="TableParagraph"/>
              <w:spacing w:before="119"/>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any other claims on central banks other </w:t>
            </w:r>
            <w:r w:rsidR="00A63EBD" w:rsidRPr="00CF4E2F">
              <w:rPr>
                <w:rFonts w:ascii="Times New Roman" w:eastAsia="Times New Roman" w:hAnsi="Times New Roman" w:cs="Times New Roman"/>
                <w:sz w:val="18"/>
                <w:szCs w:val="18"/>
              </w:rPr>
              <w:t>than</w:t>
            </w:r>
            <w:r w:rsidRPr="00CF4E2F">
              <w:rPr>
                <w:rFonts w:ascii="Times New Roman" w:eastAsia="Times New Roman" w:hAnsi="Times New Roman" w:cs="Times New Roman"/>
                <w:sz w:val="18"/>
                <w:szCs w:val="18"/>
              </w:rPr>
              <w:t xml:space="preserve"> those reported in item 1.1.1.</w:t>
            </w:r>
          </w:p>
          <w:p w14:paraId="698E98A8" w14:textId="77777777" w:rsidR="00A66401" w:rsidRPr="00CF4E2F" w:rsidRDefault="00A66401" w:rsidP="004808CC">
            <w:pPr>
              <w:pStyle w:val="TableParagraph"/>
              <w:ind w:left="102" w:right="99"/>
              <w:jc w:val="both"/>
              <w:rPr>
                <w:rFonts w:ascii="Times New Roman" w:eastAsia="Times New Roman" w:hAnsi="Times New Roman" w:cs="Times New Roman"/>
                <w:sz w:val="18"/>
                <w:szCs w:val="18"/>
              </w:rPr>
            </w:pPr>
          </w:p>
        </w:tc>
      </w:tr>
      <w:tr w:rsidR="00A66401" w:rsidRPr="00CF4E2F" w14:paraId="30FC2839" w14:textId="77777777" w:rsidTr="00D6423A">
        <w:trPr>
          <w:trHeight w:val="304"/>
        </w:trPr>
        <w:tc>
          <w:tcPr>
            <w:tcW w:w="1418" w:type="dxa"/>
          </w:tcPr>
          <w:p w14:paraId="2FBBC642"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0050</w:t>
            </w:r>
          </w:p>
        </w:tc>
        <w:tc>
          <w:tcPr>
            <w:tcW w:w="7590" w:type="dxa"/>
          </w:tcPr>
          <w:p w14:paraId="51B19749"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 RSF from liquid assets</w:t>
            </w:r>
          </w:p>
          <w:p w14:paraId="2505A609" w14:textId="7695C0FC" w:rsidR="00A66401" w:rsidRPr="00CF4E2F" w:rsidRDefault="00A66401" w:rsidP="00D6423A">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Article</w:t>
            </w:r>
            <w:r w:rsidR="00C133BB">
              <w:rPr>
                <w:rFonts w:ascii="Times New Roman" w:eastAsia="Times New Roman" w:hAnsi="Times New Roman" w:cs="Times New Roman"/>
                <w:sz w:val="18"/>
                <w:szCs w:val="18"/>
              </w:rPr>
              <w:t>s</w:t>
            </w:r>
            <w:r w:rsidRPr="00CF4E2F">
              <w:rPr>
                <w:rFonts w:ascii="Times New Roman" w:eastAsia="Times New Roman" w:hAnsi="Times New Roman" w:cs="Times New Roman"/>
                <w:sz w:val="18"/>
                <w:szCs w:val="18"/>
              </w:rPr>
              <w:t xml:space="preserve"> 428ar to 428av and Article 428ax</w:t>
            </w:r>
            <w:r w:rsidRPr="00CF4E2F">
              <w:rPr>
                <w:sz w:val="18"/>
                <w:szCs w:val="18"/>
              </w:rPr>
              <w:t xml:space="preserve"> </w:t>
            </w:r>
            <w:r w:rsidRPr="00CF4E2F">
              <w:rPr>
                <w:rFonts w:ascii="Times New Roman" w:eastAsia="Times New Roman" w:hAnsi="Times New Roman" w:cs="Times New Roman"/>
                <w:sz w:val="18"/>
                <w:szCs w:val="18"/>
              </w:rPr>
              <w:t xml:space="preserve">of </w:t>
            </w:r>
            <w:r w:rsidR="00A63EBD">
              <w:rPr>
                <w:rFonts w:ascii="Times New Roman" w:eastAsia="Times New Roman" w:hAnsi="Times New Roman" w:cs="Times New Roman"/>
                <w:sz w:val="18"/>
                <w:szCs w:val="18"/>
              </w:rPr>
              <w:t>CRR.</w:t>
            </w:r>
          </w:p>
          <w:p w14:paraId="64BF6AEE" w14:textId="7C2C1F90" w:rsidR="00A66401" w:rsidRPr="00CF4E2F" w:rsidRDefault="00A66401" w:rsidP="00D6423A">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417A9F">
              <w:rPr>
                <w:rFonts w:ascii="Times New Roman" w:eastAsia="Times New Roman" w:hAnsi="Times New Roman" w:cs="Times New Roman"/>
                <w:sz w:val="18"/>
                <w:szCs w:val="18"/>
              </w:rPr>
              <w:t xml:space="preserve">high-quality </w:t>
            </w:r>
            <w:r w:rsidRPr="00CF4E2F">
              <w:rPr>
                <w:rFonts w:ascii="Times New Roman" w:eastAsia="Times New Roman" w:hAnsi="Times New Roman" w:cs="Times New Roman"/>
                <w:sz w:val="18"/>
                <w:szCs w:val="18"/>
              </w:rPr>
              <w:t xml:space="preserve">liquid assets pursuant to Delegated </w:t>
            </w:r>
            <w:r w:rsidR="00A63EBD">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 xml:space="preserve">egulation (EU) 2015/61 regardless if they comply with the operational </w:t>
            </w:r>
            <w:r w:rsidR="00A63EBD">
              <w:rPr>
                <w:rFonts w:ascii="Times New Roman" w:eastAsia="Times New Roman" w:hAnsi="Times New Roman" w:cs="Times New Roman"/>
                <w:sz w:val="18"/>
                <w:szCs w:val="18"/>
              </w:rPr>
              <w:t>referred to in Article 8 of that Delegated Regulation</w:t>
            </w:r>
            <w:r w:rsidRPr="00CF4E2F">
              <w:rPr>
                <w:rFonts w:ascii="Times New Roman" w:eastAsia="Times New Roman" w:hAnsi="Times New Roman" w:cs="Times New Roman"/>
                <w:sz w:val="18"/>
                <w:szCs w:val="18"/>
              </w:rPr>
              <w:t>.</w:t>
            </w:r>
          </w:p>
          <w:p w14:paraId="1E760720" w14:textId="77777777" w:rsidR="00A66401" w:rsidRPr="00CF4E2F" w:rsidRDefault="00A66401" w:rsidP="004808CC">
            <w:pPr>
              <w:pStyle w:val="TableParagraph"/>
              <w:ind w:left="102" w:right="100"/>
              <w:rPr>
                <w:rFonts w:ascii="Times New Roman" w:eastAsia="Times New Roman" w:hAnsi="Times New Roman" w:cs="Times New Roman"/>
                <w:sz w:val="18"/>
                <w:szCs w:val="18"/>
              </w:rPr>
            </w:pPr>
          </w:p>
        </w:tc>
      </w:tr>
      <w:tr w:rsidR="00A66401" w:rsidRPr="00CF4E2F" w14:paraId="7ABFC2BE" w14:textId="77777777" w:rsidTr="00D6423A">
        <w:trPr>
          <w:trHeight w:val="304"/>
        </w:trPr>
        <w:tc>
          <w:tcPr>
            <w:tcW w:w="1418" w:type="dxa"/>
          </w:tcPr>
          <w:p w14:paraId="549FE521"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0060</w:t>
            </w:r>
          </w:p>
        </w:tc>
        <w:tc>
          <w:tcPr>
            <w:tcW w:w="7590" w:type="dxa"/>
          </w:tcPr>
          <w:p w14:paraId="1525F556"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1.2.1 level 1 assets eligible for 0 % LCR haircut</w:t>
            </w:r>
          </w:p>
          <w:p w14:paraId="53C3FE20" w14:textId="39A33A17" w:rsidR="00C133BB" w:rsidRPr="00CF4E2F" w:rsidRDefault="00A66401" w:rsidP="008265A4">
            <w:pPr>
              <w:pStyle w:val="TableParagraph"/>
              <w:spacing w:before="117"/>
              <w:ind w:left="102" w:right="100"/>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Institutions shall report here assets that are eligible as level 1 high</w:t>
            </w:r>
            <w:r w:rsidR="00417A9F">
              <w:rPr>
                <w:rFonts w:ascii="Times New Roman" w:eastAsia="Times New Roman" w:hAnsi="Times New Roman" w:cs="Times New Roman"/>
                <w:sz w:val="18"/>
                <w:szCs w:val="18"/>
              </w:rPr>
              <w:t>-</w:t>
            </w:r>
            <w:r w:rsidRPr="00CF4E2F">
              <w:rPr>
                <w:rFonts w:ascii="Times New Roman" w:eastAsia="Times New Roman" w:hAnsi="Times New Roman" w:cs="Times New Roman"/>
                <w:sz w:val="18"/>
                <w:szCs w:val="18"/>
              </w:rPr>
              <w:t xml:space="preserve">quality liquid assets pursuant to Article 10 </w:t>
            </w:r>
            <w:r w:rsidR="00417A9F">
              <w:rPr>
                <w:rFonts w:ascii="Times New Roman" w:eastAsia="Times New Roman" w:hAnsi="Times New Roman" w:cs="Times New Roman"/>
                <w:sz w:val="18"/>
                <w:szCs w:val="18"/>
              </w:rPr>
              <w:t xml:space="preserve">of </w:t>
            </w:r>
            <w:r w:rsidRPr="00CF4E2F">
              <w:rPr>
                <w:rFonts w:ascii="Times New Roman" w:eastAsia="Times New Roman" w:hAnsi="Times New Roman" w:cs="Times New Roman"/>
                <w:sz w:val="18"/>
                <w:szCs w:val="18"/>
              </w:rPr>
              <w:t>Delegated Regulation (EU) 2015/61.</w:t>
            </w:r>
          </w:p>
          <w:p w14:paraId="765D7789" w14:textId="5968A99B" w:rsidR="00A66401" w:rsidRPr="00CF4E2F" w:rsidRDefault="00A66401" w:rsidP="004808CC">
            <w:pPr>
              <w:pStyle w:val="TableParagraph"/>
              <w:spacing w:before="117"/>
              <w:ind w:left="102" w:right="101"/>
              <w:rPr>
                <w:rFonts w:ascii="Times New Roman" w:eastAsia="Times New Roman" w:hAnsi="Times New Roman" w:cs="Times New Roman"/>
                <w:sz w:val="18"/>
                <w:szCs w:val="18"/>
              </w:rPr>
            </w:pPr>
          </w:p>
        </w:tc>
      </w:tr>
      <w:tr w:rsidR="00722EFE" w:rsidRPr="00CF4E2F" w14:paraId="3C69D902" w14:textId="77777777" w:rsidTr="00D6423A">
        <w:trPr>
          <w:trHeight w:val="304"/>
        </w:trPr>
        <w:tc>
          <w:tcPr>
            <w:tcW w:w="1418" w:type="dxa"/>
          </w:tcPr>
          <w:p w14:paraId="299EFC85"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0070</w:t>
            </w:r>
          </w:p>
        </w:tc>
        <w:tc>
          <w:tcPr>
            <w:tcW w:w="7590" w:type="dxa"/>
          </w:tcPr>
          <w:p w14:paraId="655CF81B" w14:textId="1AB367B2" w:rsidR="00722EFE" w:rsidRPr="00CF4E2F" w:rsidRDefault="00722EFE"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1.2.1.1 unencumbered or encumbered </w:t>
            </w:r>
            <w:r w:rsidR="00FF64DD">
              <w:rPr>
                <w:rFonts w:ascii="Times New Roman"/>
                <w:b/>
                <w:sz w:val="18"/>
                <w:szCs w:val="18"/>
                <w:u w:val="thick" w:color="000000"/>
              </w:rPr>
              <w:t>for a residual maturity of less than six months</w:t>
            </w:r>
          </w:p>
          <w:p w14:paraId="3AA70331" w14:textId="24754B90"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0C588EC5"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722EFE" w:rsidRPr="00CF4E2F" w14:paraId="20F778BF" w14:textId="77777777" w:rsidTr="00D6423A">
        <w:trPr>
          <w:trHeight w:val="304"/>
        </w:trPr>
        <w:tc>
          <w:tcPr>
            <w:tcW w:w="1418" w:type="dxa"/>
          </w:tcPr>
          <w:p w14:paraId="43B6F978"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0080</w:t>
            </w:r>
          </w:p>
        </w:tc>
        <w:tc>
          <w:tcPr>
            <w:tcW w:w="7590" w:type="dxa"/>
          </w:tcPr>
          <w:p w14:paraId="34325168" w14:textId="6F9DE284" w:rsidR="00722EFE" w:rsidRPr="004808CC"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1.2.1.2 encumbered </w:t>
            </w:r>
            <w:r w:rsidR="00FF64DD">
              <w:rPr>
                <w:rFonts w:ascii="Times New Roman"/>
                <w:b/>
                <w:sz w:val="18"/>
                <w:szCs w:val="18"/>
                <w:u w:val="thick" w:color="000000"/>
              </w:rPr>
              <w:t>for a residual maturity of at least six months but less than one year</w:t>
            </w:r>
          </w:p>
          <w:p w14:paraId="0969DE1F" w14:textId="32633FFC"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6573A7C1"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722EFE" w:rsidRPr="00CF4E2F" w14:paraId="3CC5E52A" w14:textId="77777777" w:rsidTr="00D6423A">
        <w:trPr>
          <w:trHeight w:val="304"/>
        </w:trPr>
        <w:tc>
          <w:tcPr>
            <w:tcW w:w="1418" w:type="dxa"/>
          </w:tcPr>
          <w:p w14:paraId="50E004DD"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0090</w:t>
            </w:r>
          </w:p>
        </w:tc>
        <w:tc>
          <w:tcPr>
            <w:tcW w:w="7590" w:type="dxa"/>
          </w:tcPr>
          <w:p w14:paraId="3D7B0ED9" w14:textId="1707CD67" w:rsidR="00722EFE" w:rsidRPr="00CF4E2F" w:rsidRDefault="00722EFE"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1.2.1.3 encumbered for </w:t>
            </w:r>
            <w:r w:rsidR="00FF64DD">
              <w:rPr>
                <w:rFonts w:ascii="Times New Roman"/>
                <w:b/>
                <w:sz w:val="18"/>
                <w:szCs w:val="18"/>
                <w:u w:val="thick" w:color="000000"/>
              </w:rPr>
              <w:t>a residual maturity of one year or more</w:t>
            </w:r>
          </w:p>
          <w:p w14:paraId="34F56E87" w14:textId="2C8CAC7A"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1.2.1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w:t>
            </w:r>
          </w:p>
          <w:p w14:paraId="42A13047"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A66401" w:rsidRPr="00CF4E2F" w14:paraId="13827582" w14:textId="77777777" w:rsidTr="00D6423A">
        <w:trPr>
          <w:trHeight w:val="304"/>
        </w:trPr>
        <w:tc>
          <w:tcPr>
            <w:tcW w:w="1418" w:type="dxa"/>
          </w:tcPr>
          <w:p w14:paraId="0EF56024"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0100</w:t>
            </w:r>
          </w:p>
        </w:tc>
        <w:tc>
          <w:tcPr>
            <w:tcW w:w="7590" w:type="dxa"/>
          </w:tcPr>
          <w:p w14:paraId="7675FD6C"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1.2.2 level 1 assets eligible for 7 % LCR haircut</w:t>
            </w:r>
          </w:p>
          <w:p w14:paraId="278808DA" w14:textId="1D2C1388" w:rsidR="00A66401" w:rsidRPr="00CF4E2F" w:rsidRDefault="00A66401" w:rsidP="00D6423A">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w:t>
            </w:r>
            <w:r w:rsidR="00722EFE">
              <w:rPr>
                <w:rFonts w:ascii="Times New Roman" w:eastAsia="Times New Roman" w:hAnsi="Times New Roman" w:cs="Times New Roman"/>
                <w:sz w:val="18"/>
                <w:szCs w:val="18"/>
              </w:rPr>
              <w:t xml:space="preserve">level 1 assets that are eligible for a 7% haircut </w:t>
            </w:r>
            <w:r w:rsidR="00722EFE" w:rsidRPr="00CF4E2F">
              <w:rPr>
                <w:rFonts w:ascii="Times New Roman" w:eastAsia="Times New Roman" w:hAnsi="Times New Roman" w:cs="Times New Roman"/>
                <w:sz w:val="18"/>
                <w:szCs w:val="18"/>
              </w:rPr>
              <w:t xml:space="preserve">pursuant to Delegated </w:t>
            </w:r>
            <w:r w:rsidR="00722EFE">
              <w:rPr>
                <w:rFonts w:ascii="Times New Roman" w:eastAsia="Times New Roman" w:hAnsi="Times New Roman" w:cs="Times New Roman"/>
                <w:sz w:val="18"/>
                <w:szCs w:val="18"/>
              </w:rPr>
              <w:t>R</w:t>
            </w:r>
            <w:r w:rsidR="00722EFE" w:rsidRPr="00CF4E2F">
              <w:rPr>
                <w:rFonts w:ascii="Times New Roman" w:eastAsia="Times New Roman" w:hAnsi="Times New Roman" w:cs="Times New Roman"/>
                <w:sz w:val="18"/>
                <w:szCs w:val="18"/>
              </w:rPr>
              <w:t>egulation (EU) 2015/61</w:t>
            </w:r>
            <w:r w:rsidR="00722EFE">
              <w:rPr>
                <w:rFonts w:ascii="Times New Roman" w:eastAsia="Times New Roman" w:hAnsi="Times New Roman" w:cs="Times New Roman"/>
                <w:sz w:val="18"/>
                <w:szCs w:val="18"/>
              </w:rPr>
              <w:t xml:space="preserve"> as well as </w:t>
            </w:r>
            <w:r w:rsidRPr="00CF4E2F">
              <w:rPr>
                <w:rFonts w:ascii="Times New Roman" w:eastAsia="Times New Roman" w:hAnsi="Times New Roman" w:cs="Times New Roman"/>
                <w:sz w:val="18"/>
                <w:szCs w:val="18"/>
              </w:rPr>
              <w:t xml:space="preserve">shares or units in CIUs that are eligible for a 5 % haircut pursuant to Delegated </w:t>
            </w:r>
            <w:r w:rsidR="00904177">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egulation (EU) 2015/61.</w:t>
            </w:r>
          </w:p>
          <w:p w14:paraId="2C17436D" w14:textId="77777777" w:rsidR="00A66401" w:rsidRPr="00CF4E2F" w:rsidRDefault="00683CCE" w:rsidP="00B67345">
            <w:pPr>
              <w:pStyle w:val="TableParagraph"/>
              <w:tabs>
                <w:tab w:val="left" w:pos="4200"/>
              </w:tabs>
              <w:ind w:left="102"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c>
      </w:tr>
      <w:tr w:rsidR="00722EFE" w:rsidRPr="00CF4E2F" w14:paraId="2DC599D7" w14:textId="77777777" w:rsidTr="00D6423A">
        <w:trPr>
          <w:trHeight w:val="304"/>
        </w:trPr>
        <w:tc>
          <w:tcPr>
            <w:tcW w:w="1418" w:type="dxa"/>
          </w:tcPr>
          <w:p w14:paraId="0EE2A597" w14:textId="77E3DF64"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0110</w:t>
            </w:r>
          </w:p>
        </w:tc>
        <w:tc>
          <w:tcPr>
            <w:tcW w:w="7590" w:type="dxa"/>
          </w:tcPr>
          <w:p w14:paraId="4CCB5C7D" w14:textId="215FAE2E" w:rsidR="00722EFE" w:rsidRPr="00AA031A"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1.2.2.1 unencumbered or encumbered </w:t>
            </w:r>
            <w:r w:rsidR="00FF64DD">
              <w:rPr>
                <w:rFonts w:ascii="Times New Roman"/>
                <w:b/>
                <w:sz w:val="18"/>
                <w:szCs w:val="18"/>
                <w:u w:val="thick" w:color="000000"/>
              </w:rPr>
              <w:t>for a residual maturity of less than six months</w:t>
            </w:r>
          </w:p>
          <w:p w14:paraId="30A7F9D5" w14:textId="5C1F7298"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3DFCFEBE"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722EFE" w:rsidRPr="00CF4E2F" w14:paraId="09F42B64" w14:textId="77777777" w:rsidTr="00D6423A">
        <w:trPr>
          <w:trHeight w:val="304"/>
        </w:trPr>
        <w:tc>
          <w:tcPr>
            <w:tcW w:w="1418" w:type="dxa"/>
          </w:tcPr>
          <w:p w14:paraId="10AB8647"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0120</w:t>
            </w:r>
          </w:p>
        </w:tc>
        <w:tc>
          <w:tcPr>
            <w:tcW w:w="7590" w:type="dxa"/>
          </w:tcPr>
          <w:p w14:paraId="372832BA" w14:textId="6EA9D24E" w:rsidR="00722EFE" w:rsidRPr="00494DBB"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1.2.2.2 encumbered </w:t>
            </w:r>
            <w:r w:rsidR="00FF64DD">
              <w:rPr>
                <w:rFonts w:ascii="Times New Roman"/>
                <w:b/>
                <w:sz w:val="18"/>
                <w:szCs w:val="18"/>
                <w:u w:val="thick" w:color="000000"/>
              </w:rPr>
              <w:t>for a residual maturity of at least six months but less than one year</w:t>
            </w:r>
          </w:p>
          <w:p w14:paraId="1C2ED4F3" w14:textId="3F5729B7"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1771F5EC"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722EFE" w:rsidRPr="00CF4E2F" w14:paraId="5CE2B373" w14:textId="77777777" w:rsidTr="00D6423A">
        <w:trPr>
          <w:trHeight w:val="304"/>
        </w:trPr>
        <w:tc>
          <w:tcPr>
            <w:tcW w:w="1418" w:type="dxa"/>
          </w:tcPr>
          <w:p w14:paraId="773147D5"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0130</w:t>
            </w:r>
          </w:p>
        </w:tc>
        <w:tc>
          <w:tcPr>
            <w:tcW w:w="7590" w:type="dxa"/>
          </w:tcPr>
          <w:p w14:paraId="4BAC3DC7" w14:textId="03F5F200" w:rsidR="00722EFE" w:rsidRPr="00AA031A"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1.2.2.3 encumbered for </w:t>
            </w:r>
            <w:r w:rsidR="00FF64DD">
              <w:rPr>
                <w:rFonts w:ascii="Times New Roman"/>
                <w:b/>
                <w:sz w:val="18"/>
                <w:szCs w:val="18"/>
                <w:u w:val="thick" w:color="000000"/>
              </w:rPr>
              <w:t>a residual maturity of one year or more</w:t>
            </w:r>
          </w:p>
          <w:p w14:paraId="29CACA6B" w14:textId="256714EB"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1.2.2 </w:t>
            </w:r>
            <w:r w:rsidR="001458F1">
              <w:rPr>
                <w:rFonts w:ascii="Times New Roman"/>
                <w:sz w:val="18"/>
                <w:szCs w:val="18"/>
              </w:rPr>
              <w:t>that</w:t>
            </w:r>
            <w:r w:rsidR="001458F1">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w:t>
            </w:r>
          </w:p>
          <w:p w14:paraId="18C872A4"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A66401" w:rsidRPr="00CF4E2F" w14:paraId="4997AC6F" w14:textId="77777777" w:rsidTr="00D6423A">
        <w:trPr>
          <w:trHeight w:val="304"/>
        </w:trPr>
        <w:tc>
          <w:tcPr>
            <w:tcW w:w="1418" w:type="dxa"/>
          </w:tcPr>
          <w:p w14:paraId="000B33A0"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0140</w:t>
            </w:r>
          </w:p>
        </w:tc>
        <w:tc>
          <w:tcPr>
            <w:tcW w:w="7590" w:type="dxa"/>
          </w:tcPr>
          <w:p w14:paraId="48C8235E"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1.2.3 level 2A assets eligible for 15 % LCR haircut and shares or units in CIUs eligible for 0-20% LCR haircuts</w:t>
            </w:r>
          </w:p>
          <w:p w14:paraId="4101A75D" w14:textId="64C2C4DA" w:rsidR="00A66401" w:rsidRPr="00CF4E2F" w:rsidRDefault="00A66401" w:rsidP="00D6423A">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assets that are eligible as Level 2A assets pursuant to Delegated </w:t>
            </w:r>
            <w:r w:rsidR="00904177">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 xml:space="preserve">egulation (EU) 2015/61 and shares or units in CIUs eligible for 0-20% LCR haircuts pursuant to Delegated </w:t>
            </w:r>
            <w:r w:rsidR="00904177">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egulation (EU) 2015/61.</w:t>
            </w:r>
          </w:p>
          <w:p w14:paraId="777E7692" w14:textId="673EFFE7" w:rsidR="00A66401" w:rsidRPr="00CF4E2F" w:rsidRDefault="00A66401" w:rsidP="004808CC">
            <w:pPr>
              <w:pStyle w:val="TableParagraph"/>
              <w:ind w:left="102" w:right="101"/>
              <w:rPr>
                <w:rFonts w:ascii="Times New Roman" w:eastAsia="Times New Roman" w:hAnsi="Times New Roman" w:cs="Times New Roman"/>
                <w:sz w:val="18"/>
                <w:szCs w:val="18"/>
              </w:rPr>
            </w:pPr>
          </w:p>
        </w:tc>
      </w:tr>
      <w:tr w:rsidR="00722EFE" w:rsidRPr="00CF4E2F" w14:paraId="2D2CCFC2" w14:textId="77777777" w:rsidTr="00D6423A">
        <w:trPr>
          <w:trHeight w:val="304"/>
        </w:trPr>
        <w:tc>
          <w:tcPr>
            <w:tcW w:w="1418" w:type="dxa"/>
          </w:tcPr>
          <w:p w14:paraId="5ABEFFA8"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0150</w:t>
            </w:r>
          </w:p>
        </w:tc>
        <w:tc>
          <w:tcPr>
            <w:tcW w:w="7590" w:type="dxa"/>
          </w:tcPr>
          <w:p w14:paraId="1BA2114D" w14:textId="0D51A0A0" w:rsidR="00722EFE" w:rsidRPr="00AA031A"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1.2.3.1 unencumbered or encumbered </w:t>
            </w:r>
            <w:r w:rsidR="00FF64DD">
              <w:rPr>
                <w:rFonts w:ascii="Times New Roman"/>
                <w:b/>
                <w:sz w:val="18"/>
                <w:szCs w:val="18"/>
                <w:u w:val="thick" w:color="000000"/>
              </w:rPr>
              <w:t>for a residual maturity of less than six months</w:t>
            </w:r>
          </w:p>
          <w:p w14:paraId="337E65BB" w14:textId="14F23C90" w:rsidR="00722EFE" w:rsidRPr="00CF4E2F" w:rsidRDefault="00722EFE" w:rsidP="00047F14">
            <w:pPr>
              <w:pStyle w:val="TableParagraph"/>
              <w:spacing w:before="117"/>
              <w:ind w:left="102" w:right="101"/>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w:t>
            </w:r>
            <w:r w:rsidR="001458F1">
              <w:rPr>
                <w:rFonts w:ascii="Times New Roman" w:eastAsia="Times New Roman" w:hAnsi="Times New Roman" w:cs="Times New Roman"/>
                <w:sz w:val="18"/>
                <w:szCs w:val="18"/>
              </w:rPr>
              <w:t>that</w:t>
            </w:r>
            <w:r w:rsidR="00683CCE">
              <w:rPr>
                <w:rFonts w:ascii="Times New Roman" w:eastAsia="Times New Roman" w:hAnsi="Times New Roman" w:cs="Times New Roman"/>
                <w:sz w:val="18"/>
                <w:szCs w:val="18"/>
              </w:rPr>
              <w:t xml:space="preserve"> 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unencumbered or encumbered </w:t>
            </w:r>
            <w:r>
              <w:rPr>
                <w:rFonts w:ascii="Times New Roman" w:eastAsia="Times New Roman" w:hAnsi="Times New Roman" w:cs="Times New Roman"/>
                <w:sz w:val="18"/>
                <w:szCs w:val="18"/>
              </w:rPr>
              <w:t>for a residual maturity of less than six months</w:t>
            </w:r>
            <w:r w:rsidRPr="00CF4E2F">
              <w:rPr>
                <w:rFonts w:ascii="Times New Roman" w:eastAsia="Times New Roman" w:hAnsi="Times New Roman" w:cs="Times New Roman"/>
                <w:sz w:val="18"/>
                <w:szCs w:val="18"/>
              </w:rPr>
              <w:t>.</w:t>
            </w:r>
          </w:p>
          <w:p w14:paraId="1A3638C6" w14:textId="77777777" w:rsidR="00722EFE" w:rsidRPr="00CF4E2F" w:rsidRDefault="00722EFE" w:rsidP="004808CC">
            <w:pPr>
              <w:pStyle w:val="TableParagraph"/>
              <w:ind w:left="102" w:right="101"/>
              <w:rPr>
                <w:rFonts w:ascii="Times New Roman" w:eastAsia="Times New Roman" w:hAnsi="Times New Roman" w:cs="Times New Roman"/>
                <w:sz w:val="18"/>
                <w:szCs w:val="18"/>
              </w:rPr>
            </w:pPr>
          </w:p>
        </w:tc>
      </w:tr>
      <w:tr w:rsidR="00722EFE" w:rsidRPr="00CF4E2F" w14:paraId="00F510E2" w14:textId="77777777" w:rsidTr="00D6423A">
        <w:trPr>
          <w:trHeight w:val="304"/>
        </w:trPr>
        <w:tc>
          <w:tcPr>
            <w:tcW w:w="1418" w:type="dxa"/>
          </w:tcPr>
          <w:p w14:paraId="2B2B186C"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0160</w:t>
            </w:r>
          </w:p>
        </w:tc>
        <w:tc>
          <w:tcPr>
            <w:tcW w:w="7590" w:type="dxa"/>
          </w:tcPr>
          <w:p w14:paraId="1311779A" w14:textId="03BFA313" w:rsidR="00722EFE" w:rsidRPr="00494DBB"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1.2.3.2 encumbered </w:t>
            </w:r>
            <w:r w:rsidR="00FF64DD">
              <w:rPr>
                <w:rFonts w:ascii="Times New Roman"/>
                <w:b/>
                <w:sz w:val="18"/>
                <w:szCs w:val="18"/>
                <w:u w:val="thick" w:color="000000"/>
              </w:rPr>
              <w:t>for a residual maturity of at least six months but less than one year</w:t>
            </w:r>
          </w:p>
          <w:p w14:paraId="2025F90F" w14:textId="041EF6C4" w:rsidR="00722EFE" w:rsidRPr="00CF4E2F" w:rsidRDefault="00722EFE"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is</w:t>
            </w:r>
            <w:r w:rsidRPr="00CF4E2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encumbered </w:t>
            </w:r>
            <w:r>
              <w:rPr>
                <w:rFonts w:ascii="Times New Roman" w:eastAsia="Times New Roman" w:hAnsi="Times New Roman" w:cs="Times New Roman"/>
                <w:sz w:val="18"/>
                <w:szCs w:val="18"/>
              </w:rPr>
              <w:t>for a residual maturity of at least six months but less than one year</w:t>
            </w:r>
            <w:r w:rsidRPr="00CF4E2F">
              <w:rPr>
                <w:rFonts w:ascii="Times New Roman" w:eastAsia="Times New Roman" w:hAnsi="Times New Roman" w:cs="Times New Roman"/>
                <w:sz w:val="18"/>
                <w:szCs w:val="18"/>
              </w:rPr>
              <w:t>.</w:t>
            </w:r>
          </w:p>
          <w:p w14:paraId="4AD24D87" w14:textId="77777777" w:rsidR="00722EFE" w:rsidRPr="00CF4E2F" w:rsidRDefault="00722EFE" w:rsidP="004808CC">
            <w:pPr>
              <w:pStyle w:val="TableParagraph"/>
              <w:ind w:left="102" w:right="99"/>
              <w:jc w:val="both"/>
              <w:rPr>
                <w:rFonts w:ascii="Times New Roman"/>
                <w:b/>
                <w:sz w:val="18"/>
                <w:szCs w:val="18"/>
                <w:u w:val="thick" w:color="000000"/>
              </w:rPr>
            </w:pPr>
          </w:p>
        </w:tc>
      </w:tr>
      <w:tr w:rsidR="00722EFE" w:rsidRPr="00CF4E2F" w14:paraId="40179BC3" w14:textId="77777777" w:rsidTr="00D6423A">
        <w:trPr>
          <w:trHeight w:val="304"/>
        </w:trPr>
        <w:tc>
          <w:tcPr>
            <w:tcW w:w="1418" w:type="dxa"/>
          </w:tcPr>
          <w:p w14:paraId="54956399"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0170</w:t>
            </w:r>
          </w:p>
        </w:tc>
        <w:tc>
          <w:tcPr>
            <w:tcW w:w="7590" w:type="dxa"/>
          </w:tcPr>
          <w:p w14:paraId="6BD06B12" w14:textId="48F54ACC" w:rsidR="00722EFE" w:rsidRPr="00AA031A"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 xml:space="preserve">1.2.3.3 encumbered for </w:t>
            </w:r>
            <w:r w:rsidR="00FF64DD">
              <w:rPr>
                <w:rFonts w:ascii="Times New Roman"/>
                <w:b/>
                <w:sz w:val="18"/>
                <w:szCs w:val="18"/>
                <w:u w:val="thick" w:color="000000"/>
              </w:rPr>
              <w:t>a residual maturity of one year or more</w:t>
            </w:r>
          </w:p>
          <w:p w14:paraId="35A87B57" w14:textId="00ADCE4B" w:rsidR="00722EFE" w:rsidRPr="00CF4E2F" w:rsidRDefault="00722EFE"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1.2.5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w:t>
            </w:r>
          </w:p>
          <w:p w14:paraId="6914052E" w14:textId="77777777" w:rsidR="00722EFE" w:rsidRPr="00CF4E2F" w:rsidRDefault="00722EFE" w:rsidP="004808CC">
            <w:pPr>
              <w:pStyle w:val="TableParagraph"/>
              <w:ind w:left="102" w:right="99"/>
              <w:jc w:val="both"/>
              <w:rPr>
                <w:rFonts w:ascii="Times New Roman"/>
                <w:b/>
                <w:sz w:val="18"/>
                <w:szCs w:val="18"/>
                <w:u w:val="thick" w:color="000000"/>
              </w:rPr>
            </w:pPr>
          </w:p>
        </w:tc>
      </w:tr>
      <w:tr w:rsidR="00A66401" w:rsidRPr="00CF4E2F" w14:paraId="6139F631" w14:textId="77777777" w:rsidTr="00D6423A">
        <w:trPr>
          <w:trHeight w:val="304"/>
        </w:trPr>
        <w:tc>
          <w:tcPr>
            <w:tcW w:w="1418" w:type="dxa"/>
          </w:tcPr>
          <w:p w14:paraId="64BF70D0" w14:textId="77777777" w:rsidR="00A66401" w:rsidRPr="0040192D" w:rsidRDefault="00A66401"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0180</w:t>
            </w:r>
          </w:p>
        </w:tc>
        <w:tc>
          <w:tcPr>
            <w:tcW w:w="7590" w:type="dxa"/>
          </w:tcPr>
          <w:p w14:paraId="1F57C7C3" w14:textId="77777777" w:rsidR="00A66401" w:rsidRPr="00CF4E2F" w:rsidRDefault="00A66401" w:rsidP="00D6423A">
            <w:pPr>
              <w:pStyle w:val="TableParagraph"/>
              <w:spacing w:before="119"/>
              <w:ind w:left="102"/>
              <w:rPr>
                <w:rFonts w:ascii="Times New Roman"/>
                <w:b/>
                <w:sz w:val="18"/>
                <w:szCs w:val="18"/>
                <w:u w:val="thick" w:color="000000"/>
              </w:rPr>
            </w:pPr>
            <w:r w:rsidRPr="00CF4E2F">
              <w:rPr>
                <w:rFonts w:ascii="Times New Roman"/>
                <w:b/>
                <w:sz w:val="18"/>
                <w:szCs w:val="18"/>
                <w:u w:val="thick" w:color="000000"/>
              </w:rPr>
              <w:t>1.2.4 level 2B assets eligible for 25 % LCR haircut and shares or units in CIUs eligible for 30-55% haircuts.</w:t>
            </w:r>
          </w:p>
          <w:p w14:paraId="05974269" w14:textId="17BA3227" w:rsidR="00A66401" w:rsidRPr="00CF4E2F" w:rsidRDefault="00A66401" w:rsidP="00D6423A">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Institutions shall report here level 2B </w:t>
            </w:r>
            <w:r w:rsidR="008265A4">
              <w:rPr>
                <w:rFonts w:ascii="Times New Roman" w:eastAsia="Times New Roman" w:hAnsi="Times New Roman" w:cs="Times New Roman"/>
                <w:sz w:val="18"/>
                <w:szCs w:val="18"/>
              </w:rPr>
              <w:t xml:space="preserve">assets </w:t>
            </w:r>
            <w:r w:rsidR="003741C9">
              <w:rPr>
                <w:rFonts w:ascii="Times New Roman" w:eastAsia="Times New Roman" w:hAnsi="Times New Roman" w:cs="Times New Roman"/>
                <w:sz w:val="18"/>
                <w:szCs w:val="18"/>
              </w:rPr>
              <w:t xml:space="preserve">that are eligible for a haircut of 25% </w:t>
            </w:r>
            <w:r w:rsidRPr="00CF4E2F">
              <w:rPr>
                <w:rFonts w:ascii="Times New Roman" w:eastAsia="Times New Roman" w:hAnsi="Times New Roman" w:cs="Times New Roman"/>
                <w:sz w:val="18"/>
                <w:szCs w:val="18"/>
              </w:rPr>
              <w:t xml:space="preserve">pursuant to Delegated </w:t>
            </w:r>
            <w:r w:rsidR="00722EFE">
              <w:rPr>
                <w:rFonts w:ascii="Times New Roman" w:eastAsia="Times New Roman" w:hAnsi="Times New Roman" w:cs="Times New Roman"/>
                <w:sz w:val="18"/>
                <w:szCs w:val="18"/>
              </w:rPr>
              <w:t>R</w:t>
            </w:r>
            <w:r w:rsidR="00722EFE" w:rsidRPr="00CF4E2F">
              <w:rPr>
                <w:rFonts w:ascii="Times New Roman" w:eastAsia="Times New Roman" w:hAnsi="Times New Roman" w:cs="Times New Roman"/>
                <w:sz w:val="18"/>
                <w:szCs w:val="18"/>
              </w:rPr>
              <w:t xml:space="preserve">egulation </w:t>
            </w:r>
            <w:r w:rsidRPr="00CF4E2F">
              <w:rPr>
                <w:rFonts w:ascii="Times New Roman" w:eastAsia="Times New Roman" w:hAnsi="Times New Roman" w:cs="Times New Roman"/>
                <w:sz w:val="18"/>
                <w:szCs w:val="18"/>
              </w:rPr>
              <w:t xml:space="preserve">(EU) 2015/61 and shares or units in CIUs eligible for 30-55% haircuts pursuant to Delegated </w:t>
            </w:r>
            <w:r w:rsidR="003741C9">
              <w:rPr>
                <w:rFonts w:ascii="Times New Roman" w:eastAsia="Times New Roman" w:hAnsi="Times New Roman" w:cs="Times New Roman"/>
                <w:sz w:val="18"/>
                <w:szCs w:val="18"/>
              </w:rPr>
              <w:t>R</w:t>
            </w:r>
            <w:r w:rsidRPr="00CF4E2F">
              <w:rPr>
                <w:rFonts w:ascii="Times New Roman" w:eastAsia="Times New Roman" w:hAnsi="Times New Roman" w:cs="Times New Roman"/>
                <w:sz w:val="18"/>
                <w:szCs w:val="18"/>
              </w:rPr>
              <w:t>egulation (EU) 2015/61.</w:t>
            </w:r>
          </w:p>
          <w:p w14:paraId="788A0049" w14:textId="1F3C346E" w:rsidR="00A66401" w:rsidRPr="00CF4E2F" w:rsidRDefault="00A66401" w:rsidP="004808CC">
            <w:pPr>
              <w:pStyle w:val="TableParagraph"/>
              <w:ind w:left="102" w:right="96"/>
              <w:jc w:val="both"/>
              <w:rPr>
                <w:rFonts w:ascii="Times New Roman"/>
                <w:b/>
                <w:sz w:val="18"/>
                <w:szCs w:val="18"/>
                <w:u w:val="thick" w:color="000000"/>
              </w:rPr>
            </w:pPr>
          </w:p>
        </w:tc>
      </w:tr>
      <w:tr w:rsidR="00722EFE" w:rsidRPr="00CF4E2F" w14:paraId="28AEC072" w14:textId="77777777" w:rsidTr="00D6423A">
        <w:trPr>
          <w:trHeight w:val="304"/>
        </w:trPr>
        <w:tc>
          <w:tcPr>
            <w:tcW w:w="1418" w:type="dxa"/>
          </w:tcPr>
          <w:p w14:paraId="07A69171" w14:textId="77777777"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0190</w:t>
            </w:r>
          </w:p>
        </w:tc>
        <w:tc>
          <w:tcPr>
            <w:tcW w:w="7590" w:type="dxa"/>
          </w:tcPr>
          <w:p w14:paraId="186BFC9A" w14:textId="38CD1D2F" w:rsidR="00722EFE" w:rsidRPr="00CF4E2F" w:rsidRDefault="00722EFE" w:rsidP="00047F14">
            <w:pPr>
              <w:pStyle w:val="TableParagraph"/>
              <w:spacing w:before="117"/>
              <w:ind w:left="102" w:right="99"/>
              <w:jc w:val="both"/>
              <w:rPr>
                <w:rFonts w:ascii="Times New Roman"/>
                <w:b/>
                <w:sz w:val="18"/>
                <w:szCs w:val="18"/>
                <w:u w:val="thick" w:color="000000"/>
              </w:rPr>
            </w:pPr>
            <w:r w:rsidRPr="00CF4E2F">
              <w:rPr>
                <w:rFonts w:ascii="Times New Roman"/>
                <w:b/>
                <w:sz w:val="18"/>
                <w:szCs w:val="18"/>
                <w:u w:val="thick" w:color="000000"/>
              </w:rPr>
              <w:t xml:space="preserve">1.2.4.1 unencumbered or encumbered </w:t>
            </w:r>
            <w:r w:rsidR="00635F69">
              <w:rPr>
                <w:rFonts w:ascii="Times New Roman"/>
                <w:b/>
                <w:sz w:val="18"/>
                <w:szCs w:val="18"/>
                <w:u w:val="thick" w:color="000000"/>
              </w:rPr>
              <w:t>for a residual maturity of less than one year</w:t>
            </w:r>
          </w:p>
          <w:p w14:paraId="01C66FD3" w14:textId="50064E70" w:rsidR="00722EFE" w:rsidRPr="00CF4E2F" w:rsidRDefault="00722EFE"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1.2.4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 xml:space="preserve">are </w:t>
            </w:r>
            <w:r w:rsidRPr="00CF4E2F">
              <w:rPr>
                <w:rFonts w:ascii="Times New Roman" w:eastAsia="Times New Roman" w:hAnsi="Times New Roman" w:cs="Times New Roman"/>
                <w:sz w:val="18"/>
                <w:szCs w:val="18"/>
              </w:rPr>
              <w:t xml:space="preserve">unencumbered or encumbered </w:t>
            </w:r>
            <w:r>
              <w:rPr>
                <w:rFonts w:ascii="Times New Roman" w:eastAsia="Times New Roman" w:hAnsi="Times New Roman" w:cs="Times New Roman"/>
                <w:sz w:val="18"/>
                <w:szCs w:val="18"/>
              </w:rPr>
              <w:t>for a residual maturity of less than one year</w:t>
            </w:r>
            <w:r w:rsidRPr="00CF4E2F">
              <w:rPr>
                <w:rFonts w:ascii="Times New Roman" w:eastAsia="Times New Roman" w:hAnsi="Times New Roman" w:cs="Times New Roman"/>
                <w:sz w:val="18"/>
                <w:szCs w:val="18"/>
              </w:rPr>
              <w:t>.</w:t>
            </w:r>
          </w:p>
          <w:p w14:paraId="7FF9AEAB" w14:textId="77777777" w:rsidR="00722EFE" w:rsidRPr="00CF4E2F" w:rsidRDefault="00722EFE" w:rsidP="004808CC">
            <w:pPr>
              <w:pStyle w:val="TableParagraph"/>
              <w:ind w:left="102" w:right="99"/>
              <w:jc w:val="both"/>
              <w:rPr>
                <w:rFonts w:ascii="Times New Roman"/>
                <w:b/>
                <w:sz w:val="18"/>
                <w:szCs w:val="18"/>
                <w:u w:val="thick" w:color="000000"/>
              </w:rPr>
            </w:pPr>
          </w:p>
        </w:tc>
      </w:tr>
      <w:tr w:rsidR="00722EFE" w:rsidRPr="00CF4E2F" w14:paraId="1E03DA89" w14:textId="77777777" w:rsidTr="00D6423A">
        <w:trPr>
          <w:trHeight w:val="304"/>
        </w:trPr>
        <w:tc>
          <w:tcPr>
            <w:tcW w:w="1418" w:type="dxa"/>
          </w:tcPr>
          <w:p w14:paraId="5319A5A9" w14:textId="724AA433" w:rsidR="00722EFE" w:rsidRPr="0040192D" w:rsidRDefault="00722EFE"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0200</w:t>
            </w:r>
          </w:p>
        </w:tc>
        <w:tc>
          <w:tcPr>
            <w:tcW w:w="7590" w:type="dxa"/>
          </w:tcPr>
          <w:p w14:paraId="34BC96E5" w14:textId="73E6C26D" w:rsidR="00722EFE" w:rsidRPr="00AA031A" w:rsidRDefault="00722EFE" w:rsidP="00047F14">
            <w:pPr>
              <w:pStyle w:val="TableParagraph"/>
              <w:spacing w:before="117"/>
              <w:ind w:left="102" w:right="99"/>
              <w:jc w:val="both"/>
              <w:rPr>
                <w:rFonts w:ascii="Times New Roman"/>
                <w:b/>
                <w:sz w:val="18"/>
                <w:szCs w:val="18"/>
                <w:u w:val="thick" w:color="000000"/>
                <w:lang w:val="en-GB"/>
              </w:rPr>
            </w:pPr>
            <w:r w:rsidRPr="00CF4E2F">
              <w:rPr>
                <w:rFonts w:ascii="Times New Roman"/>
                <w:b/>
                <w:sz w:val="18"/>
                <w:szCs w:val="18"/>
                <w:u w:val="thick" w:color="000000"/>
              </w:rPr>
              <w:t>1.2.4.</w:t>
            </w:r>
            <w:r>
              <w:rPr>
                <w:rFonts w:ascii="Times New Roman"/>
                <w:b/>
                <w:sz w:val="18"/>
                <w:szCs w:val="18"/>
                <w:u w:val="thick" w:color="000000"/>
              </w:rPr>
              <w:t>2</w:t>
            </w:r>
            <w:r w:rsidRPr="00CF4E2F">
              <w:rPr>
                <w:rFonts w:ascii="Times New Roman"/>
                <w:b/>
                <w:sz w:val="18"/>
                <w:szCs w:val="18"/>
                <w:u w:val="thick" w:color="000000"/>
              </w:rPr>
              <w:t xml:space="preserve"> encumbered for </w:t>
            </w:r>
            <w:r w:rsidR="00FF64DD">
              <w:rPr>
                <w:rFonts w:ascii="Times New Roman"/>
                <w:b/>
                <w:sz w:val="18"/>
                <w:szCs w:val="18"/>
                <w:u w:val="thick" w:color="000000"/>
              </w:rPr>
              <w:t>a residual maturity of one year or more</w:t>
            </w:r>
          </w:p>
          <w:p w14:paraId="41F58D3C" w14:textId="29CF2DDE" w:rsidR="00722EFE" w:rsidRPr="00CF4E2F" w:rsidRDefault="00722EFE" w:rsidP="00047F14">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 xml:space="preserve">The amount reported in 1.2.4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Pr>
                <w:rFonts w:ascii="Times New Roman" w:eastAsia="Times New Roman" w:hAnsi="Times New Roman" w:cs="Times New Roman"/>
                <w:sz w:val="18"/>
                <w:szCs w:val="18"/>
              </w:rPr>
              <w:t xml:space="preserve">related to assets </w:t>
            </w:r>
            <w:r w:rsidRPr="00CF4E2F">
              <w:rPr>
                <w:rFonts w:ascii="Times New Roman" w:eastAsia="Times New Roman" w:hAnsi="Times New Roman" w:cs="Times New Roman"/>
                <w:sz w:val="18"/>
                <w:szCs w:val="18"/>
              </w:rPr>
              <w:t xml:space="preserve">that </w:t>
            </w:r>
            <w:r>
              <w:rPr>
                <w:rFonts w:ascii="Times New Roman" w:eastAsia="Times New Roman" w:hAnsi="Times New Roman" w:cs="Times New Roman"/>
                <w:sz w:val="18"/>
                <w:szCs w:val="18"/>
              </w:rPr>
              <w:t>are</w:t>
            </w:r>
            <w:r w:rsidRPr="00CF4E2F">
              <w:rPr>
                <w:rFonts w:ascii="Times New Roman" w:eastAsia="Times New Roman" w:hAnsi="Times New Roman" w:cs="Times New Roman"/>
                <w:sz w:val="18"/>
                <w:szCs w:val="18"/>
              </w:rPr>
              <w:t xml:space="preserve"> encumbered for </w:t>
            </w:r>
            <w:r>
              <w:rPr>
                <w:rFonts w:ascii="Times New Roman" w:eastAsia="Times New Roman" w:hAnsi="Times New Roman" w:cs="Times New Roman"/>
                <w:sz w:val="18"/>
                <w:szCs w:val="18"/>
              </w:rPr>
              <w:t>a residual maturity of one year or more</w:t>
            </w:r>
            <w:r w:rsidRPr="00CF4E2F">
              <w:rPr>
                <w:rFonts w:ascii="Times New Roman" w:eastAsia="Times New Roman" w:hAnsi="Times New Roman" w:cs="Times New Roman"/>
                <w:sz w:val="18"/>
                <w:szCs w:val="18"/>
              </w:rPr>
              <w:t>.</w:t>
            </w:r>
          </w:p>
          <w:p w14:paraId="5F0355EA" w14:textId="77777777" w:rsidR="00722EFE" w:rsidRPr="00CF4E2F" w:rsidRDefault="00722EFE" w:rsidP="004808CC">
            <w:pPr>
              <w:pStyle w:val="TableParagraph"/>
              <w:ind w:left="102" w:right="99"/>
              <w:jc w:val="both"/>
              <w:rPr>
                <w:rFonts w:ascii="Times New Roman"/>
                <w:b/>
                <w:sz w:val="18"/>
                <w:szCs w:val="18"/>
                <w:u w:val="thick" w:color="000000"/>
              </w:rPr>
            </w:pPr>
          </w:p>
        </w:tc>
      </w:tr>
      <w:tr w:rsidR="00A66401" w:rsidRPr="00CF4E2F" w14:paraId="3F725EDC" w14:textId="77777777" w:rsidTr="00D6423A">
        <w:trPr>
          <w:trHeight w:val="304"/>
        </w:trPr>
        <w:tc>
          <w:tcPr>
            <w:tcW w:w="1418" w:type="dxa"/>
          </w:tcPr>
          <w:p w14:paraId="14E37C29" w14:textId="74F4BC50"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0210</w:t>
            </w:r>
          </w:p>
        </w:tc>
        <w:tc>
          <w:tcPr>
            <w:tcW w:w="7590" w:type="dxa"/>
          </w:tcPr>
          <w:p w14:paraId="761EE1D2" w14:textId="77777777" w:rsidR="00A66401" w:rsidRPr="00363567" w:rsidRDefault="00A66401" w:rsidP="00D6423A">
            <w:pPr>
              <w:pStyle w:val="TableParagraph"/>
              <w:spacing w:before="117"/>
              <w:ind w:left="102" w:right="99"/>
              <w:jc w:val="both"/>
              <w:rPr>
                <w:rFonts w:ascii="Times New Roman"/>
                <w:b/>
                <w:sz w:val="18"/>
                <w:szCs w:val="18"/>
                <w:u w:val="thick" w:color="000000"/>
              </w:rPr>
            </w:pPr>
            <w:r w:rsidRPr="00363567">
              <w:rPr>
                <w:rFonts w:ascii="Times New Roman"/>
                <w:b/>
                <w:sz w:val="18"/>
                <w:szCs w:val="18"/>
                <w:u w:val="thick" w:color="000000"/>
              </w:rPr>
              <w:t>1.3 RSF from securities other than liquid assets</w:t>
            </w:r>
          </w:p>
          <w:p w14:paraId="19CA2695" w14:textId="76BDD7BD" w:rsidR="00A66401" w:rsidRPr="00363567" w:rsidRDefault="00A66401" w:rsidP="00D6423A">
            <w:pPr>
              <w:pStyle w:val="TableParagraph"/>
              <w:spacing w:before="117"/>
              <w:ind w:left="102" w:right="99"/>
              <w:jc w:val="both"/>
              <w:rPr>
                <w:rFonts w:ascii="Times New Roman"/>
                <w:sz w:val="18"/>
                <w:szCs w:val="18"/>
              </w:rPr>
            </w:pPr>
            <w:r w:rsidRPr="00363567">
              <w:rPr>
                <w:rFonts w:ascii="Times New Roman"/>
                <w:sz w:val="18"/>
                <w:szCs w:val="18"/>
              </w:rPr>
              <w:t>Article</w:t>
            </w:r>
            <w:r w:rsidR="00C133BB">
              <w:rPr>
                <w:rFonts w:ascii="Times New Roman"/>
                <w:sz w:val="18"/>
                <w:szCs w:val="18"/>
              </w:rPr>
              <w:t>s</w:t>
            </w:r>
            <w:r w:rsidRPr="00363567">
              <w:rPr>
                <w:rFonts w:ascii="Times New Roman"/>
                <w:sz w:val="18"/>
                <w:szCs w:val="18"/>
              </w:rPr>
              <w:t xml:space="preserve"> 428aw(b)</w:t>
            </w:r>
            <w:r w:rsidR="00C133BB">
              <w:rPr>
                <w:rFonts w:ascii="Times New Roman"/>
                <w:sz w:val="18"/>
                <w:szCs w:val="18"/>
              </w:rPr>
              <w:t xml:space="preserve">, </w:t>
            </w:r>
            <w:r w:rsidRPr="00363567">
              <w:rPr>
                <w:rFonts w:ascii="Times New Roman"/>
                <w:sz w:val="18"/>
                <w:szCs w:val="18"/>
              </w:rPr>
              <w:t xml:space="preserve">428ay(d) and 428az(1)(b) of </w:t>
            </w:r>
            <w:r w:rsidR="00D25821">
              <w:rPr>
                <w:rFonts w:ascii="Times New Roman"/>
                <w:sz w:val="18"/>
                <w:szCs w:val="18"/>
              </w:rPr>
              <w:t>CRR.</w:t>
            </w:r>
          </w:p>
          <w:p w14:paraId="7B36EE2E" w14:textId="0707EDBE" w:rsidR="00A66401" w:rsidRPr="00363567" w:rsidRDefault="00A66401" w:rsidP="00D6423A">
            <w:pPr>
              <w:pStyle w:val="TableParagraph"/>
              <w:spacing w:before="117"/>
              <w:ind w:left="102" w:right="99"/>
              <w:jc w:val="both"/>
              <w:rPr>
                <w:rFonts w:ascii="Times New Roman"/>
                <w:sz w:val="18"/>
                <w:szCs w:val="18"/>
              </w:rPr>
            </w:pPr>
            <w:r w:rsidRPr="00363567">
              <w:rPr>
                <w:rFonts w:ascii="Times New Roman"/>
                <w:sz w:val="18"/>
                <w:szCs w:val="18"/>
              </w:rPr>
              <w:t xml:space="preserve">Institutions shall report here securities that are not in default in accordance with Article 178 of Regulation (EU) 575/2013 and that are not liquid assets pursuant to Delegated </w:t>
            </w:r>
            <w:r w:rsidR="00C131D1">
              <w:rPr>
                <w:rFonts w:ascii="Times New Roman"/>
                <w:sz w:val="18"/>
                <w:szCs w:val="18"/>
              </w:rPr>
              <w:t>R</w:t>
            </w:r>
            <w:r w:rsidRPr="00363567">
              <w:rPr>
                <w:rFonts w:ascii="Times New Roman"/>
                <w:sz w:val="18"/>
                <w:szCs w:val="18"/>
              </w:rPr>
              <w:t>egulation (EU) 2015/61</w:t>
            </w:r>
            <w:r w:rsidR="00722EFE" w:rsidRPr="00363567">
              <w:rPr>
                <w:sz w:val="18"/>
                <w:szCs w:val="18"/>
              </w:rPr>
              <w:t xml:space="preserve"> </w:t>
            </w:r>
            <w:r w:rsidR="00722EFE" w:rsidRPr="00363567">
              <w:rPr>
                <w:rFonts w:ascii="Times New Roman"/>
                <w:sz w:val="18"/>
                <w:szCs w:val="18"/>
              </w:rPr>
              <w:t>regardless if they comply with the operational requirements laid down therein.</w:t>
            </w:r>
          </w:p>
          <w:p w14:paraId="055C4291" w14:textId="77777777" w:rsidR="00A66401" w:rsidRPr="00363567" w:rsidRDefault="00A66401" w:rsidP="004808CC">
            <w:pPr>
              <w:pStyle w:val="TableParagraph"/>
              <w:ind w:left="102" w:right="99"/>
              <w:jc w:val="both"/>
              <w:rPr>
                <w:rFonts w:ascii="Times New Roman"/>
                <w:sz w:val="18"/>
                <w:szCs w:val="18"/>
              </w:rPr>
            </w:pPr>
          </w:p>
        </w:tc>
      </w:tr>
      <w:tr w:rsidR="00A66401" w:rsidRPr="00CF4E2F" w14:paraId="3EBC9CB6" w14:textId="77777777" w:rsidTr="00D6423A">
        <w:trPr>
          <w:trHeight w:val="304"/>
        </w:trPr>
        <w:tc>
          <w:tcPr>
            <w:tcW w:w="1418" w:type="dxa"/>
          </w:tcPr>
          <w:p w14:paraId="21AE01E1" w14:textId="2BC95891"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0220</w:t>
            </w:r>
          </w:p>
        </w:tc>
        <w:tc>
          <w:tcPr>
            <w:tcW w:w="7590" w:type="dxa"/>
          </w:tcPr>
          <w:p w14:paraId="2B8AD40E" w14:textId="6C0A6F82" w:rsidR="00A66401" w:rsidRPr="00363567" w:rsidRDefault="00A66401" w:rsidP="00D6423A">
            <w:pPr>
              <w:pStyle w:val="TableParagraph"/>
              <w:spacing w:before="117"/>
              <w:ind w:left="102" w:right="99"/>
              <w:jc w:val="both"/>
              <w:rPr>
                <w:rFonts w:ascii="Times New Roman"/>
                <w:sz w:val="18"/>
                <w:szCs w:val="18"/>
              </w:rPr>
            </w:pPr>
            <w:r w:rsidRPr="00363567">
              <w:rPr>
                <w:rFonts w:ascii="Times New Roman"/>
                <w:b/>
                <w:sz w:val="18"/>
                <w:szCs w:val="18"/>
                <w:u w:val="thick"/>
              </w:rPr>
              <w:t>1.3.1 unencumbered</w:t>
            </w:r>
            <w:r w:rsidR="008265A4">
              <w:rPr>
                <w:rFonts w:ascii="Times New Roman"/>
                <w:b/>
                <w:sz w:val="18"/>
                <w:szCs w:val="18"/>
                <w:u w:val="thick"/>
              </w:rPr>
              <w:t xml:space="preserve"> or encumbered </w:t>
            </w:r>
            <w:r w:rsidR="00635F69">
              <w:rPr>
                <w:rFonts w:ascii="Times New Roman"/>
                <w:b/>
                <w:sz w:val="18"/>
                <w:szCs w:val="18"/>
                <w:u w:val="thick"/>
              </w:rPr>
              <w:t>for a residual maturity of less than one year</w:t>
            </w:r>
          </w:p>
          <w:p w14:paraId="07F5E339" w14:textId="2505BCE4" w:rsidR="00A66401" w:rsidRPr="00363567" w:rsidRDefault="00A66401" w:rsidP="00D6423A">
            <w:pPr>
              <w:pStyle w:val="TableParagraph"/>
              <w:spacing w:before="117"/>
              <w:ind w:left="102" w:right="99"/>
              <w:jc w:val="both"/>
              <w:rPr>
                <w:rFonts w:ascii="Times New Roman"/>
                <w:sz w:val="18"/>
                <w:szCs w:val="18"/>
              </w:rPr>
            </w:pPr>
            <w:r w:rsidRPr="00363567">
              <w:rPr>
                <w:rFonts w:ascii="Times New Roman"/>
                <w:sz w:val="18"/>
                <w:szCs w:val="18"/>
              </w:rPr>
              <w:t xml:space="preserve">The amount reported in 1.3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sidR="00094120">
              <w:rPr>
                <w:rFonts w:ascii="Times New Roman"/>
                <w:sz w:val="18"/>
                <w:szCs w:val="18"/>
              </w:rPr>
              <w:t xml:space="preserve">related to assets </w:t>
            </w:r>
            <w:r w:rsidRPr="00363567">
              <w:rPr>
                <w:rFonts w:ascii="Times New Roman"/>
                <w:sz w:val="18"/>
                <w:szCs w:val="18"/>
              </w:rPr>
              <w:t xml:space="preserve">that </w:t>
            </w:r>
            <w:r w:rsidR="00094120">
              <w:rPr>
                <w:rFonts w:ascii="Times New Roman"/>
                <w:sz w:val="18"/>
                <w:szCs w:val="18"/>
              </w:rPr>
              <w:t xml:space="preserve">are </w:t>
            </w:r>
            <w:r w:rsidRPr="00363567">
              <w:rPr>
                <w:rFonts w:ascii="Times New Roman"/>
                <w:sz w:val="18"/>
                <w:szCs w:val="18"/>
              </w:rPr>
              <w:t>unencumbered</w:t>
            </w:r>
            <w:r w:rsidR="008265A4">
              <w:t xml:space="preserve"> </w:t>
            </w:r>
            <w:r w:rsidR="008265A4" w:rsidRPr="008265A4">
              <w:rPr>
                <w:rFonts w:ascii="Times New Roman"/>
                <w:sz w:val="18"/>
                <w:szCs w:val="18"/>
              </w:rPr>
              <w:t xml:space="preserve">or encumbered </w:t>
            </w:r>
            <w:r w:rsidR="00094120">
              <w:rPr>
                <w:rFonts w:ascii="Times New Roman"/>
                <w:sz w:val="18"/>
                <w:szCs w:val="18"/>
              </w:rPr>
              <w:t>for a residual maturity of less than one year</w:t>
            </w:r>
            <w:r w:rsidRPr="00363567">
              <w:rPr>
                <w:rFonts w:ascii="Times New Roman"/>
                <w:sz w:val="18"/>
                <w:szCs w:val="18"/>
              </w:rPr>
              <w:t>.</w:t>
            </w:r>
          </w:p>
          <w:p w14:paraId="7F1AB5C7" w14:textId="77777777" w:rsidR="00A66401" w:rsidRPr="00363567" w:rsidRDefault="00A66401" w:rsidP="004808CC">
            <w:pPr>
              <w:pStyle w:val="TableParagraph"/>
              <w:ind w:left="102" w:right="99"/>
              <w:jc w:val="both"/>
              <w:rPr>
                <w:rFonts w:ascii="Times New Roman"/>
                <w:b/>
                <w:sz w:val="18"/>
                <w:szCs w:val="18"/>
                <w:u w:val="thick" w:color="000000"/>
              </w:rPr>
            </w:pPr>
          </w:p>
        </w:tc>
      </w:tr>
      <w:tr w:rsidR="00A66401" w:rsidRPr="00CF4E2F" w14:paraId="43F799CF" w14:textId="77777777" w:rsidTr="00D6423A">
        <w:trPr>
          <w:trHeight w:val="304"/>
        </w:trPr>
        <w:tc>
          <w:tcPr>
            <w:tcW w:w="1418" w:type="dxa"/>
          </w:tcPr>
          <w:p w14:paraId="64D4D10D" w14:textId="3B7D02C1"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0230</w:t>
            </w:r>
          </w:p>
        </w:tc>
        <w:tc>
          <w:tcPr>
            <w:tcW w:w="7590" w:type="dxa"/>
          </w:tcPr>
          <w:p w14:paraId="5364BEE1" w14:textId="38353724" w:rsidR="00A66401" w:rsidRPr="00363567" w:rsidRDefault="00A66401" w:rsidP="00D6423A">
            <w:pPr>
              <w:pStyle w:val="TableParagraph"/>
              <w:spacing w:before="117"/>
              <w:ind w:left="102" w:right="99"/>
              <w:jc w:val="both"/>
              <w:rPr>
                <w:rFonts w:ascii="Times New Roman"/>
                <w:b/>
                <w:sz w:val="18"/>
                <w:szCs w:val="18"/>
                <w:u w:val="thick" w:color="000000"/>
              </w:rPr>
            </w:pPr>
            <w:r w:rsidRPr="00363567">
              <w:rPr>
                <w:rFonts w:ascii="Times New Roman"/>
                <w:b/>
                <w:sz w:val="18"/>
                <w:szCs w:val="18"/>
                <w:u w:val="thick" w:color="000000"/>
              </w:rPr>
              <w:t>1.3.</w:t>
            </w:r>
            <w:r w:rsidR="0058513D">
              <w:rPr>
                <w:rFonts w:ascii="Times New Roman"/>
                <w:b/>
                <w:sz w:val="18"/>
                <w:szCs w:val="18"/>
                <w:u w:val="thick" w:color="000000"/>
              </w:rPr>
              <w:t xml:space="preserve">2 </w:t>
            </w:r>
            <w:r w:rsidRPr="00363567">
              <w:rPr>
                <w:rFonts w:ascii="Times New Roman"/>
                <w:b/>
                <w:sz w:val="18"/>
                <w:szCs w:val="18"/>
                <w:u w:val="thick" w:color="000000"/>
              </w:rPr>
              <w:t>encumbered</w:t>
            </w:r>
            <w:r w:rsidR="008265A4" w:rsidRPr="00CF4E2F">
              <w:rPr>
                <w:rFonts w:ascii="Times New Roman"/>
                <w:b/>
                <w:sz w:val="18"/>
                <w:szCs w:val="18"/>
                <w:u w:val="thick" w:color="000000"/>
              </w:rPr>
              <w:t xml:space="preserve"> for </w:t>
            </w:r>
            <w:r w:rsidR="00FF64DD">
              <w:rPr>
                <w:rFonts w:ascii="Times New Roman"/>
                <w:b/>
                <w:sz w:val="18"/>
                <w:szCs w:val="18"/>
                <w:u w:val="thick" w:color="000000"/>
              </w:rPr>
              <w:t>a residual maturity of one year or more</w:t>
            </w:r>
          </w:p>
          <w:p w14:paraId="5AFBB1CD" w14:textId="07478E05" w:rsidR="00A66401" w:rsidRPr="00363567" w:rsidRDefault="00A66401" w:rsidP="00D6423A">
            <w:pPr>
              <w:pStyle w:val="TableParagraph"/>
              <w:spacing w:before="117"/>
              <w:ind w:left="102" w:right="99"/>
              <w:jc w:val="both"/>
              <w:rPr>
                <w:rFonts w:ascii="Times New Roman" w:eastAsia="Times New Roman" w:hAnsi="Times New Roman" w:cs="Times New Roman"/>
                <w:sz w:val="18"/>
                <w:szCs w:val="18"/>
              </w:rPr>
            </w:pPr>
            <w:r w:rsidRPr="00363567">
              <w:rPr>
                <w:rFonts w:ascii="Times New Roman" w:eastAsia="Times New Roman" w:hAnsi="Times New Roman" w:cs="Times New Roman"/>
                <w:sz w:val="18"/>
                <w:szCs w:val="18"/>
              </w:rPr>
              <w:t xml:space="preserve">The amount reported in 1.3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sidR="00094120">
              <w:rPr>
                <w:rFonts w:ascii="Times New Roman" w:eastAsia="Times New Roman" w:hAnsi="Times New Roman" w:cs="Times New Roman"/>
                <w:sz w:val="18"/>
                <w:szCs w:val="18"/>
              </w:rPr>
              <w:t xml:space="preserve">related to assets </w:t>
            </w:r>
            <w:r w:rsidRPr="00363567">
              <w:rPr>
                <w:rFonts w:ascii="Times New Roman" w:eastAsia="Times New Roman" w:hAnsi="Times New Roman" w:cs="Times New Roman"/>
                <w:sz w:val="18"/>
                <w:szCs w:val="18"/>
              </w:rPr>
              <w:t xml:space="preserve">that </w:t>
            </w:r>
            <w:r w:rsidR="00094120">
              <w:rPr>
                <w:rFonts w:ascii="Times New Roman" w:eastAsia="Times New Roman" w:hAnsi="Times New Roman" w:cs="Times New Roman"/>
                <w:sz w:val="18"/>
                <w:szCs w:val="18"/>
              </w:rPr>
              <w:t xml:space="preserve">are </w:t>
            </w:r>
            <w:r w:rsidRPr="00363567">
              <w:rPr>
                <w:rFonts w:ascii="Times New Roman" w:eastAsia="Times New Roman" w:hAnsi="Times New Roman" w:cs="Times New Roman"/>
                <w:sz w:val="18"/>
                <w:szCs w:val="18"/>
              </w:rPr>
              <w:t>encumbered</w:t>
            </w:r>
            <w:r w:rsidR="008265A4">
              <w:t xml:space="preserve"> </w:t>
            </w:r>
            <w:r w:rsidR="008265A4" w:rsidRPr="008265A4">
              <w:rPr>
                <w:rFonts w:ascii="Times New Roman" w:eastAsia="Times New Roman" w:hAnsi="Times New Roman" w:cs="Times New Roman"/>
                <w:sz w:val="18"/>
                <w:szCs w:val="18"/>
              </w:rPr>
              <w:t xml:space="preserve">for </w:t>
            </w:r>
            <w:r w:rsidR="00094120">
              <w:rPr>
                <w:rFonts w:ascii="Times New Roman" w:eastAsia="Times New Roman" w:hAnsi="Times New Roman" w:cs="Times New Roman"/>
                <w:sz w:val="18"/>
                <w:szCs w:val="18"/>
              </w:rPr>
              <w:t>a residual maturity of one year or more</w:t>
            </w:r>
            <w:r w:rsidRPr="00363567">
              <w:rPr>
                <w:rFonts w:ascii="Times New Roman" w:eastAsia="Times New Roman" w:hAnsi="Times New Roman" w:cs="Times New Roman"/>
                <w:sz w:val="18"/>
                <w:szCs w:val="18"/>
              </w:rPr>
              <w:t>.</w:t>
            </w:r>
          </w:p>
          <w:p w14:paraId="04E0ED2D" w14:textId="77777777" w:rsidR="00A66401" w:rsidRPr="00363567" w:rsidRDefault="00A66401" w:rsidP="004808CC">
            <w:pPr>
              <w:pStyle w:val="TableParagraph"/>
              <w:ind w:left="102" w:right="99"/>
              <w:jc w:val="both"/>
              <w:rPr>
                <w:rFonts w:ascii="Times New Roman"/>
                <w:b/>
                <w:sz w:val="18"/>
                <w:szCs w:val="18"/>
                <w:u w:val="thick" w:color="000000"/>
              </w:rPr>
            </w:pPr>
          </w:p>
        </w:tc>
      </w:tr>
      <w:tr w:rsidR="00A66401" w:rsidRPr="00CF4E2F" w14:paraId="5BA305B0" w14:textId="77777777" w:rsidTr="00D6423A">
        <w:trPr>
          <w:trHeight w:val="304"/>
        </w:trPr>
        <w:tc>
          <w:tcPr>
            <w:tcW w:w="1418" w:type="dxa"/>
          </w:tcPr>
          <w:p w14:paraId="0CD47876" w14:textId="1B1A832D"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0240</w:t>
            </w:r>
          </w:p>
        </w:tc>
        <w:tc>
          <w:tcPr>
            <w:tcW w:w="7590" w:type="dxa"/>
          </w:tcPr>
          <w:p w14:paraId="4E1E0DAD" w14:textId="77777777" w:rsidR="00A66401" w:rsidRPr="00363567" w:rsidRDefault="00A66401" w:rsidP="00D6423A">
            <w:pPr>
              <w:pStyle w:val="TableParagraph"/>
              <w:spacing w:before="117"/>
              <w:ind w:left="102" w:right="99"/>
              <w:jc w:val="both"/>
              <w:rPr>
                <w:rFonts w:ascii="Times New Roman"/>
                <w:b/>
                <w:sz w:val="18"/>
                <w:szCs w:val="18"/>
                <w:u w:val="thick" w:color="000000"/>
              </w:rPr>
            </w:pPr>
            <w:r w:rsidRPr="00363567">
              <w:rPr>
                <w:rFonts w:ascii="Times New Roman"/>
                <w:b/>
                <w:sz w:val="18"/>
                <w:szCs w:val="18"/>
                <w:u w:val="thick" w:color="000000"/>
              </w:rPr>
              <w:t>1.4 RSF from loans</w:t>
            </w:r>
          </w:p>
          <w:p w14:paraId="71FF7246" w14:textId="21649003" w:rsidR="00A66401" w:rsidRPr="00363567" w:rsidRDefault="00A66401" w:rsidP="00D6423A">
            <w:pPr>
              <w:pStyle w:val="TableParagraph"/>
              <w:spacing w:before="117"/>
              <w:ind w:left="102" w:right="99"/>
              <w:jc w:val="both"/>
              <w:rPr>
                <w:rFonts w:ascii="Times New Roman"/>
                <w:sz w:val="18"/>
                <w:szCs w:val="18"/>
              </w:rPr>
            </w:pPr>
            <w:r w:rsidRPr="00363567">
              <w:rPr>
                <w:rFonts w:ascii="Times New Roman"/>
                <w:sz w:val="18"/>
                <w:szCs w:val="18"/>
              </w:rPr>
              <w:t xml:space="preserve">Institutions shall report here monies due from loans that are not in default in accordance with Article 178 of </w:t>
            </w:r>
            <w:r w:rsidR="00D25821">
              <w:rPr>
                <w:rFonts w:ascii="Times New Roman"/>
                <w:sz w:val="18"/>
                <w:szCs w:val="18"/>
              </w:rPr>
              <w:t>CRR</w:t>
            </w:r>
            <w:r w:rsidRPr="00363567">
              <w:rPr>
                <w:rFonts w:ascii="Times New Roman"/>
                <w:sz w:val="18"/>
                <w:szCs w:val="18"/>
              </w:rPr>
              <w:t>.</w:t>
            </w:r>
          </w:p>
          <w:p w14:paraId="6FCFCBC2" w14:textId="65399A4A" w:rsidR="00A66401" w:rsidRPr="00363567" w:rsidRDefault="00683CCE" w:rsidP="00D6423A">
            <w:pPr>
              <w:pStyle w:val="TableParagraph"/>
              <w:spacing w:before="117"/>
              <w:ind w:left="102" w:right="99"/>
              <w:jc w:val="both"/>
              <w:rPr>
                <w:rFonts w:ascii="Times New Roman"/>
                <w:sz w:val="18"/>
                <w:szCs w:val="18"/>
              </w:rPr>
            </w:pPr>
            <w:r>
              <w:rPr>
                <w:rFonts w:ascii="Times New Roman"/>
                <w:sz w:val="18"/>
                <w:szCs w:val="18"/>
              </w:rPr>
              <w:t>As specified under Article</w:t>
            </w:r>
            <w:r>
              <w:rPr>
                <w:rFonts w:ascii="Times New Roman"/>
                <w:sz w:val="18"/>
                <w:szCs w:val="18"/>
              </w:rPr>
              <w:t> </w:t>
            </w:r>
            <w:r>
              <w:rPr>
                <w:rFonts w:ascii="Times New Roman"/>
                <w:sz w:val="18"/>
                <w:szCs w:val="18"/>
              </w:rPr>
              <w:t>428ar(4) of CRR, f</w:t>
            </w:r>
            <w:r w:rsidR="00A66401" w:rsidRPr="00363567">
              <w:rPr>
                <w:rFonts w:ascii="Times New Roman"/>
                <w:sz w:val="18"/>
                <w:szCs w:val="18"/>
              </w:rPr>
              <w:t>or amortizing loans with a residual contractual maturity of one year or more, any portion that matures in less than six months and any portion that matures between six months and less than one year shall be treated as having a residual maturity of less than six months and between six months and less than one year respectively.</w:t>
            </w:r>
          </w:p>
          <w:p w14:paraId="11C8B3B6" w14:textId="77777777" w:rsidR="00A66401" w:rsidRPr="00363567" w:rsidRDefault="00A66401" w:rsidP="004808CC">
            <w:pPr>
              <w:pStyle w:val="TableParagraph"/>
              <w:ind w:left="102" w:right="99"/>
              <w:jc w:val="both"/>
              <w:rPr>
                <w:rFonts w:ascii="Times New Roman"/>
                <w:sz w:val="18"/>
                <w:szCs w:val="18"/>
              </w:rPr>
            </w:pPr>
          </w:p>
        </w:tc>
      </w:tr>
      <w:tr w:rsidR="00A66401" w:rsidRPr="00CF4E2F" w14:paraId="222CE770" w14:textId="77777777" w:rsidTr="00D6423A">
        <w:trPr>
          <w:trHeight w:val="304"/>
        </w:trPr>
        <w:tc>
          <w:tcPr>
            <w:tcW w:w="1418" w:type="dxa"/>
          </w:tcPr>
          <w:p w14:paraId="181E1019" w14:textId="2642DA2B"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0250</w:t>
            </w:r>
          </w:p>
        </w:tc>
        <w:tc>
          <w:tcPr>
            <w:tcW w:w="7590" w:type="dxa"/>
          </w:tcPr>
          <w:p w14:paraId="545C5CC8" w14:textId="6FE83FFC"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1.4.1 loans to non-financials</w:t>
            </w:r>
          </w:p>
          <w:p w14:paraId="76604C5B" w14:textId="6DE0F0F5"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eastAsia="Times New Roman" w:hAnsi="Times New Roman" w:cs="Times New Roman"/>
                <w:sz w:val="18"/>
                <w:szCs w:val="18"/>
              </w:rPr>
              <w:t xml:space="preserve">that </w:t>
            </w:r>
            <w:r w:rsidRPr="00CF4E2F">
              <w:rPr>
                <w:rFonts w:ascii="Times New Roman"/>
                <w:sz w:val="18"/>
                <w:szCs w:val="18"/>
              </w:rPr>
              <w:t xml:space="preserve">is </w:t>
            </w:r>
            <w:r w:rsidR="00094120">
              <w:rPr>
                <w:rFonts w:ascii="Times New Roman"/>
                <w:sz w:val="18"/>
                <w:szCs w:val="18"/>
              </w:rPr>
              <w:t xml:space="preserve">related to </w:t>
            </w:r>
            <w:r w:rsidRPr="00CF4E2F">
              <w:rPr>
                <w:rFonts w:ascii="Times New Roman"/>
                <w:sz w:val="18"/>
                <w:szCs w:val="18"/>
              </w:rPr>
              <w:t>loans to non-financial customers.</w:t>
            </w:r>
          </w:p>
          <w:p w14:paraId="675E27E2"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46AB0B0C" w14:textId="77777777" w:rsidTr="00D6423A">
        <w:trPr>
          <w:trHeight w:val="304"/>
        </w:trPr>
        <w:tc>
          <w:tcPr>
            <w:tcW w:w="1418" w:type="dxa"/>
          </w:tcPr>
          <w:p w14:paraId="2FB78177" w14:textId="1332CD49"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0260</w:t>
            </w:r>
          </w:p>
        </w:tc>
        <w:tc>
          <w:tcPr>
            <w:tcW w:w="7590" w:type="dxa"/>
          </w:tcPr>
          <w:p w14:paraId="2DEE7A8A" w14:textId="6C912755" w:rsidR="00A66401" w:rsidRPr="0040192D" w:rsidRDefault="00A66401" w:rsidP="008265A4">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1.4.1.1 unencumbered</w:t>
            </w:r>
            <w:r w:rsidR="008265A4">
              <w:rPr>
                <w:rFonts w:ascii="Times New Roman"/>
                <w:b/>
                <w:sz w:val="18"/>
                <w:szCs w:val="18"/>
                <w:u w:val="thick"/>
              </w:rPr>
              <w:t xml:space="preserve"> or encumbered </w:t>
            </w:r>
            <w:r w:rsidR="00635F69">
              <w:rPr>
                <w:rFonts w:ascii="Times New Roman"/>
                <w:b/>
                <w:sz w:val="18"/>
                <w:szCs w:val="18"/>
                <w:u w:val="thick"/>
              </w:rPr>
              <w:t>for a residual maturity of less than one year</w:t>
            </w:r>
          </w:p>
          <w:p w14:paraId="30DFBE79" w14:textId="0811CB0A"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w:t>
            </w:r>
            <w:r w:rsidR="004B1B05">
              <w:rPr>
                <w:rFonts w:ascii="Times New Roman"/>
                <w:sz w:val="18"/>
                <w:szCs w:val="18"/>
              </w:rPr>
              <w:t>s</w:t>
            </w:r>
            <w:r w:rsidRPr="00CF4E2F">
              <w:rPr>
                <w:rFonts w:ascii="Times New Roman"/>
                <w:sz w:val="18"/>
                <w:szCs w:val="18"/>
              </w:rPr>
              <w:t xml:space="preserve"> 428aw(a) and 428ay(b) of </w:t>
            </w:r>
            <w:r w:rsidR="004B1B05">
              <w:rPr>
                <w:rFonts w:ascii="Times New Roman"/>
                <w:sz w:val="18"/>
                <w:szCs w:val="18"/>
              </w:rPr>
              <w:t>CRR</w:t>
            </w:r>
            <w:r w:rsidRPr="00CF4E2F">
              <w:rPr>
                <w:rFonts w:ascii="Times New Roman"/>
                <w:sz w:val="18"/>
                <w:szCs w:val="18"/>
              </w:rPr>
              <w:t>.</w:t>
            </w:r>
          </w:p>
          <w:p w14:paraId="129B0698" w14:textId="0A8C3F0F"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1.4.1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sidR="00094120">
              <w:rPr>
                <w:rFonts w:ascii="Times New Roman"/>
                <w:sz w:val="18"/>
                <w:szCs w:val="18"/>
              </w:rPr>
              <w:t xml:space="preserve">related to </w:t>
            </w:r>
            <w:r w:rsidR="003B3180">
              <w:rPr>
                <w:rFonts w:ascii="Times New Roman"/>
                <w:sz w:val="18"/>
                <w:szCs w:val="18"/>
              </w:rPr>
              <w:t>assets</w:t>
            </w:r>
            <w:r w:rsidR="00094120">
              <w:rPr>
                <w:rFonts w:ascii="Times New Roman"/>
                <w:sz w:val="18"/>
                <w:szCs w:val="18"/>
              </w:rPr>
              <w:t xml:space="preserve"> that are </w:t>
            </w:r>
            <w:r w:rsidRPr="00CF4E2F">
              <w:rPr>
                <w:rFonts w:ascii="Times New Roman"/>
                <w:sz w:val="18"/>
                <w:szCs w:val="18"/>
              </w:rPr>
              <w:t>unencumbered</w:t>
            </w:r>
            <w:r w:rsidR="008265A4">
              <w:t xml:space="preserve"> </w:t>
            </w:r>
            <w:r w:rsidR="008265A4" w:rsidRPr="008265A4">
              <w:rPr>
                <w:rFonts w:ascii="Times New Roman"/>
                <w:sz w:val="18"/>
                <w:szCs w:val="18"/>
              </w:rPr>
              <w:t xml:space="preserve">or encumbered </w:t>
            </w:r>
            <w:r w:rsidR="00094120">
              <w:rPr>
                <w:rFonts w:ascii="Times New Roman"/>
                <w:sz w:val="18"/>
                <w:szCs w:val="18"/>
              </w:rPr>
              <w:t>for a residual maturity of less than one year</w:t>
            </w:r>
            <w:r w:rsidRPr="00CF4E2F">
              <w:rPr>
                <w:rFonts w:ascii="Times New Roman"/>
                <w:sz w:val="18"/>
                <w:szCs w:val="18"/>
              </w:rPr>
              <w:t>.</w:t>
            </w:r>
          </w:p>
          <w:p w14:paraId="6058B881"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563078C8" w14:textId="77777777" w:rsidTr="00D6423A">
        <w:trPr>
          <w:trHeight w:val="304"/>
        </w:trPr>
        <w:tc>
          <w:tcPr>
            <w:tcW w:w="1418" w:type="dxa"/>
          </w:tcPr>
          <w:p w14:paraId="2AD3B190" w14:textId="5FE0B5CC"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0270</w:t>
            </w:r>
          </w:p>
        </w:tc>
        <w:tc>
          <w:tcPr>
            <w:tcW w:w="7590" w:type="dxa"/>
          </w:tcPr>
          <w:p w14:paraId="164FB1DD" w14:textId="790C02A4"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1.4.1.2 encumbered</w:t>
            </w:r>
            <w:r w:rsidR="008265A4" w:rsidRPr="00CF4E2F">
              <w:rPr>
                <w:rFonts w:ascii="Times New Roman"/>
                <w:b/>
                <w:sz w:val="18"/>
                <w:szCs w:val="18"/>
                <w:u w:val="thick" w:color="000000"/>
              </w:rPr>
              <w:t xml:space="preserve"> for </w:t>
            </w:r>
            <w:r w:rsidR="00FF64DD">
              <w:rPr>
                <w:rFonts w:ascii="Times New Roman"/>
                <w:b/>
                <w:sz w:val="18"/>
                <w:szCs w:val="18"/>
                <w:u w:val="thick" w:color="000000"/>
              </w:rPr>
              <w:t>a residual maturity of one year or more</w:t>
            </w:r>
          </w:p>
          <w:p w14:paraId="0A6728E1" w14:textId="094B80BE"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 428az(1)(b)</w:t>
            </w:r>
            <w:r w:rsidRPr="00CF4E2F">
              <w:rPr>
                <w:sz w:val="18"/>
                <w:szCs w:val="18"/>
              </w:rPr>
              <w:t xml:space="preserve"> </w:t>
            </w:r>
            <w:r w:rsidRPr="00CF4E2F">
              <w:rPr>
                <w:rFonts w:ascii="Times New Roman"/>
                <w:sz w:val="18"/>
                <w:szCs w:val="18"/>
              </w:rPr>
              <w:t xml:space="preserve">of </w:t>
            </w:r>
            <w:r w:rsidR="00D25821">
              <w:rPr>
                <w:rFonts w:ascii="Times New Roman"/>
                <w:sz w:val="18"/>
                <w:szCs w:val="18"/>
              </w:rPr>
              <w:t>CRR.</w:t>
            </w:r>
          </w:p>
          <w:p w14:paraId="3297FF0E" w14:textId="6D4AD16C"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1.4.1 </w:t>
            </w:r>
            <w:r w:rsidR="001458F1">
              <w:rPr>
                <w:rFonts w:ascii="Times New Roman" w:eastAsia="Times New Roman" w:hAnsi="Times New Roman" w:cs="Times New Roman"/>
                <w:sz w:val="18"/>
                <w:szCs w:val="18"/>
              </w:rPr>
              <w:t xml:space="preserve">that </w:t>
            </w:r>
            <w:r w:rsidR="00683CCE">
              <w:rPr>
                <w:rFonts w:ascii="Times New Roman" w:eastAsia="Times New Roman" w:hAnsi="Times New Roman" w:cs="Times New Roman"/>
                <w:sz w:val="18"/>
                <w:szCs w:val="18"/>
              </w:rPr>
              <w:t xml:space="preserve">is </w:t>
            </w:r>
            <w:r w:rsidR="003B3180">
              <w:rPr>
                <w:rFonts w:ascii="Times New Roman"/>
                <w:sz w:val="18"/>
                <w:szCs w:val="18"/>
              </w:rPr>
              <w:t xml:space="preserve">related to assets </w:t>
            </w:r>
            <w:r w:rsidR="00094120">
              <w:rPr>
                <w:rFonts w:ascii="Times New Roman"/>
                <w:sz w:val="18"/>
                <w:szCs w:val="18"/>
              </w:rPr>
              <w:t xml:space="preserve">that are </w:t>
            </w:r>
            <w:r w:rsidRPr="00CF4E2F">
              <w:rPr>
                <w:rFonts w:ascii="Times New Roman"/>
                <w:sz w:val="18"/>
                <w:szCs w:val="18"/>
              </w:rPr>
              <w:t>encumbered</w:t>
            </w:r>
            <w:r w:rsidR="008265A4">
              <w:t xml:space="preserve"> </w:t>
            </w:r>
            <w:r w:rsidR="008265A4" w:rsidRPr="008265A4">
              <w:rPr>
                <w:rFonts w:ascii="Times New Roman" w:eastAsia="Times New Roman" w:hAnsi="Times New Roman" w:cs="Times New Roman"/>
                <w:sz w:val="18"/>
                <w:szCs w:val="18"/>
              </w:rPr>
              <w:t xml:space="preserve">for </w:t>
            </w:r>
            <w:r w:rsidR="00094120">
              <w:rPr>
                <w:rFonts w:ascii="Times New Roman" w:eastAsia="Times New Roman" w:hAnsi="Times New Roman" w:cs="Times New Roman"/>
                <w:sz w:val="18"/>
                <w:szCs w:val="18"/>
              </w:rPr>
              <w:t>a residual maturity of one year or more</w:t>
            </w:r>
            <w:r w:rsidR="008265A4" w:rsidRPr="00363567">
              <w:rPr>
                <w:rFonts w:ascii="Times New Roman" w:eastAsia="Times New Roman" w:hAnsi="Times New Roman" w:cs="Times New Roman"/>
                <w:sz w:val="18"/>
                <w:szCs w:val="18"/>
              </w:rPr>
              <w:t>.</w:t>
            </w:r>
          </w:p>
          <w:p w14:paraId="0C208239"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22A1D3C5" w14:textId="77777777" w:rsidTr="00D6423A">
        <w:trPr>
          <w:trHeight w:val="304"/>
        </w:trPr>
        <w:tc>
          <w:tcPr>
            <w:tcW w:w="1418" w:type="dxa"/>
          </w:tcPr>
          <w:p w14:paraId="1C9673B7" w14:textId="0AE9AB56"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0280</w:t>
            </w:r>
          </w:p>
        </w:tc>
        <w:tc>
          <w:tcPr>
            <w:tcW w:w="7590" w:type="dxa"/>
          </w:tcPr>
          <w:p w14:paraId="52E1EBE7" w14:textId="77777777"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1.4.2 loans to financials</w:t>
            </w:r>
          </w:p>
          <w:p w14:paraId="4023CE24" w14:textId="6988CC4E"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1.4 </w:t>
            </w:r>
            <w:r w:rsidR="001458F1">
              <w:rPr>
                <w:rFonts w:ascii="Times New Roman" w:eastAsia="Times New Roman" w:hAnsi="Times New Roman" w:cs="Times New Roman"/>
                <w:sz w:val="18"/>
                <w:szCs w:val="18"/>
              </w:rPr>
              <w:t xml:space="preserve">that </w:t>
            </w:r>
            <w:r w:rsidRPr="00CF4E2F">
              <w:rPr>
                <w:rFonts w:ascii="Times New Roman"/>
                <w:sz w:val="18"/>
                <w:szCs w:val="18"/>
              </w:rPr>
              <w:t xml:space="preserve">is </w:t>
            </w:r>
            <w:r w:rsidR="00094120">
              <w:rPr>
                <w:rFonts w:ascii="Times New Roman"/>
                <w:sz w:val="18"/>
                <w:szCs w:val="18"/>
              </w:rPr>
              <w:t xml:space="preserve">related to </w:t>
            </w:r>
            <w:r w:rsidRPr="00CF4E2F">
              <w:rPr>
                <w:rFonts w:ascii="Times New Roman"/>
                <w:sz w:val="18"/>
                <w:szCs w:val="18"/>
              </w:rPr>
              <w:t>loans to financial customers</w:t>
            </w:r>
          </w:p>
          <w:p w14:paraId="38A81106"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377F49C2" w14:textId="77777777" w:rsidTr="00D6423A">
        <w:trPr>
          <w:trHeight w:val="304"/>
        </w:trPr>
        <w:tc>
          <w:tcPr>
            <w:tcW w:w="1418" w:type="dxa"/>
          </w:tcPr>
          <w:p w14:paraId="3545F612" w14:textId="60FE5351"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0290</w:t>
            </w:r>
          </w:p>
        </w:tc>
        <w:tc>
          <w:tcPr>
            <w:tcW w:w="7590" w:type="dxa"/>
          </w:tcPr>
          <w:p w14:paraId="57FDF1A5" w14:textId="5CCE54D2" w:rsidR="00A66401" w:rsidRPr="0040192D" w:rsidRDefault="00A66401" w:rsidP="008265A4">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1.4.2.1 unencumbered</w:t>
            </w:r>
            <w:r w:rsidR="008265A4">
              <w:rPr>
                <w:rFonts w:ascii="Times New Roman"/>
                <w:b/>
                <w:sz w:val="18"/>
                <w:szCs w:val="18"/>
                <w:u w:val="thick"/>
              </w:rPr>
              <w:t xml:space="preserve"> or encumbered </w:t>
            </w:r>
            <w:r w:rsidR="00635F69">
              <w:rPr>
                <w:rFonts w:ascii="Times New Roman"/>
                <w:b/>
                <w:sz w:val="18"/>
                <w:szCs w:val="18"/>
                <w:u w:val="thick"/>
              </w:rPr>
              <w:t>for a residual maturity of less than one year</w:t>
            </w:r>
          </w:p>
          <w:p w14:paraId="442C305E" w14:textId="7FED9012" w:rsidR="00A66401" w:rsidRPr="00DD6B59" w:rsidRDefault="00A66401" w:rsidP="00D6423A">
            <w:pPr>
              <w:pStyle w:val="BodyText1"/>
              <w:spacing w:before="117"/>
              <w:ind w:left="102" w:right="99"/>
              <w:rPr>
                <w:rFonts w:ascii="Times New Roman" w:hAnsi="Times New Roman"/>
                <w:sz w:val="18"/>
                <w:szCs w:val="18"/>
                <w:lang w:val="en-US"/>
              </w:rPr>
            </w:pPr>
            <w:r w:rsidRPr="00DD6B59">
              <w:rPr>
                <w:rFonts w:ascii="Times New Roman" w:hAnsi="Times New Roman"/>
                <w:sz w:val="18"/>
                <w:szCs w:val="18"/>
                <w:lang w:val="en-US"/>
              </w:rPr>
              <w:t>Article</w:t>
            </w:r>
            <w:r w:rsidR="00C133BB">
              <w:rPr>
                <w:rFonts w:ascii="Times New Roman" w:hAnsi="Times New Roman"/>
                <w:sz w:val="18"/>
                <w:szCs w:val="18"/>
                <w:lang w:val="en-US"/>
              </w:rPr>
              <w:t>s</w:t>
            </w:r>
            <w:r w:rsidRPr="00DD6B59">
              <w:rPr>
                <w:rFonts w:ascii="Times New Roman" w:hAnsi="Times New Roman"/>
                <w:sz w:val="18"/>
                <w:szCs w:val="18"/>
                <w:lang w:val="en-US"/>
              </w:rPr>
              <w:t xml:space="preserve"> 428aw(a) and 428az(1)(b) of </w:t>
            </w:r>
            <w:r w:rsidR="00D25821">
              <w:rPr>
                <w:rFonts w:ascii="Times New Roman" w:hAnsi="Times New Roman"/>
                <w:sz w:val="18"/>
                <w:szCs w:val="18"/>
                <w:lang w:val="en-US"/>
              </w:rPr>
              <w:t>CRR</w:t>
            </w:r>
            <w:r w:rsidRPr="00DD6B59">
              <w:rPr>
                <w:rFonts w:ascii="Times New Roman" w:hAnsi="Times New Roman"/>
                <w:sz w:val="18"/>
                <w:szCs w:val="18"/>
                <w:lang w:val="en-US"/>
              </w:rPr>
              <w:t>.</w:t>
            </w:r>
          </w:p>
          <w:p w14:paraId="6E484F6D" w14:textId="2D19DCFC" w:rsidR="00A66401" w:rsidRPr="00DD6B59" w:rsidRDefault="00A66401" w:rsidP="004808CC">
            <w:pPr>
              <w:pStyle w:val="BodyText1"/>
              <w:spacing w:before="117" w:line="240" w:lineRule="auto"/>
              <w:ind w:left="102" w:right="96"/>
              <w:rPr>
                <w:rFonts w:ascii="Times New Roman" w:hAnsi="Times New Roman"/>
                <w:sz w:val="18"/>
                <w:szCs w:val="18"/>
                <w:lang w:val="en-US"/>
              </w:rPr>
            </w:pPr>
            <w:r w:rsidRPr="00DD6B59">
              <w:rPr>
                <w:rFonts w:ascii="Times New Roman" w:hAnsi="Times New Roman"/>
                <w:sz w:val="18"/>
                <w:szCs w:val="18"/>
                <w:lang w:val="en-US"/>
              </w:rPr>
              <w:t xml:space="preserve">The amount reported in 1.4.2 </w:t>
            </w:r>
            <w:r w:rsidR="001458F1">
              <w:rPr>
                <w:rFonts w:ascii="Times New Roman" w:hAnsi="Times New Roman"/>
                <w:sz w:val="18"/>
                <w:szCs w:val="18"/>
                <w:lang w:val="en-US"/>
              </w:rPr>
              <w:t xml:space="preserve">that is </w:t>
            </w:r>
            <w:r w:rsidR="003B3180">
              <w:rPr>
                <w:rFonts w:ascii="Times New Roman"/>
                <w:sz w:val="18"/>
                <w:szCs w:val="18"/>
              </w:rPr>
              <w:t>related to assets</w:t>
            </w:r>
            <w:r w:rsidR="003B3180">
              <w:rPr>
                <w:rFonts w:ascii="Times New Roman" w:hAnsi="Times New Roman"/>
                <w:sz w:val="18"/>
                <w:szCs w:val="18"/>
                <w:lang w:val="en-US"/>
              </w:rPr>
              <w:t xml:space="preserve"> </w:t>
            </w:r>
            <w:r w:rsidR="00094120">
              <w:rPr>
                <w:rFonts w:ascii="Times New Roman" w:hAnsi="Times New Roman"/>
                <w:sz w:val="18"/>
                <w:szCs w:val="18"/>
                <w:lang w:val="en-US"/>
              </w:rPr>
              <w:t xml:space="preserve">that are </w:t>
            </w:r>
            <w:r w:rsidRPr="00DD6B59">
              <w:rPr>
                <w:rFonts w:ascii="Times New Roman" w:hAnsi="Times New Roman"/>
                <w:sz w:val="18"/>
                <w:szCs w:val="18"/>
                <w:lang w:val="en-US"/>
              </w:rPr>
              <w:t xml:space="preserve">unencumbered </w:t>
            </w:r>
            <w:r w:rsidR="008265A4" w:rsidRPr="008265A4">
              <w:rPr>
                <w:rFonts w:ascii="Times New Roman"/>
                <w:sz w:val="18"/>
                <w:szCs w:val="18"/>
              </w:rPr>
              <w:t xml:space="preserve">or encumbered </w:t>
            </w:r>
            <w:r w:rsidR="00094120">
              <w:rPr>
                <w:rFonts w:ascii="Times New Roman"/>
                <w:sz w:val="18"/>
                <w:szCs w:val="18"/>
              </w:rPr>
              <w:t>for a residual maturity of less than one year</w:t>
            </w:r>
            <w:r w:rsidRPr="00DD6B59">
              <w:rPr>
                <w:rFonts w:ascii="Times New Roman" w:hAnsi="Times New Roman"/>
                <w:sz w:val="18"/>
                <w:szCs w:val="18"/>
                <w:lang w:val="en-US"/>
              </w:rPr>
              <w:t>.</w:t>
            </w:r>
          </w:p>
          <w:p w14:paraId="671BFB29" w14:textId="77777777" w:rsidR="00A66401" w:rsidRPr="00DD6B59" w:rsidRDefault="00A66401" w:rsidP="004808CC">
            <w:pPr>
              <w:pStyle w:val="BodyText1"/>
              <w:spacing w:line="240" w:lineRule="auto"/>
              <w:ind w:left="102" w:right="96"/>
              <w:rPr>
                <w:rFonts w:ascii="Times New Roman"/>
                <w:b/>
                <w:sz w:val="18"/>
                <w:szCs w:val="18"/>
                <w:u w:val="thick" w:color="000000"/>
                <w:lang w:val="en-US"/>
              </w:rPr>
            </w:pPr>
          </w:p>
        </w:tc>
      </w:tr>
      <w:tr w:rsidR="00A66401" w:rsidRPr="00CF4E2F" w14:paraId="4F63F95F" w14:textId="77777777" w:rsidTr="00D6423A">
        <w:trPr>
          <w:trHeight w:val="304"/>
        </w:trPr>
        <w:tc>
          <w:tcPr>
            <w:tcW w:w="1418" w:type="dxa"/>
          </w:tcPr>
          <w:p w14:paraId="293D669A" w14:textId="5BC1E4CF"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0300</w:t>
            </w:r>
          </w:p>
        </w:tc>
        <w:tc>
          <w:tcPr>
            <w:tcW w:w="7590" w:type="dxa"/>
          </w:tcPr>
          <w:p w14:paraId="3395F498" w14:textId="731CDD74" w:rsidR="00A66401" w:rsidRPr="0040192D" w:rsidRDefault="00A66401" w:rsidP="004808CC">
            <w:pPr>
              <w:pStyle w:val="TableParagraph"/>
              <w:spacing w:before="117"/>
              <w:ind w:left="102" w:right="96"/>
              <w:jc w:val="both"/>
              <w:rPr>
                <w:rFonts w:ascii="Times New Roman"/>
                <w:b/>
                <w:sz w:val="18"/>
                <w:szCs w:val="18"/>
                <w:u w:val="thick" w:color="000000"/>
              </w:rPr>
            </w:pPr>
            <w:r w:rsidRPr="0040192D">
              <w:rPr>
                <w:rFonts w:ascii="Times New Roman"/>
                <w:b/>
                <w:sz w:val="18"/>
                <w:szCs w:val="18"/>
                <w:u w:val="thick" w:color="000000"/>
              </w:rPr>
              <w:t xml:space="preserve">1.4.2.2 encumbered </w:t>
            </w:r>
            <w:r w:rsidR="008265A4" w:rsidRPr="00CF4E2F">
              <w:rPr>
                <w:rFonts w:ascii="Times New Roman"/>
                <w:b/>
                <w:sz w:val="18"/>
                <w:szCs w:val="18"/>
                <w:u w:val="thick" w:color="000000"/>
              </w:rPr>
              <w:t xml:space="preserve">for </w:t>
            </w:r>
            <w:r w:rsidR="00FF64DD">
              <w:rPr>
                <w:rFonts w:ascii="Times New Roman"/>
                <w:b/>
                <w:sz w:val="18"/>
                <w:szCs w:val="18"/>
                <w:u w:val="thick" w:color="000000"/>
              </w:rPr>
              <w:t>a residual maturity of one year or more</w:t>
            </w:r>
          </w:p>
          <w:p w14:paraId="1AD52C1C" w14:textId="24CDDEA3" w:rsidR="00A66401" w:rsidRPr="00DD6B59" w:rsidRDefault="00A66401" w:rsidP="004808CC">
            <w:pPr>
              <w:pStyle w:val="BodyText1"/>
              <w:spacing w:before="117" w:line="240" w:lineRule="auto"/>
              <w:ind w:left="102" w:right="96"/>
              <w:rPr>
                <w:rFonts w:ascii="Times New Roman" w:hAnsi="Times New Roman"/>
                <w:sz w:val="18"/>
                <w:szCs w:val="18"/>
                <w:lang w:val="en-US"/>
              </w:rPr>
            </w:pPr>
            <w:r w:rsidRPr="00DD6B59">
              <w:rPr>
                <w:rFonts w:ascii="Times New Roman" w:hAnsi="Times New Roman"/>
                <w:sz w:val="18"/>
                <w:szCs w:val="18"/>
                <w:lang w:val="en-US"/>
              </w:rPr>
              <w:t xml:space="preserve">Article 428az(1)(b) of </w:t>
            </w:r>
            <w:r w:rsidR="00D25821">
              <w:rPr>
                <w:rFonts w:ascii="Times New Roman" w:hAnsi="Times New Roman"/>
                <w:sz w:val="18"/>
                <w:szCs w:val="18"/>
                <w:lang w:val="en-US"/>
              </w:rPr>
              <w:t>CRR</w:t>
            </w:r>
            <w:r w:rsidRPr="00DD6B59">
              <w:rPr>
                <w:rFonts w:ascii="Times New Roman" w:hAnsi="Times New Roman"/>
                <w:sz w:val="18"/>
                <w:szCs w:val="18"/>
                <w:lang w:val="en-US"/>
              </w:rPr>
              <w:t>.</w:t>
            </w:r>
          </w:p>
          <w:p w14:paraId="7F09ED2F" w14:textId="1821C721" w:rsidR="00A66401" w:rsidRPr="00DD6B59" w:rsidRDefault="00A66401" w:rsidP="004808CC">
            <w:pPr>
              <w:pStyle w:val="BodyText1"/>
              <w:spacing w:before="117" w:line="240" w:lineRule="auto"/>
              <w:ind w:left="102" w:right="96"/>
              <w:rPr>
                <w:rFonts w:ascii="Times New Roman" w:hAnsi="Times New Roman"/>
                <w:sz w:val="18"/>
                <w:szCs w:val="18"/>
                <w:lang w:val="en-US"/>
              </w:rPr>
            </w:pPr>
            <w:r w:rsidRPr="00DD6B59">
              <w:rPr>
                <w:rFonts w:ascii="Times New Roman" w:hAnsi="Times New Roman"/>
                <w:sz w:val="18"/>
                <w:szCs w:val="18"/>
                <w:lang w:val="en-US"/>
              </w:rPr>
              <w:t xml:space="preserve">The amount reported in 1.4.2 </w:t>
            </w:r>
            <w:r w:rsidR="001458F1">
              <w:rPr>
                <w:rFonts w:ascii="Times New Roman" w:hAnsi="Times New Roman"/>
                <w:sz w:val="18"/>
                <w:szCs w:val="18"/>
                <w:lang w:val="en-US"/>
              </w:rPr>
              <w:t xml:space="preserve">that is </w:t>
            </w:r>
            <w:r w:rsidR="003B3180">
              <w:rPr>
                <w:rFonts w:ascii="Times New Roman"/>
                <w:sz w:val="18"/>
                <w:szCs w:val="18"/>
              </w:rPr>
              <w:t>related to assets</w:t>
            </w:r>
            <w:r w:rsidR="003B3180">
              <w:rPr>
                <w:rFonts w:ascii="Times New Roman" w:hAnsi="Times New Roman"/>
                <w:sz w:val="18"/>
                <w:szCs w:val="18"/>
                <w:lang w:val="en-US"/>
              </w:rPr>
              <w:t xml:space="preserve"> </w:t>
            </w:r>
            <w:r w:rsidR="00094120">
              <w:rPr>
                <w:rFonts w:ascii="Times New Roman" w:hAnsi="Times New Roman"/>
                <w:sz w:val="18"/>
                <w:szCs w:val="18"/>
                <w:lang w:val="en-US"/>
              </w:rPr>
              <w:t>that are</w:t>
            </w:r>
            <w:r w:rsidRPr="00DD6B59">
              <w:rPr>
                <w:rFonts w:ascii="Times New Roman" w:hAnsi="Times New Roman"/>
                <w:sz w:val="18"/>
                <w:szCs w:val="18"/>
                <w:lang w:val="en-US"/>
              </w:rPr>
              <w:t xml:space="preserve"> encumbered </w:t>
            </w:r>
            <w:r w:rsidR="008265A4" w:rsidRPr="008265A4">
              <w:rPr>
                <w:rFonts w:ascii="Times New Roman" w:hAnsi="Times New Roman"/>
                <w:sz w:val="18"/>
                <w:szCs w:val="18"/>
              </w:rPr>
              <w:t xml:space="preserve">for </w:t>
            </w:r>
            <w:r w:rsidR="00094120">
              <w:rPr>
                <w:rFonts w:ascii="Times New Roman" w:hAnsi="Times New Roman"/>
                <w:sz w:val="18"/>
                <w:szCs w:val="18"/>
              </w:rPr>
              <w:t>a residual maturity of one year or more</w:t>
            </w:r>
            <w:r w:rsidRPr="00DD6B59">
              <w:rPr>
                <w:rFonts w:ascii="Times New Roman" w:hAnsi="Times New Roman"/>
                <w:sz w:val="18"/>
                <w:szCs w:val="18"/>
                <w:lang w:val="en-US"/>
              </w:rPr>
              <w:t>.</w:t>
            </w:r>
          </w:p>
          <w:p w14:paraId="3ADD1B10" w14:textId="77777777" w:rsidR="00A66401" w:rsidRPr="00DD6B59" w:rsidRDefault="00A66401" w:rsidP="004808CC">
            <w:pPr>
              <w:pStyle w:val="BodyText1"/>
              <w:spacing w:line="240" w:lineRule="auto"/>
              <w:ind w:left="102" w:right="96"/>
              <w:rPr>
                <w:rFonts w:ascii="Times New Roman"/>
                <w:b/>
                <w:sz w:val="18"/>
                <w:szCs w:val="18"/>
                <w:u w:val="thick" w:color="000000"/>
                <w:lang w:val="en-US"/>
              </w:rPr>
            </w:pPr>
          </w:p>
        </w:tc>
      </w:tr>
      <w:tr w:rsidR="00A66401" w:rsidRPr="00CF4E2F" w14:paraId="5E3DFAB0" w14:textId="77777777" w:rsidTr="00D6423A">
        <w:trPr>
          <w:trHeight w:val="304"/>
        </w:trPr>
        <w:tc>
          <w:tcPr>
            <w:tcW w:w="1418" w:type="dxa"/>
          </w:tcPr>
          <w:p w14:paraId="49629311" w14:textId="679E0C1B"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0310</w:t>
            </w:r>
          </w:p>
        </w:tc>
        <w:tc>
          <w:tcPr>
            <w:tcW w:w="7590" w:type="dxa"/>
          </w:tcPr>
          <w:p w14:paraId="65B0E00B"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1.4.3 trade finance on-</w:t>
            </w:r>
            <w:r w:rsidRPr="00CF4E2F">
              <w:rPr>
                <w:rFonts w:ascii="Times New Roman"/>
                <w:b/>
                <w:sz w:val="18"/>
                <w:szCs w:val="18"/>
                <w:u w:val="thick" w:color="000000"/>
              </w:rPr>
              <w:t>balance sheet products</w:t>
            </w:r>
          </w:p>
          <w:p w14:paraId="4D900347" w14:textId="13CC55DA" w:rsidR="00A66401" w:rsidRPr="00CF4E2F" w:rsidRDefault="00A66401" w:rsidP="00D6423A">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Article</w:t>
            </w:r>
            <w:r w:rsidR="00C133BB">
              <w:rPr>
                <w:rFonts w:ascii="Times New Roman" w:eastAsia="Times New Roman" w:hAnsi="Times New Roman" w:cs="Times New Roman"/>
                <w:sz w:val="18"/>
                <w:szCs w:val="18"/>
              </w:rPr>
              <w:t>s</w:t>
            </w:r>
            <w:r w:rsidRPr="00CF4E2F">
              <w:rPr>
                <w:rFonts w:ascii="Times New Roman" w:eastAsia="Times New Roman" w:hAnsi="Times New Roman" w:cs="Times New Roman"/>
                <w:sz w:val="18"/>
                <w:szCs w:val="18"/>
              </w:rPr>
              <w:t xml:space="preserve"> 428aw(b) and 428ay(c)</w:t>
            </w:r>
            <w:r w:rsidRPr="00CF4E2F">
              <w:rPr>
                <w:sz w:val="18"/>
                <w:szCs w:val="18"/>
              </w:rPr>
              <w:t xml:space="preserve"> </w:t>
            </w:r>
            <w:r w:rsidRPr="00CF4E2F">
              <w:rPr>
                <w:rFonts w:ascii="Times New Roman" w:eastAsia="Times New Roman" w:hAnsi="Times New Roman" w:cs="Times New Roman"/>
                <w:sz w:val="18"/>
                <w:szCs w:val="18"/>
              </w:rPr>
              <w:t xml:space="preserve">of </w:t>
            </w:r>
            <w:r w:rsidR="00D25821">
              <w:rPr>
                <w:rFonts w:ascii="Times New Roman" w:eastAsia="Times New Roman" w:hAnsi="Times New Roman" w:cs="Times New Roman"/>
                <w:sz w:val="18"/>
                <w:szCs w:val="18"/>
              </w:rPr>
              <w:t>CRR.</w:t>
            </w:r>
          </w:p>
          <w:p w14:paraId="28DA893F" w14:textId="1E46E80C" w:rsidR="00A66401" w:rsidRPr="00CF4E2F" w:rsidRDefault="00A66401" w:rsidP="00D6423A">
            <w:pPr>
              <w:pStyle w:val="TableParagraph"/>
              <w:spacing w:before="117"/>
              <w:ind w:left="102" w:right="99"/>
              <w:jc w:val="both"/>
              <w:rPr>
                <w:rFonts w:ascii="Times New Roman" w:eastAsia="Times New Roman" w:hAnsi="Times New Roman" w:cs="Times New Roman"/>
                <w:sz w:val="18"/>
                <w:szCs w:val="18"/>
              </w:rPr>
            </w:pPr>
            <w:r w:rsidRPr="00CF4E2F">
              <w:rPr>
                <w:rFonts w:ascii="Times New Roman" w:eastAsia="Times New Roman" w:hAnsi="Times New Roman" w:cs="Times New Roman"/>
                <w:sz w:val="18"/>
                <w:szCs w:val="18"/>
              </w:rPr>
              <w:t>The amount reported in 1.4 arising from trade finance on-balance sheet products.</w:t>
            </w:r>
          </w:p>
          <w:p w14:paraId="62CFF02E"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60147D09" w14:textId="77777777" w:rsidTr="00D6423A">
        <w:trPr>
          <w:trHeight w:val="304"/>
        </w:trPr>
        <w:tc>
          <w:tcPr>
            <w:tcW w:w="1418" w:type="dxa"/>
          </w:tcPr>
          <w:p w14:paraId="0AC713F3" w14:textId="1AE12242"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0320</w:t>
            </w:r>
          </w:p>
        </w:tc>
        <w:tc>
          <w:tcPr>
            <w:tcW w:w="7590" w:type="dxa"/>
          </w:tcPr>
          <w:p w14:paraId="30520320" w14:textId="3AA052A3" w:rsidR="00094120" w:rsidRPr="0040192D" w:rsidRDefault="00094120" w:rsidP="00094120">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 xml:space="preserve">1.5 RSF from </w:t>
            </w:r>
            <w:r>
              <w:rPr>
                <w:rFonts w:ascii="Times New Roman"/>
                <w:b/>
                <w:sz w:val="18"/>
                <w:szCs w:val="18"/>
                <w:u w:val="thick" w:color="000000"/>
              </w:rPr>
              <w:t xml:space="preserve">authorised </w:t>
            </w:r>
            <w:r w:rsidRPr="0040192D">
              <w:rPr>
                <w:rFonts w:ascii="Times New Roman"/>
                <w:b/>
                <w:sz w:val="18"/>
                <w:szCs w:val="18"/>
                <w:u w:val="thick" w:color="000000"/>
              </w:rPr>
              <w:t>interdependent assets</w:t>
            </w:r>
          </w:p>
          <w:p w14:paraId="6042CD33" w14:textId="3568ABF1"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w:t>
            </w:r>
            <w:r w:rsidR="00C133BB">
              <w:rPr>
                <w:rFonts w:ascii="Times New Roman"/>
                <w:sz w:val="18"/>
                <w:szCs w:val="18"/>
              </w:rPr>
              <w:t>s</w:t>
            </w:r>
            <w:r w:rsidRPr="00CF4E2F">
              <w:rPr>
                <w:rFonts w:ascii="Times New Roman"/>
                <w:sz w:val="18"/>
                <w:szCs w:val="18"/>
              </w:rPr>
              <w:t xml:space="preserve"> 428f and </w:t>
            </w:r>
            <w:r w:rsidR="001F6F59">
              <w:rPr>
                <w:rFonts w:ascii="Times New Roman"/>
                <w:sz w:val="18"/>
                <w:szCs w:val="18"/>
              </w:rPr>
              <w:t>428r</w:t>
            </w:r>
            <w:r w:rsidRPr="00CF4E2F">
              <w:rPr>
                <w:rFonts w:ascii="Times New Roman"/>
                <w:sz w:val="18"/>
                <w:szCs w:val="18"/>
              </w:rPr>
              <w:t>(1)(f)</w:t>
            </w:r>
            <w:r w:rsidRPr="00CF4E2F">
              <w:rPr>
                <w:sz w:val="18"/>
                <w:szCs w:val="18"/>
              </w:rPr>
              <w:t xml:space="preserve"> </w:t>
            </w:r>
            <w:r w:rsidRPr="00CF4E2F">
              <w:rPr>
                <w:rFonts w:ascii="Times New Roman"/>
                <w:sz w:val="18"/>
                <w:szCs w:val="18"/>
              </w:rPr>
              <w:t xml:space="preserve">of </w:t>
            </w:r>
            <w:r w:rsidR="00D25821">
              <w:rPr>
                <w:rFonts w:ascii="Times New Roman"/>
                <w:sz w:val="18"/>
                <w:szCs w:val="18"/>
              </w:rPr>
              <w:t>CRR.</w:t>
            </w:r>
          </w:p>
          <w:p w14:paraId="44962176" w14:textId="6266534F" w:rsidR="00094120" w:rsidRPr="00CF4E2F" w:rsidRDefault="00094120" w:rsidP="00094120">
            <w:pPr>
              <w:pStyle w:val="TableParagraph"/>
              <w:spacing w:before="117"/>
              <w:ind w:left="102" w:right="99"/>
              <w:jc w:val="both"/>
              <w:rPr>
                <w:rFonts w:ascii="Times New Roman"/>
                <w:sz w:val="18"/>
                <w:szCs w:val="18"/>
              </w:rPr>
            </w:pPr>
            <w:r w:rsidRPr="00CF4E2F">
              <w:rPr>
                <w:rFonts w:ascii="Times New Roman"/>
                <w:sz w:val="18"/>
                <w:szCs w:val="18"/>
              </w:rPr>
              <w:t>Institutions shall report here assets authori</w:t>
            </w:r>
            <w:r>
              <w:rPr>
                <w:rFonts w:ascii="Times New Roman"/>
                <w:sz w:val="18"/>
                <w:szCs w:val="18"/>
              </w:rPr>
              <w:t>s</w:t>
            </w:r>
            <w:r w:rsidRPr="00CF4E2F">
              <w:rPr>
                <w:rFonts w:ascii="Times New Roman"/>
                <w:sz w:val="18"/>
                <w:szCs w:val="18"/>
              </w:rPr>
              <w:t xml:space="preserve">ed by competent authorities as being interdependent with liabilities in accordance with Article 428f of </w:t>
            </w:r>
            <w:r>
              <w:rPr>
                <w:rFonts w:ascii="Times New Roman"/>
                <w:sz w:val="18"/>
                <w:szCs w:val="18"/>
              </w:rPr>
              <w:t>CRR</w:t>
            </w:r>
            <w:r w:rsidRPr="00CF4E2F">
              <w:rPr>
                <w:rFonts w:ascii="Times New Roman"/>
                <w:sz w:val="18"/>
                <w:szCs w:val="18"/>
              </w:rPr>
              <w:t>.</w:t>
            </w:r>
          </w:p>
          <w:p w14:paraId="596DB062"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6817BBB1" w14:textId="77777777" w:rsidTr="00D6423A">
        <w:trPr>
          <w:trHeight w:val="304"/>
        </w:trPr>
        <w:tc>
          <w:tcPr>
            <w:tcW w:w="1418" w:type="dxa"/>
          </w:tcPr>
          <w:p w14:paraId="0D0DAF85" w14:textId="186305C3"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0330</w:t>
            </w:r>
          </w:p>
        </w:tc>
        <w:tc>
          <w:tcPr>
            <w:tcW w:w="7590" w:type="dxa"/>
          </w:tcPr>
          <w:p w14:paraId="61132E59"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1.6 RSF from assets within a group or an IPS if subject to preferent</w:t>
            </w:r>
            <w:r w:rsidRPr="00CF4E2F">
              <w:rPr>
                <w:rFonts w:ascii="Times New Roman"/>
                <w:b/>
                <w:sz w:val="18"/>
                <w:szCs w:val="18"/>
                <w:u w:val="thick" w:color="000000"/>
              </w:rPr>
              <w:t>ial treatment</w:t>
            </w:r>
          </w:p>
          <w:p w14:paraId="37E5EC8A" w14:textId="759E7860"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Article 428h of </w:t>
            </w:r>
            <w:r w:rsidR="00D25821">
              <w:rPr>
                <w:rFonts w:ascii="Times New Roman"/>
                <w:sz w:val="18"/>
                <w:szCs w:val="18"/>
              </w:rPr>
              <w:t>CRR</w:t>
            </w:r>
            <w:r w:rsidRPr="00CF4E2F">
              <w:rPr>
                <w:rFonts w:ascii="Times New Roman"/>
                <w:sz w:val="18"/>
                <w:szCs w:val="18"/>
              </w:rPr>
              <w:t>.</w:t>
            </w:r>
          </w:p>
          <w:p w14:paraId="4AB818EE" w14:textId="550E79BB" w:rsidR="00094120" w:rsidRPr="00CF4E2F" w:rsidRDefault="00094120" w:rsidP="00094120">
            <w:pPr>
              <w:pStyle w:val="TableParagraph"/>
              <w:spacing w:before="117"/>
              <w:ind w:left="102" w:right="99"/>
              <w:jc w:val="both"/>
              <w:rPr>
                <w:rFonts w:ascii="Times New Roman"/>
                <w:sz w:val="18"/>
                <w:szCs w:val="18"/>
              </w:rPr>
            </w:pPr>
            <w:r w:rsidRPr="00CF4E2F">
              <w:rPr>
                <w:rFonts w:ascii="Times New Roman"/>
                <w:sz w:val="18"/>
                <w:szCs w:val="18"/>
              </w:rPr>
              <w:t xml:space="preserve">Institutions shall report here assets </w:t>
            </w:r>
            <w:r>
              <w:rPr>
                <w:rFonts w:ascii="Times New Roman"/>
                <w:sz w:val="18"/>
                <w:szCs w:val="18"/>
              </w:rPr>
              <w:t xml:space="preserve">for which the </w:t>
            </w:r>
            <w:r w:rsidRPr="00CF4E2F">
              <w:rPr>
                <w:rFonts w:ascii="Times New Roman"/>
                <w:sz w:val="18"/>
                <w:szCs w:val="18"/>
              </w:rPr>
              <w:t xml:space="preserve">competent </w:t>
            </w:r>
            <w:r>
              <w:rPr>
                <w:rFonts w:ascii="Times New Roman"/>
                <w:sz w:val="18"/>
                <w:szCs w:val="18"/>
              </w:rPr>
              <w:t xml:space="preserve">authority has granted </w:t>
            </w:r>
            <w:r w:rsidRPr="00CF4E2F">
              <w:rPr>
                <w:rFonts w:ascii="Times New Roman"/>
                <w:sz w:val="18"/>
                <w:szCs w:val="18"/>
              </w:rPr>
              <w:t xml:space="preserve">the preferential treatment </w:t>
            </w:r>
            <w:r>
              <w:rPr>
                <w:rFonts w:ascii="Times New Roman"/>
                <w:sz w:val="18"/>
                <w:szCs w:val="18"/>
              </w:rPr>
              <w:t xml:space="preserve">referred to in </w:t>
            </w:r>
            <w:r w:rsidRPr="00CF4E2F">
              <w:rPr>
                <w:rFonts w:ascii="Times New Roman"/>
                <w:sz w:val="18"/>
                <w:szCs w:val="18"/>
              </w:rPr>
              <w:t xml:space="preserve">Article 428h of </w:t>
            </w:r>
            <w:r>
              <w:rPr>
                <w:rFonts w:ascii="Times New Roman"/>
                <w:sz w:val="18"/>
                <w:szCs w:val="18"/>
              </w:rPr>
              <w:t>CRR</w:t>
            </w:r>
            <w:r w:rsidRPr="00CF4E2F">
              <w:rPr>
                <w:rFonts w:ascii="Times New Roman"/>
                <w:sz w:val="18"/>
                <w:szCs w:val="18"/>
              </w:rPr>
              <w:t>.</w:t>
            </w:r>
          </w:p>
          <w:p w14:paraId="2879EA21"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363ACC97" w14:textId="77777777" w:rsidTr="00D6423A">
        <w:trPr>
          <w:trHeight w:val="304"/>
        </w:trPr>
        <w:tc>
          <w:tcPr>
            <w:tcW w:w="1418" w:type="dxa"/>
          </w:tcPr>
          <w:p w14:paraId="71886EFB" w14:textId="2F469D37"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0340</w:t>
            </w:r>
          </w:p>
        </w:tc>
        <w:tc>
          <w:tcPr>
            <w:tcW w:w="7590" w:type="dxa"/>
          </w:tcPr>
          <w:p w14:paraId="1A1692CA" w14:textId="77777777"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1.7 RSF from derivatives</w:t>
            </w:r>
          </w:p>
          <w:p w14:paraId="6F0A0FBE" w14:textId="058EBDDA"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w:t>
            </w:r>
            <w:r w:rsidR="00C133BB">
              <w:rPr>
                <w:rFonts w:ascii="Times New Roman"/>
                <w:sz w:val="18"/>
                <w:szCs w:val="18"/>
              </w:rPr>
              <w:t>s</w:t>
            </w:r>
            <w:r w:rsidRPr="00CF4E2F">
              <w:rPr>
                <w:rFonts w:ascii="Times New Roman"/>
                <w:sz w:val="18"/>
                <w:szCs w:val="18"/>
              </w:rPr>
              <w:t xml:space="preserve"> 428d, 428at(2), 428ay(a) and 428az(2)</w:t>
            </w:r>
            <w:r w:rsidRPr="00CF4E2F">
              <w:rPr>
                <w:sz w:val="18"/>
                <w:szCs w:val="18"/>
              </w:rPr>
              <w:t xml:space="preserve"> </w:t>
            </w:r>
            <w:r w:rsidRPr="00CF4E2F">
              <w:rPr>
                <w:rFonts w:ascii="Times New Roman"/>
                <w:sz w:val="18"/>
                <w:szCs w:val="18"/>
              </w:rPr>
              <w:t xml:space="preserve">of </w:t>
            </w:r>
            <w:r w:rsidR="00662DA3">
              <w:rPr>
                <w:rFonts w:ascii="Times New Roman"/>
                <w:sz w:val="18"/>
                <w:szCs w:val="18"/>
              </w:rPr>
              <w:t>CRR</w:t>
            </w:r>
            <w:r w:rsidRPr="00CF4E2F">
              <w:rPr>
                <w:rFonts w:ascii="Times New Roman"/>
                <w:sz w:val="18"/>
                <w:szCs w:val="18"/>
              </w:rPr>
              <w:t>.</w:t>
            </w:r>
          </w:p>
          <w:p w14:paraId="700AED59" w14:textId="743CF498"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Institutions shall report here the amount of required stable funding arising from derivatives.</w:t>
            </w:r>
          </w:p>
          <w:p w14:paraId="6E405CF3"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77B682AA" w14:textId="77777777" w:rsidTr="00D6423A">
        <w:trPr>
          <w:trHeight w:val="304"/>
        </w:trPr>
        <w:tc>
          <w:tcPr>
            <w:tcW w:w="1418" w:type="dxa"/>
          </w:tcPr>
          <w:p w14:paraId="08C78F81" w14:textId="0E568BB7"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0350</w:t>
            </w:r>
          </w:p>
        </w:tc>
        <w:tc>
          <w:tcPr>
            <w:tcW w:w="7590" w:type="dxa"/>
          </w:tcPr>
          <w:p w14:paraId="6AD908C0" w14:textId="77777777"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1.7.1 required stable funding for derivative liabilities</w:t>
            </w:r>
          </w:p>
          <w:p w14:paraId="23319321" w14:textId="07F3579A"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 428at(2)</w:t>
            </w:r>
            <w:r w:rsidRPr="00CF4E2F">
              <w:rPr>
                <w:sz w:val="18"/>
                <w:szCs w:val="18"/>
              </w:rPr>
              <w:t xml:space="preserve"> </w:t>
            </w:r>
            <w:r w:rsidRPr="00CF4E2F">
              <w:rPr>
                <w:rFonts w:ascii="Times New Roman"/>
                <w:sz w:val="18"/>
                <w:szCs w:val="18"/>
              </w:rPr>
              <w:t xml:space="preserve">of </w:t>
            </w:r>
            <w:r w:rsidR="00662DA3">
              <w:rPr>
                <w:rFonts w:ascii="Times New Roman"/>
                <w:sz w:val="18"/>
                <w:szCs w:val="18"/>
              </w:rPr>
              <w:t>CRR</w:t>
            </w:r>
            <w:r w:rsidRPr="00CF4E2F">
              <w:rPr>
                <w:rFonts w:ascii="Times New Roman"/>
                <w:sz w:val="18"/>
                <w:szCs w:val="18"/>
              </w:rPr>
              <w:t>.</w:t>
            </w:r>
          </w:p>
          <w:p w14:paraId="3FE629B0" w14:textId="5969E4B3"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1.7 which is the absolute fair value of netting sets with a negative fair value calculated in accordance with Article 428at(2) of </w:t>
            </w:r>
            <w:r w:rsidR="00662DA3">
              <w:rPr>
                <w:rFonts w:ascii="Times New Roman"/>
                <w:sz w:val="18"/>
                <w:szCs w:val="18"/>
              </w:rPr>
              <w:t>CRR</w:t>
            </w:r>
            <w:r w:rsidRPr="00CF4E2F">
              <w:rPr>
                <w:rFonts w:ascii="Times New Roman"/>
                <w:sz w:val="18"/>
                <w:szCs w:val="18"/>
              </w:rPr>
              <w:t>.</w:t>
            </w:r>
          </w:p>
          <w:p w14:paraId="7BDA1076"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632932B1" w14:textId="77777777" w:rsidTr="00D6423A">
        <w:trPr>
          <w:trHeight w:val="304"/>
        </w:trPr>
        <w:tc>
          <w:tcPr>
            <w:tcW w:w="1418" w:type="dxa"/>
          </w:tcPr>
          <w:p w14:paraId="2FBFA114" w14:textId="3936C6CA"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0360</w:t>
            </w:r>
          </w:p>
        </w:tc>
        <w:tc>
          <w:tcPr>
            <w:tcW w:w="7590" w:type="dxa"/>
          </w:tcPr>
          <w:p w14:paraId="659356B4" w14:textId="77777777"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1.7.2 NSFR derivative assets</w:t>
            </w:r>
          </w:p>
          <w:p w14:paraId="60721A72" w14:textId="195E87C0"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w:t>
            </w:r>
            <w:r w:rsidR="00C133BB">
              <w:rPr>
                <w:rFonts w:ascii="Times New Roman"/>
                <w:sz w:val="18"/>
                <w:szCs w:val="18"/>
              </w:rPr>
              <w:t>s</w:t>
            </w:r>
            <w:r w:rsidRPr="00CF4E2F">
              <w:rPr>
                <w:rFonts w:ascii="Times New Roman"/>
                <w:sz w:val="18"/>
                <w:szCs w:val="18"/>
              </w:rPr>
              <w:t xml:space="preserve"> 428d and 428az(2)</w:t>
            </w:r>
            <w:r w:rsidRPr="00CF4E2F">
              <w:rPr>
                <w:sz w:val="18"/>
                <w:szCs w:val="18"/>
              </w:rPr>
              <w:t xml:space="preserve"> </w:t>
            </w:r>
            <w:r w:rsidRPr="00CF4E2F">
              <w:rPr>
                <w:rFonts w:ascii="Times New Roman"/>
                <w:sz w:val="18"/>
                <w:szCs w:val="18"/>
              </w:rPr>
              <w:t xml:space="preserve">of </w:t>
            </w:r>
            <w:r w:rsidR="00662DA3">
              <w:rPr>
                <w:rFonts w:ascii="Times New Roman"/>
                <w:sz w:val="18"/>
                <w:szCs w:val="18"/>
              </w:rPr>
              <w:t>CRR</w:t>
            </w:r>
            <w:r w:rsidRPr="00CF4E2F">
              <w:rPr>
                <w:rFonts w:ascii="Times New Roman"/>
                <w:sz w:val="18"/>
                <w:szCs w:val="18"/>
              </w:rPr>
              <w:t>.</w:t>
            </w:r>
          </w:p>
          <w:p w14:paraId="146D6634" w14:textId="3F312426"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1.7 which is the positive difference between netting sets calculated in accordance with Article 428az(2) of </w:t>
            </w:r>
            <w:r w:rsidR="00662DA3">
              <w:rPr>
                <w:rFonts w:ascii="Times New Roman"/>
                <w:sz w:val="18"/>
                <w:szCs w:val="18"/>
              </w:rPr>
              <w:t>CRR</w:t>
            </w:r>
            <w:r w:rsidRPr="00CF4E2F">
              <w:rPr>
                <w:rFonts w:ascii="Times New Roman"/>
                <w:sz w:val="18"/>
                <w:szCs w:val="18"/>
              </w:rPr>
              <w:t>.</w:t>
            </w:r>
          </w:p>
          <w:p w14:paraId="43F683C0"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077004F7" w14:textId="77777777" w:rsidTr="00D6423A">
        <w:trPr>
          <w:trHeight w:val="304"/>
        </w:trPr>
        <w:tc>
          <w:tcPr>
            <w:tcW w:w="1418" w:type="dxa"/>
          </w:tcPr>
          <w:p w14:paraId="3E8A9741" w14:textId="49347E52"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0370</w:t>
            </w:r>
          </w:p>
        </w:tc>
        <w:tc>
          <w:tcPr>
            <w:tcW w:w="7590" w:type="dxa"/>
          </w:tcPr>
          <w:p w14:paraId="65D9621E" w14:textId="77777777" w:rsidR="00A66401" w:rsidRPr="0040192D"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1.7.3 initial margin posted</w:t>
            </w:r>
          </w:p>
          <w:p w14:paraId="5F95FA01" w14:textId="73176DD2" w:rsidR="00A66401" w:rsidRPr="00CF4E2F" w:rsidRDefault="0058513D" w:rsidP="00D6423A">
            <w:pPr>
              <w:pStyle w:val="TableParagraph"/>
              <w:spacing w:before="117"/>
              <w:ind w:left="102" w:right="99"/>
              <w:jc w:val="both"/>
              <w:rPr>
                <w:rFonts w:ascii="Times New Roman"/>
                <w:sz w:val="18"/>
                <w:szCs w:val="18"/>
              </w:rPr>
            </w:pPr>
            <w:r>
              <w:rPr>
                <w:rFonts w:ascii="Times New Roman"/>
                <w:sz w:val="18"/>
                <w:szCs w:val="18"/>
              </w:rPr>
              <w:t xml:space="preserve">Article </w:t>
            </w:r>
            <w:r w:rsidR="00A66401" w:rsidRPr="00CF4E2F">
              <w:rPr>
                <w:rFonts w:ascii="Times New Roman"/>
                <w:sz w:val="18"/>
                <w:szCs w:val="18"/>
              </w:rPr>
              <w:t>428ay(a)</w:t>
            </w:r>
            <w:r w:rsidR="00A66401" w:rsidRPr="00CF4E2F">
              <w:rPr>
                <w:sz w:val="18"/>
                <w:szCs w:val="18"/>
              </w:rPr>
              <w:t xml:space="preserve"> </w:t>
            </w:r>
            <w:r w:rsidR="00A66401" w:rsidRPr="00CF4E2F">
              <w:rPr>
                <w:rFonts w:ascii="Times New Roman"/>
                <w:sz w:val="18"/>
                <w:szCs w:val="18"/>
              </w:rPr>
              <w:t xml:space="preserve">of </w:t>
            </w:r>
            <w:r w:rsidR="00662DA3">
              <w:rPr>
                <w:rFonts w:ascii="Times New Roman"/>
                <w:sz w:val="18"/>
                <w:szCs w:val="18"/>
              </w:rPr>
              <w:t>CRR</w:t>
            </w:r>
            <w:r w:rsidR="00A66401" w:rsidRPr="00CF4E2F">
              <w:rPr>
                <w:rFonts w:ascii="Times New Roman"/>
                <w:sz w:val="18"/>
                <w:szCs w:val="18"/>
              </w:rPr>
              <w:t>.</w:t>
            </w:r>
          </w:p>
          <w:p w14:paraId="17A4E1CA" w14:textId="4012BC5B"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The amount reported in 1.7 </w:t>
            </w:r>
            <w:r w:rsidR="001458F1">
              <w:rPr>
                <w:rFonts w:ascii="Times New Roman"/>
                <w:sz w:val="18"/>
                <w:szCs w:val="18"/>
              </w:rPr>
              <w:t>that</w:t>
            </w:r>
            <w:r w:rsidR="001458F1" w:rsidRPr="00CF4E2F">
              <w:rPr>
                <w:rFonts w:ascii="Times New Roman"/>
                <w:sz w:val="18"/>
                <w:szCs w:val="18"/>
              </w:rPr>
              <w:t xml:space="preserve"> </w:t>
            </w:r>
            <w:r w:rsidRPr="00CF4E2F">
              <w:rPr>
                <w:rFonts w:ascii="Times New Roman"/>
                <w:sz w:val="18"/>
                <w:szCs w:val="18"/>
              </w:rPr>
              <w:t xml:space="preserve">is </w:t>
            </w:r>
            <w:r w:rsidR="00094120">
              <w:rPr>
                <w:rFonts w:ascii="Times New Roman"/>
                <w:sz w:val="18"/>
                <w:szCs w:val="18"/>
              </w:rPr>
              <w:t xml:space="preserve">related to </w:t>
            </w:r>
            <w:r w:rsidRPr="00CF4E2F">
              <w:rPr>
                <w:rFonts w:ascii="Times New Roman"/>
                <w:sz w:val="18"/>
                <w:szCs w:val="18"/>
              </w:rPr>
              <w:t>initial margin for derivative contracts.</w:t>
            </w:r>
          </w:p>
          <w:p w14:paraId="2B76CBAA"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0CE9DD48" w14:textId="77777777" w:rsidTr="00D6423A">
        <w:trPr>
          <w:trHeight w:val="304"/>
        </w:trPr>
        <w:tc>
          <w:tcPr>
            <w:tcW w:w="1418" w:type="dxa"/>
          </w:tcPr>
          <w:p w14:paraId="6F7B20CA" w14:textId="17DAA16F"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0380</w:t>
            </w:r>
          </w:p>
        </w:tc>
        <w:tc>
          <w:tcPr>
            <w:tcW w:w="7590" w:type="dxa"/>
          </w:tcPr>
          <w:p w14:paraId="61A5D3E6"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 xml:space="preserve">1.8 </w:t>
            </w:r>
            <w:r w:rsidRPr="00CF4E2F">
              <w:rPr>
                <w:rFonts w:ascii="Times New Roman"/>
                <w:b/>
                <w:sz w:val="18"/>
                <w:szCs w:val="18"/>
                <w:u w:val="thick" w:color="000000"/>
              </w:rPr>
              <w:t>RSF from contributions to CCP default fund</w:t>
            </w:r>
          </w:p>
          <w:p w14:paraId="31BF1BC3" w14:textId="01DBBED1"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 428a</w:t>
            </w:r>
            <w:r>
              <w:rPr>
                <w:rFonts w:ascii="Times New Roman"/>
                <w:sz w:val="18"/>
                <w:szCs w:val="18"/>
              </w:rPr>
              <w:t>y</w:t>
            </w:r>
            <w:r w:rsidRPr="00CF4E2F">
              <w:rPr>
                <w:rFonts w:ascii="Times New Roman"/>
                <w:sz w:val="18"/>
                <w:szCs w:val="18"/>
              </w:rPr>
              <w:t>(</w:t>
            </w:r>
            <w:r>
              <w:rPr>
                <w:rFonts w:ascii="Times New Roman"/>
                <w:sz w:val="18"/>
                <w:szCs w:val="18"/>
              </w:rPr>
              <w:t>a</w:t>
            </w:r>
            <w:r w:rsidRPr="00CF4E2F">
              <w:rPr>
                <w:rFonts w:ascii="Times New Roman"/>
                <w:sz w:val="18"/>
                <w:szCs w:val="18"/>
              </w:rPr>
              <w:t>)</w:t>
            </w:r>
            <w:r w:rsidRPr="00CF4E2F">
              <w:rPr>
                <w:sz w:val="18"/>
                <w:szCs w:val="18"/>
              </w:rPr>
              <w:t xml:space="preserve"> </w:t>
            </w:r>
            <w:r w:rsidRPr="00CF4E2F">
              <w:rPr>
                <w:rFonts w:ascii="Times New Roman"/>
                <w:sz w:val="18"/>
                <w:szCs w:val="18"/>
              </w:rPr>
              <w:t xml:space="preserve">of </w:t>
            </w:r>
            <w:r w:rsidR="00662DA3">
              <w:rPr>
                <w:rFonts w:ascii="Times New Roman"/>
                <w:sz w:val="18"/>
                <w:szCs w:val="18"/>
              </w:rPr>
              <w:t>CRR</w:t>
            </w:r>
            <w:r w:rsidRPr="00CF4E2F">
              <w:rPr>
                <w:rFonts w:ascii="Times New Roman"/>
                <w:sz w:val="18"/>
                <w:szCs w:val="18"/>
              </w:rPr>
              <w:t>.</w:t>
            </w:r>
          </w:p>
          <w:p w14:paraId="0B98CF53" w14:textId="77777777"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Institutions shall report here items posted as contribution to the default fund of a CCP.</w:t>
            </w:r>
          </w:p>
          <w:p w14:paraId="00566192"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066455B6" w14:textId="77777777" w:rsidTr="00D6423A">
        <w:trPr>
          <w:trHeight w:val="304"/>
        </w:trPr>
        <w:tc>
          <w:tcPr>
            <w:tcW w:w="1418" w:type="dxa"/>
          </w:tcPr>
          <w:p w14:paraId="02DAD254" w14:textId="428961ED"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0390</w:t>
            </w:r>
          </w:p>
        </w:tc>
        <w:tc>
          <w:tcPr>
            <w:tcW w:w="7590" w:type="dxa"/>
          </w:tcPr>
          <w:p w14:paraId="1FC380BA"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9 RSF from other assets</w:t>
            </w:r>
          </w:p>
          <w:p w14:paraId="2A2E2E34" w14:textId="5530492B"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Institutions shall report here any asset not referred to in items 1.1 to 1.</w:t>
            </w:r>
            <w:r>
              <w:rPr>
                <w:rFonts w:ascii="Times New Roman"/>
                <w:sz w:val="18"/>
                <w:szCs w:val="18"/>
              </w:rPr>
              <w:t>8</w:t>
            </w:r>
            <w:r w:rsidRPr="00CF4E2F">
              <w:rPr>
                <w:rFonts w:ascii="Times New Roman"/>
                <w:sz w:val="18"/>
                <w:szCs w:val="18"/>
              </w:rPr>
              <w:t>.</w:t>
            </w:r>
          </w:p>
          <w:p w14:paraId="48AF412E"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732DDFE9" w14:textId="77777777" w:rsidTr="00D6423A">
        <w:trPr>
          <w:trHeight w:val="304"/>
        </w:trPr>
        <w:tc>
          <w:tcPr>
            <w:tcW w:w="1418" w:type="dxa"/>
          </w:tcPr>
          <w:p w14:paraId="5238CBFB" w14:textId="33682183"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0400</w:t>
            </w:r>
          </w:p>
        </w:tc>
        <w:tc>
          <w:tcPr>
            <w:tcW w:w="7590" w:type="dxa"/>
          </w:tcPr>
          <w:p w14:paraId="2F4F8C0C" w14:textId="77777777" w:rsidR="00094120" w:rsidRPr="00CF4E2F" w:rsidRDefault="00094120" w:rsidP="00094120">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10 RSF from OBS items</w:t>
            </w:r>
          </w:p>
          <w:p w14:paraId="6D9FBD89" w14:textId="5FEEE8C4"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Institutions shall report here the amount of off-balance sheet items not referred to in items 1.1 to 1.8 that are subject to the required stable funding requirements. </w:t>
            </w:r>
          </w:p>
          <w:p w14:paraId="24372908" w14:textId="77777777" w:rsidR="00A66401" w:rsidRPr="00CF4E2F" w:rsidRDefault="00A66401" w:rsidP="004808CC">
            <w:pPr>
              <w:pStyle w:val="TableParagraph"/>
              <w:ind w:left="102" w:right="99"/>
              <w:jc w:val="both"/>
              <w:rPr>
                <w:rFonts w:ascii="Times New Roman"/>
                <w:sz w:val="18"/>
                <w:szCs w:val="18"/>
              </w:rPr>
            </w:pPr>
          </w:p>
        </w:tc>
      </w:tr>
      <w:tr w:rsidR="00A66401" w:rsidRPr="00CF4E2F" w14:paraId="1EAB2F24" w14:textId="77777777" w:rsidTr="00D6423A">
        <w:trPr>
          <w:trHeight w:val="304"/>
        </w:trPr>
        <w:tc>
          <w:tcPr>
            <w:tcW w:w="1418" w:type="dxa"/>
          </w:tcPr>
          <w:p w14:paraId="41F3DCD7" w14:textId="6A524355"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0410</w:t>
            </w:r>
          </w:p>
        </w:tc>
        <w:tc>
          <w:tcPr>
            <w:tcW w:w="7590" w:type="dxa"/>
          </w:tcPr>
          <w:p w14:paraId="436BECDC"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10.1 committed facilities within a group or an IPS if subject to preferential treatment</w:t>
            </w:r>
          </w:p>
          <w:p w14:paraId="1E6A9C13" w14:textId="06D6ED39"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 xml:space="preserve">Article 428h of </w:t>
            </w:r>
            <w:r w:rsidR="00662DA3">
              <w:rPr>
                <w:rFonts w:ascii="Times New Roman"/>
                <w:sz w:val="18"/>
                <w:szCs w:val="18"/>
              </w:rPr>
              <w:t>CRR</w:t>
            </w:r>
            <w:r w:rsidRPr="00CF4E2F">
              <w:rPr>
                <w:rFonts w:ascii="Times New Roman"/>
                <w:sz w:val="18"/>
                <w:szCs w:val="18"/>
              </w:rPr>
              <w:t>.</w:t>
            </w:r>
          </w:p>
          <w:p w14:paraId="775D09EF" w14:textId="29D0B7BE" w:rsidR="00094120" w:rsidRPr="00CF4E2F" w:rsidRDefault="00094120" w:rsidP="00094120">
            <w:pPr>
              <w:pStyle w:val="TableParagraph"/>
              <w:spacing w:before="117"/>
              <w:ind w:left="102" w:right="99"/>
              <w:jc w:val="both"/>
              <w:rPr>
                <w:rFonts w:ascii="Times New Roman"/>
                <w:sz w:val="18"/>
                <w:szCs w:val="18"/>
              </w:rPr>
            </w:pPr>
            <w:r w:rsidRPr="00CF4E2F">
              <w:rPr>
                <w:rFonts w:ascii="Times New Roman"/>
                <w:sz w:val="18"/>
                <w:szCs w:val="18"/>
              </w:rPr>
              <w:t>The amount reported in 1.</w:t>
            </w:r>
            <w:r>
              <w:rPr>
                <w:rFonts w:ascii="Times New Roman"/>
                <w:sz w:val="18"/>
                <w:szCs w:val="18"/>
              </w:rPr>
              <w:t>10</w:t>
            </w:r>
            <w:r w:rsidRPr="00CF4E2F">
              <w:rPr>
                <w:rFonts w:ascii="Times New Roman"/>
                <w:sz w:val="18"/>
                <w:szCs w:val="18"/>
              </w:rPr>
              <w:t xml:space="preserve"> </w:t>
            </w:r>
            <w:r w:rsidR="001458F1">
              <w:rPr>
                <w:rFonts w:ascii="Times New Roman"/>
                <w:sz w:val="18"/>
                <w:szCs w:val="18"/>
              </w:rPr>
              <w:t>that</w:t>
            </w:r>
            <w:r w:rsidR="001458F1" w:rsidRPr="00CF4E2F">
              <w:rPr>
                <w:rFonts w:ascii="Times New Roman"/>
                <w:sz w:val="18"/>
                <w:szCs w:val="18"/>
              </w:rPr>
              <w:t xml:space="preserve"> </w:t>
            </w:r>
            <w:r w:rsidRPr="00CF4E2F">
              <w:rPr>
                <w:rFonts w:ascii="Times New Roman"/>
                <w:sz w:val="18"/>
                <w:szCs w:val="18"/>
              </w:rPr>
              <w:t xml:space="preserve">is </w:t>
            </w:r>
            <w:r>
              <w:rPr>
                <w:rFonts w:ascii="Times New Roman"/>
                <w:sz w:val="18"/>
                <w:szCs w:val="18"/>
              </w:rPr>
              <w:t xml:space="preserve">related to </w:t>
            </w:r>
            <w:r w:rsidRPr="00CF4E2F">
              <w:rPr>
                <w:rFonts w:ascii="Times New Roman"/>
                <w:sz w:val="18"/>
                <w:szCs w:val="18"/>
              </w:rPr>
              <w:t xml:space="preserve">committed facilities </w:t>
            </w:r>
            <w:r>
              <w:rPr>
                <w:rFonts w:ascii="Times New Roman"/>
                <w:sz w:val="18"/>
                <w:szCs w:val="18"/>
              </w:rPr>
              <w:t>for which</w:t>
            </w:r>
            <w:r w:rsidRPr="00CF4E2F">
              <w:rPr>
                <w:rFonts w:ascii="Times New Roman"/>
                <w:sz w:val="18"/>
                <w:szCs w:val="18"/>
              </w:rPr>
              <w:t xml:space="preserve"> </w:t>
            </w:r>
            <w:r>
              <w:rPr>
                <w:rFonts w:ascii="Times New Roman"/>
                <w:sz w:val="18"/>
                <w:szCs w:val="18"/>
              </w:rPr>
              <w:t xml:space="preserve">the </w:t>
            </w:r>
            <w:r w:rsidRPr="00CF4E2F">
              <w:rPr>
                <w:rFonts w:ascii="Times New Roman"/>
                <w:sz w:val="18"/>
                <w:szCs w:val="18"/>
              </w:rPr>
              <w:t xml:space="preserve">competent </w:t>
            </w:r>
            <w:r>
              <w:rPr>
                <w:rFonts w:ascii="Times New Roman"/>
                <w:sz w:val="18"/>
                <w:szCs w:val="18"/>
              </w:rPr>
              <w:t>authority has granted</w:t>
            </w:r>
            <w:r w:rsidRPr="00CF4E2F">
              <w:rPr>
                <w:rFonts w:ascii="Times New Roman"/>
                <w:sz w:val="18"/>
                <w:szCs w:val="18"/>
              </w:rPr>
              <w:t xml:space="preserve"> the preferential treatment </w:t>
            </w:r>
            <w:r>
              <w:rPr>
                <w:rFonts w:ascii="Times New Roman"/>
                <w:sz w:val="18"/>
                <w:szCs w:val="18"/>
              </w:rPr>
              <w:t>referred to in</w:t>
            </w:r>
            <w:r w:rsidRPr="00CF4E2F">
              <w:rPr>
                <w:rFonts w:ascii="Times New Roman"/>
                <w:sz w:val="18"/>
                <w:szCs w:val="18"/>
              </w:rPr>
              <w:t xml:space="preserve"> Article 428h of </w:t>
            </w:r>
            <w:r>
              <w:rPr>
                <w:rFonts w:ascii="Times New Roman"/>
                <w:sz w:val="18"/>
                <w:szCs w:val="18"/>
              </w:rPr>
              <w:t>CRR</w:t>
            </w:r>
            <w:r w:rsidRPr="00CF4E2F">
              <w:rPr>
                <w:rFonts w:ascii="Times New Roman"/>
                <w:sz w:val="18"/>
                <w:szCs w:val="18"/>
              </w:rPr>
              <w:t>.</w:t>
            </w:r>
          </w:p>
          <w:p w14:paraId="3C2CD319"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61EFE3B1" w14:textId="77777777" w:rsidTr="00D6423A">
        <w:trPr>
          <w:trHeight w:val="304"/>
        </w:trPr>
        <w:tc>
          <w:tcPr>
            <w:tcW w:w="1418" w:type="dxa"/>
          </w:tcPr>
          <w:p w14:paraId="283C2F61" w14:textId="4F45AC7D"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0420</w:t>
            </w:r>
          </w:p>
        </w:tc>
        <w:tc>
          <w:tcPr>
            <w:tcW w:w="7590" w:type="dxa"/>
          </w:tcPr>
          <w:p w14:paraId="27F251AA"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10.2 committed facilities</w:t>
            </w:r>
          </w:p>
          <w:p w14:paraId="1633ADCB" w14:textId="7AC7E49C"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 428at(1)</w:t>
            </w:r>
            <w:r w:rsidRPr="00CF4E2F">
              <w:rPr>
                <w:sz w:val="18"/>
                <w:szCs w:val="18"/>
              </w:rPr>
              <w:t xml:space="preserve"> </w:t>
            </w:r>
            <w:r w:rsidRPr="00CF4E2F">
              <w:rPr>
                <w:rFonts w:ascii="Times New Roman"/>
                <w:sz w:val="18"/>
                <w:szCs w:val="18"/>
              </w:rPr>
              <w:t xml:space="preserve">of </w:t>
            </w:r>
            <w:r w:rsidR="00F2319A">
              <w:rPr>
                <w:rFonts w:ascii="Times New Roman"/>
                <w:sz w:val="18"/>
                <w:szCs w:val="18"/>
              </w:rPr>
              <w:t>CRR</w:t>
            </w:r>
            <w:r w:rsidRPr="00CF4E2F">
              <w:rPr>
                <w:rFonts w:ascii="Times New Roman"/>
                <w:sz w:val="18"/>
                <w:szCs w:val="18"/>
              </w:rPr>
              <w:t>.</w:t>
            </w:r>
          </w:p>
          <w:p w14:paraId="579EFFB7" w14:textId="0FD3A7C0"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The amount reported in 1.</w:t>
            </w:r>
            <w:r w:rsidR="005A3E62">
              <w:rPr>
                <w:rFonts w:ascii="Times New Roman"/>
                <w:sz w:val="18"/>
                <w:szCs w:val="18"/>
              </w:rPr>
              <w:t>10</w:t>
            </w:r>
            <w:r w:rsidRPr="00CF4E2F">
              <w:rPr>
                <w:rFonts w:ascii="Times New Roman"/>
                <w:sz w:val="18"/>
                <w:szCs w:val="18"/>
              </w:rPr>
              <w:t xml:space="preserve"> which is committed facilities in accordance with </w:t>
            </w:r>
            <w:r w:rsidR="00F2319A">
              <w:rPr>
                <w:rFonts w:ascii="Times New Roman"/>
                <w:sz w:val="18"/>
                <w:szCs w:val="18"/>
              </w:rPr>
              <w:t>D</w:t>
            </w:r>
            <w:r w:rsidRPr="00CF4E2F">
              <w:rPr>
                <w:rFonts w:ascii="Times New Roman"/>
                <w:sz w:val="18"/>
                <w:szCs w:val="18"/>
              </w:rPr>
              <w:t xml:space="preserve">elegated </w:t>
            </w:r>
            <w:r w:rsidR="00F2319A">
              <w:rPr>
                <w:rFonts w:ascii="Times New Roman"/>
                <w:sz w:val="18"/>
                <w:szCs w:val="18"/>
              </w:rPr>
              <w:t>R</w:t>
            </w:r>
            <w:r w:rsidRPr="00CF4E2F">
              <w:rPr>
                <w:rFonts w:ascii="Times New Roman"/>
                <w:sz w:val="18"/>
                <w:szCs w:val="18"/>
              </w:rPr>
              <w:t>egulation (EU) 2015/6</w:t>
            </w:r>
            <w:r w:rsidR="00F2319A">
              <w:rPr>
                <w:rFonts w:ascii="Times New Roman"/>
                <w:sz w:val="18"/>
                <w:szCs w:val="18"/>
              </w:rPr>
              <w:t xml:space="preserve">1 that are not </w:t>
            </w:r>
            <w:r w:rsidR="00417A9F">
              <w:rPr>
                <w:rFonts w:ascii="Times New Roman"/>
                <w:sz w:val="18"/>
                <w:szCs w:val="18"/>
              </w:rPr>
              <w:t>considered</w:t>
            </w:r>
            <w:r w:rsidR="00F2319A">
              <w:rPr>
                <w:rFonts w:ascii="Times New Roman"/>
                <w:sz w:val="18"/>
                <w:szCs w:val="18"/>
              </w:rPr>
              <w:t xml:space="preserve"> under </w:t>
            </w:r>
            <w:r w:rsidR="00417A9F">
              <w:rPr>
                <w:rFonts w:ascii="Times New Roman"/>
                <w:sz w:val="18"/>
                <w:szCs w:val="18"/>
              </w:rPr>
              <w:t>item</w:t>
            </w:r>
            <w:r w:rsidR="00F2319A">
              <w:rPr>
                <w:rFonts w:ascii="Times New Roman"/>
                <w:sz w:val="18"/>
                <w:szCs w:val="18"/>
              </w:rPr>
              <w:t xml:space="preserve"> 1.10.1</w:t>
            </w:r>
            <w:r w:rsidRPr="00CF4E2F">
              <w:rPr>
                <w:rFonts w:ascii="Times New Roman"/>
                <w:sz w:val="18"/>
                <w:szCs w:val="18"/>
              </w:rPr>
              <w:t>.</w:t>
            </w:r>
          </w:p>
          <w:p w14:paraId="09C4E773" w14:textId="77777777" w:rsidR="00A66401" w:rsidRPr="00CF4E2F" w:rsidRDefault="00A66401" w:rsidP="004808CC">
            <w:pPr>
              <w:pStyle w:val="TableParagraph"/>
              <w:ind w:left="102" w:right="99"/>
              <w:jc w:val="both"/>
              <w:rPr>
                <w:rFonts w:ascii="Times New Roman"/>
                <w:b/>
                <w:sz w:val="18"/>
                <w:szCs w:val="18"/>
                <w:u w:val="thick" w:color="000000"/>
              </w:rPr>
            </w:pPr>
          </w:p>
        </w:tc>
      </w:tr>
      <w:tr w:rsidR="00A66401" w:rsidRPr="00CF4E2F" w14:paraId="618FBC0E" w14:textId="77777777" w:rsidTr="00D6423A">
        <w:trPr>
          <w:trHeight w:val="304"/>
        </w:trPr>
        <w:tc>
          <w:tcPr>
            <w:tcW w:w="1418" w:type="dxa"/>
          </w:tcPr>
          <w:p w14:paraId="4AFEF0FD" w14:textId="45424B45"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0430</w:t>
            </w:r>
          </w:p>
        </w:tc>
        <w:tc>
          <w:tcPr>
            <w:tcW w:w="7590" w:type="dxa"/>
          </w:tcPr>
          <w:p w14:paraId="31700522" w14:textId="77777777" w:rsidR="00A66401" w:rsidRPr="00CF4E2F" w:rsidRDefault="00A66401"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10.3 trade finance off-balance sheet items</w:t>
            </w:r>
          </w:p>
          <w:p w14:paraId="3181C06B" w14:textId="7B0966BC" w:rsidR="00A66401" w:rsidRPr="0058513D" w:rsidRDefault="00A66401" w:rsidP="00D6423A">
            <w:pPr>
              <w:pStyle w:val="TableParagraph"/>
              <w:spacing w:before="117"/>
              <w:ind w:left="102" w:right="99"/>
              <w:jc w:val="both"/>
              <w:rPr>
                <w:rFonts w:ascii="Times New Roman"/>
                <w:sz w:val="18"/>
                <w:szCs w:val="18"/>
                <w:lang w:val="fr-FR"/>
              </w:rPr>
            </w:pPr>
            <w:r w:rsidRPr="0058513D">
              <w:rPr>
                <w:rFonts w:ascii="Times New Roman"/>
                <w:sz w:val="18"/>
                <w:szCs w:val="18"/>
                <w:lang w:val="fr-FR"/>
              </w:rPr>
              <w:t xml:space="preserve">Article 428au(b) of </w:t>
            </w:r>
            <w:r w:rsidR="004B1B05" w:rsidRPr="0058513D">
              <w:rPr>
                <w:rFonts w:ascii="Times New Roman"/>
                <w:sz w:val="18"/>
                <w:szCs w:val="18"/>
                <w:lang w:val="fr-FR"/>
              </w:rPr>
              <w:t>CRR</w:t>
            </w:r>
            <w:r w:rsidRPr="0058513D">
              <w:rPr>
                <w:rFonts w:ascii="Times New Roman"/>
                <w:sz w:val="18"/>
                <w:szCs w:val="18"/>
                <w:lang w:val="fr-FR"/>
              </w:rPr>
              <w:t>.</w:t>
            </w:r>
          </w:p>
          <w:p w14:paraId="59BFA542" w14:textId="7121E89A"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The amount reported in 1.</w:t>
            </w:r>
            <w:r w:rsidR="005A3E62">
              <w:rPr>
                <w:rFonts w:ascii="Times New Roman"/>
                <w:sz w:val="18"/>
                <w:szCs w:val="18"/>
              </w:rPr>
              <w:t>10</w:t>
            </w:r>
            <w:r w:rsidRPr="00CF4E2F">
              <w:rPr>
                <w:rFonts w:ascii="Times New Roman"/>
                <w:sz w:val="18"/>
                <w:szCs w:val="18"/>
              </w:rPr>
              <w:t xml:space="preserve"> which is trade finance off-balance sheet related product as referred to in Annex I of </w:t>
            </w:r>
            <w:r w:rsidR="00F2319A">
              <w:rPr>
                <w:rFonts w:ascii="Times New Roman"/>
                <w:sz w:val="18"/>
                <w:szCs w:val="18"/>
              </w:rPr>
              <w:t>CRR</w:t>
            </w:r>
            <w:r w:rsidRPr="00CF4E2F">
              <w:rPr>
                <w:rFonts w:ascii="Times New Roman"/>
                <w:sz w:val="18"/>
                <w:szCs w:val="18"/>
              </w:rPr>
              <w:t>.</w:t>
            </w:r>
          </w:p>
          <w:p w14:paraId="2833AD65" w14:textId="77777777" w:rsidR="00A66401" w:rsidRPr="00CF4E2F" w:rsidRDefault="00A66401" w:rsidP="004808CC">
            <w:pPr>
              <w:pStyle w:val="TableParagraph"/>
              <w:ind w:left="102" w:right="99"/>
              <w:jc w:val="both"/>
              <w:rPr>
                <w:rFonts w:ascii="Times New Roman"/>
                <w:sz w:val="18"/>
                <w:szCs w:val="18"/>
              </w:rPr>
            </w:pPr>
          </w:p>
        </w:tc>
      </w:tr>
      <w:tr w:rsidR="00103E2D" w:rsidRPr="00CF4E2F" w14:paraId="4FDF650A" w14:textId="77777777" w:rsidTr="00D6423A">
        <w:trPr>
          <w:trHeight w:val="304"/>
        </w:trPr>
        <w:tc>
          <w:tcPr>
            <w:tcW w:w="1418" w:type="dxa"/>
          </w:tcPr>
          <w:p w14:paraId="309C8BCA" w14:textId="45D45892" w:rsidR="00103E2D"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0440</w:t>
            </w:r>
          </w:p>
        </w:tc>
        <w:tc>
          <w:tcPr>
            <w:tcW w:w="7590" w:type="dxa"/>
          </w:tcPr>
          <w:p w14:paraId="172B89C2" w14:textId="047731E7" w:rsidR="00103E2D" w:rsidRDefault="00103E2D" w:rsidP="00D6423A">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 xml:space="preserve">10.4 </w:t>
            </w:r>
            <w:r>
              <w:rPr>
                <w:rFonts w:ascii="Times New Roman"/>
                <w:b/>
                <w:sz w:val="18"/>
                <w:szCs w:val="18"/>
                <w:u w:val="thick" w:color="000000"/>
              </w:rPr>
              <w:t>non-performing off-balance sheet items</w:t>
            </w:r>
          </w:p>
          <w:p w14:paraId="6BC21C5E" w14:textId="4725AED8" w:rsidR="00103E2D" w:rsidRPr="005A3E62" w:rsidRDefault="005A3E62" w:rsidP="00D6423A">
            <w:pPr>
              <w:pStyle w:val="TableParagraph"/>
              <w:spacing w:before="117"/>
              <w:ind w:left="102" w:right="99"/>
              <w:jc w:val="both"/>
              <w:rPr>
                <w:rFonts w:ascii="Times New Roman"/>
                <w:sz w:val="18"/>
                <w:szCs w:val="18"/>
              </w:rPr>
            </w:pPr>
            <w:r w:rsidRPr="005A3E62">
              <w:rPr>
                <w:rFonts w:ascii="Times New Roman"/>
                <w:sz w:val="18"/>
                <w:szCs w:val="18"/>
              </w:rPr>
              <w:t xml:space="preserve">The amount reported in 1.10 </w:t>
            </w:r>
            <w:r w:rsidR="001458F1">
              <w:rPr>
                <w:rFonts w:ascii="Times New Roman"/>
                <w:sz w:val="18"/>
                <w:szCs w:val="18"/>
              </w:rPr>
              <w:t>that</w:t>
            </w:r>
            <w:r w:rsidR="001458F1" w:rsidRPr="005A3E62">
              <w:rPr>
                <w:rFonts w:ascii="Times New Roman"/>
                <w:sz w:val="18"/>
                <w:szCs w:val="18"/>
              </w:rPr>
              <w:t xml:space="preserve"> </w:t>
            </w:r>
            <w:r w:rsidRPr="005A3E62">
              <w:rPr>
                <w:rFonts w:ascii="Times New Roman"/>
                <w:sz w:val="18"/>
                <w:szCs w:val="18"/>
              </w:rPr>
              <w:t>is</w:t>
            </w:r>
            <w:r w:rsidR="006C5A90">
              <w:rPr>
                <w:rFonts w:ascii="Times New Roman"/>
                <w:sz w:val="18"/>
                <w:szCs w:val="18"/>
              </w:rPr>
              <w:t xml:space="preserve"> related to</w:t>
            </w:r>
            <w:r w:rsidRPr="005A3E62">
              <w:rPr>
                <w:rFonts w:ascii="Times New Roman"/>
                <w:sz w:val="18"/>
                <w:szCs w:val="18"/>
              </w:rPr>
              <w:t xml:space="preserve"> non-performing exposures</w:t>
            </w:r>
            <w:r w:rsidR="00F2319A">
              <w:rPr>
                <w:rFonts w:ascii="Times New Roman"/>
                <w:sz w:val="18"/>
                <w:szCs w:val="18"/>
              </w:rPr>
              <w:t>.</w:t>
            </w:r>
          </w:p>
          <w:p w14:paraId="00AB8A25" w14:textId="6D775CAF" w:rsidR="00103E2D" w:rsidRPr="0040192D" w:rsidRDefault="00103E2D" w:rsidP="004808CC">
            <w:pPr>
              <w:pStyle w:val="TableParagraph"/>
              <w:ind w:left="102" w:right="99"/>
              <w:jc w:val="both"/>
              <w:rPr>
                <w:rFonts w:ascii="Times New Roman"/>
                <w:b/>
                <w:sz w:val="18"/>
                <w:szCs w:val="18"/>
                <w:u w:val="thick" w:color="000000"/>
              </w:rPr>
            </w:pPr>
          </w:p>
        </w:tc>
      </w:tr>
      <w:tr w:rsidR="00A66401" w:rsidRPr="00CF4E2F" w14:paraId="68762E02" w14:textId="77777777" w:rsidTr="00D6423A">
        <w:trPr>
          <w:trHeight w:val="304"/>
        </w:trPr>
        <w:tc>
          <w:tcPr>
            <w:tcW w:w="1418" w:type="dxa"/>
          </w:tcPr>
          <w:p w14:paraId="622E400C" w14:textId="3D413E8A" w:rsidR="00A66401" w:rsidRPr="00CF4E2F" w:rsidRDefault="00D73DD9" w:rsidP="00D6423A">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0450</w:t>
            </w:r>
          </w:p>
        </w:tc>
        <w:tc>
          <w:tcPr>
            <w:tcW w:w="7590" w:type="dxa"/>
          </w:tcPr>
          <w:p w14:paraId="3015B862" w14:textId="11185FF6" w:rsidR="006C5A90" w:rsidRPr="00CF4E2F" w:rsidRDefault="006C5A90" w:rsidP="006C5A90">
            <w:pPr>
              <w:pStyle w:val="TableParagraph"/>
              <w:spacing w:before="117"/>
              <w:ind w:left="102" w:right="99"/>
              <w:jc w:val="both"/>
              <w:rPr>
                <w:rFonts w:ascii="Times New Roman"/>
                <w:b/>
                <w:sz w:val="18"/>
                <w:szCs w:val="18"/>
                <w:u w:val="thick" w:color="000000"/>
              </w:rPr>
            </w:pPr>
            <w:r w:rsidRPr="0040192D">
              <w:rPr>
                <w:rFonts w:ascii="Times New Roman"/>
                <w:b/>
                <w:sz w:val="18"/>
                <w:szCs w:val="18"/>
                <w:u w:val="thick" w:color="000000"/>
              </w:rPr>
              <w:t>1.</w:t>
            </w:r>
            <w:r w:rsidRPr="00CF4E2F">
              <w:rPr>
                <w:rFonts w:ascii="Times New Roman"/>
                <w:b/>
                <w:sz w:val="18"/>
                <w:szCs w:val="18"/>
                <w:u w:val="thick" w:color="000000"/>
              </w:rPr>
              <w:t>10.</w:t>
            </w:r>
            <w:r>
              <w:rPr>
                <w:rFonts w:ascii="Times New Roman"/>
                <w:b/>
                <w:sz w:val="18"/>
                <w:szCs w:val="18"/>
                <w:u w:val="thick" w:color="000000"/>
              </w:rPr>
              <w:t>5</w:t>
            </w:r>
            <w:r w:rsidRPr="00CF4E2F">
              <w:rPr>
                <w:rFonts w:ascii="Times New Roman"/>
                <w:b/>
                <w:sz w:val="18"/>
                <w:szCs w:val="18"/>
                <w:u w:val="thick" w:color="000000"/>
              </w:rPr>
              <w:t xml:space="preserve"> other off-balance sheet exposures determined by competent authorities</w:t>
            </w:r>
          </w:p>
          <w:p w14:paraId="1A8C2252" w14:textId="1CB0F673"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Article 428</w:t>
            </w:r>
            <w:r w:rsidR="00E03E55">
              <w:rPr>
                <w:rFonts w:ascii="Times New Roman"/>
                <w:sz w:val="18"/>
                <w:szCs w:val="18"/>
              </w:rPr>
              <w:t>aq</w:t>
            </w:r>
            <w:r w:rsidRPr="00CF4E2F">
              <w:rPr>
                <w:rFonts w:ascii="Times New Roman"/>
                <w:sz w:val="18"/>
                <w:szCs w:val="18"/>
              </w:rPr>
              <w:t>(10)</w:t>
            </w:r>
            <w:r w:rsidRPr="00CF4E2F">
              <w:rPr>
                <w:sz w:val="18"/>
                <w:szCs w:val="18"/>
              </w:rPr>
              <w:t xml:space="preserve"> </w:t>
            </w:r>
            <w:r w:rsidRPr="00CF4E2F">
              <w:rPr>
                <w:rFonts w:ascii="Times New Roman"/>
                <w:sz w:val="18"/>
                <w:szCs w:val="18"/>
              </w:rPr>
              <w:t xml:space="preserve">of </w:t>
            </w:r>
            <w:r w:rsidR="00F2319A">
              <w:rPr>
                <w:rFonts w:ascii="Times New Roman"/>
                <w:sz w:val="18"/>
                <w:szCs w:val="18"/>
              </w:rPr>
              <w:t>CRR</w:t>
            </w:r>
            <w:r w:rsidRPr="00CF4E2F">
              <w:rPr>
                <w:rFonts w:ascii="Times New Roman"/>
                <w:sz w:val="18"/>
                <w:szCs w:val="18"/>
              </w:rPr>
              <w:t>.</w:t>
            </w:r>
          </w:p>
          <w:p w14:paraId="0D0D5146" w14:textId="0BB15E80" w:rsidR="00A66401" w:rsidRPr="00CF4E2F" w:rsidRDefault="00A66401" w:rsidP="00D6423A">
            <w:pPr>
              <w:pStyle w:val="TableParagraph"/>
              <w:spacing w:before="117"/>
              <w:ind w:left="102" w:right="99"/>
              <w:jc w:val="both"/>
              <w:rPr>
                <w:rFonts w:ascii="Times New Roman"/>
                <w:sz w:val="18"/>
                <w:szCs w:val="18"/>
              </w:rPr>
            </w:pPr>
            <w:r w:rsidRPr="00CF4E2F">
              <w:rPr>
                <w:rFonts w:ascii="Times New Roman"/>
                <w:sz w:val="18"/>
                <w:szCs w:val="18"/>
              </w:rPr>
              <w:t>The amount reported in 1.</w:t>
            </w:r>
            <w:r w:rsidR="005A3E62">
              <w:rPr>
                <w:rFonts w:ascii="Times New Roman"/>
                <w:sz w:val="18"/>
                <w:szCs w:val="18"/>
              </w:rPr>
              <w:t>10</w:t>
            </w:r>
            <w:r w:rsidRPr="00CF4E2F">
              <w:rPr>
                <w:rFonts w:ascii="Times New Roman"/>
                <w:sz w:val="18"/>
                <w:szCs w:val="18"/>
              </w:rPr>
              <w:t xml:space="preserve"> which is off-balance sheet exposures </w:t>
            </w:r>
            <w:r w:rsidR="00683CCE">
              <w:rPr>
                <w:rFonts w:ascii="Times New Roman"/>
                <w:sz w:val="18"/>
                <w:szCs w:val="18"/>
              </w:rPr>
              <w:t xml:space="preserve">for which the competent authority has </w:t>
            </w:r>
            <w:r w:rsidRPr="00CF4E2F">
              <w:rPr>
                <w:rFonts w:ascii="Times New Roman"/>
                <w:sz w:val="18"/>
                <w:szCs w:val="18"/>
              </w:rPr>
              <w:t xml:space="preserve">determined </w:t>
            </w:r>
            <w:r w:rsidR="00683CCE">
              <w:rPr>
                <w:rFonts w:ascii="Times New Roman"/>
                <w:sz w:val="18"/>
                <w:szCs w:val="18"/>
              </w:rPr>
              <w:t xml:space="preserve">RSF factors </w:t>
            </w:r>
            <w:r w:rsidRPr="00CF4E2F">
              <w:rPr>
                <w:rFonts w:ascii="Times New Roman"/>
                <w:sz w:val="18"/>
                <w:szCs w:val="18"/>
              </w:rPr>
              <w:t xml:space="preserve">in accordance with Article </w:t>
            </w:r>
            <w:r w:rsidR="00E03E55" w:rsidRPr="00CF4E2F">
              <w:rPr>
                <w:rFonts w:ascii="Times New Roman"/>
                <w:sz w:val="18"/>
                <w:szCs w:val="18"/>
              </w:rPr>
              <w:t>428</w:t>
            </w:r>
            <w:r w:rsidR="00E03E55">
              <w:rPr>
                <w:rFonts w:ascii="Times New Roman"/>
                <w:sz w:val="18"/>
                <w:szCs w:val="18"/>
              </w:rPr>
              <w:t>aq</w:t>
            </w:r>
            <w:r w:rsidRPr="00CF4E2F">
              <w:rPr>
                <w:rFonts w:ascii="Times New Roman"/>
                <w:sz w:val="18"/>
                <w:szCs w:val="18"/>
              </w:rPr>
              <w:t>(10)</w:t>
            </w:r>
            <w:r w:rsidRPr="00CF4E2F">
              <w:rPr>
                <w:sz w:val="18"/>
                <w:szCs w:val="18"/>
              </w:rPr>
              <w:t xml:space="preserve"> </w:t>
            </w:r>
            <w:r w:rsidRPr="00CF4E2F">
              <w:rPr>
                <w:rFonts w:ascii="Times New Roman"/>
                <w:sz w:val="18"/>
                <w:szCs w:val="18"/>
              </w:rPr>
              <w:t xml:space="preserve">of </w:t>
            </w:r>
            <w:r w:rsidR="00F2319A">
              <w:rPr>
                <w:rFonts w:ascii="Times New Roman"/>
                <w:sz w:val="18"/>
                <w:szCs w:val="18"/>
              </w:rPr>
              <w:t>CRR</w:t>
            </w:r>
            <w:r w:rsidRPr="00CF4E2F">
              <w:rPr>
                <w:rFonts w:ascii="Times New Roman"/>
                <w:sz w:val="18"/>
                <w:szCs w:val="18"/>
              </w:rPr>
              <w:t>.</w:t>
            </w:r>
          </w:p>
          <w:p w14:paraId="52F3A7B8" w14:textId="77777777" w:rsidR="00A66401" w:rsidRPr="00CF4E2F" w:rsidRDefault="00A66401" w:rsidP="004808CC">
            <w:pPr>
              <w:pStyle w:val="TableParagraph"/>
              <w:ind w:left="102" w:right="99"/>
              <w:jc w:val="both"/>
              <w:rPr>
                <w:rFonts w:ascii="Times New Roman"/>
                <w:sz w:val="18"/>
                <w:szCs w:val="18"/>
              </w:rPr>
            </w:pPr>
          </w:p>
        </w:tc>
      </w:tr>
    </w:tbl>
    <w:p w14:paraId="2338E4AE" w14:textId="77777777" w:rsidR="00AD59E4" w:rsidRPr="00A66401" w:rsidRDefault="00AD59E4">
      <w:pPr>
        <w:rPr>
          <w:rFonts w:ascii="Times New Roman" w:eastAsiaTheme="minorHAnsi" w:hAnsi="Times New Roman"/>
          <w:color w:val="auto"/>
          <w:sz w:val="20"/>
          <w:szCs w:val="24"/>
          <w:lang w:val="en-US"/>
        </w:rPr>
      </w:pPr>
      <w:r w:rsidRPr="00A66401">
        <w:rPr>
          <w:lang w:val="en-US"/>
        </w:rPr>
        <w:br w:type="page"/>
      </w:r>
    </w:p>
    <w:p w14:paraId="3E4020B1" w14:textId="023ED878" w:rsidR="00676422" w:rsidRDefault="00676422" w:rsidP="0055437F">
      <w:pPr>
        <w:pStyle w:val="BodyText1"/>
        <w:spacing w:before="120" w:after="120"/>
        <w:outlineLvl w:val="0"/>
        <w:rPr>
          <w:rFonts w:ascii="Times New Roman" w:hAnsi="Times New Roman"/>
          <w:b/>
          <w:sz w:val="24"/>
          <w:szCs w:val="24"/>
        </w:rPr>
      </w:pPr>
      <w:bookmarkStart w:id="28" w:name="_Toc7641930"/>
      <w:r>
        <w:rPr>
          <w:rFonts w:ascii="Times New Roman" w:hAnsi="Times New Roman"/>
          <w:b/>
          <w:sz w:val="24"/>
          <w:szCs w:val="24"/>
        </w:rPr>
        <w:t>PART V</w:t>
      </w:r>
      <w:r w:rsidRPr="00FE002E">
        <w:rPr>
          <w:rFonts w:ascii="Times New Roman" w:hAnsi="Times New Roman"/>
          <w:b/>
          <w:sz w:val="24"/>
          <w:szCs w:val="24"/>
        </w:rPr>
        <w:t xml:space="preserve">: </w:t>
      </w:r>
      <w:r>
        <w:rPr>
          <w:rFonts w:ascii="Times New Roman" w:hAnsi="Times New Roman"/>
          <w:b/>
          <w:sz w:val="24"/>
          <w:szCs w:val="24"/>
        </w:rPr>
        <w:t>SIMPLIFIED AVAILABLE STABLE FUNDING</w:t>
      </w:r>
      <w:bookmarkEnd w:id="28"/>
    </w:p>
    <w:p w14:paraId="3D32FFC4" w14:textId="77777777" w:rsidR="00676422" w:rsidRDefault="00676422" w:rsidP="00D967E5">
      <w:pPr>
        <w:pStyle w:val="BodyText1"/>
        <w:spacing w:before="120" w:after="120"/>
      </w:pPr>
    </w:p>
    <w:p w14:paraId="688AD765" w14:textId="77777777" w:rsidR="00676422" w:rsidRDefault="00676422" w:rsidP="0055437F">
      <w:pPr>
        <w:pStyle w:val="BodyText1"/>
        <w:numPr>
          <w:ilvl w:val="0"/>
          <w:numId w:val="32"/>
        </w:numPr>
        <w:spacing w:before="120" w:after="120"/>
        <w:outlineLvl w:val="0"/>
        <w:rPr>
          <w:rFonts w:ascii="Times New Roman" w:hAnsi="Times New Roman"/>
          <w:b/>
          <w:sz w:val="24"/>
          <w:szCs w:val="24"/>
        </w:rPr>
      </w:pPr>
      <w:bookmarkStart w:id="29" w:name="_Toc7641931"/>
      <w:r>
        <w:rPr>
          <w:rFonts w:ascii="Times New Roman" w:hAnsi="Times New Roman"/>
          <w:b/>
          <w:sz w:val="24"/>
          <w:szCs w:val="24"/>
        </w:rPr>
        <w:t>Specific remarks</w:t>
      </w:r>
      <w:bookmarkEnd w:id="29"/>
    </w:p>
    <w:p w14:paraId="31762BB0" w14:textId="77777777" w:rsidR="00676422" w:rsidRDefault="00676422" w:rsidP="00D967E5">
      <w:pPr>
        <w:pStyle w:val="BodyText1"/>
        <w:spacing w:before="120" w:after="120"/>
      </w:pPr>
    </w:p>
    <w:p w14:paraId="1D76CB4B" w14:textId="0B991FAF" w:rsidR="00676422" w:rsidRPr="00CD6B31" w:rsidRDefault="00676422"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CD6B31">
        <w:rPr>
          <w:rFonts w:ascii="Times New Roman" w:eastAsia="Verdana" w:hAnsi="Times New Roman"/>
          <w:szCs w:val="18"/>
          <w:lang w:val="en-US"/>
        </w:rPr>
        <w:t>All liabilities and own funds shall be reported with a breakdown by their residual contractual maturity in accordance with Article 428a</w:t>
      </w:r>
      <w:r>
        <w:rPr>
          <w:rFonts w:ascii="Times New Roman" w:eastAsia="Verdana" w:hAnsi="Times New Roman"/>
          <w:szCs w:val="18"/>
          <w:lang w:val="en-US"/>
        </w:rPr>
        <w:t>k</w:t>
      </w:r>
      <w:r w:rsidRPr="00CD6B31">
        <w:rPr>
          <w:rFonts w:ascii="Times New Roman" w:eastAsia="Verdana" w:hAnsi="Times New Roman"/>
          <w:szCs w:val="18"/>
          <w:lang w:val="en-US"/>
        </w:rPr>
        <w:t xml:space="preserve"> of CRR. The maturity buckets of the </w:t>
      </w:r>
      <w:r>
        <w:rPr>
          <w:rFonts w:ascii="Times New Roman" w:eastAsia="Verdana" w:hAnsi="Times New Roman"/>
          <w:szCs w:val="18"/>
          <w:lang w:val="en-US"/>
        </w:rPr>
        <w:t>amount</w:t>
      </w:r>
      <w:r w:rsidR="00391A7B">
        <w:rPr>
          <w:rFonts w:ascii="Times New Roman" w:eastAsia="Verdana" w:hAnsi="Times New Roman"/>
          <w:szCs w:val="18"/>
          <w:lang w:val="en-US"/>
        </w:rPr>
        <w:t>s</w:t>
      </w:r>
      <w:r w:rsidRPr="00CD6B31">
        <w:rPr>
          <w:rFonts w:ascii="Times New Roman" w:eastAsia="Verdana" w:hAnsi="Times New Roman"/>
          <w:szCs w:val="18"/>
          <w:lang w:val="en-US"/>
        </w:rPr>
        <w:t xml:space="preserve">, standard </w:t>
      </w:r>
      <w:r w:rsidR="00055923">
        <w:rPr>
          <w:rFonts w:ascii="Times New Roman" w:eastAsia="Verdana" w:hAnsi="Times New Roman"/>
          <w:szCs w:val="18"/>
          <w:lang w:val="en-US"/>
        </w:rPr>
        <w:t xml:space="preserve">available stable funding (ASF) </w:t>
      </w:r>
      <w:r w:rsidRPr="00CD6B31">
        <w:rPr>
          <w:rFonts w:ascii="Times New Roman" w:eastAsia="Verdana" w:hAnsi="Times New Roman"/>
          <w:szCs w:val="18"/>
          <w:lang w:val="en-US"/>
        </w:rPr>
        <w:t>factor</w:t>
      </w:r>
      <w:r w:rsidR="00055923">
        <w:rPr>
          <w:rFonts w:ascii="Times New Roman" w:eastAsia="Verdana" w:hAnsi="Times New Roman"/>
          <w:szCs w:val="18"/>
          <w:lang w:val="en-US"/>
        </w:rPr>
        <w:t>s</w:t>
      </w:r>
      <w:r w:rsidRPr="00CD6B31">
        <w:rPr>
          <w:rFonts w:ascii="Times New Roman" w:eastAsia="Verdana" w:hAnsi="Times New Roman"/>
          <w:szCs w:val="18"/>
          <w:lang w:val="en-US"/>
        </w:rPr>
        <w:t xml:space="preserve"> and applicable </w:t>
      </w:r>
      <w:r w:rsidR="00055923">
        <w:rPr>
          <w:rFonts w:ascii="Times New Roman" w:eastAsia="Verdana" w:hAnsi="Times New Roman"/>
          <w:szCs w:val="18"/>
          <w:lang w:val="en-US"/>
        </w:rPr>
        <w:t xml:space="preserve">ASF </w:t>
      </w:r>
      <w:r w:rsidRPr="00CD6B31">
        <w:rPr>
          <w:rFonts w:ascii="Times New Roman" w:eastAsia="Verdana" w:hAnsi="Times New Roman"/>
          <w:szCs w:val="18"/>
          <w:lang w:val="en-US"/>
        </w:rPr>
        <w:t>factor</w:t>
      </w:r>
      <w:r w:rsidR="00055923">
        <w:rPr>
          <w:rFonts w:ascii="Times New Roman" w:eastAsia="Verdana" w:hAnsi="Times New Roman"/>
          <w:szCs w:val="18"/>
          <w:lang w:val="en-US"/>
        </w:rPr>
        <w:t>s</w:t>
      </w:r>
      <w:r w:rsidRPr="00CD6B31">
        <w:rPr>
          <w:rFonts w:ascii="Times New Roman" w:eastAsia="Verdana" w:hAnsi="Times New Roman"/>
          <w:szCs w:val="18"/>
          <w:lang w:val="en-US"/>
        </w:rPr>
        <w:t xml:space="preserve"> are the following:</w:t>
      </w:r>
    </w:p>
    <w:p w14:paraId="7161B33E" w14:textId="5A1AF141" w:rsidR="00676422" w:rsidRDefault="00676422" w:rsidP="00055923">
      <w:pPr>
        <w:pStyle w:val="InstructionsText2"/>
        <w:numPr>
          <w:ilvl w:val="2"/>
          <w:numId w:val="24"/>
        </w:numPr>
        <w:spacing w:before="120" w:after="120" w:line="276" w:lineRule="auto"/>
      </w:pPr>
      <w:r>
        <w:t xml:space="preserve">Residual maturity </w:t>
      </w:r>
      <w:r w:rsidR="006C5A90">
        <w:t>of less than one</w:t>
      </w:r>
      <w:r>
        <w:t xml:space="preserve"> year or without stated maturity;</w:t>
      </w:r>
    </w:p>
    <w:p w14:paraId="4C2637CD" w14:textId="1300A4E8" w:rsidR="00676422" w:rsidRDefault="00676422" w:rsidP="00055923">
      <w:pPr>
        <w:pStyle w:val="InstructionsText2"/>
        <w:numPr>
          <w:ilvl w:val="2"/>
          <w:numId w:val="24"/>
        </w:numPr>
        <w:spacing w:before="120" w:after="120" w:line="276" w:lineRule="auto"/>
      </w:pPr>
      <w:r>
        <w:t xml:space="preserve">Residual maturity </w:t>
      </w:r>
      <w:r w:rsidR="006C5A90">
        <w:t>of one year or more</w:t>
      </w:r>
      <w:r>
        <w:t>.</w:t>
      </w:r>
    </w:p>
    <w:p w14:paraId="00AFA3E3" w14:textId="7CF52FC5" w:rsidR="00C002D1" w:rsidRDefault="00C002D1"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CD6B31">
        <w:rPr>
          <w:rFonts w:ascii="Times New Roman" w:eastAsia="Verdana" w:hAnsi="Times New Roman"/>
          <w:szCs w:val="18"/>
          <w:lang w:val="en-US"/>
        </w:rPr>
        <w:t xml:space="preserve">All liabilities with a residual maturity of </w:t>
      </w:r>
      <w:r w:rsidR="006C5A90">
        <w:rPr>
          <w:rFonts w:ascii="Times New Roman" w:eastAsia="Verdana" w:hAnsi="Times New Roman"/>
          <w:szCs w:val="18"/>
          <w:lang w:val="en-US"/>
        </w:rPr>
        <w:t>one year or more</w:t>
      </w:r>
      <w:r w:rsidRPr="00CD6B31">
        <w:rPr>
          <w:rFonts w:ascii="Times New Roman" w:eastAsia="Verdana" w:hAnsi="Times New Roman"/>
          <w:szCs w:val="18"/>
          <w:lang w:val="en-US"/>
        </w:rPr>
        <w:t xml:space="preserve"> shall be subject to a 100% </w:t>
      </w:r>
      <w:r w:rsidR="00055923">
        <w:rPr>
          <w:rFonts w:ascii="Times New Roman" w:eastAsia="Verdana" w:hAnsi="Times New Roman"/>
          <w:szCs w:val="18"/>
          <w:lang w:val="en-US"/>
        </w:rPr>
        <w:t>ASF</w:t>
      </w:r>
      <w:r w:rsidRPr="00CD6B31">
        <w:rPr>
          <w:rFonts w:ascii="Times New Roman" w:eastAsia="Verdana" w:hAnsi="Times New Roman"/>
          <w:szCs w:val="18"/>
          <w:lang w:val="en-US"/>
        </w:rPr>
        <w:t xml:space="preserve"> factor, unless otherwise specified in Articles 428a</w:t>
      </w:r>
      <w:r>
        <w:rPr>
          <w:rFonts w:ascii="Times New Roman" w:eastAsia="Verdana" w:hAnsi="Times New Roman"/>
          <w:szCs w:val="18"/>
          <w:lang w:val="en-US"/>
        </w:rPr>
        <w:t>l</w:t>
      </w:r>
      <w:r w:rsidRPr="00CD6B31">
        <w:rPr>
          <w:rFonts w:ascii="Times New Roman" w:eastAsia="Verdana" w:hAnsi="Times New Roman"/>
          <w:szCs w:val="18"/>
          <w:lang w:val="en-US"/>
        </w:rPr>
        <w:t xml:space="preserve"> to 428a</w:t>
      </w:r>
      <w:r>
        <w:rPr>
          <w:rFonts w:ascii="Times New Roman" w:eastAsia="Verdana" w:hAnsi="Times New Roman"/>
          <w:szCs w:val="18"/>
          <w:lang w:val="en-US"/>
        </w:rPr>
        <w:t>o</w:t>
      </w:r>
      <w:r w:rsidRPr="00CD6B31">
        <w:rPr>
          <w:rFonts w:ascii="Times New Roman" w:eastAsia="Verdana" w:hAnsi="Times New Roman"/>
          <w:szCs w:val="18"/>
          <w:lang w:val="en-US"/>
        </w:rPr>
        <w:t xml:space="preserve"> of CRR, in accordance with Article 428</w:t>
      </w:r>
      <w:r>
        <w:rPr>
          <w:rFonts w:ascii="Times New Roman" w:eastAsia="Verdana" w:hAnsi="Times New Roman"/>
          <w:szCs w:val="18"/>
          <w:lang w:val="en-US"/>
        </w:rPr>
        <w:t>ap</w:t>
      </w:r>
      <w:r w:rsidRPr="00CD6B31">
        <w:rPr>
          <w:rFonts w:ascii="Times New Roman" w:eastAsia="Verdana" w:hAnsi="Times New Roman"/>
          <w:szCs w:val="18"/>
          <w:lang w:val="en-US"/>
        </w:rPr>
        <w:t xml:space="preserve"> of CRR.</w:t>
      </w:r>
    </w:p>
    <w:p w14:paraId="266CDFF0" w14:textId="70F4B31E" w:rsidR="006C5A90" w:rsidRDefault="006C5A90" w:rsidP="006C5A90">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bookmarkStart w:id="30" w:name="_Ref6931192"/>
      <w:r w:rsidRPr="00D54BD4">
        <w:rPr>
          <w:rFonts w:ascii="Times New Roman" w:eastAsia="Verdana" w:hAnsi="Times New Roman"/>
          <w:szCs w:val="18"/>
          <w:lang w:val="en-US"/>
        </w:rPr>
        <w:t xml:space="preserve">All sight deposits shall be reported in the bucket </w:t>
      </w:r>
      <w:r>
        <w:rPr>
          <w:rFonts w:ascii="Times New Roman" w:eastAsia="Verdana" w:hAnsi="Times New Roman"/>
          <w:szCs w:val="18"/>
          <w:lang w:val="en-US"/>
        </w:rPr>
        <w:t xml:space="preserve">referring to liabilities with a </w:t>
      </w:r>
      <w:r w:rsidRPr="00D54BD4">
        <w:rPr>
          <w:rFonts w:ascii="Times New Roman" w:eastAsia="Verdana" w:hAnsi="Times New Roman"/>
          <w:szCs w:val="18"/>
          <w:lang w:val="en-US"/>
        </w:rPr>
        <w:t>residual maturity</w:t>
      </w:r>
      <w:r w:rsidRPr="00452A84">
        <w:t xml:space="preserve"> </w:t>
      </w:r>
      <w:r>
        <w:rPr>
          <w:rFonts w:ascii="Times New Roman" w:eastAsia="Verdana" w:hAnsi="Times New Roman"/>
          <w:szCs w:val="18"/>
          <w:lang w:val="en-US"/>
        </w:rPr>
        <w:t>of less than one year</w:t>
      </w:r>
      <w:r w:rsidRPr="00D54BD4">
        <w:rPr>
          <w:rFonts w:ascii="Times New Roman" w:eastAsia="Verdana" w:hAnsi="Times New Roman"/>
          <w:szCs w:val="18"/>
          <w:lang w:val="en-US"/>
        </w:rPr>
        <w:t>.</w:t>
      </w:r>
    </w:p>
    <w:p w14:paraId="71378B10" w14:textId="28EE1D73" w:rsidR="00676422" w:rsidRDefault="00676422"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rPr>
      </w:pPr>
      <w:r w:rsidRPr="006E4DE7">
        <w:rPr>
          <w:rFonts w:ascii="Times New Roman" w:eastAsia="Verdana" w:hAnsi="Times New Roman"/>
          <w:szCs w:val="18"/>
        </w:rPr>
        <w:t>According to Article 428ak(</w:t>
      </w:r>
      <w:r>
        <w:rPr>
          <w:rFonts w:ascii="Times New Roman" w:eastAsia="Verdana" w:hAnsi="Times New Roman"/>
          <w:szCs w:val="18"/>
        </w:rPr>
        <w:t>2</w:t>
      </w:r>
      <w:r w:rsidRPr="006E4DE7">
        <w:rPr>
          <w:rFonts w:ascii="Times New Roman" w:eastAsia="Verdana" w:hAnsi="Times New Roman"/>
          <w:szCs w:val="18"/>
        </w:rPr>
        <w:t>)</w:t>
      </w:r>
      <w:r>
        <w:rPr>
          <w:rFonts w:ascii="Times New Roman" w:eastAsia="Verdana" w:hAnsi="Times New Roman"/>
          <w:szCs w:val="18"/>
        </w:rPr>
        <w:t xml:space="preserve"> </w:t>
      </w:r>
      <w:r w:rsidR="00055923">
        <w:rPr>
          <w:rFonts w:ascii="Times New Roman" w:eastAsia="Verdana" w:hAnsi="Times New Roman"/>
          <w:szCs w:val="18"/>
        </w:rPr>
        <w:t xml:space="preserve">of CRR </w:t>
      </w:r>
      <w:r>
        <w:rPr>
          <w:rFonts w:ascii="Times New Roman" w:eastAsia="Verdana" w:hAnsi="Times New Roman"/>
          <w:szCs w:val="18"/>
        </w:rPr>
        <w:t>i</w:t>
      </w:r>
      <w:r w:rsidRPr="007D54FE">
        <w:rPr>
          <w:rFonts w:ascii="Times New Roman" w:eastAsia="Verdana" w:hAnsi="Times New Roman"/>
          <w:szCs w:val="18"/>
        </w:rPr>
        <w:t>nstitutions shall take into account existing options to</w:t>
      </w:r>
      <w:r>
        <w:rPr>
          <w:rFonts w:ascii="Times New Roman" w:eastAsia="Verdana" w:hAnsi="Times New Roman"/>
          <w:szCs w:val="18"/>
        </w:rPr>
        <w:t xml:space="preserve"> determin</w:t>
      </w:r>
      <w:r w:rsidRPr="007D54FE">
        <w:rPr>
          <w:rFonts w:ascii="Times New Roman" w:eastAsia="Verdana" w:hAnsi="Times New Roman"/>
          <w:szCs w:val="18"/>
        </w:rPr>
        <w:t>e the residual maturity of a liability or of own funds. They shall do so on the assumption tha</w:t>
      </w:r>
      <w:r>
        <w:rPr>
          <w:rFonts w:ascii="Times New Roman" w:eastAsia="Verdana" w:hAnsi="Times New Roman"/>
          <w:szCs w:val="18"/>
        </w:rPr>
        <w:t xml:space="preserve">t the counterparty will redeem </w:t>
      </w:r>
      <w:r w:rsidRPr="007D54FE">
        <w:rPr>
          <w:rFonts w:ascii="Times New Roman" w:eastAsia="Verdana" w:hAnsi="Times New Roman"/>
          <w:szCs w:val="18"/>
        </w:rPr>
        <w:t>call options at the earliest possible date. For options exercisable at the discretion of the institution, the institution and the competent authorities shall take into account reputational factors that may limit an institution’s ability not to exercise the option, in particular market expectations that institutions should redeem certain liabilities before their maturity.</w:t>
      </w:r>
      <w:bookmarkEnd w:id="30"/>
    </w:p>
    <w:p w14:paraId="29D5B2AE" w14:textId="56967DD9" w:rsidR="00C002D1" w:rsidRPr="00CF4E2F" w:rsidRDefault="00C002D1"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Pr>
          <w:rFonts w:ascii="Times New Roman" w:eastAsia="Verdana" w:hAnsi="Times New Roman"/>
          <w:szCs w:val="18"/>
          <w:lang w:val="en-US"/>
        </w:rPr>
        <w:t>Furthermore, as established in Article 428ap</w:t>
      </w:r>
      <w:r w:rsidR="00055923">
        <w:rPr>
          <w:rFonts w:ascii="Times New Roman" w:eastAsia="Verdana" w:hAnsi="Times New Roman"/>
          <w:szCs w:val="18"/>
          <w:lang w:val="en-US"/>
        </w:rPr>
        <w:t xml:space="preserve"> of CRR</w:t>
      </w:r>
      <w:r>
        <w:rPr>
          <w:rFonts w:ascii="Times New Roman" w:eastAsia="Verdana" w:hAnsi="Times New Roman"/>
          <w:szCs w:val="18"/>
          <w:lang w:val="en-US"/>
        </w:rPr>
        <w:t xml:space="preserve">, </w:t>
      </w:r>
      <w:r>
        <w:rPr>
          <w:rFonts w:ascii="Times New Roman"/>
          <w:szCs w:val="18"/>
        </w:rPr>
        <w:t>additional Tier 1 items, Tier 2 items and any other capital instruments</w:t>
      </w:r>
      <w:r w:rsidRPr="00CF4E2F">
        <w:rPr>
          <w:rFonts w:ascii="Times New Roman"/>
          <w:szCs w:val="18"/>
        </w:rPr>
        <w:t xml:space="preserve"> with explicit or embedded options that, if exercised (even if they are not exercised yet</w:t>
      </w:r>
      <w:r>
        <w:rPr>
          <w:rFonts w:ascii="Times New Roman"/>
          <w:szCs w:val="18"/>
        </w:rPr>
        <w:t xml:space="preserve"> on the reporting reference date</w:t>
      </w:r>
      <w:r w:rsidRPr="00CF4E2F">
        <w:rPr>
          <w:rFonts w:ascii="Times New Roman"/>
          <w:szCs w:val="18"/>
        </w:rPr>
        <w:t xml:space="preserve">), would reduce the effective residual maturity at the reporting reference date to less than one year shall not </w:t>
      </w:r>
      <w:r>
        <w:rPr>
          <w:rFonts w:ascii="Times New Roman"/>
          <w:szCs w:val="18"/>
        </w:rPr>
        <w:t>receive a 100% ASF factor.</w:t>
      </w:r>
    </w:p>
    <w:p w14:paraId="7ADECB9C" w14:textId="3DB51ACE" w:rsidR="00676422" w:rsidRPr="006E4DE7" w:rsidRDefault="00676422"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rPr>
      </w:pPr>
      <w:r>
        <w:rPr>
          <w:rFonts w:ascii="Times New Roman" w:eastAsia="Verdana" w:hAnsi="Times New Roman"/>
          <w:szCs w:val="18"/>
        </w:rPr>
        <w:t>A</w:t>
      </w:r>
      <w:r w:rsidRPr="006E4DE7">
        <w:rPr>
          <w:rFonts w:ascii="Times New Roman" w:eastAsia="Verdana" w:hAnsi="Times New Roman"/>
          <w:szCs w:val="18"/>
        </w:rPr>
        <w:t>ccording to Article 428ak</w:t>
      </w:r>
      <w:r>
        <w:rPr>
          <w:rFonts w:ascii="Times New Roman" w:eastAsia="Verdana" w:hAnsi="Times New Roman"/>
          <w:szCs w:val="18"/>
        </w:rPr>
        <w:t xml:space="preserve">(3) </w:t>
      </w:r>
      <w:r w:rsidR="00391A7B">
        <w:rPr>
          <w:rFonts w:ascii="Times New Roman" w:eastAsia="Verdana" w:hAnsi="Times New Roman"/>
          <w:szCs w:val="18"/>
        </w:rPr>
        <w:t xml:space="preserve">of CRR, </w:t>
      </w:r>
      <w:r>
        <w:rPr>
          <w:rFonts w:ascii="Times New Roman" w:eastAsia="Verdana" w:hAnsi="Times New Roman"/>
          <w:szCs w:val="18"/>
        </w:rPr>
        <w:t>i</w:t>
      </w:r>
      <w:r w:rsidRPr="006E4DE7">
        <w:rPr>
          <w:rFonts w:ascii="Times New Roman" w:eastAsia="Verdana" w:hAnsi="Times New Roman"/>
          <w:szCs w:val="18"/>
        </w:rPr>
        <w:t xml:space="preserve">nstitutions shall treat deposits with fixed notice periods in accordance with their notice period, and shall treat term deposits in accordance with their residual maturity. By way of derogation from paragraph </w:t>
      </w:r>
      <w:r w:rsidR="00D030C4">
        <w:rPr>
          <w:rFonts w:ascii="Times New Roman" w:eastAsia="Verdana" w:hAnsi="Times New Roman"/>
          <w:szCs w:val="18"/>
        </w:rPr>
        <w:fldChar w:fldCharType="begin"/>
      </w:r>
      <w:r w:rsidR="00D030C4">
        <w:rPr>
          <w:rFonts w:ascii="Times New Roman" w:eastAsia="Verdana" w:hAnsi="Times New Roman"/>
          <w:szCs w:val="18"/>
        </w:rPr>
        <w:instrText xml:space="preserve"> REF _Ref6931192 \r \h </w:instrText>
      </w:r>
      <w:r w:rsidR="00D030C4">
        <w:rPr>
          <w:rFonts w:ascii="Times New Roman" w:eastAsia="Verdana" w:hAnsi="Times New Roman"/>
          <w:szCs w:val="18"/>
        </w:rPr>
      </w:r>
      <w:r w:rsidR="00D030C4">
        <w:rPr>
          <w:rFonts w:ascii="Times New Roman" w:eastAsia="Verdana" w:hAnsi="Times New Roman"/>
          <w:szCs w:val="18"/>
        </w:rPr>
        <w:fldChar w:fldCharType="separate"/>
      </w:r>
      <w:r w:rsidR="00D030C4">
        <w:rPr>
          <w:rFonts w:ascii="Times New Roman" w:eastAsia="Verdana" w:hAnsi="Times New Roman"/>
          <w:szCs w:val="18"/>
        </w:rPr>
        <w:t>36</w:t>
      </w:r>
      <w:r w:rsidR="00D030C4">
        <w:rPr>
          <w:rFonts w:ascii="Times New Roman" w:eastAsia="Verdana" w:hAnsi="Times New Roman"/>
          <w:szCs w:val="18"/>
        </w:rPr>
        <w:fldChar w:fldCharType="end"/>
      </w:r>
      <w:r w:rsidRPr="006E4DE7">
        <w:rPr>
          <w:rFonts w:ascii="Times New Roman" w:eastAsia="Verdana" w:hAnsi="Times New Roman"/>
          <w:szCs w:val="18"/>
        </w:rPr>
        <w:t xml:space="preserve">, institutions shall not take into account options for early withdrawals, where the depositor has to pay a material penalty for early withdrawals which occur in less than one year, such penalty as laid down in </w:t>
      </w:r>
      <w:r w:rsidR="00055923">
        <w:rPr>
          <w:rFonts w:ascii="Times New Roman" w:eastAsia="Verdana" w:hAnsi="Times New Roman"/>
          <w:szCs w:val="18"/>
        </w:rPr>
        <w:t>Article 25(4) of Delegated Regulation (EU) 2015/61</w:t>
      </w:r>
      <w:r w:rsidRPr="006E4DE7">
        <w:rPr>
          <w:rFonts w:ascii="Times New Roman" w:eastAsia="Verdana" w:hAnsi="Times New Roman"/>
          <w:szCs w:val="18"/>
        </w:rPr>
        <w:t>, to determine the residual maturity of term retail deposits.</w:t>
      </w:r>
    </w:p>
    <w:p w14:paraId="73B37FCF" w14:textId="1FEC448E" w:rsidR="00676422" w:rsidRPr="002C0DF6" w:rsidRDefault="00676422" w:rsidP="00055923">
      <w:pPr>
        <w:pStyle w:val="ListParagraph"/>
        <w:widowControl w:val="0"/>
        <w:numPr>
          <w:ilvl w:val="0"/>
          <w:numId w:val="24"/>
        </w:numPr>
        <w:tabs>
          <w:tab w:val="left" w:pos="1397"/>
        </w:tabs>
        <w:spacing w:line="276" w:lineRule="auto"/>
        <w:ind w:right="113"/>
        <w:contextualSpacing w:val="0"/>
        <w:rPr>
          <w:rFonts w:ascii="Times New Roman" w:eastAsia="Verdana" w:hAnsi="Times New Roman"/>
          <w:szCs w:val="18"/>
          <w:lang w:val="en-US"/>
        </w:rPr>
      </w:pPr>
      <w:r w:rsidRPr="00CF4E2F">
        <w:rPr>
          <w:rFonts w:ascii="Times New Roman" w:eastAsia="Verdana" w:hAnsi="Times New Roman"/>
          <w:szCs w:val="18"/>
          <w:lang w:val="en-US"/>
        </w:rPr>
        <w:t xml:space="preserve">The decision tree </w:t>
      </w:r>
      <w:r w:rsidR="00055923">
        <w:rPr>
          <w:rFonts w:ascii="Times New Roman" w:eastAsia="Verdana" w:hAnsi="Times New Roman"/>
          <w:szCs w:val="18"/>
          <w:lang w:val="en-US"/>
        </w:rPr>
        <w:t xml:space="preserve">for </w:t>
      </w:r>
      <w:r w:rsidR="00EC3C35">
        <w:rPr>
          <w:rFonts w:ascii="Times New Roman" w:eastAsia="Verdana" w:hAnsi="Times New Roman"/>
          <w:szCs w:val="18"/>
          <w:lang w:val="en-US"/>
        </w:rPr>
        <w:t xml:space="preserve">reporting template </w:t>
      </w:r>
      <w:r w:rsidR="00055923">
        <w:rPr>
          <w:rFonts w:ascii="Times New Roman" w:eastAsia="Verdana" w:hAnsi="Times New Roman"/>
          <w:szCs w:val="18"/>
          <w:lang w:val="en-US"/>
        </w:rPr>
        <w:t xml:space="preserve">C 83.00 </w:t>
      </w:r>
      <w:r w:rsidRPr="00CF4E2F">
        <w:rPr>
          <w:rFonts w:ascii="Times New Roman" w:eastAsia="Verdana" w:hAnsi="Times New Roman"/>
          <w:szCs w:val="18"/>
          <w:lang w:val="en-US"/>
        </w:rPr>
        <w:t>is part of the instructions to specify prioritization assessment criteria for the assignment of each reported item in order to secure homogenous and comparable reporting. Going through the de</w:t>
      </w:r>
      <w:r>
        <w:rPr>
          <w:rFonts w:ascii="Times New Roman" w:eastAsia="Verdana" w:hAnsi="Times New Roman"/>
          <w:szCs w:val="18"/>
          <w:lang w:val="en-US"/>
        </w:rPr>
        <w:t>cision tree alone is not suffici</w:t>
      </w:r>
      <w:r w:rsidRPr="00CF4E2F">
        <w:rPr>
          <w:rFonts w:ascii="Times New Roman" w:eastAsia="Verdana" w:hAnsi="Times New Roman"/>
          <w:szCs w:val="18"/>
          <w:lang w:val="en-US"/>
        </w:rPr>
        <w:t xml:space="preserve">ent, </w:t>
      </w:r>
      <w:r w:rsidR="0055437F">
        <w:rPr>
          <w:rFonts w:ascii="Times New Roman" w:eastAsia="Verdana" w:hAnsi="Times New Roman"/>
          <w:szCs w:val="18"/>
          <w:lang w:val="en-US"/>
        </w:rPr>
        <w:t xml:space="preserve">i.e., </w:t>
      </w:r>
      <w:r w:rsidRPr="00CF4E2F">
        <w:rPr>
          <w:rFonts w:ascii="Times New Roman" w:eastAsia="Verdana" w:hAnsi="Times New Roman"/>
          <w:szCs w:val="18"/>
          <w:lang w:val="en-US"/>
        </w:rPr>
        <w:t>institutions shall always comply with the rest of the instructions. For the sake of simplicity the d</w:t>
      </w:r>
      <w:r>
        <w:rPr>
          <w:rFonts w:ascii="Times New Roman" w:eastAsia="Verdana" w:hAnsi="Times New Roman"/>
          <w:szCs w:val="18"/>
          <w:lang w:val="en-US"/>
        </w:rPr>
        <w:t xml:space="preserve">ecision tree ignores totals and </w:t>
      </w:r>
      <w:r w:rsidRPr="002C0DF6">
        <w:rPr>
          <w:rFonts w:ascii="Times New Roman" w:eastAsia="Verdana" w:hAnsi="Times New Roman"/>
          <w:szCs w:val="18"/>
          <w:lang w:val="en-US"/>
        </w:rPr>
        <w:t>subtotals; this however does not mean that they shall not be reported as well.</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676422" w:rsidRPr="00CF4E2F" w14:paraId="58BE26A0" w14:textId="77777777" w:rsidTr="00A467EE">
        <w:tc>
          <w:tcPr>
            <w:tcW w:w="529" w:type="dxa"/>
            <w:shd w:val="clear" w:color="auto" w:fill="auto"/>
            <w:vAlign w:val="center"/>
          </w:tcPr>
          <w:p w14:paraId="1E7EA0B4" w14:textId="77777777" w:rsidR="00676422" w:rsidRPr="00A0201D" w:rsidRDefault="00676422" w:rsidP="00A467EE">
            <w:pPr>
              <w:pStyle w:val="TableParagraph"/>
              <w:spacing w:before="37"/>
              <w:ind w:left="7"/>
              <w:jc w:val="center"/>
              <w:rPr>
                <w:rFonts w:ascii="Times New Roman" w:eastAsia="Times New Roman" w:hAnsi="Times New Roman"/>
                <w:sz w:val="16"/>
                <w:szCs w:val="16"/>
              </w:rPr>
            </w:pPr>
            <w:r w:rsidRPr="00A0201D">
              <w:rPr>
                <w:rFonts w:ascii="Times New Roman" w:hAnsi="Times New Roman"/>
                <w:b/>
                <w:sz w:val="16"/>
              </w:rPr>
              <w:t>#</w:t>
            </w:r>
          </w:p>
        </w:tc>
        <w:tc>
          <w:tcPr>
            <w:tcW w:w="5550" w:type="dxa"/>
            <w:shd w:val="clear" w:color="auto" w:fill="auto"/>
            <w:vAlign w:val="center"/>
          </w:tcPr>
          <w:p w14:paraId="7AE7E883" w14:textId="77777777" w:rsidR="00676422" w:rsidRPr="00CF4E2F" w:rsidRDefault="00676422" w:rsidP="00A467EE">
            <w:pPr>
              <w:pStyle w:val="TableParagraph"/>
              <w:spacing w:before="37"/>
              <w:ind w:left="141"/>
              <w:jc w:val="center"/>
              <w:rPr>
                <w:rFonts w:ascii="Times New Roman" w:eastAsia="Times New Roman" w:hAnsi="Times New Roman"/>
                <w:sz w:val="16"/>
                <w:szCs w:val="16"/>
              </w:rPr>
            </w:pPr>
            <w:r w:rsidRPr="00CF4E2F">
              <w:rPr>
                <w:rFonts w:ascii="Times New Roman" w:hAnsi="Times New Roman"/>
                <w:b/>
                <w:sz w:val="16"/>
              </w:rPr>
              <w:t>Item</w:t>
            </w:r>
          </w:p>
        </w:tc>
        <w:tc>
          <w:tcPr>
            <w:tcW w:w="1305" w:type="dxa"/>
            <w:shd w:val="clear" w:color="auto" w:fill="auto"/>
            <w:vAlign w:val="center"/>
          </w:tcPr>
          <w:p w14:paraId="2DCFE29A" w14:textId="77777777" w:rsidR="00676422" w:rsidRPr="00CF4E2F" w:rsidRDefault="00676422" w:rsidP="00A467EE">
            <w:pPr>
              <w:pStyle w:val="TableParagraph"/>
              <w:spacing w:before="37"/>
              <w:ind w:left="267"/>
              <w:jc w:val="center"/>
              <w:rPr>
                <w:rFonts w:ascii="Times New Roman" w:eastAsia="Times New Roman" w:hAnsi="Times New Roman"/>
                <w:sz w:val="16"/>
                <w:szCs w:val="16"/>
              </w:rPr>
            </w:pPr>
            <w:r w:rsidRPr="00CF4E2F">
              <w:rPr>
                <w:rFonts w:ascii="Times New Roman" w:hAnsi="Times New Roman"/>
                <w:b/>
                <w:sz w:val="16"/>
              </w:rPr>
              <w:t>Decision</w:t>
            </w:r>
          </w:p>
        </w:tc>
        <w:tc>
          <w:tcPr>
            <w:tcW w:w="2222" w:type="dxa"/>
            <w:shd w:val="clear" w:color="auto" w:fill="auto"/>
            <w:vAlign w:val="center"/>
          </w:tcPr>
          <w:p w14:paraId="1B34EEE9" w14:textId="77777777" w:rsidR="00676422" w:rsidRPr="00CF4E2F" w:rsidRDefault="00676422" w:rsidP="00A467EE">
            <w:pPr>
              <w:pStyle w:val="TableParagraph"/>
              <w:spacing w:before="37"/>
              <w:ind w:left="284"/>
              <w:jc w:val="center"/>
              <w:rPr>
                <w:rFonts w:ascii="Times New Roman" w:eastAsia="Times New Roman" w:hAnsi="Times New Roman"/>
                <w:sz w:val="16"/>
                <w:szCs w:val="16"/>
              </w:rPr>
            </w:pPr>
            <w:r w:rsidRPr="00CF4E2F">
              <w:rPr>
                <w:rFonts w:ascii="Times New Roman" w:hAnsi="Times New Roman"/>
                <w:b/>
                <w:sz w:val="16"/>
              </w:rPr>
              <w:t>Action</w:t>
            </w:r>
          </w:p>
        </w:tc>
      </w:tr>
      <w:tr w:rsidR="00676422" w:rsidRPr="001216DA" w14:paraId="02D7E799" w14:textId="77777777" w:rsidTr="00A467EE">
        <w:trPr>
          <w:trHeight w:val="130"/>
        </w:trPr>
        <w:tc>
          <w:tcPr>
            <w:tcW w:w="529" w:type="dxa"/>
            <w:vMerge w:val="restart"/>
            <w:shd w:val="clear" w:color="auto" w:fill="auto"/>
            <w:vAlign w:val="center"/>
          </w:tcPr>
          <w:p w14:paraId="11DCBAFE"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w:t>
            </w:r>
          </w:p>
        </w:tc>
        <w:tc>
          <w:tcPr>
            <w:tcW w:w="5550" w:type="dxa"/>
            <w:vMerge w:val="restart"/>
            <w:shd w:val="clear" w:color="auto" w:fill="auto"/>
            <w:vAlign w:val="center"/>
          </w:tcPr>
          <w:p w14:paraId="5BFE6735"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Common Equity Tier 1capital?</w:t>
            </w:r>
          </w:p>
        </w:tc>
        <w:tc>
          <w:tcPr>
            <w:tcW w:w="1305" w:type="dxa"/>
            <w:shd w:val="clear" w:color="auto" w:fill="auto"/>
            <w:vAlign w:val="center"/>
          </w:tcPr>
          <w:p w14:paraId="49CA3A4A"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6E2B0125" w14:textId="77777777" w:rsidR="00676422" w:rsidRPr="001216DA" w:rsidRDefault="00676422" w:rsidP="00A467EE">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w:t>
            </w:r>
          </w:p>
        </w:tc>
      </w:tr>
      <w:tr w:rsidR="00676422" w:rsidRPr="00A0201D" w14:paraId="62B7ACDF" w14:textId="77777777" w:rsidTr="00A467EE">
        <w:trPr>
          <w:trHeight w:val="130"/>
        </w:trPr>
        <w:tc>
          <w:tcPr>
            <w:tcW w:w="529" w:type="dxa"/>
            <w:vMerge/>
            <w:shd w:val="clear" w:color="auto" w:fill="auto"/>
            <w:vAlign w:val="center"/>
          </w:tcPr>
          <w:p w14:paraId="2FDC9580"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3C601CD4"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4E3ECCE1"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5A46A1BD" w14:textId="77777777" w:rsidR="00676422" w:rsidRPr="00A0201D" w:rsidRDefault="00676422" w:rsidP="00A467EE">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2</w:t>
            </w:r>
          </w:p>
        </w:tc>
      </w:tr>
      <w:tr w:rsidR="00676422" w:rsidRPr="001216DA" w14:paraId="10D7A34C" w14:textId="77777777" w:rsidTr="00A467EE">
        <w:trPr>
          <w:trHeight w:val="130"/>
        </w:trPr>
        <w:tc>
          <w:tcPr>
            <w:tcW w:w="529" w:type="dxa"/>
            <w:vMerge w:val="restart"/>
            <w:shd w:val="clear" w:color="auto" w:fill="auto"/>
            <w:vAlign w:val="center"/>
          </w:tcPr>
          <w:p w14:paraId="3B6FBF5A"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2</w:t>
            </w:r>
          </w:p>
        </w:tc>
        <w:tc>
          <w:tcPr>
            <w:tcW w:w="5550" w:type="dxa"/>
            <w:vMerge w:val="restart"/>
            <w:shd w:val="clear" w:color="auto" w:fill="auto"/>
            <w:vAlign w:val="center"/>
          </w:tcPr>
          <w:p w14:paraId="490CBF74"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 xml:space="preserve">Additional Tier 1 capital? </w:t>
            </w:r>
          </w:p>
        </w:tc>
        <w:tc>
          <w:tcPr>
            <w:tcW w:w="1305" w:type="dxa"/>
            <w:shd w:val="clear" w:color="auto" w:fill="auto"/>
            <w:vAlign w:val="center"/>
          </w:tcPr>
          <w:p w14:paraId="0919A43A"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37BE0BCE" w14:textId="77777777" w:rsidR="00676422" w:rsidRPr="001216DA" w:rsidRDefault="00676422" w:rsidP="00A467EE">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w:t>
            </w:r>
          </w:p>
        </w:tc>
      </w:tr>
      <w:tr w:rsidR="00676422" w:rsidRPr="00A0201D" w14:paraId="37E2F59D" w14:textId="77777777" w:rsidTr="00A467EE">
        <w:trPr>
          <w:trHeight w:val="130"/>
        </w:trPr>
        <w:tc>
          <w:tcPr>
            <w:tcW w:w="529" w:type="dxa"/>
            <w:vMerge/>
            <w:shd w:val="clear" w:color="auto" w:fill="auto"/>
            <w:vAlign w:val="center"/>
          </w:tcPr>
          <w:p w14:paraId="3BA05CB2" w14:textId="77777777" w:rsidR="00676422" w:rsidRPr="00331330"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1210FA73"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3064C2D4"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4930992" w14:textId="77777777" w:rsidR="00676422" w:rsidRPr="00A0201D" w:rsidRDefault="00676422" w:rsidP="00A467EE">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3</w:t>
            </w:r>
          </w:p>
        </w:tc>
      </w:tr>
      <w:tr w:rsidR="00676422" w:rsidRPr="001216DA" w14:paraId="1BA04647" w14:textId="77777777" w:rsidTr="00A467EE">
        <w:tc>
          <w:tcPr>
            <w:tcW w:w="529" w:type="dxa"/>
            <w:vMerge w:val="restart"/>
            <w:shd w:val="clear" w:color="auto" w:fill="auto"/>
            <w:vAlign w:val="center"/>
          </w:tcPr>
          <w:p w14:paraId="18F55E21" w14:textId="77777777" w:rsidR="00676422" w:rsidRPr="00331330" w:rsidRDefault="00676422" w:rsidP="00A467EE">
            <w:pPr>
              <w:jc w:val="center"/>
              <w:rPr>
                <w:rFonts w:ascii="Times New Roman" w:eastAsia="Calibri" w:hAnsi="Times New Roman"/>
                <w:szCs w:val="18"/>
                <w:lang w:val="en-US"/>
              </w:rPr>
            </w:pPr>
            <w:r w:rsidRPr="00331330">
              <w:rPr>
                <w:rFonts w:ascii="Times New Roman" w:eastAsia="Calibri" w:hAnsi="Times New Roman"/>
                <w:szCs w:val="18"/>
                <w:lang w:val="en-US"/>
              </w:rPr>
              <w:t>3</w:t>
            </w:r>
          </w:p>
        </w:tc>
        <w:tc>
          <w:tcPr>
            <w:tcW w:w="5550" w:type="dxa"/>
            <w:vMerge w:val="restart"/>
            <w:shd w:val="clear" w:color="auto" w:fill="auto"/>
            <w:vAlign w:val="center"/>
          </w:tcPr>
          <w:p w14:paraId="1828E684"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Tier 2 capital?</w:t>
            </w:r>
          </w:p>
        </w:tc>
        <w:tc>
          <w:tcPr>
            <w:tcW w:w="1305" w:type="dxa"/>
            <w:shd w:val="clear" w:color="auto" w:fill="auto"/>
            <w:vAlign w:val="center"/>
          </w:tcPr>
          <w:p w14:paraId="74201736"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0E277AD7" w14:textId="77777777" w:rsidR="00676422" w:rsidRPr="001216DA" w:rsidRDefault="00676422" w:rsidP="00A467EE">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2.1</w:t>
            </w:r>
          </w:p>
        </w:tc>
      </w:tr>
      <w:tr w:rsidR="00676422" w:rsidRPr="00A0201D" w14:paraId="0AD11EFD" w14:textId="77777777" w:rsidTr="00A467EE">
        <w:tc>
          <w:tcPr>
            <w:tcW w:w="529" w:type="dxa"/>
            <w:vMerge/>
            <w:shd w:val="clear" w:color="auto" w:fill="auto"/>
            <w:vAlign w:val="center"/>
          </w:tcPr>
          <w:p w14:paraId="6EB4BFCC" w14:textId="77777777" w:rsidR="00676422" w:rsidRPr="00331330"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272EE32E"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4CCE2F1B"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CF1FF05" w14:textId="77777777" w:rsidR="00676422" w:rsidRPr="00A0201D" w:rsidRDefault="00676422" w:rsidP="00A467EE">
            <w:pPr>
              <w:pStyle w:val="TableParagraph"/>
              <w:spacing w:before="32"/>
              <w:jc w:val="center"/>
              <w:rPr>
                <w:rFonts w:ascii="Times New Roman" w:eastAsia="Times New Roman" w:hAnsi="Times New Roman"/>
                <w:sz w:val="16"/>
                <w:szCs w:val="16"/>
              </w:rPr>
            </w:pPr>
            <w:r w:rsidRPr="00A0201D">
              <w:rPr>
                <w:rFonts w:ascii="Times New Roman" w:eastAsia="Times New Roman" w:hAnsi="Times New Roman"/>
                <w:sz w:val="16"/>
                <w:szCs w:val="16"/>
              </w:rPr>
              <w:t># 4</w:t>
            </w:r>
          </w:p>
        </w:tc>
      </w:tr>
      <w:tr w:rsidR="00676422" w:rsidRPr="001216DA" w14:paraId="6D9CFD95" w14:textId="77777777" w:rsidTr="00A467EE">
        <w:tc>
          <w:tcPr>
            <w:tcW w:w="529" w:type="dxa"/>
            <w:vMerge w:val="restart"/>
            <w:shd w:val="clear" w:color="auto" w:fill="auto"/>
            <w:vAlign w:val="center"/>
          </w:tcPr>
          <w:p w14:paraId="139E7DEB" w14:textId="77777777" w:rsidR="00676422" w:rsidRPr="00331330" w:rsidRDefault="00676422" w:rsidP="00A467EE">
            <w:pPr>
              <w:jc w:val="center"/>
              <w:rPr>
                <w:rFonts w:ascii="Times New Roman" w:eastAsia="Calibri" w:hAnsi="Times New Roman"/>
                <w:sz w:val="22"/>
                <w:lang w:val="en-US"/>
              </w:rPr>
            </w:pPr>
            <w:r w:rsidRPr="00331330">
              <w:rPr>
                <w:rFonts w:ascii="Times New Roman" w:hAnsi="Times New Roman"/>
                <w:sz w:val="16"/>
                <w:lang w:val="en-US"/>
              </w:rPr>
              <w:t>4</w:t>
            </w:r>
          </w:p>
        </w:tc>
        <w:tc>
          <w:tcPr>
            <w:tcW w:w="5550" w:type="dxa"/>
            <w:vMerge w:val="restart"/>
            <w:shd w:val="clear" w:color="auto" w:fill="auto"/>
            <w:vAlign w:val="center"/>
          </w:tcPr>
          <w:p w14:paraId="42516814"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Other capital instruments?</w:t>
            </w:r>
          </w:p>
        </w:tc>
        <w:tc>
          <w:tcPr>
            <w:tcW w:w="1305" w:type="dxa"/>
            <w:shd w:val="clear" w:color="auto" w:fill="auto"/>
            <w:vAlign w:val="center"/>
          </w:tcPr>
          <w:p w14:paraId="48129A96"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0CC145BC" w14:textId="77777777" w:rsidR="00676422" w:rsidRPr="001216DA"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2.1</w:t>
            </w:r>
          </w:p>
        </w:tc>
      </w:tr>
      <w:tr w:rsidR="00676422" w:rsidRPr="00F624BF" w14:paraId="64A74583" w14:textId="77777777" w:rsidTr="00A467EE">
        <w:tc>
          <w:tcPr>
            <w:tcW w:w="529" w:type="dxa"/>
            <w:vMerge/>
            <w:shd w:val="clear" w:color="auto" w:fill="auto"/>
            <w:vAlign w:val="center"/>
          </w:tcPr>
          <w:p w14:paraId="3AB9377D" w14:textId="77777777" w:rsidR="00676422" w:rsidRPr="00331330"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6E9281B6"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05871204"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29CAD056" w14:textId="77777777" w:rsidR="00676422" w:rsidRPr="00F624BF"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5</w:t>
            </w:r>
          </w:p>
        </w:tc>
      </w:tr>
      <w:tr w:rsidR="00676422" w:rsidRPr="00CF4798" w14:paraId="13EF3F11" w14:textId="77777777" w:rsidTr="00A467EE">
        <w:tc>
          <w:tcPr>
            <w:tcW w:w="529" w:type="dxa"/>
            <w:vMerge w:val="restart"/>
            <w:shd w:val="clear" w:color="auto" w:fill="auto"/>
            <w:vAlign w:val="center"/>
          </w:tcPr>
          <w:p w14:paraId="00229D5E" w14:textId="77777777" w:rsidR="00676422" w:rsidRPr="00331330" w:rsidRDefault="00676422" w:rsidP="00A467EE">
            <w:pPr>
              <w:jc w:val="center"/>
              <w:rPr>
                <w:rFonts w:ascii="Times New Roman" w:eastAsia="Calibri" w:hAnsi="Times New Roman"/>
                <w:szCs w:val="18"/>
                <w:lang w:val="en-US"/>
              </w:rPr>
            </w:pPr>
            <w:r w:rsidRPr="00331330">
              <w:rPr>
                <w:rFonts w:ascii="Times New Roman" w:eastAsia="Calibri" w:hAnsi="Times New Roman"/>
                <w:szCs w:val="18"/>
                <w:lang w:val="en-US"/>
              </w:rPr>
              <w:t>5</w:t>
            </w:r>
          </w:p>
        </w:tc>
        <w:tc>
          <w:tcPr>
            <w:tcW w:w="5550" w:type="dxa"/>
            <w:vMerge w:val="restart"/>
            <w:shd w:val="clear" w:color="auto" w:fill="auto"/>
            <w:vAlign w:val="center"/>
          </w:tcPr>
          <w:p w14:paraId="4AFBCC68" w14:textId="77777777" w:rsidR="00676422" w:rsidRPr="001216DA"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A liability</w:t>
            </w:r>
            <w:r w:rsidRPr="00CF4E2F">
              <w:rPr>
                <w:rFonts w:ascii="Times New Roman" w:eastAsia="Calibri" w:hAnsi="Times New Roman"/>
                <w:sz w:val="16"/>
                <w:szCs w:val="16"/>
                <w:lang w:val="en-US"/>
              </w:rPr>
              <w:t xml:space="preserve"> as</w:t>
            </w:r>
            <w:r>
              <w:rPr>
                <w:rFonts w:ascii="Times New Roman" w:eastAsia="Calibri" w:hAnsi="Times New Roman"/>
                <w:sz w:val="16"/>
                <w:szCs w:val="16"/>
                <w:lang w:val="en-US"/>
              </w:rPr>
              <w:t>sociated with collateral received</w:t>
            </w:r>
            <w:r w:rsidRPr="001A257C">
              <w:rPr>
                <w:rFonts w:ascii="Times New Roman" w:eastAsia="Calibri" w:hAnsi="Times New Roman"/>
                <w:sz w:val="16"/>
                <w:szCs w:val="16"/>
                <w:lang w:val="en-US"/>
              </w:rPr>
              <w:t xml:space="preserve"> as variation margin for derivatives?</w:t>
            </w:r>
          </w:p>
        </w:tc>
        <w:tc>
          <w:tcPr>
            <w:tcW w:w="1305" w:type="dxa"/>
            <w:shd w:val="clear" w:color="auto" w:fill="auto"/>
            <w:vAlign w:val="center"/>
          </w:tcPr>
          <w:p w14:paraId="38DD8088" w14:textId="77777777" w:rsidR="00676422" w:rsidRPr="001A257C" w:rsidRDefault="00676422" w:rsidP="00A467EE">
            <w:pPr>
              <w:pStyle w:val="TableParagraph"/>
              <w:spacing w:before="32"/>
              <w:jc w:val="center"/>
              <w:rPr>
                <w:rFonts w:ascii="Times New Roman" w:eastAsia="Times New Roman" w:hAnsi="Times New Roman"/>
                <w:sz w:val="16"/>
                <w:szCs w:val="16"/>
              </w:rPr>
            </w:pPr>
            <w:r w:rsidRPr="001A257C">
              <w:rPr>
                <w:rFonts w:ascii="Times New Roman" w:eastAsia="Times New Roman" w:hAnsi="Times New Roman"/>
                <w:sz w:val="16"/>
                <w:szCs w:val="16"/>
              </w:rPr>
              <w:t>Yes</w:t>
            </w:r>
          </w:p>
        </w:tc>
        <w:tc>
          <w:tcPr>
            <w:tcW w:w="2222" w:type="dxa"/>
            <w:shd w:val="clear" w:color="auto" w:fill="auto"/>
            <w:vAlign w:val="center"/>
          </w:tcPr>
          <w:p w14:paraId="2498C5F6" w14:textId="77777777" w:rsidR="00676422" w:rsidRPr="00CF4798"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Do not report.</w:t>
            </w:r>
          </w:p>
        </w:tc>
      </w:tr>
      <w:tr w:rsidR="00676422" w:rsidRPr="00AB30A7" w14:paraId="1338973B" w14:textId="77777777" w:rsidTr="00A467EE">
        <w:tc>
          <w:tcPr>
            <w:tcW w:w="529" w:type="dxa"/>
            <w:vMerge/>
            <w:shd w:val="clear" w:color="auto" w:fill="auto"/>
            <w:vAlign w:val="center"/>
          </w:tcPr>
          <w:p w14:paraId="5C533AB4" w14:textId="77777777" w:rsidR="00676422" w:rsidRPr="00331330"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7FFFE8D3"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1793D3E7"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D34F21A" w14:textId="77777777" w:rsidR="00676422" w:rsidRPr="00AB30A7"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6</w:t>
            </w:r>
          </w:p>
        </w:tc>
      </w:tr>
      <w:tr w:rsidR="00676422" w:rsidRPr="00A0201D" w14:paraId="357B4D23" w14:textId="77777777" w:rsidTr="00A467EE">
        <w:tc>
          <w:tcPr>
            <w:tcW w:w="529" w:type="dxa"/>
            <w:vMerge w:val="restart"/>
            <w:shd w:val="clear" w:color="auto" w:fill="auto"/>
            <w:vAlign w:val="center"/>
          </w:tcPr>
          <w:p w14:paraId="7D0E665B" w14:textId="77777777" w:rsidR="00676422" w:rsidRPr="00CF4E2F" w:rsidRDefault="00676422" w:rsidP="00A467EE">
            <w:pPr>
              <w:pStyle w:val="TableParagraph"/>
              <w:ind w:left="7"/>
              <w:jc w:val="center"/>
              <w:rPr>
                <w:rFonts w:ascii="Times New Roman" w:eastAsia="Times New Roman" w:hAnsi="Times New Roman"/>
                <w:sz w:val="16"/>
                <w:szCs w:val="16"/>
              </w:rPr>
            </w:pPr>
            <w:r w:rsidRPr="00CF4E2F">
              <w:rPr>
                <w:rFonts w:ascii="Times New Roman" w:hAnsi="Times New Roman"/>
                <w:sz w:val="16"/>
              </w:rPr>
              <w:t>6</w:t>
            </w:r>
          </w:p>
        </w:tc>
        <w:tc>
          <w:tcPr>
            <w:tcW w:w="5550" w:type="dxa"/>
            <w:vMerge w:val="restart"/>
            <w:shd w:val="clear" w:color="auto" w:fill="auto"/>
            <w:vAlign w:val="center"/>
          </w:tcPr>
          <w:p w14:paraId="2C79AC8B" w14:textId="77777777" w:rsidR="00676422" w:rsidRPr="001216DA" w:rsidRDefault="00676422" w:rsidP="00A467EE">
            <w:pPr>
              <w:pStyle w:val="TableParagraph"/>
              <w:ind w:left="243"/>
              <w:jc w:val="center"/>
              <w:rPr>
                <w:rFonts w:ascii="Times New Roman" w:eastAsia="Times New Roman" w:hAnsi="Times New Roman"/>
                <w:sz w:val="16"/>
                <w:szCs w:val="16"/>
              </w:rPr>
            </w:pPr>
            <w:r>
              <w:rPr>
                <w:rFonts w:ascii="Times New Roman" w:eastAsia="Times New Roman" w:hAnsi="Times New Roman"/>
                <w:sz w:val="16"/>
                <w:szCs w:val="16"/>
              </w:rPr>
              <w:t>Trade date payables</w:t>
            </w:r>
            <w:r w:rsidRPr="00A0201D">
              <w:rPr>
                <w:rFonts w:ascii="Times New Roman" w:eastAsia="Times New Roman" w:hAnsi="Times New Roman"/>
                <w:sz w:val="16"/>
                <w:szCs w:val="16"/>
              </w:rPr>
              <w:t>?</w:t>
            </w:r>
          </w:p>
        </w:tc>
        <w:tc>
          <w:tcPr>
            <w:tcW w:w="1305" w:type="dxa"/>
            <w:shd w:val="clear" w:color="auto" w:fill="auto"/>
            <w:vAlign w:val="center"/>
          </w:tcPr>
          <w:p w14:paraId="52DD1129" w14:textId="77777777" w:rsidR="00676422" w:rsidRPr="0040192D" w:rsidRDefault="00676422" w:rsidP="00A467EE">
            <w:pPr>
              <w:pStyle w:val="TableParagraph"/>
              <w:spacing w:before="123"/>
              <w:jc w:val="center"/>
              <w:rPr>
                <w:rFonts w:ascii="Times New Roman" w:eastAsia="Times New Roman" w:hAnsi="Times New Roman"/>
                <w:sz w:val="16"/>
                <w:szCs w:val="16"/>
              </w:rPr>
            </w:pPr>
            <w:r w:rsidRPr="0040192D">
              <w:rPr>
                <w:rFonts w:ascii="Times New Roman" w:eastAsia="Times New Roman" w:hAnsi="Times New Roman"/>
                <w:sz w:val="16"/>
                <w:szCs w:val="16"/>
              </w:rPr>
              <w:t>Yes</w:t>
            </w:r>
          </w:p>
        </w:tc>
        <w:tc>
          <w:tcPr>
            <w:tcW w:w="2222" w:type="dxa"/>
            <w:shd w:val="clear" w:color="auto" w:fill="auto"/>
            <w:vAlign w:val="center"/>
          </w:tcPr>
          <w:p w14:paraId="05E8225F" w14:textId="77777777" w:rsidR="00676422" w:rsidRPr="00A0201D" w:rsidRDefault="00676422" w:rsidP="00A467EE">
            <w:pPr>
              <w:pStyle w:val="TableParagraph"/>
              <w:spacing w:before="37"/>
              <w:ind w:right="261"/>
              <w:jc w:val="center"/>
              <w:rPr>
                <w:rFonts w:ascii="Times New Roman" w:eastAsia="Times New Roman" w:hAnsi="Times New Roman"/>
                <w:sz w:val="16"/>
                <w:szCs w:val="16"/>
              </w:rPr>
            </w:pPr>
            <w:r>
              <w:rPr>
                <w:rFonts w:ascii="Times New Roman" w:eastAsia="Times New Roman" w:hAnsi="Times New Roman"/>
                <w:sz w:val="16"/>
                <w:szCs w:val="16"/>
              </w:rPr>
              <w:t>ID 2.9</w:t>
            </w:r>
          </w:p>
        </w:tc>
      </w:tr>
      <w:tr w:rsidR="00676422" w:rsidRPr="00AB30A7" w14:paraId="52923A4C" w14:textId="77777777" w:rsidTr="00A467EE">
        <w:tc>
          <w:tcPr>
            <w:tcW w:w="529" w:type="dxa"/>
            <w:vMerge/>
            <w:shd w:val="clear" w:color="auto" w:fill="auto"/>
            <w:vAlign w:val="center"/>
          </w:tcPr>
          <w:p w14:paraId="564AFB26" w14:textId="77777777" w:rsidR="00676422" w:rsidRPr="00331330"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1591CCEE" w14:textId="77777777" w:rsidR="00676422" w:rsidRPr="00331330" w:rsidRDefault="00676422" w:rsidP="00A467EE">
            <w:pPr>
              <w:jc w:val="center"/>
              <w:rPr>
                <w:rFonts w:ascii="Times New Roman" w:eastAsia="Calibri" w:hAnsi="Times New Roman"/>
                <w:sz w:val="22"/>
                <w:lang w:val="en-US"/>
              </w:rPr>
            </w:pPr>
          </w:p>
        </w:tc>
        <w:tc>
          <w:tcPr>
            <w:tcW w:w="1305" w:type="dxa"/>
            <w:shd w:val="clear" w:color="auto" w:fill="auto"/>
            <w:vAlign w:val="center"/>
          </w:tcPr>
          <w:p w14:paraId="156F7E10" w14:textId="77777777" w:rsidR="00676422" w:rsidRPr="00CF4E2F" w:rsidRDefault="00676422" w:rsidP="00A467EE">
            <w:pPr>
              <w:pStyle w:val="TableParagraph"/>
              <w:spacing w:before="32"/>
              <w:jc w:val="center"/>
              <w:rPr>
                <w:rFonts w:ascii="Times New Roman" w:hAnsi="Times New Roman"/>
                <w:sz w:val="16"/>
              </w:rPr>
            </w:pPr>
            <w:r w:rsidRPr="00CF4E2F">
              <w:rPr>
                <w:rFonts w:ascii="Times New Roman" w:hAnsi="Times New Roman"/>
                <w:sz w:val="16"/>
              </w:rPr>
              <w:t>No</w:t>
            </w:r>
          </w:p>
        </w:tc>
        <w:tc>
          <w:tcPr>
            <w:tcW w:w="2222" w:type="dxa"/>
            <w:shd w:val="clear" w:color="auto" w:fill="auto"/>
            <w:vAlign w:val="center"/>
          </w:tcPr>
          <w:p w14:paraId="7143D6BE" w14:textId="77777777" w:rsidR="00676422" w:rsidRPr="00AB30A7" w:rsidRDefault="00676422" w:rsidP="00A467EE">
            <w:pPr>
              <w:pStyle w:val="TableParagraph"/>
              <w:spacing w:before="32"/>
              <w:jc w:val="center"/>
              <w:rPr>
                <w:rFonts w:ascii="Times New Roman" w:hAnsi="Times New Roman"/>
                <w:sz w:val="16"/>
              </w:rPr>
            </w:pPr>
            <w:r>
              <w:rPr>
                <w:rFonts w:ascii="Times New Roman" w:eastAsia="Times New Roman" w:hAnsi="Times New Roman"/>
                <w:sz w:val="16"/>
                <w:szCs w:val="16"/>
              </w:rPr>
              <w:t># 7</w:t>
            </w:r>
          </w:p>
        </w:tc>
      </w:tr>
      <w:tr w:rsidR="00676422" w:rsidRPr="00AB30A7" w14:paraId="0B1464DE" w14:textId="77777777" w:rsidTr="00A467EE">
        <w:tc>
          <w:tcPr>
            <w:tcW w:w="529" w:type="dxa"/>
            <w:vMerge w:val="restart"/>
            <w:shd w:val="clear" w:color="auto" w:fill="auto"/>
            <w:vAlign w:val="center"/>
          </w:tcPr>
          <w:p w14:paraId="4ED35870"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7</w:t>
            </w:r>
          </w:p>
        </w:tc>
        <w:tc>
          <w:tcPr>
            <w:tcW w:w="5550" w:type="dxa"/>
            <w:vMerge w:val="restart"/>
            <w:shd w:val="clear" w:color="auto" w:fill="auto"/>
            <w:vAlign w:val="center"/>
          </w:tcPr>
          <w:p w14:paraId="1CF4B0EF" w14:textId="6902BAF5" w:rsidR="00676422" w:rsidRPr="00331330" w:rsidRDefault="005951C0"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Authorized interdependent liability</w:t>
            </w:r>
            <w:r w:rsidRPr="00A0201D">
              <w:rPr>
                <w:rFonts w:ascii="Times New Roman" w:eastAsia="Calibri" w:hAnsi="Times New Roman"/>
                <w:sz w:val="16"/>
                <w:szCs w:val="16"/>
                <w:lang w:val="en-US"/>
              </w:rPr>
              <w:t>?</w:t>
            </w:r>
          </w:p>
        </w:tc>
        <w:tc>
          <w:tcPr>
            <w:tcW w:w="1305" w:type="dxa"/>
            <w:shd w:val="clear" w:color="auto" w:fill="auto"/>
            <w:vAlign w:val="center"/>
          </w:tcPr>
          <w:p w14:paraId="7234780B"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61EE392D" w14:textId="218BB3E9"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szCs w:val="16"/>
              </w:rPr>
              <w:t>ID 2.8</w:t>
            </w:r>
          </w:p>
        </w:tc>
      </w:tr>
      <w:tr w:rsidR="00676422" w:rsidRPr="00AB30A7" w14:paraId="0CB140E2" w14:textId="77777777" w:rsidTr="00A467EE">
        <w:tc>
          <w:tcPr>
            <w:tcW w:w="529" w:type="dxa"/>
            <w:vMerge/>
            <w:shd w:val="clear" w:color="auto" w:fill="auto"/>
            <w:vAlign w:val="center"/>
          </w:tcPr>
          <w:p w14:paraId="286E533E"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2B7C4D03"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5AA33D9C"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437F7B7D" w14:textId="77777777" w:rsidR="00676422" w:rsidRPr="00AB30A7" w:rsidRDefault="00676422" w:rsidP="00A467EE">
            <w:pPr>
              <w:pStyle w:val="TableParagraph"/>
              <w:spacing w:before="32"/>
              <w:jc w:val="center"/>
              <w:rPr>
                <w:rFonts w:ascii="Times New Roman" w:hAnsi="Times New Roman"/>
                <w:sz w:val="16"/>
              </w:rPr>
            </w:pPr>
            <w:r>
              <w:rPr>
                <w:rFonts w:ascii="Times New Roman" w:eastAsia="Times New Roman" w:hAnsi="Times New Roman"/>
                <w:sz w:val="16"/>
                <w:szCs w:val="16"/>
              </w:rPr>
              <w:t># 8</w:t>
            </w:r>
          </w:p>
        </w:tc>
      </w:tr>
      <w:tr w:rsidR="00676422" w:rsidRPr="00AB30A7" w14:paraId="35204156" w14:textId="77777777" w:rsidTr="00A467EE">
        <w:tc>
          <w:tcPr>
            <w:tcW w:w="529" w:type="dxa"/>
            <w:vMerge w:val="restart"/>
            <w:shd w:val="clear" w:color="auto" w:fill="auto"/>
            <w:vAlign w:val="center"/>
          </w:tcPr>
          <w:p w14:paraId="0712C2BF"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8</w:t>
            </w:r>
          </w:p>
        </w:tc>
        <w:tc>
          <w:tcPr>
            <w:tcW w:w="5550" w:type="dxa"/>
            <w:vMerge w:val="restart"/>
            <w:shd w:val="clear" w:color="auto" w:fill="auto"/>
            <w:vAlign w:val="center"/>
          </w:tcPr>
          <w:p w14:paraId="75C5C60B" w14:textId="5542E9A8" w:rsidR="00676422" w:rsidRPr="005951C0" w:rsidRDefault="005951C0" w:rsidP="00A467EE">
            <w:pPr>
              <w:jc w:val="center"/>
              <w:rPr>
                <w:rFonts w:ascii="Times New Roman" w:eastAsia="Calibri" w:hAnsi="Times New Roman"/>
                <w:sz w:val="16"/>
                <w:szCs w:val="16"/>
              </w:rPr>
            </w:pPr>
            <w:r>
              <w:rPr>
                <w:rFonts w:ascii="Times New Roman" w:eastAsia="Calibri" w:hAnsi="Times New Roman"/>
                <w:sz w:val="16"/>
                <w:szCs w:val="16"/>
                <w:lang w:val="en-US"/>
              </w:rPr>
              <w:t>Liabilities</w:t>
            </w:r>
            <w:r w:rsidRPr="00A0201D">
              <w:rPr>
                <w:rFonts w:ascii="Times New Roman" w:eastAsia="Calibri" w:hAnsi="Times New Roman"/>
                <w:sz w:val="16"/>
                <w:szCs w:val="16"/>
                <w:lang w:val="en-US"/>
              </w:rPr>
              <w:t xml:space="preserve"> </w:t>
            </w:r>
            <w:r w:rsidR="003B3180">
              <w:rPr>
                <w:rFonts w:ascii="Times New Roman" w:eastAsia="Calibri" w:hAnsi="Times New Roman"/>
                <w:sz w:val="16"/>
                <w:szCs w:val="16"/>
                <w:lang w:val="en-US"/>
              </w:rPr>
              <w:t xml:space="preserve">and committed facilities </w:t>
            </w:r>
            <w:r w:rsidRPr="00A0201D">
              <w:rPr>
                <w:rFonts w:ascii="Times New Roman" w:eastAsia="Calibri" w:hAnsi="Times New Roman"/>
                <w:sz w:val="16"/>
                <w:szCs w:val="16"/>
                <w:lang w:val="en-US"/>
              </w:rPr>
              <w:t xml:space="preserve">within a group or an IPS </w:t>
            </w:r>
            <w:r>
              <w:rPr>
                <w:rFonts w:ascii="Times New Roman" w:eastAsia="Calibri" w:hAnsi="Times New Roman"/>
                <w:sz w:val="16"/>
                <w:szCs w:val="16"/>
                <w:lang w:val="en-US"/>
              </w:rPr>
              <w:t>for which the competent authority has granted the preferential treatment</w:t>
            </w:r>
            <w:r w:rsidRPr="00A0201D">
              <w:rPr>
                <w:rFonts w:ascii="Times New Roman" w:eastAsia="Calibri" w:hAnsi="Times New Roman"/>
                <w:sz w:val="16"/>
                <w:szCs w:val="16"/>
                <w:lang w:val="en-US"/>
              </w:rPr>
              <w:t>?</w:t>
            </w:r>
          </w:p>
        </w:tc>
        <w:tc>
          <w:tcPr>
            <w:tcW w:w="1305" w:type="dxa"/>
            <w:shd w:val="clear" w:color="auto" w:fill="auto"/>
            <w:vAlign w:val="center"/>
          </w:tcPr>
          <w:p w14:paraId="3F4B77BA"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4D3CEB6B"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ID 2.5</w:t>
            </w:r>
          </w:p>
        </w:tc>
      </w:tr>
      <w:tr w:rsidR="00676422" w:rsidRPr="00AB30A7" w14:paraId="322F23F7" w14:textId="77777777" w:rsidTr="00A467EE">
        <w:tc>
          <w:tcPr>
            <w:tcW w:w="529" w:type="dxa"/>
            <w:vMerge/>
            <w:shd w:val="clear" w:color="auto" w:fill="auto"/>
            <w:vAlign w:val="center"/>
          </w:tcPr>
          <w:p w14:paraId="31775570"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4A157152"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33A92324"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7AB5F96F" w14:textId="77777777" w:rsidR="00676422" w:rsidRPr="00AB30A7" w:rsidRDefault="00676422" w:rsidP="00A467EE">
            <w:pPr>
              <w:pStyle w:val="TableParagraph"/>
              <w:spacing w:before="32"/>
              <w:jc w:val="center"/>
              <w:rPr>
                <w:rFonts w:ascii="Times New Roman" w:hAnsi="Times New Roman"/>
                <w:sz w:val="16"/>
              </w:rPr>
            </w:pPr>
            <w:r>
              <w:rPr>
                <w:rFonts w:ascii="Times New Roman" w:eastAsia="Times New Roman" w:hAnsi="Times New Roman"/>
                <w:sz w:val="16"/>
                <w:szCs w:val="16"/>
              </w:rPr>
              <w:t># 9</w:t>
            </w:r>
          </w:p>
        </w:tc>
      </w:tr>
      <w:tr w:rsidR="00676422" w:rsidRPr="00AB30A7" w14:paraId="25EE1AD3" w14:textId="77777777" w:rsidTr="00A467EE">
        <w:tc>
          <w:tcPr>
            <w:tcW w:w="529" w:type="dxa"/>
            <w:vMerge w:val="restart"/>
            <w:shd w:val="clear" w:color="auto" w:fill="auto"/>
            <w:vAlign w:val="center"/>
          </w:tcPr>
          <w:p w14:paraId="55839252"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9</w:t>
            </w:r>
          </w:p>
        </w:tc>
        <w:tc>
          <w:tcPr>
            <w:tcW w:w="5550" w:type="dxa"/>
            <w:vMerge w:val="restart"/>
            <w:shd w:val="clear" w:color="auto" w:fill="auto"/>
            <w:vAlign w:val="center"/>
          </w:tcPr>
          <w:p w14:paraId="33913A97"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NSFR derivative liabilities?</w:t>
            </w:r>
          </w:p>
        </w:tc>
        <w:tc>
          <w:tcPr>
            <w:tcW w:w="1305" w:type="dxa"/>
            <w:shd w:val="clear" w:color="auto" w:fill="auto"/>
            <w:vAlign w:val="center"/>
          </w:tcPr>
          <w:p w14:paraId="658194C9"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3735CC5F"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ID 2.9</w:t>
            </w:r>
          </w:p>
        </w:tc>
      </w:tr>
      <w:tr w:rsidR="00676422" w:rsidRPr="00AB30A7" w14:paraId="2D9899B4" w14:textId="77777777" w:rsidTr="00A467EE">
        <w:tc>
          <w:tcPr>
            <w:tcW w:w="529" w:type="dxa"/>
            <w:vMerge/>
            <w:shd w:val="clear" w:color="auto" w:fill="auto"/>
            <w:vAlign w:val="center"/>
          </w:tcPr>
          <w:p w14:paraId="3A87E0FA" w14:textId="77777777" w:rsidR="00676422" w:rsidRPr="00A0201D"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09CEA5E0"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57BE27B0"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35057650" w14:textId="77777777" w:rsidR="00676422" w:rsidRPr="00AB30A7" w:rsidRDefault="00676422" w:rsidP="00A467EE">
            <w:pPr>
              <w:pStyle w:val="TableParagraph"/>
              <w:spacing w:before="32"/>
              <w:jc w:val="center"/>
              <w:rPr>
                <w:rFonts w:ascii="Times New Roman" w:hAnsi="Times New Roman"/>
                <w:sz w:val="16"/>
              </w:rPr>
            </w:pPr>
            <w:r>
              <w:rPr>
                <w:rFonts w:ascii="Times New Roman" w:eastAsia="Times New Roman" w:hAnsi="Times New Roman"/>
                <w:sz w:val="16"/>
                <w:szCs w:val="16"/>
              </w:rPr>
              <w:t># 10</w:t>
            </w:r>
          </w:p>
        </w:tc>
      </w:tr>
      <w:tr w:rsidR="00676422" w14:paraId="2B9913B2" w14:textId="77777777" w:rsidTr="00A467EE">
        <w:tc>
          <w:tcPr>
            <w:tcW w:w="529" w:type="dxa"/>
            <w:vMerge w:val="restart"/>
            <w:shd w:val="clear" w:color="auto" w:fill="auto"/>
            <w:vAlign w:val="center"/>
          </w:tcPr>
          <w:p w14:paraId="524D6289"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10</w:t>
            </w:r>
          </w:p>
        </w:tc>
        <w:tc>
          <w:tcPr>
            <w:tcW w:w="5550" w:type="dxa"/>
            <w:vMerge w:val="restart"/>
            <w:shd w:val="clear" w:color="auto" w:fill="auto"/>
            <w:vAlign w:val="center"/>
          </w:tcPr>
          <w:p w14:paraId="7DC9FAEE"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Deferred tax liabilities?</w:t>
            </w:r>
          </w:p>
        </w:tc>
        <w:tc>
          <w:tcPr>
            <w:tcW w:w="1305" w:type="dxa"/>
            <w:shd w:val="clear" w:color="auto" w:fill="auto"/>
            <w:vAlign w:val="center"/>
          </w:tcPr>
          <w:p w14:paraId="48AC8282"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1D178D6B" w14:textId="77777777" w:rsidR="00676422"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2.9</w:t>
            </w:r>
          </w:p>
        </w:tc>
      </w:tr>
      <w:tr w:rsidR="00676422" w14:paraId="736A4D81" w14:textId="77777777" w:rsidTr="00A467EE">
        <w:tc>
          <w:tcPr>
            <w:tcW w:w="529" w:type="dxa"/>
            <w:vMerge/>
            <w:shd w:val="clear" w:color="auto" w:fill="auto"/>
            <w:vAlign w:val="center"/>
          </w:tcPr>
          <w:p w14:paraId="2A9554A1"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3DDC6A79"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4BED7075"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6F0023CC" w14:textId="77777777" w:rsidR="00676422"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11</w:t>
            </w:r>
          </w:p>
        </w:tc>
      </w:tr>
      <w:tr w:rsidR="00676422" w14:paraId="49445E79" w14:textId="77777777" w:rsidTr="00A467EE">
        <w:tc>
          <w:tcPr>
            <w:tcW w:w="529" w:type="dxa"/>
            <w:vMerge w:val="restart"/>
            <w:shd w:val="clear" w:color="auto" w:fill="auto"/>
            <w:vAlign w:val="center"/>
          </w:tcPr>
          <w:p w14:paraId="502C4C91"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11</w:t>
            </w:r>
          </w:p>
        </w:tc>
        <w:tc>
          <w:tcPr>
            <w:tcW w:w="5550" w:type="dxa"/>
            <w:vMerge w:val="restart"/>
            <w:shd w:val="clear" w:color="auto" w:fill="auto"/>
            <w:vAlign w:val="center"/>
          </w:tcPr>
          <w:p w14:paraId="4E823682" w14:textId="6F198EDB" w:rsidR="00676422" w:rsidRPr="00331330" w:rsidRDefault="00676422" w:rsidP="00055923">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Minority interest?</w:t>
            </w:r>
          </w:p>
        </w:tc>
        <w:tc>
          <w:tcPr>
            <w:tcW w:w="1305" w:type="dxa"/>
            <w:shd w:val="clear" w:color="auto" w:fill="auto"/>
            <w:vAlign w:val="center"/>
          </w:tcPr>
          <w:p w14:paraId="7471FF47"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545B2FC4" w14:textId="77777777" w:rsidR="00676422"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ID 2.9</w:t>
            </w:r>
          </w:p>
        </w:tc>
      </w:tr>
      <w:tr w:rsidR="00676422" w14:paraId="662CBA3F" w14:textId="77777777" w:rsidTr="00A467EE">
        <w:tc>
          <w:tcPr>
            <w:tcW w:w="529" w:type="dxa"/>
            <w:vMerge/>
            <w:shd w:val="clear" w:color="auto" w:fill="auto"/>
            <w:vAlign w:val="center"/>
          </w:tcPr>
          <w:p w14:paraId="5EE933DA" w14:textId="77777777" w:rsidR="00676422"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3377219D"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7C5161B1"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591DC573" w14:textId="77777777" w:rsidR="00676422"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12</w:t>
            </w:r>
          </w:p>
        </w:tc>
      </w:tr>
      <w:tr w:rsidR="00676422" w:rsidRPr="00AB30A7" w14:paraId="351AB6C4" w14:textId="77777777" w:rsidTr="00A467EE">
        <w:tc>
          <w:tcPr>
            <w:tcW w:w="529" w:type="dxa"/>
            <w:vMerge w:val="restart"/>
            <w:shd w:val="clear" w:color="auto" w:fill="auto"/>
            <w:vAlign w:val="center"/>
          </w:tcPr>
          <w:p w14:paraId="5CF1EB2F" w14:textId="77777777" w:rsidR="00676422" w:rsidRPr="00331330" w:rsidRDefault="00676422" w:rsidP="00A467EE">
            <w:pPr>
              <w:jc w:val="center"/>
              <w:rPr>
                <w:rFonts w:ascii="Times New Roman" w:eastAsia="Calibri" w:hAnsi="Times New Roman"/>
                <w:sz w:val="16"/>
                <w:szCs w:val="16"/>
                <w:lang w:val="en-US"/>
              </w:rPr>
            </w:pPr>
            <w:r w:rsidRPr="00FD5DE9">
              <w:rPr>
                <w:rFonts w:ascii="Times New Roman" w:eastAsia="Calibri" w:hAnsi="Times New Roman"/>
                <w:sz w:val="16"/>
                <w:szCs w:val="16"/>
                <w:lang w:val="en-US"/>
              </w:rPr>
              <w:t>1</w:t>
            </w:r>
            <w:r>
              <w:rPr>
                <w:rFonts w:ascii="Times New Roman" w:eastAsia="Calibri" w:hAnsi="Times New Roman"/>
                <w:sz w:val="16"/>
                <w:szCs w:val="16"/>
                <w:lang w:val="en-US"/>
              </w:rPr>
              <w:t>2</w:t>
            </w:r>
          </w:p>
        </w:tc>
        <w:tc>
          <w:tcPr>
            <w:tcW w:w="5550" w:type="dxa"/>
            <w:vMerge w:val="restart"/>
            <w:shd w:val="clear" w:color="auto" w:fill="auto"/>
            <w:vAlign w:val="center"/>
          </w:tcPr>
          <w:p w14:paraId="47D86448"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Stable retail deposits?</w:t>
            </w:r>
          </w:p>
        </w:tc>
        <w:tc>
          <w:tcPr>
            <w:tcW w:w="1305" w:type="dxa"/>
            <w:shd w:val="clear" w:color="auto" w:fill="auto"/>
            <w:vAlign w:val="center"/>
          </w:tcPr>
          <w:p w14:paraId="538C01CF"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3D2E525E"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ID 2.2.1</w:t>
            </w:r>
          </w:p>
        </w:tc>
      </w:tr>
      <w:tr w:rsidR="00676422" w:rsidRPr="00AB30A7" w14:paraId="257B931F" w14:textId="77777777" w:rsidTr="00A467EE">
        <w:tc>
          <w:tcPr>
            <w:tcW w:w="529" w:type="dxa"/>
            <w:vMerge/>
            <w:shd w:val="clear" w:color="auto" w:fill="auto"/>
            <w:vAlign w:val="center"/>
          </w:tcPr>
          <w:p w14:paraId="5CE25624" w14:textId="77777777" w:rsidR="00676422" w:rsidRPr="00A0201D"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720F9438"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5AB60CD2" w14:textId="77777777" w:rsidR="00676422" w:rsidRPr="00CF4E2F"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1516C476" w14:textId="77777777" w:rsidR="00676422" w:rsidRPr="00AB30A7" w:rsidRDefault="00676422" w:rsidP="00A467EE">
            <w:pPr>
              <w:pStyle w:val="TableParagraph"/>
              <w:spacing w:before="32"/>
              <w:jc w:val="center"/>
              <w:rPr>
                <w:rFonts w:ascii="Times New Roman" w:hAnsi="Times New Roman"/>
                <w:sz w:val="16"/>
              </w:rPr>
            </w:pPr>
            <w:r>
              <w:rPr>
                <w:rFonts w:ascii="Times New Roman" w:eastAsia="Times New Roman" w:hAnsi="Times New Roman"/>
                <w:sz w:val="16"/>
                <w:szCs w:val="16"/>
              </w:rPr>
              <w:t># 13</w:t>
            </w:r>
          </w:p>
        </w:tc>
      </w:tr>
      <w:tr w:rsidR="00676422" w:rsidRPr="00AB30A7" w14:paraId="31D1877F" w14:textId="77777777" w:rsidTr="00A467EE">
        <w:tc>
          <w:tcPr>
            <w:tcW w:w="529" w:type="dxa"/>
            <w:vMerge w:val="restart"/>
            <w:shd w:val="clear" w:color="auto" w:fill="auto"/>
            <w:vAlign w:val="center"/>
          </w:tcPr>
          <w:p w14:paraId="10C7E534"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13</w:t>
            </w:r>
          </w:p>
        </w:tc>
        <w:tc>
          <w:tcPr>
            <w:tcW w:w="5550" w:type="dxa"/>
            <w:vMerge w:val="restart"/>
            <w:shd w:val="clear" w:color="auto" w:fill="auto"/>
            <w:vAlign w:val="center"/>
          </w:tcPr>
          <w:p w14:paraId="5FB0C6AB"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Other retail deposits?</w:t>
            </w:r>
          </w:p>
        </w:tc>
        <w:tc>
          <w:tcPr>
            <w:tcW w:w="1305" w:type="dxa"/>
            <w:shd w:val="clear" w:color="auto" w:fill="auto"/>
            <w:vAlign w:val="center"/>
          </w:tcPr>
          <w:p w14:paraId="1BC2729A"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0DB347AE"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ID 2.2.2</w:t>
            </w:r>
          </w:p>
        </w:tc>
      </w:tr>
      <w:tr w:rsidR="00676422" w:rsidRPr="00AB30A7" w14:paraId="22A989AB" w14:textId="77777777" w:rsidTr="00A467EE">
        <w:tc>
          <w:tcPr>
            <w:tcW w:w="529" w:type="dxa"/>
            <w:vMerge/>
            <w:shd w:val="clear" w:color="auto" w:fill="auto"/>
            <w:vAlign w:val="center"/>
          </w:tcPr>
          <w:p w14:paraId="4E47F032"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38D69EEF"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1C9BF877"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2697A534"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 14</w:t>
            </w:r>
          </w:p>
        </w:tc>
      </w:tr>
      <w:tr w:rsidR="00676422" w:rsidRPr="001216DA" w14:paraId="361AD331" w14:textId="77777777" w:rsidTr="00A467EE">
        <w:trPr>
          <w:trHeight w:val="130"/>
        </w:trPr>
        <w:tc>
          <w:tcPr>
            <w:tcW w:w="529" w:type="dxa"/>
            <w:vMerge w:val="restart"/>
            <w:shd w:val="clear" w:color="auto" w:fill="auto"/>
            <w:vAlign w:val="center"/>
          </w:tcPr>
          <w:p w14:paraId="5D132D6D"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w:t>
            </w:r>
            <w:r>
              <w:rPr>
                <w:rFonts w:ascii="Times New Roman" w:eastAsia="Calibri" w:hAnsi="Times New Roman"/>
                <w:sz w:val="16"/>
                <w:szCs w:val="16"/>
                <w:lang w:val="en-US"/>
              </w:rPr>
              <w:t>4</w:t>
            </w:r>
          </w:p>
        </w:tc>
        <w:tc>
          <w:tcPr>
            <w:tcW w:w="5550" w:type="dxa"/>
            <w:vMerge w:val="restart"/>
            <w:shd w:val="clear" w:color="auto" w:fill="auto"/>
            <w:vAlign w:val="center"/>
          </w:tcPr>
          <w:p w14:paraId="43C2934D"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Operational deposits provided by financial or non-financial customers</w:t>
            </w:r>
            <w:r w:rsidRPr="00331330">
              <w:rPr>
                <w:rFonts w:ascii="Times New Roman" w:eastAsia="Calibri" w:hAnsi="Times New Roman"/>
                <w:sz w:val="16"/>
                <w:szCs w:val="16"/>
                <w:lang w:val="en-US"/>
              </w:rPr>
              <w:t>?</w:t>
            </w:r>
          </w:p>
        </w:tc>
        <w:tc>
          <w:tcPr>
            <w:tcW w:w="1305" w:type="dxa"/>
            <w:shd w:val="clear" w:color="auto" w:fill="auto"/>
            <w:vAlign w:val="center"/>
          </w:tcPr>
          <w:p w14:paraId="1A99CF9C"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Yes</w:t>
            </w:r>
          </w:p>
        </w:tc>
        <w:tc>
          <w:tcPr>
            <w:tcW w:w="2222" w:type="dxa"/>
            <w:shd w:val="clear" w:color="auto" w:fill="auto"/>
            <w:vAlign w:val="center"/>
          </w:tcPr>
          <w:p w14:paraId="19BE56F6" w14:textId="77777777" w:rsidR="00676422" w:rsidRPr="001216DA" w:rsidRDefault="00676422" w:rsidP="00A467EE">
            <w:pPr>
              <w:pStyle w:val="TableParagraph"/>
              <w:spacing w:before="32"/>
              <w:jc w:val="center"/>
              <w:rPr>
                <w:rFonts w:ascii="Times New Roman" w:eastAsia="Times New Roman" w:hAnsi="Times New Roman"/>
                <w:sz w:val="16"/>
                <w:szCs w:val="16"/>
              </w:rPr>
            </w:pPr>
            <w:r w:rsidRPr="001216DA">
              <w:rPr>
                <w:rFonts w:ascii="Times New Roman" w:eastAsia="Times New Roman" w:hAnsi="Times New Roman"/>
                <w:sz w:val="16"/>
                <w:szCs w:val="16"/>
              </w:rPr>
              <w:t xml:space="preserve">ID </w:t>
            </w:r>
            <w:r>
              <w:rPr>
                <w:rFonts w:ascii="Times New Roman" w:eastAsia="Times New Roman" w:hAnsi="Times New Roman"/>
                <w:sz w:val="16"/>
                <w:szCs w:val="16"/>
              </w:rPr>
              <w:t>2.4</w:t>
            </w:r>
          </w:p>
        </w:tc>
      </w:tr>
      <w:tr w:rsidR="00676422" w:rsidRPr="00A0201D" w14:paraId="7A0F3B8B" w14:textId="77777777" w:rsidTr="00A467EE">
        <w:trPr>
          <w:trHeight w:val="130"/>
        </w:trPr>
        <w:tc>
          <w:tcPr>
            <w:tcW w:w="529" w:type="dxa"/>
            <w:vMerge/>
            <w:shd w:val="clear" w:color="auto" w:fill="auto"/>
            <w:vAlign w:val="center"/>
          </w:tcPr>
          <w:p w14:paraId="3E24BEA4"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22B26A21"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319E3195" w14:textId="77777777" w:rsidR="00676422" w:rsidRPr="00CF4E2F" w:rsidRDefault="00676422" w:rsidP="00A467EE">
            <w:pPr>
              <w:pStyle w:val="TableParagraph"/>
              <w:spacing w:before="32"/>
              <w:jc w:val="center"/>
              <w:rPr>
                <w:rFonts w:ascii="Times New Roman" w:eastAsia="Times New Roman" w:hAnsi="Times New Roman"/>
                <w:sz w:val="16"/>
                <w:szCs w:val="16"/>
              </w:rPr>
            </w:pPr>
            <w:r w:rsidRPr="00CF4E2F">
              <w:rPr>
                <w:rFonts w:ascii="Times New Roman" w:eastAsia="Times New Roman" w:hAnsi="Times New Roman"/>
                <w:sz w:val="16"/>
                <w:szCs w:val="16"/>
              </w:rPr>
              <w:t>No</w:t>
            </w:r>
          </w:p>
        </w:tc>
        <w:tc>
          <w:tcPr>
            <w:tcW w:w="2222" w:type="dxa"/>
            <w:shd w:val="clear" w:color="auto" w:fill="auto"/>
            <w:vAlign w:val="center"/>
          </w:tcPr>
          <w:p w14:paraId="1CE0E072" w14:textId="77777777" w:rsidR="00676422" w:rsidRPr="00A0201D" w:rsidRDefault="00676422" w:rsidP="00A467EE">
            <w:pPr>
              <w:pStyle w:val="TableParagraph"/>
              <w:spacing w:before="32"/>
              <w:jc w:val="center"/>
              <w:rPr>
                <w:rFonts w:ascii="Times New Roman" w:eastAsia="Times New Roman" w:hAnsi="Times New Roman"/>
                <w:sz w:val="16"/>
                <w:szCs w:val="16"/>
              </w:rPr>
            </w:pPr>
            <w:r>
              <w:rPr>
                <w:rFonts w:ascii="Times New Roman" w:eastAsia="Times New Roman" w:hAnsi="Times New Roman"/>
                <w:sz w:val="16"/>
                <w:szCs w:val="16"/>
              </w:rPr>
              <w:t># 15</w:t>
            </w:r>
          </w:p>
        </w:tc>
      </w:tr>
      <w:tr w:rsidR="00676422" w:rsidRPr="00AB30A7" w14:paraId="1D27A3FE" w14:textId="77777777" w:rsidTr="00A467EE">
        <w:tc>
          <w:tcPr>
            <w:tcW w:w="529" w:type="dxa"/>
            <w:vMerge w:val="restart"/>
            <w:shd w:val="clear" w:color="auto" w:fill="auto"/>
            <w:vAlign w:val="center"/>
          </w:tcPr>
          <w:p w14:paraId="356C444C"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15</w:t>
            </w:r>
          </w:p>
        </w:tc>
        <w:tc>
          <w:tcPr>
            <w:tcW w:w="5550" w:type="dxa"/>
            <w:vMerge w:val="restart"/>
            <w:shd w:val="clear" w:color="auto" w:fill="auto"/>
            <w:vAlign w:val="center"/>
          </w:tcPr>
          <w:p w14:paraId="1584FABE"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Liabilities where the counterparty cannot be determined?</w:t>
            </w:r>
          </w:p>
        </w:tc>
        <w:tc>
          <w:tcPr>
            <w:tcW w:w="1305" w:type="dxa"/>
            <w:shd w:val="clear" w:color="auto" w:fill="auto"/>
            <w:vAlign w:val="center"/>
          </w:tcPr>
          <w:p w14:paraId="29940A6A"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2F60519C"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ID 2.7</w:t>
            </w:r>
          </w:p>
        </w:tc>
      </w:tr>
      <w:tr w:rsidR="00676422" w:rsidRPr="00AB30A7" w14:paraId="4D59F4AE" w14:textId="77777777" w:rsidTr="00A467EE">
        <w:tc>
          <w:tcPr>
            <w:tcW w:w="529" w:type="dxa"/>
            <w:vMerge/>
            <w:shd w:val="clear" w:color="auto" w:fill="auto"/>
            <w:vAlign w:val="center"/>
          </w:tcPr>
          <w:p w14:paraId="14CB0458" w14:textId="77777777" w:rsidR="00676422" w:rsidRPr="00A0201D"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4B7258DE"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7CC81FA0"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24723B4E"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 16</w:t>
            </w:r>
          </w:p>
        </w:tc>
      </w:tr>
      <w:tr w:rsidR="00676422" w:rsidRPr="00AB30A7" w14:paraId="5E430147" w14:textId="77777777" w:rsidTr="00A467EE">
        <w:tc>
          <w:tcPr>
            <w:tcW w:w="529" w:type="dxa"/>
            <w:vMerge w:val="restart"/>
            <w:shd w:val="clear" w:color="auto" w:fill="auto"/>
            <w:vAlign w:val="center"/>
          </w:tcPr>
          <w:p w14:paraId="0F0C8CC8"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16</w:t>
            </w:r>
          </w:p>
        </w:tc>
        <w:tc>
          <w:tcPr>
            <w:tcW w:w="5550" w:type="dxa"/>
            <w:vMerge w:val="restart"/>
            <w:shd w:val="clear" w:color="auto" w:fill="auto"/>
            <w:vAlign w:val="center"/>
          </w:tcPr>
          <w:p w14:paraId="6F8198C3"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Liabilities provided by central banks?</w:t>
            </w:r>
          </w:p>
        </w:tc>
        <w:tc>
          <w:tcPr>
            <w:tcW w:w="1305" w:type="dxa"/>
            <w:shd w:val="clear" w:color="auto" w:fill="auto"/>
            <w:vAlign w:val="center"/>
          </w:tcPr>
          <w:p w14:paraId="59CE7550"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60775D4B"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szCs w:val="16"/>
              </w:rPr>
              <w:t>ID 2.6</w:t>
            </w:r>
          </w:p>
        </w:tc>
      </w:tr>
      <w:tr w:rsidR="00676422" w:rsidRPr="00AB30A7" w14:paraId="6BBF58EC" w14:textId="77777777" w:rsidTr="00A467EE">
        <w:tc>
          <w:tcPr>
            <w:tcW w:w="529" w:type="dxa"/>
            <w:vMerge/>
            <w:shd w:val="clear" w:color="auto" w:fill="auto"/>
            <w:vAlign w:val="center"/>
          </w:tcPr>
          <w:p w14:paraId="4B94E45F" w14:textId="77777777" w:rsidR="00676422" w:rsidRPr="00A0201D"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2A09F9B6"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5BBD95DB"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132ACB20"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 17</w:t>
            </w:r>
          </w:p>
        </w:tc>
      </w:tr>
      <w:tr w:rsidR="00676422" w:rsidRPr="00AB30A7" w14:paraId="1DB11B95" w14:textId="77777777" w:rsidTr="00A467EE">
        <w:tc>
          <w:tcPr>
            <w:tcW w:w="529" w:type="dxa"/>
            <w:vMerge w:val="restart"/>
            <w:shd w:val="clear" w:color="auto" w:fill="auto"/>
            <w:vAlign w:val="center"/>
          </w:tcPr>
          <w:p w14:paraId="26C34ED2"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17</w:t>
            </w:r>
          </w:p>
        </w:tc>
        <w:tc>
          <w:tcPr>
            <w:tcW w:w="5550" w:type="dxa"/>
            <w:vMerge w:val="restart"/>
            <w:shd w:val="clear" w:color="auto" w:fill="auto"/>
            <w:vAlign w:val="center"/>
          </w:tcPr>
          <w:p w14:paraId="2DB39626"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Liabilities provided by financial customers?</w:t>
            </w:r>
          </w:p>
        </w:tc>
        <w:tc>
          <w:tcPr>
            <w:tcW w:w="1305" w:type="dxa"/>
            <w:shd w:val="clear" w:color="auto" w:fill="auto"/>
            <w:vAlign w:val="center"/>
          </w:tcPr>
          <w:p w14:paraId="5D93EAB2"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Yes</w:t>
            </w:r>
          </w:p>
        </w:tc>
        <w:tc>
          <w:tcPr>
            <w:tcW w:w="2222" w:type="dxa"/>
            <w:shd w:val="clear" w:color="auto" w:fill="auto"/>
            <w:vAlign w:val="center"/>
          </w:tcPr>
          <w:p w14:paraId="0E9FA607" w14:textId="0781B7A2"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szCs w:val="16"/>
              </w:rPr>
              <w:t>ID 2.6</w:t>
            </w:r>
          </w:p>
        </w:tc>
      </w:tr>
      <w:tr w:rsidR="00676422" w:rsidRPr="00AB30A7" w14:paraId="5D44E9B3" w14:textId="77777777" w:rsidTr="00A467EE">
        <w:tc>
          <w:tcPr>
            <w:tcW w:w="529" w:type="dxa"/>
            <w:vMerge/>
            <w:shd w:val="clear" w:color="auto" w:fill="auto"/>
            <w:vAlign w:val="center"/>
          </w:tcPr>
          <w:p w14:paraId="2E7BF015" w14:textId="77777777" w:rsidR="00676422" w:rsidRPr="00A0201D" w:rsidRDefault="00676422" w:rsidP="00A467EE">
            <w:pPr>
              <w:jc w:val="center"/>
              <w:rPr>
                <w:rFonts w:ascii="Times New Roman" w:eastAsia="Calibri" w:hAnsi="Times New Roman"/>
                <w:sz w:val="22"/>
                <w:lang w:val="en-US"/>
              </w:rPr>
            </w:pPr>
          </w:p>
        </w:tc>
        <w:tc>
          <w:tcPr>
            <w:tcW w:w="5550" w:type="dxa"/>
            <w:vMerge/>
            <w:shd w:val="clear" w:color="auto" w:fill="auto"/>
            <w:vAlign w:val="center"/>
          </w:tcPr>
          <w:p w14:paraId="63B61E02" w14:textId="77777777" w:rsidR="00676422" w:rsidRPr="00A0201D" w:rsidRDefault="00676422" w:rsidP="00A467EE">
            <w:pPr>
              <w:jc w:val="center"/>
              <w:rPr>
                <w:rFonts w:ascii="Times New Roman" w:eastAsia="Calibri" w:hAnsi="Times New Roman"/>
                <w:sz w:val="22"/>
                <w:lang w:val="en-US"/>
              </w:rPr>
            </w:pPr>
          </w:p>
        </w:tc>
        <w:tc>
          <w:tcPr>
            <w:tcW w:w="1305" w:type="dxa"/>
            <w:shd w:val="clear" w:color="auto" w:fill="auto"/>
            <w:vAlign w:val="center"/>
          </w:tcPr>
          <w:p w14:paraId="5CAA1E66" w14:textId="77777777" w:rsidR="00676422" w:rsidRDefault="00676422" w:rsidP="00A467EE">
            <w:pPr>
              <w:pStyle w:val="TableParagraph"/>
              <w:spacing w:before="32"/>
              <w:jc w:val="center"/>
              <w:rPr>
                <w:rFonts w:ascii="Times New Roman" w:hAnsi="Times New Roman"/>
                <w:sz w:val="16"/>
              </w:rPr>
            </w:pPr>
            <w:r>
              <w:rPr>
                <w:rFonts w:ascii="Times New Roman" w:hAnsi="Times New Roman"/>
                <w:sz w:val="16"/>
              </w:rPr>
              <w:t>No</w:t>
            </w:r>
          </w:p>
        </w:tc>
        <w:tc>
          <w:tcPr>
            <w:tcW w:w="2222" w:type="dxa"/>
            <w:shd w:val="clear" w:color="auto" w:fill="auto"/>
            <w:vAlign w:val="center"/>
          </w:tcPr>
          <w:p w14:paraId="055D0992" w14:textId="77777777" w:rsidR="00676422" w:rsidRPr="00AB30A7" w:rsidRDefault="00676422" w:rsidP="00A467EE">
            <w:pPr>
              <w:pStyle w:val="TableParagraph"/>
              <w:spacing w:before="32"/>
              <w:jc w:val="center"/>
              <w:rPr>
                <w:rFonts w:ascii="Times New Roman" w:hAnsi="Times New Roman"/>
                <w:sz w:val="16"/>
              </w:rPr>
            </w:pPr>
            <w:r>
              <w:rPr>
                <w:rFonts w:ascii="Times New Roman" w:hAnsi="Times New Roman"/>
                <w:sz w:val="16"/>
              </w:rPr>
              <w:t># 18</w:t>
            </w:r>
          </w:p>
        </w:tc>
      </w:tr>
      <w:tr w:rsidR="00676422" w:rsidRPr="004A36F2" w14:paraId="37D6B800" w14:textId="77777777" w:rsidTr="00A467EE">
        <w:tc>
          <w:tcPr>
            <w:tcW w:w="529" w:type="dxa"/>
            <w:vMerge w:val="restart"/>
            <w:shd w:val="clear" w:color="auto" w:fill="auto"/>
            <w:vAlign w:val="center"/>
          </w:tcPr>
          <w:p w14:paraId="37C652B1"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1</w:t>
            </w:r>
            <w:r>
              <w:rPr>
                <w:rFonts w:ascii="Times New Roman" w:eastAsia="Calibri" w:hAnsi="Times New Roman"/>
                <w:sz w:val="16"/>
                <w:szCs w:val="16"/>
                <w:lang w:val="en-US"/>
              </w:rPr>
              <w:t>8</w:t>
            </w:r>
          </w:p>
        </w:tc>
        <w:tc>
          <w:tcPr>
            <w:tcW w:w="5550" w:type="dxa"/>
            <w:vMerge w:val="restart"/>
            <w:shd w:val="clear" w:color="auto" w:fill="auto"/>
            <w:vAlign w:val="center"/>
          </w:tcPr>
          <w:p w14:paraId="4E5F21E6"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Liabilities from non-financial customers other than central banks?</w:t>
            </w:r>
          </w:p>
        </w:tc>
        <w:tc>
          <w:tcPr>
            <w:tcW w:w="1305" w:type="dxa"/>
            <w:shd w:val="clear" w:color="auto" w:fill="auto"/>
            <w:vAlign w:val="center"/>
          </w:tcPr>
          <w:p w14:paraId="32A446FA" w14:textId="77777777" w:rsidR="00676422" w:rsidRPr="006C5C43" w:rsidRDefault="00676422" w:rsidP="00A467EE">
            <w:pPr>
              <w:pStyle w:val="TableParagraph"/>
              <w:spacing w:before="32"/>
              <w:jc w:val="center"/>
              <w:rPr>
                <w:rFonts w:ascii="Times New Roman" w:hAnsi="Times New Roman"/>
                <w:sz w:val="16"/>
                <w:szCs w:val="16"/>
              </w:rPr>
            </w:pPr>
            <w:r w:rsidRPr="006C5C43">
              <w:rPr>
                <w:rFonts w:ascii="Times New Roman" w:hAnsi="Times New Roman"/>
                <w:sz w:val="16"/>
                <w:szCs w:val="16"/>
              </w:rPr>
              <w:t>Yes</w:t>
            </w:r>
          </w:p>
        </w:tc>
        <w:tc>
          <w:tcPr>
            <w:tcW w:w="2222" w:type="dxa"/>
            <w:shd w:val="clear" w:color="auto" w:fill="auto"/>
            <w:vAlign w:val="center"/>
          </w:tcPr>
          <w:p w14:paraId="6343B72A" w14:textId="166E67FE" w:rsidR="00676422" w:rsidRPr="004A36F2" w:rsidRDefault="00676422" w:rsidP="00A467EE">
            <w:pPr>
              <w:pStyle w:val="TableParagraph"/>
              <w:spacing w:before="32"/>
              <w:jc w:val="center"/>
              <w:rPr>
                <w:rFonts w:ascii="Times New Roman" w:hAnsi="Times New Roman"/>
                <w:sz w:val="16"/>
                <w:szCs w:val="16"/>
              </w:rPr>
            </w:pPr>
            <w:r w:rsidRPr="006C5C43">
              <w:rPr>
                <w:rFonts w:ascii="Times New Roman" w:hAnsi="Times New Roman"/>
                <w:sz w:val="16"/>
                <w:szCs w:val="16"/>
              </w:rPr>
              <w:t>ID 2.3</w:t>
            </w:r>
          </w:p>
        </w:tc>
      </w:tr>
      <w:tr w:rsidR="00676422" w:rsidRPr="006C5C43" w14:paraId="0E0EC72E" w14:textId="77777777" w:rsidTr="00A467EE">
        <w:tc>
          <w:tcPr>
            <w:tcW w:w="529" w:type="dxa"/>
            <w:vMerge/>
            <w:shd w:val="clear" w:color="auto" w:fill="auto"/>
            <w:vAlign w:val="center"/>
          </w:tcPr>
          <w:p w14:paraId="435DA780"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7AEFA89F"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5724D4C5" w14:textId="77777777" w:rsidR="00676422" w:rsidRPr="006C5C43" w:rsidRDefault="00676422" w:rsidP="00A467EE">
            <w:pPr>
              <w:pStyle w:val="TableParagraph"/>
              <w:spacing w:before="32"/>
              <w:jc w:val="center"/>
              <w:rPr>
                <w:rFonts w:ascii="Times New Roman" w:hAnsi="Times New Roman"/>
                <w:sz w:val="16"/>
                <w:szCs w:val="16"/>
              </w:rPr>
            </w:pPr>
            <w:r w:rsidRPr="006C5C43">
              <w:rPr>
                <w:rFonts w:ascii="Times New Roman" w:hAnsi="Times New Roman"/>
                <w:sz w:val="16"/>
                <w:szCs w:val="16"/>
              </w:rPr>
              <w:t>No</w:t>
            </w:r>
          </w:p>
        </w:tc>
        <w:tc>
          <w:tcPr>
            <w:tcW w:w="2222" w:type="dxa"/>
            <w:shd w:val="clear" w:color="auto" w:fill="auto"/>
            <w:vAlign w:val="center"/>
          </w:tcPr>
          <w:p w14:paraId="3B0370E5" w14:textId="77777777" w:rsidR="00676422" w:rsidRPr="006C5C43" w:rsidRDefault="00676422" w:rsidP="00A467EE">
            <w:pPr>
              <w:pStyle w:val="TableParagraph"/>
              <w:spacing w:before="32"/>
              <w:jc w:val="center"/>
              <w:rPr>
                <w:rFonts w:ascii="Times New Roman" w:hAnsi="Times New Roman"/>
                <w:sz w:val="16"/>
                <w:szCs w:val="16"/>
              </w:rPr>
            </w:pPr>
            <w:r>
              <w:rPr>
                <w:rFonts w:ascii="Times New Roman" w:hAnsi="Times New Roman"/>
                <w:sz w:val="16"/>
              </w:rPr>
              <w:t># 19</w:t>
            </w:r>
          </w:p>
        </w:tc>
      </w:tr>
      <w:tr w:rsidR="00676422" w:rsidRPr="00231B62" w14:paraId="3F8B5934" w14:textId="77777777" w:rsidTr="00A467EE">
        <w:tc>
          <w:tcPr>
            <w:tcW w:w="529" w:type="dxa"/>
            <w:vMerge w:val="restart"/>
            <w:shd w:val="clear" w:color="auto" w:fill="auto"/>
            <w:vAlign w:val="center"/>
          </w:tcPr>
          <w:p w14:paraId="67FBD5D9" w14:textId="77777777" w:rsidR="00676422" w:rsidRPr="00331330" w:rsidRDefault="00676422" w:rsidP="00A467EE">
            <w:pPr>
              <w:jc w:val="center"/>
              <w:rPr>
                <w:rFonts w:ascii="Times New Roman" w:eastAsia="Calibri" w:hAnsi="Times New Roman"/>
                <w:sz w:val="16"/>
                <w:szCs w:val="16"/>
                <w:lang w:val="en-US"/>
              </w:rPr>
            </w:pPr>
            <w:r>
              <w:rPr>
                <w:rFonts w:ascii="Times New Roman" w:eastAsia="Calibri" w:hAnsi="Times New Roman"/>
                <w:sz w:val="16"/>
                <w:szCs w:val="16"/>
                <w:lang w:val="en-US"/>
              </w:rPr>
              <w:t>19</w:t>
            </w:r>
          </w:p>
        </w:tc>
        <w:tc>
          <w:tcPr>
            <w:tcW w:w="5550" w:type="dxa"/>
            <w:vMerge w:val="restart"/>
            <w:shd w:val="clear" w:color="auto" w:fill="auto"/>
            <w:vAlign w:val="center"/>
          </w:tcPr>
          <w:p w14:paraId="4347D121" w14:textId="77777777" w:rsidR="00676422" w:rsidRPr="00331330" w:rsidRDefault="00676422" w:rsidP="00A467EE">
            <w:pPr>
              <w:jc w:val="center"/>
              <w:rPr>
                <w:rFonts w:ascii="Times New Roman" w:eastAsia="Calibri" w:hAnsi="Times New Roman"/>
                <w:sz w:val="16"/>
                <w:szCs w:val="16"/>
                <w:lang w:val="en-US"/>
              </w:rPr>
            </w:pPr>
            <w:r w:rsidRPr="00331330">
              <w:rPr>
                <w:rFonts w:ascii="Times New Roman" w:eastAsia="Calibri" w:hAnsi="Times New Roman"/>
                <w:sz w:val="16"/>
                <w:szCs w:val="16"/>
                <w:lang w:val="en-US"/>
              </w:rPr>
              <w:t>Any other liabilities not considered in the above categories?</w:t>
            </w:r>
          </w:p>
        </w:tc>
        <w:tc>
          <w:tcPr>
            <w:tcW w:w="1305" w:type="dxa"/>
            <w:shd w:val="clear" w:color="auto" w:fill="auto"/>
            <w:vAlign w:val="center"/>
          </w:tcPr>
          <w:p w14:paraId="352EBD06" w14:textId="77777777" w:rsidR="00676422" w:rsidRPr="004A36F2" w:rsidRDefault="00676422" w:rsidP="00A467EE">
            <w:pPr>
              <w:pStyle w:val="TableParagraph"/>
              <w:spacing w:before="32"/>
              <w:jc w:val="center"/>
              <w:rPr>
                <w:rFonts w:ascii="Times New Roman" w:hAnsi="Times New Roman"/>
                <w:sz w:val="16"/>
                <w:szCs w:val="16"/>
              </w:rPr>
            </w:pPr>
            <w:r w:rsidRPr="006C5C43">
              <w:rPr>
                <w:rFonts w:ascii="Times New Roman" w:hAnsi="Times New Roman"/>
                <w:sz w:val="16"/>
                <w:szCs w:val="16"/>
              </w:rPr>
              <w:t>Yes</w:t>
            </w:r>
          </w:p>
        </w:tc>
        <w:tc>
          <w:tcPr>
            <w:tcW w:w="2222" w:type="dxa"/>
            <w:shd w:val="clear" w:color="auto" w:fill="auto"/>
            <w:vAlign w:val="center"/>
          </w:tcPr>
          <w:p w14:paraId="5D166772" w14:textId="77777777" w:rsidR="00676422" w:rsidRPr="00231B62" w:rsidRDefault="00676422" w:rsidP="00A467EE">
            <w:pPr>
              <w:pStyle w:val="TableParagraph"/>
              <w:spacing w:before="32"/>
              <w:jc w:val="center"/>
              <w:rPr>
                <w:rFonts w:ascii="Times New Roman" w:hAnsi="Times New Roman"/>
                <w:sz w:val="16"/>
                <w:szCs w:val="16"/>
              </w:rPr>
            </w:pPr>
            <w:r>
              <w:rPr>
                <w:rFonts w:ascii="Times New Roman" w:hAnsi="Times New Roman"/>
                <w:sz w:val="16"/>
                <w:szCs w:val="16"/>
              </w:rPr>
              <w:t>ID 2.9</w:t>
            </w:r>
          </w:p>
        </w:tc>
      </w:tr>
      <w:tr w:rsidR="00676422" w:rsidRPr="00231B62" w14:paraId="6B3C967D" w14:textId="77777777" w:rsidTr="00A467EE">
        <w:tc>
          <w:tcPr>
            <w:tcW w:w="529" w:type="dxa"/>
            <w:vMerge/>
            <w:shd w:val="clear" w:color="auto" w:fill="auto"/>
            <w:vAlign w:val="center"/>
          </w:tcPr>
          <w:p w14:paraId="5FEA0318" w14:textId="77777777" w:rsidR="00676422" w:rsidRPr="00331330" w:rsidRDefault="00676422" w:rsidP="00A467EE">
            <w:pPr>
              <w:jc w:val="center"/>
              <w:rPr>
                <w:rFonts w:ascii="Times New Roman" w:eastAsia="Calibri" w:hAnsi="Times New Roman"/>
                <w:sz w:val="16"/>
                <w:szCs w:val="16"/>
                <w:lang w:val="en-US"/>
              </w:rPr>
            </w:pPr>
          </w:p>
        </w:tc>
        <w:tc>
          <w:tcPr>
            <w:tcW w:w="5550" w:type="dxa"/>
            <w:vMerge/>
            <w:shd w:val="clear" w:color="auto" w:fill="auto"/>
            <w:vAlign w:val="center"/>
          </w:tcPr>
          <w:p w14:paraId="2F859C71" w14:textId="77777777" w:rsidR="00676422" w:rsidRPr="00331330" w:rsidRDefault="00676422" w:rsidP="00A467EE">
            <w:pPr>
              <w:jc w:val="center"/>
              <w:rPr>
                <w:rFonts w:ascii="Times New Roman" w:eastAsia="Calibri" w:hAnsi="Times New Roman"/>
                <w:sz w:val="16"/>
                <w:szCs w:val="16"/>
                <w:lang w:val="en-US"/>
              </w:rPr>
            </w:pPr>
          </w:p>
        </w:tc>
        <w:tc>
          <w:tcPr>
            <w:tcW w:w="1305" w:type="dxa"/>
            <w:shd w:val="clear" w:color="auto" w:fill="auto"/>
            <w:vAlign w:val="center"/>
          </w:tcPr>
          <w:p w14:paraId="33CF6408" w14:textId="77777777" w:rsidR="00676422" w:rsidRPr="004A36F2" w:rsidRDefault="00676422" w:rsidP="00A467EE">
            <w:pPr>
              <w:pStyle w:val="TableParagraph"/>
              <w:spacing w:before="32"/>
              <w:jc w:val="center"/>
              <w:rPr>
                <w:rFonts w:ascii="Times New Roman" w:hAnsi="Times New Roman"/>
                <w:sz w:val="16"/>
                <w:szCs w:val="16"/>
              </w:rPr>
            </w:pPr>
            <w:r w:rsidRPr="006C5C43">
              <w:rPr>
                <w:rFonts w:ascii="Times New Roman" w:hAnsi="Times New Roman"/>
                <w:sz w:val="16"/>
                <w:szCs w:val="16"/>
              </w:rPr>
              <w:t>No</w:t>
            </w:r>
          </w:p>
        </w:tc>
        <w:tc>
          <w:tcPr>
            <w:tcW w:w="2222" w:type="dxa"/>
            <w:shd w:val="clear" w:color="auto" w:fill="auto"/>
            <w:vAlign w:val="center"/>
          </w:tcPr>
          <w:p w14:paraId="363D5D99" w14:textId="77777777" w:rsidR="00676422" w:rsidRPr="00231B62" w:rsidRDefault="00676422" w:rsidP="00A467EE">
            <w:pPr>
              <w:pStyle w:val="TableParagraph"/>
              <w:spacing w:before="32"/>
              <w:jc w:val="center"/>
              <w:rPr>
                <w:rFonts w:ascii="Times New Roman" w:hAnsi="Times New Roman"/>
                <w:sz w:val="16"/>
                <w:szCs w:val="16"/>
              </w:rPr>
            </w:pPr>
            <w:r w:rsidRPr="00231B62">
              <w:rPr>
                <w:rFonts w:ascii="Times New Roman" w:hAnsi="Times New Roman"/>
                <w:sz w:val="16"/>
                <w:szCs w:val="16"/>
              </w:rPr>
              <w:t>Do not report.</w:t>
            </w:r>
          </w:p>
        </w:tc>
      </w:tr>
    </w:tbl>
    <w:p w14:paraId="0E66266F" w14:textId="3C2FAB1C" w:rsidR="00676422" w:rsidRDefault="00676422" w:rsidP="0055437F">
      <w:pPr>
        <w:pStyle w:val="InstructionsText2"/>
        <w:spacing w:before="120" w:after="120"/>
        <w:ind w:left="714" w:hanging="357"/>
      </w:pPr>
    </w:p>
    <w:p w14:paraId="7FDD2EE3" w14:textId="77777777" w:rsidR="00676422" w:rsidRPr="00FE002E" w:rsidRDefault="00676422" w:rsidP="0055437F">
      <w:pPr>
        <w:pStyle w:val="BodyText1"/>
        <w:numPr>
          <w:ilvl w:val="0"/>
          <w:numId w:val="32"/>
        </w:numPr>
        <w:spacing w:before="120" w:after="120"/>
        <w:ind w:left="714" w:hanging="357"/>
        <w:outlineLvl w:val="0"/>
        <w:rPr>
          <w:rFonts w:ascii="Times New Roman" w:hAnsi="Times New Roman"/>
          <w:b/>
          <w:sz w:val="24"/>
          <w:szCs w:val="24"/>
        </w:rPr>
      </w:pPr>
      <w:bookmarkStart w:id="31" w:name="_Toc7641932"/>
      <w:r>
        <w:rPr>
          <w:rFonts w:ascii="Times New Roman" w:hAnsi="Times New Roman"/>
          <w:b/>
          <w:sz w:val="24"/>
          <w:szCs w:val="24"/>
        </w:rPr>
        <w:t>Instructions concerning specific columns</w:t>
      </w:r>
      <w:bookmarkEnd w:id="31"/>
    </w:p>
    <w:p w14:paraId="635CAE01" w14:textId="77777777" w:rsidR="00676422" w:rsidRDefault="00676422" w:rsidP="00D967E5">
      <w:pPr>
        <w:pStyle w:val="BodyText1"/>
        <w:spacing w:before="120" w:after="120"/>
        <w:ind w:left="720"/>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676422" w:rsidRPr="00740184" w14:paraId="46EF5A9B"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758C39CC" w14:textId="77777777" w:rsidR="00676422" w:rsidRPr="00C71F0B" w:rsidRDefault="00676422" w:rsidP="00A467EE">
            <w:pPr>
              <w:pStyle w:val="TableParagraph"/>
              <w:spacing w:before="117" w:after="120"/>
              <w:ind w:left="102"/>
              <w:rPr>
                <w:rFonts w:ascii="Times New Roman" w:hAnsi="Times New Roman"/>
                <w:sz w:val="18"/>
                <w:szCs w:val="18"/>
              </w:rPr>
            </w:pPr>
            <w:r>
              <w:rPr>
                <w:rFonts w:ascii="Times New Roman"/>
                <w:spacing w:val="-1"/>
                <w:sz w:val="18"/>
                <w:szCs w:val="18"/>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F92345B" w14:textId="77777777" w:rsidR="00676422" w:rsidRPr="00C71F0B" w:rsidRDefault="00676422" w:rsidP="00A467EE">
            <w:pPr>
              <w:pStyle w:val="TableParagraph"/>
              <w:spacing w:before="117" w:after="120"/>
              <w:ind w:left="102"/>
              <w:rPr>
                <w:rFonts w:ascii="Times New Roman" w:hAnsi="Times New Roman"/>
                <w:bCs/>
                <w:sz w:val="18"/>
                <w:szCs w:val="18"/>
                <w:u w:val="single"/>
              </w:rPr>
            </w:pPr>
            <w:r w:rsidRPr="00C71F0B">
              <w:rPr>
                <w:rFonts w:ascii="Times New Roman" w:hAnsi="Times New Roman"/>
                <w:sz w:val="18"/>
                <w:szCs w:val="18"/>
              </w:rPr>
              <w:t xml:space="preserve">Legal </w:t>
            </w:r>
            <w:r w:rsidRPr="00C71F0B">
              <w:rPr>
                <w:rFonts w:ascii="Times New Roman"/>
                <w:spacing w:val="-1"/>
                <w:sz w:val="18"/>
                <w:szCs w:val="18"/>
              </w:rPr>
              <w:t>references</w:t>
            </w:r>
            <w:r w:rsidRPr="00C71F0B">
              <w:rPr>
                <w:rFonts w:ascii="Times New Roman" w:hAnsi="Times New Roman"/>
                <w:sz w:val="18"/>
                <w:szCs w:val="18"/>
              </w:rPr>
              <w:t xml:space="preserve"> and instructions</w:t>
            </w:r>
          </w:p>
        </w:tc>
      </w:tr>
      <w:tr w:rsidR="00676422" w:rsidRPr="00FE002E" w14:paraId="54E79DCB" w14:textId="77777777" w:rsidTr="00A467EE">
        <w:trPr>
          <w:trHeight w:val="304"/>
        </w:trPr>
        <w:tc>
          <w:tcPr>
            <w:tcW w:w="1418" w:type="dxa"/>
          </w:tcPr>
          <w:p w14:paraId="6773B416" w14:textId="77777777" w:rsidR="00676422" w:rsidRPr="00C71F0B"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sz w:val="18"/>
                <w:szCs w:val="18"/>
              </w:rPr>
              <w:t>0010-0020</w:t>
            </w:r>
          </w:p>
        </w:tc>
        <w:tc>
          <w:tcPr>
            <w:tcW w:w="7590" w:type="dxa"/>
          </w:tcPr>
          <w:p w14:paraId="5CD0B0A5" w14:textId="77777777" w:rsidR="00676422" w:rsidRPr="002E79E8" w:rsidRDefault="00676422" w:rsidP="00A467EE">
            <w:pPr>
              <w:pStyle w:val="TableParagraph"/>
              <w:spacing w:before="119"/>
              <w:ind w:left="102"/>
              <w:rPr>
                <w:rFonts w:ascii="Times New Roman"/>
                <w:b/>
                <w:sz w:val="18"/>
                <w:szCs w:val="18"/>
                <w:u w:val="single"/>
              </w:rPr>
            </w:pPr>
            <w:r>
              <w:rPr>
                <w:rFonts w:ascii="Times New Roman"/>
                <w:b/>
                <w:sz w:val="18"/>
                <w:szCs w:val="18"/>
                <w:u w:val="single"/>
              </w:rPr>
              <w:t>Amount</w:t>
            </w:r>
          </w:p>
          <w:p w14:paraId="4D157F0F" w14:textId="21119C6F" w:rsidR="00676422" w:rsidRPr="00C71F0B" w:rsidRDefault="00676422" w:rsidP="00A467EE">
            <w:pPr>
              <w:pStyle w:val="TableParagraph"/>
              <w:spacing w:before="117"/>
              <w:ind w:left="102" w:right="99"/>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2E79E8">
              <w:rPr>
                <w:rFonts w:ascii="Times New Roman" w:eastAsia="Times New Roman" w:hAnsi="Times New Roman" w:cs="Times New Roman"/>
                <w:sz w:val="18"/>
                <w:szCs w:val="18"/>
              </w:rPr>
              <w:t xml:space="preserve">nstitutions shall report in </w:t>
            </w:r>
            <w:r>
              <w:rPr>
                <w:rFonts w:ascii="Times New Roman" w:eastAsia="Times New Roman" w:hAnsi="Times New Roman" w:cs="Times New Roman"/>
                <w:sz w:val="18"/>
                <w:szCs w:val="18"/>
              </w:rPr>
              <w:t>c</w:t>
            </w:r>
            <w:r w:rsidRPr="002E79E8">
              <w:rPr>
                <w:rFonts w:ascii="Times New Roman" w:eastAsia="Times New Roman" w:hAnsi="Times New Roman" w:cs="Times New Roman"/>
                <w:sz w:val="18"/>
                <w:szCs w:val="18"/>
              </w:rPr>
              <w:t>olumn</w:t>
            </w:r>
            <w:r>
              <w:rPr>
                <w:rFonts w:ascii="Times New Roman" w:eastAsia="Times New Roman" w:hAnsi="Times New Roman" w:cs="Times New Roman"/>
                <w:sz w:val="18"/>
                <w:szCs w:val="18"/>
              </w:rPr>
              <w:t>s</w:t>
            </w:r>
            <w:r w:rsidRPr="002E79E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w:t>
            </w:r>
            <w:r w:rsidRPr="002E79E8">
              <w:rPr>
                <w:rFonts w:ascii="Times New Roman" w:eastAsia="Times New Roman" w:hAnsi="Times New Roman" w:cs="Times New Roman"/>
                <w:sz w:val="18"/>
                <w:szCs w:val="18"/>
              </w:rPr>
              <w:t>010</w:t>
            </w:r>
            <w:r>
              <w:rPr>
                <w:rFonts w:ascii="Times New Roman" w:eastAsia="Times New Roman" w:hAnsi="Times New Roman" w:cs="Times New Roman"/>
                <w:sz w:val="18"/>
                <w:szCs w:val="18"/>
              </w:rPr>
              <w:t>-0020</w:t>
            </w:r>
            <w:r w:rsidRPr="002E79E8">
              <w:rPr>
                <w:rFonts w:ascii="Times New Roman" w:eastAsia="Times New Roman" w:hAnsi="Times New Roman" w:cs="Times New Roman"/>
                <w:sz w:val="18"/>
                <w:szCs w:val="18"/>
              </w:rPr>
              <w:t xml:space="preserve"> the </w:t>
            </w:r>
            <w:r>
              <w:rPr>
                <w:rFonts w:ascii="Times New Roman" w:eastAsia="Times New Roman" w:hAnsi="Times New Roman" w:cs="Times New Roman"/>
                <w:sz w:val="18"/>
                <w:szCs w:val="18"/>
              </w:rPr>
              <w:t>amount</w:t>
            </w:r>
            <w:r w:rsidRPr="002E79E8">
              <w:rPr>
                <w:rFonts w:ascii="Times New Roman" w:eastAsia="Times New Roman" w:hAnsi="Times New Roman" w:cs="Times New Roman"/>
                <w:sz w:val="18"/>
                <w:szCs w:val="18"/>
              </w:rPr>
              <w:t xml:space="preserve"> of </w:t>
            </w:r>
            <w:r>
              <w:rPr>
                <w:rFonts w:ascii="Times New Roman" w:eastAsia="Times New Roman" w:hAnsi="Times New Roman" w:cs="Times New Roman"/>
                <w:sz w:val="18"/>
                <w:szCs w:val="18"/>
              </w:rPr>
              <w:t>liabilities and own funds allocated to the applicable residual maturity bucket.</w:t>
            </w:r>
          </w:p>
          <w:p w14:paraId="4CB8497A" w14:textId="77777777" w:rsidR="00676422" w:rsidRPr="00C71F0B" w:rsidRDefault="00676422" w:rsidP="00A467EE">
            <w:pPr>
              <w:pStyle w:val="TableParagraph"/>
              <w:ind w:left="102"/>
              <w:rPr>
                <w:rFonts w:ascii="Times New Roman" w:eastAsia="Times New Roman" w:hAnsi="Times New Roman" w:cs="Times New Roman"/>
                <w:sz w:val="18"/>
                <w:szCs w:val="18"/>
              </w:rPr>
            </w:pPr>
          </w:p>
        </w:tc>
      </w:tr>
      <w:tr w:rsidR="00676422" w:rsidRPr="00FE002E" w14:paraId="196ED7F2" w14:textId="77777777" w:rsidTr="00A467EE">
        <w:trPr>
          <w:trHeight w:val="304"/>
        </w:trPr>
        <w:tc>
          <w:tcPr>
            <w:tcW w:w="1418" w:type="dxa"/>
          </w:tcPr>
          <w:p w14:paraId="549D51BB" w14:textId="77777777" w:rsidR="00676422" w:rsidRPr="00C71F0B"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0030-0040</w:t>
            </w:r>
          </w:p>
        </w:tc>
        <w:tc>
          <w:tcPr>
            <w:tcW w:w="7590" w:type="dxa"/>
          </w:tcPr>
          <w:p w14:paraId="32555CBC" w14:textId="77777777" w:rsidR="00676422" w:rsidRPr="00F06AEE" w:rsidRDefault="00676422" w:rsidP="00A467EE">
            <w:pPr>
              <w:pStyle w:val="TableParagraph"/>
              <w:spacing w:before="119"/>
              <w:ind w:left="102"/>
              <w:rPr>
                <w:rFonts w:ascii="Times New Roman"/>
                <w:b/>
                <w:sz w:val="18"/>
                <w:szCs w:val="18"/>
                <w:u w:val="single"/>
              </w:rPr>
            </w:pPr>
            <w:r>
              <w:rPr>
                <w:rFonts w:ascii="Times New Roman"/>
                <w:b/>
                <w:sz w:val="18"/>
                <w:szCs w:val="18"/>
                <w:u w:val="single"/>
              </w:rPr>
              <w:t>Standard ASF factor</w:t>
            </w:r>
          </w:p>
          <w:p w14:paraId="0FD35E0F" w14:textId="6ADC5FBA" w:rsidR="00676422" w:rsidRPr="00E2484C" w:rsidRDefault="00676422" w:rsidP="00A467EE">
            <w:pPr>
              <w:pStyle w:val="TableParagraph"/>
              <w:spacing w:before="117"/>
              <w:ind w:left="102" w:right="99"/>
              <w:rPr>
                <w:rFonts w:ascii="Times New Roman" w:eastAsia="Times New Roman" w:hAnsi="Times New Roman" w:cs="Times New Roman"/>
                <w:sz w:val="18"/>
                <w:szCs w:val="18"/>
              </w:rPr>
            </w:pPr>
            <w:r w:rsidRPr="00E2484C">
              <w:rPr>
                <w:rFonts w:ascii="Times New Roman" w:eastAsia="Times New Roman" w:hAnsi="Times New Roman" w:cs="Times New Roman"/>
                <w:sz w:val="18"/>
                <w:szCs w:val="18"/>
              </w:rPr>
              <w:t xml:space="preserve">Section 2 of Chapter </w:t>
            </w:r>
            <w:r>
              <w:rPr>
                <w:rFonts w:ascii="Times New Roman" w:eastAsia="Times New Roman" w:hAnsi="Times New Roman" w:cs="Times New Roman"/>
                <w:sz w:val="18"/>
                <w:szCs w:val="18"/>
              </w:rPr>
              <w:t>6</w:t>
            </w:r>
            <w:r w:rsidRPr="00E2484C">
              <w:rPr>
                <w:rFonts w:ascii="Times New Roman" w:eastAsia="Times New Roman" w:hAnsi="Times New Roman" w:cs="Times New Roman"/>
                <w:sz w:val="18"/>
                <w:szCs w:val="18"/>
              </w:rPr>
              <w:t xml:space="preserve"> of </w:t>
            </w:r>
            <w:r w:rsidR="00607717">
              <w:rPr>
                <w:rFonts w:ascii="Times New Roman" w:eastAsia="Times New Roman" w:hAnsi="Times New Roman" w:cs="Times New Roman"/>
                <w:sz w:val="18"/>
                <w:szCs w:val="18"/>
              </w:rPr>
              <w:t xml:space="preserve">Title IV of </w:t>
            </w:r>
            <w:r w:rsidR="003E3F6A">
              <w:rPr>
                <w:rFonts w:ascii="Times New Roman" w:eastAsia="Times New Roman" w:hAnsi="Times New Roman" w:cs="Times New Roman"/>
                <w:sz w:val="18"/>
                <w:szCs w:val="18"/>
              </w:rPr>
              <w:t xml:space="preserve">Part Six of </w:t>
            </w:r>
            <w:r>
              <w:rPr>
                <w:rFonts w:ascii="Times New Roman" w:eastAsia="Times New Roman" w:hAnsi="Times New Roman" w:cs="Times New Roman"/>
                <w:sz w:val="18"/>
                <w:szCs w:val="18"/>
              </w:rPr>
              <w:t>CRR</w:t>
            </w:r>
            <w:r w:rsidR="003E3F6A">
              <w:rPr>
                <w:rFonts w:ascii="Times New Roman" w:eastAsia="Times New Roman" w:hAnsi="Times New Roman" w:cs="Times New Roman"/>
                <w:sz w:val="18"/>
                <w:szCs w:val="18"/>
              </w:rPr>
              <w:t>.</w:t>
            </w:r>
          </w:p>
          <w:p w14:paraId="3ACC1D0C" w14:textId="23515A75" w:rsidR="00676422" w:rsidRPr="00E2484C" w:rsidRDefault="00676422" w:rsidP="00A467EE">
            <w:pPr>
              <w:pStyle w:val="TableParagraph"/>
              <w:spacing w:before="117"/>
              <w:ind w:left="102" w:right="99"/>
              <w:rPr>
                <w:rFonts w:ascii="Times New Roman" w:eastAsia="Times New Roman" w:hAnsi="Times New Roman" w:cs="Times New Roman"/>
                <w:sz w:val="18"/>
                <w:szCs w:val="18"/>
              </w:rPr>
            </w:pPr>
            <w:r w:rsidRPr="00E2484C">
              <w:rPr>
                <w:rFonts w:ascii="Times New Roman" w:eastAsia="Times New Roman" w:hAnsi="Times New Roman" w:cs="Times New Roman"/>
                <w:sz w:val="18"/>
                <w:szCs w:val="18"/>
              </w:rPr>
              <w:t xml:space="preserve">The standard factors in columns </w:t>
            </w:r>
            <w:r>
              <w:rPr>
                <w:rFonts w:ascii="Times New Roman" w:eastAsia="Times New Roman" w:hAnsi="Times New Roman" w:cs="Times New Roman"/>
                <w:sz w:val="18"/>
                <w:szCs w:val="18"/>
              </w:rPr>
              <w:t>0030-0040</w:t>
            </w:r>
            <w:r w:rsidRPr="00F06AEE">
              <w:rPr>
                <w:rFonts w:ascii="Times New Roman" w:eastAsia="Times New Roman" w:hAnsi="Times New Roman" w:cs="Times New Roman"/>
                <w:sz w:val="18"/>
                <w:szCs w:val="18"/>
              </w:rPr>
              <w:t xml:space="preserve"> </w:t>
            </w:r>
            <w:r w:rsidRPr="00E2484C">
              <w:rPr>
                <w:rFonts w:ascii="Times New Roman" w:eastAsia="Times New Roman" w:hAnsi="Times New Roman" w:cs="Times New Roman"/>
                <w:sz w:val="18"/>
                <w:szCs w:val="18"/>
              </w:rPr>
              <w:t xml:space="preserve">are those specified in Chapter </w:t>
            </w:r>
            <w:r>
              <w:rPr>
                <w:rFonts w:ascii="Times New Roman" w:eastAsia="Times New Roman" w:hAnsi="Times New Roman" w:cs="Times New Roman"/>
                <w:sz w:val="18"/>
                <w:szCs w:val="18"/>
              </w:rPr>
              <w:t>8</w:t>
            </w:r>
            <w:r w:rsidRPr="00E2484C">
              <w:rPr>
                <w:rFonts w:ascii="Times New Roman" w:eastAsia="Times New Roman" w:hAnsi="Times New Roman" w:cs="Times New Roman"/>
                <w:sz w:val="18"/>
                <w:szCs w:val="18"/>
              </w:rPr>
              <w:t xml:space="preserve"> of </w:t>
            </w:r>
            <w:r w:rsidR="00607717">
              <w:rPr>
                <w:rFonts w:ascii="Times New Roman" w:eastAsia="Times New Roman" w:hAnsi="Times New Roman" w:cs="Times New Roman"/>
                <w:sz w:val="18"/>
                <w:szCs w:val="18"/>
              </w:rPr>
              <w:t xml:space="preserve">Title IV of </w:t>
            </w:r>
            <w:r w:rsidR="003E3F6A">
              <w:rPr>
                <w:rFonts w:ascii="Times New Roman" w:eastAsia="Times New Roman" w:hAnsi="Times New Roman" w:cs="Times New Roman"/>
                <w:sz w:val="18"/>
                <w:szCs w:val="18"/>
              </w:rPr>
              <w:t xml:space="preserve">Part Six of </w:t>
            </w:r>
            <w:r>
              <w:rPr>
                <w:rFonts w:ascii="Times New Roman" w:eastAsia="Times New Roman" w:hAnsi="Times New Roman" w:cs="Times New Roman"/>
                <w:sz w:val="18"/>
                <w:szCs w:val="18"/>
              </w:rPr>
              <w:t>CRR</w:t>
            </w:r>
            <w:r w:rsidRPr="00E2484C">
              <w:rPr>
                <w:rFonts w:ascii="Times New Roman" w:eastAsia="Times New Roman" w:hAnsi="Times New Roman" w:cs="Times New Roman"/>
                <w:sz w:val="18"/>
                <w:szCs w:val="18"/>
              </w:rPr>
              <w:t xml:space="preserve"> by default that would determine the part of the </w:t>
            </w:r>
            <w:r>
              <w:rPr>
                <w:rFonts w:ascii="Times New Roman" w:eastAsia="Times New Roman" w:hAnsi="Times New Roman" w:cs="Times New Roman"/>
                <w:sz w:val="18"/>
                <w:szCs w:val="18"/>
              </w:rPr>
              <w:t>amount</w:t>
            </w:r>
            <w:r w:rsidRPr="00E2484C">
              <w:rPr>
                <w:rFonts w:ascii="Times New Roman" w:eastAsia="Times New Roman" w:hAnsi="Times New Roman" w:cs="Times New Roman"/>
                <w:sz w:val="18"/>
                <w:szCs w:val="18"/>
              </w:rPr>
              <w:t xml:space="preserve"> of the </w:t>
            </w:r>
            <w:r>
              <w:rPr>
                <w:rFonts w:ascii="Times New Roman" w:eastAsia="Times New Roman" w:hAnsi="Times New Roman" w:cs="Times New Roman"/>
                <w:sz w:val="18"/>
                <w:szCs w:val="18"/>
              </w:rPr>
              <w:t>liabilities and own funds</w:t>
            </w:r>
            <w:r w:rsidRPr="00E2484C">
              <w:rPr>
                <w:rFonts w:ascii="Times New Roman" w:eastAsia="Times New Roman" w:hAnsi="Times New Roman" w:cs="Times New Roman"/>
                <w:sz w:val="18"/>
                <w:szCs w:val="18"/>
              </w:rPr>
              <w:t xml:space="preserve"> that is </w:t>
            </w:r>
            <w:r>
              <w:rPr>
                <w:rFonts w:ascii="Times New Roman" w:eastAsia="Times New Roman" w:hAnsi="Times New Roman" w:cs="Times New Roman"/>
                <w:sz w:val="18"/>
                <w:szCs w:val="18"/>
              </w:rPr>
              <w:t>available</w:t>
            </w:r>
            <w:r w:rsidRPr="00E2484C">
              <w:rPr>
                <w:rFonts w:ascii="Times New Roman" w:eastAsia="Times New Roman" w:hAnsi="Times New Roman" w:cs="Times New Roman"/>
                <w:sz w:val="18"/>
                <w:szCs w:val="18"/>
              </w:rPr>
              <w:t xml:space="preserve"> stable funding.</w:t>
            </w:r>
            <w:r w:rsidRPr="00E2484C">
              <w:rPr>
                <w:sz w:val="18"/>
                <w:szCs w:val="18"/>
              </w:rPr>
              <w:t xml:space="preserve"> </w:t>
            </w:r>
            <w:r w:rsidRPr="00E2484C">
              <w:rPr>
                <w:rFonts w:ascii="Times New Roman" w:eastAsia="Times New Roman" w:hAnsi="Times New Roman" w:cs="Times New Roman"/>
                <w:sz w:val="18"/>
                <w:szCs w:val="18"/>
              </w:rPr>
              <w:t>They are provided for information only and are not meant to be filled in by institutions.</w:t>
            </w:r>
          </w:p>
          <w:p w14:paraId="438326A8" w14:textId="77777777" w:rsidR="00676422" w:rsidRPr="00C71F0B" w:rsidRDefault="00676422" w:rsidP="00A103D6">
            <w:pPr>
              <w:pStyle w:val="TableParagraph"/>
              <w:ind w:left="102" w:right="99"/>
              <w:rPr>
                <w:rFonts w:ascii="Times New Roman" w:eastAsia="Times New Roman" w:hAnsi="Times New Roman" w:cs="Times New Roman"/>
                <w:sz w:val="18"/>
                <w:szCs w:val="18"/>
              </w:rPr>
            </w:pPr>
          </w:p>
        </w:tc>
      </w:tr>
      <w:tr w:rsidR="00676422" w:rsidRPr="00FE002E" w14:paraId="250F3240" w14:textId="77777777" w:rsidTr="00A467EE">
        <w:trPr>
          <w:trHeight w:val="304"/>
        </w:trPr>
        <w:tc>
          <w:tcPr>
            <w:tcW w:w="1418" w:type="dxa"/>
          </w:tcPr>
          <w:p w14:paraId="4C5F1B61" w14:textId="77777777" w:rsidR="00676422"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0050-0060</w:t>
            </w:r>
          </w:p>
        </w:tc>
        <w:tc>
          <w:tcPr>
            <w:tcW w:w="7590" w:type="dxa"/>
          </w:tcPr>
          <w:p w14:paraId="77AA487A" w14:textId="77777777" w:rsidR="00676422" w:rsidRPr="00F06AEE" w:rsidRDefault="00676422" w:rsidP="00A467EE">
            <w:pPr>
              <w:pStyle w:val="TableParagraph"/>
              <w:spacing w:before="119"/>
              <w:ind w:left="102"/>
              <w:rPr>
                <w:rFonts w:ascii="Times New Roman"/>
                <w:b/>
                <w:sz w:val="18"/>
                <w:szCs w:val="18"/>
                <w:u w:val="single"/>
              </w:rPr>
            </w:pPr>
            <w:r>
              <w:rPr>
                <w:rFonts w:ascii="Times New Roman"/>
                <w:b/>
                <w:sz w:val="18"/>
                <w:szCs w:val="18"/>
                <w:u w:val="single"/>
              </w:rPr>
              <w:t>Applicable ASF factor</w:t>
            </w:r>
          </w:p>
          <w:p w14:paraId="5AAB7445" w14:textId="030805F6" w:rsidR="00676422" w:rsidRPr="00D36810" w:rsidRDefault="00676422" w:rsidP="00A467EE">
            <w:pPr>
              <w:pStyle w:val="TableParagraph"/>
              <w:spacing w:before="117"/>
              <w:ind w:left="102" w:right="99"/>
              <w:rPr>
                <w:rFonts w:ascii="Times New Roman" w:eastAsia="Times New Roman" w:hAnsi="Times New Roman" w:cs="Times New Roman"/>
                <w:color w:val="000000"/>
                <w:sz w:val="18"/>
                <w:szCs w:val="18"/>
                <w:lang w:val="en-GB"/>
              </w:rPr>
            </w:pPr>
            <w:r w:rsidRPr="00CD6B31">
              <w:rPr>
                <w:rFonts w:ascii="Times New Roman" w:eastAsia="Times New Roman" w:hAnsi="Times New Roman" w:cs="Times New Roman"/>
                <w:color w:val="000000"/>
                <w:sz w:val="18"/>
                <w:szCs w:val="18"/>
                <w:lang w:val="en-GB"/>
              </w:rPr>
              <w:t xml:space="preserve">Chapter 2 and Chapter </w:t>
            </w:r>
            <w:r>
              <w:rPr>
                <w:rFonts w:ascii="Times New Roman" w:eastAsia="Times New Roman" w:hAnsi="Times New Roman" w:cs="Times New Roman"/>
                <w:color w:val="000000"/>
                <w:sz w:val="18"/>
                <w:szCs w:val="18"/>
                <w:lang w:val="en-GB"/>
              </w:rPr>
              <w:t>6</w:t>
            </w:r>
            <w:r w:rsidRPr="00CD6B31">
              <w:rPr>
                <w:rFonts w:ascii="Times New Roman" w:eastAsia="Times New Roman" w:hAnsi="Times New Roman" w:cs="Times New Roman"/>
                <w:color w:val="000000"/>
                <w:sz w:val="18"/>
                <w:szCs w:val="18"/>
                <w:lang w:val="en-GB"/>
              </w:rPr>
              <w:t xml:space="preserve"> of </w:t>
            </w:r>
            <w:r w:rsidR="00607717">
              <w:rPr>
                <w:rFonts w:ascii="Times New Roman" w:eastAsia="Times New Roman" w:hAnsi="Times New Roman" w:cs="Times New Roman"/>
                <w:color w:val="000000"/>
                <w:sz w:val="18"/>
                <w:szCs w:val="18"/>
                <w:lang w:val="en-GB"/>
              </w:rPr>
              <w:t xml:space="preserve">Title IV of </w:t>
            </w:r>
            <w:r w:rsidR="003E3F6A">
              <w:rPr>
                <w:rFonts w:ascii="Times New Roman" w:eastAsia="Times New Roman" w:hAnsi="Times New Roman" w:cs="Times New Roman"/>
                <w:color w:val="000000"/>
                <w:sz w:val="18"/>
                <w:szCs w:val="18"/>
                <w:lang w:val="en-GB"/>
              </w:rPr>
              <w:t xml:space="preserve">Part Six of </w:t>
            </w:r>
            <w:r>
              <w:rPr>
                <w:rFonts w:ascii="Times New Roman" w:eastAsia="Times New Roman" w:hAnsi="Times New Roman" w:cs="Times New Roman"/>
                <w:color w:val="000000"/>
                <w:sz w:val="18"/>
                <w:szCs w:val="18"/>
                <w:lang w:val="en-GB"/>
              </w:rPr>
              <w:t>CRR.</w:t>
            </w:r>
          </w:p>
          <w:p w14:paraId="7E984FF5" w14:textId="5BA6CEE4" w:rsidR="00676422" w:rsidRDefault="00676422" w:rsidP="00A467EE">
            <w:pPr>
              <w:pStyle w:val="TableParagraph"/>
              <w:spacing w:before="119"/>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F06AEE">
              <w:rPr>
                <w:rFonts w:ascii="Times New Roman" w:eastAsia="Times New Roman" w:hAnsi="Times New Roman" w:cs="Times New Roman"/>
                <w:sz w:val="18"/>
                <w:szCs w:val="18"/>
              </w:rPr>
              <w:t xml:space="preserve">nstitutions shall report in </w:t>
            </w:r>
            <w:r>
              <w:rPr>
                <w:rFonts w:ascii="Times New Roman" w:eastAsia="Times New Roman" w:hAnsi="Times New Roman" w:cs="Times New Roman"/>
                <w:sz w:val="18"/>
                <w:szCs w:val="18"/>
              </w:rPr>
              <w:t>columns 0050-0060</w:t>
            </w:r>
            <w:r w:rsidRPr="00F06AEE">
              <w:rPr>
                <w:rFonts w:ascii="Times New Roman" w:eastAsia="Times New Roman" w:hAnsi="Times New Roman" w:cs="Times New Roman"/>
                <w:sz w:val="18"/>
                <w:szCs w:val="18"/>
              </w:rPr>
              <w:t xml:space="preserve"> the applicable </w:t>
            </w:r>
            <w:r>
              <w:rPr>
                <w:rFonts w:ascii="Times New Roman" w:eastAsia="Times New Roman" w:hAnsi="Times New Roman" w:cs="Times New Roman"/>
                <w:sz w:val="18"/>
                <w:szCs w:val="18"/>
              </w:rPr>
              <w:t xml:space="preserve">ASF factors in Chapter 6 </w:t>
            </w:r>
            <w:r w:rsidR="003E3F6A">
              <w:rPr>
                <w:rFonts w:ascii="Times New Roman" w:eastAsia="Times New Roman" w:hAnsi="Times New Roman" w:cs="Times New Roman"/>
                <w:sz w:val="18"/>
                <w:szCs w:val="18"/>
              </w:rPr>
              <w:t xml:space="preserve">of </w:t>
            </w:r>
            <w:r w:rsidR="00607717">
              <w:rPr>
                <w:rFonts w:ascii="Times New Roman" w:eastAsia="Times New Roman" w:hAnsi="Times New Roman" w:cs="Times New Roman"/>
                <w:sz w:val="18"/>
                <w:szCs w:val="18"/>
              </w:rPr>
              <w:t xml:space="preserve">Title IV </w:t>
            </w:r>
            <w:r w:rsidR="003E3F6A">
              <w:rPr>
                <w:rFonts w:ascii="Times New Roman" w:eastAsia="Times New Roman" w:hAnsi="Times New Roman" w:cs="Times New Roman"/>
                <w:sz w:val="18"/>
                <w:szCs w:val="18"/>
              </w:rPr>
              <w:t xml:space="preserve">Part Six of CRR </w:t>
            </w:r>
            <w:r>
              <w:rPr>
                <w:rFonts w:ascii="Times New Roman" w:eastAsia="Times New Roman" w:hAnsi="Times New Roman" w:cs="Times New Roman"/>
                <w:sz w:val="18"/>
                <w:szCs w:val="18"/>
              </w:rPr>
              <w:t xml:space="preserve">as </w:t>
            </w:r>
            <w:r w:rsidRPr="00F06AEE">
              <w:rPr>
                <w:rFonts w:ascii="Times New Roman" w:eastAsia="Times New Roman" w:hAnsi="Times New Roman" w:cs="Times New Roman"/>
                <w:sz w:val="18"/>
                <w:szCs w:val="18"/>
              </w:rPr>
              <w:t>weight</w:t>
            </w:r>
            <w:r>
              <w:rPr>
                <w:rFonts w:ascii="Times New Roman" w:eastAsia="Times New Roman" w:hAnsi="Times New Roman" w:cs="Times New Roman"/>
                <w:sz w:val="18"/>
                <w:szCs w:val="18"/>
              </w:rPr>
              <w:t>s that, multiplied by the amount of the liabilities or own funds, would determine the amount of the relevant available stable funding.</w:t>
            </w:r>
            <w:r w:rsidRPr="00F06AEE">
              <w:rPr>
                <w:rFonts w:ascii="Times New Roman" w:eastAsia="Times New Roman" w:hAnsi="Times New Roman" w:cs="Times New Roman"/>
                <w:sz w:val="18"/>
                <w:szCs w:val="18"/>
              </w:rPr>
              <w:t xml:space="preserve"> Applicable </w:t>
            </w:r>
            <w:r>
              <w:rPr>
                <w:rFonts w:ascii="Times New Roman" w:eastAsia="Times New Roman" w:hAnsi="Times New Roman" w:cs="Times New Roman"/>
                <w:sz w:val="18"/>
                <w:szCs w:val="18"/>
              </w:rPr>
              <w:t>factors</w:t>
            </w:r>
            <w:r w:rsidRPr="00F06AEE">
              <w:rPr>
                <w:rFonts w:ascii="Times New Roman" w:eastAsia="Times New Roman" w:hAnsi="Times New Roman" w:cs="Times New Roman"/>
                <w:sz w:val="18"/>
                <w:szCs w:val="18"/>
              </w:rPr>
              <w:t xml:space="preserve"> shall be reported in decimal terms (i.e. 1.00 for an applicable weight of 100 per cent, or 0.50 for an applicable weight of 50 per cent). Applicable </w:t>
            </w:r>
            <w:r>
              <w:rPr>
                <w:rFonts w:ascii="Times New Roman" w:eastAsia="Times New Roman" w:hAnsi="Times New Roman" w:cs="Times New Roman"/>
                <w:sz w:val="18"/>
                <w:szCs w:val="18"/>
              </w:rPr>
              <w:t>factors</w:t>
            </w:r>
            <w:r w:rsidRPr="00F06AEE">
              <w:rPr>
                <w:rFonts w:ascii="Times New Roman" w:eastAsia="Times New Roman" w:hAnsi="Times New Roman" w:cs="Times New Roman"/>
                <w:sz w:val="18"/>
                <w:szCs w:val="18"/>
              </w:rPr>
              <w:t xml:space="preserve"> may reflect, but are not limited to, firm-specific and national discretions.</w:t>
            </w:r>
          </w:p>
          <w:p w14:paraId="3440627D" w14:textId="77777777" w:rsidR="00676422" w:rsidRDefault="00676422" w:rsidP="00A103D6">
            <w:pPr>
              <w:pStyle w:val="TableParagraph"/>
              <w:ind w:left="102"/>
              <w:rPr>
                <w:rFonts w:ascii="Times New Roman"/>
                <w:b/>
                <w:sz w:val="18"/>
                <w:szCs w:val="18"/>
                <w:u w:val="single"/>
              </w:rPr>
            </w:pPr>
          </w:p>
        </w:tc>
      </w:tr>
      <w:tr w:rsidR="00676422" w:rsidRPr="00C71F0B" w14:paraId="2E36D295"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530776BF" w14:textId="3574BF0D" w:rsidR="00676422" w:rsidRPr="00C71F0B"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F71FE3">
              <w:rPr>
                <w:rFonts w:ascii="Times New Roman" w:eastAsia="Times New Roman" w:hAnsi="Times New Roman" w:cs="Times New Roman"/>
                <w:sz w:val="18"/>
                <w:szCs w:val="18"/>
              </w:rPr>
              <w:t>0</w:t>
            </w:r>
            <w:r>
              <w:rPr>
                <w:rFonts w:ascii="Times New Roman" w:eastAsia="Times New Roman" w:hAnsi="Times New Roman" w:cs="Times New Roman"/>
                <w:sz w:val="18"/>
                <w:szCs w:val="18"/>
              </w:rPr>
              <w:t>70</w:t>
            </w:r>
          </w:p>
        </w:tc>
        <w:tc>
          <w:tcPr>
            <w:tcW w:w="7590" w:type="dxa"/>
            <w:tcBorders>
              <w:top w:val="single" w:sz="4" w:space="0" w:color="auto"/>
              <w:left w:val="single" w:sz="4" w:space="0" w:color="auto"/>
              <w:bottom w:val="single" w:sz="4" w:space="0" w:color="auto"/>
              <w:right w:val="single" w:sz="4" w:space="0" w:color="auto"/>
            </w:tcBorders>
          </w:tcPr>
          <w:p w14:paraId="606371C0" w14:textId="77777777" w:rsidR="00676422" w:rsidRPr="00F06AEE" w:rsidRDefault="00676422" w:rsidP="00A467EE">
            <w:pPr>
              <w:pStyle w:val="TableParagraph"/>
              <w:spacing w:before="119"/>
              <w:ind w:left="102"/>
              <w:rPr>
                <w:rFonts w:ascii="Times New Roman"/>
                <w:b/>
                <w:sz w:val="18"/>
                <w:szCs w:val="18"/>
                <w:u w:val="single"/>
              </w:rPr>
            </w:pPr>
            <w:r>
              <w:rPr>
                <w:rFonts w:ascii="Times New Roman"/>
                <w:b/>
                <w:sz w:val="18"/>
                <w:szCs w:val="18"/>
                <w:u w:val="single"/>
              </w:rPr>
              <w:t>Available Stable Funding</w:t>
            </w:r>
          </w:p>
          <w:p w14:paraId="620FAFF6" w14:textId="0EB1CD94" w:rsidR="00676422" w:rsidRDefault="00676422" w:rsidP="00A467EE">
            <w:pPr>
              <w:pStyle w:val="TableParagraph"/>
              <w:spacing w:before="119"/>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B06F5E">
              <w:rPr>
                <w:rFonts w:ascii="Times New Roman" w:eastAsia="Times New Roman" w:hAnsi="Times New Roman" w:cs="Times New Roman"/>
                <w:sz w:val="18"/>
                <w:szCs w:val="18"/>
              </w:rPr>
              <w:t xml:space="preserve">nstitutions shall report in </w:t>
            </w:r>
            <w:r>
              <w:rPr>
                <w:rFonts w:ascii="Times New Roman" w:eastAsia="Times New Roman" w:hAnsi="Times New Roman" w:cs="Times New Roman"/>
                <w:sz w:val="18"/>
                <w:szCs w:val="18"/>
              </w:rPr>
              <w:t>column 0</w:t>
            </w:r>
            <w:r w:rsidR="00F71FE3">
              <w:rPr>
                <w:rFonts w:ascii="Times New Roman" w:eastAsia="Times New Roman" w:hAnsi="Times New Roman" w:cs="Times New Roman"/>
                <w:sz w:val="18"/>
                <w:szCs w:val="18"/>
              </w:rPr>
              <w:t>0</w:t>
            </w:r>
            <w:r>
              <w:rPr>
                <w:rFonts w:ascii="Times New Roman" w:eastAsia="Times New Roman" w:hAnsi="Times New Roman" w:cs="Times New Roman"/>
                <w:sz w:val="18"/>
                <w:szCs w:val="18"/>
              </w:rPr>
              <w:t>70</w:t>
            </w:r>
            <w:r w:rsidRPr="00B06F5E">
              <w:rPr>
                <w:rFonts w:ascii="Times New Roman" w:eastAsia="Times New Roman" w:hAnsi="Times New Roman" w:cs="Times New Roman"/>
                <w:sz w:val="18"/>
                <w:szCs w:val="18"/>
              </w:rPr>
              <w:t xml:space="preserve"> the value of the </w:t>
            </w:r>
            <w:r>
              <w:rPr>
                <w:rFonts w:ascii="Times New Roman" w:eastAsia="Times New Roman" w:hAnsi="Times New Roman" w:cs="Times New Roman"/>
                <w:sz w:val="18"/>
                <w:szCs w:val="18"/>
              </w:rPr>
              <w:t>available stable funding</w:t>
            </w:r>
            <w:r w:rsidRPr="00B06F5E">
              <w:rPr>
                <w:rFonts w:ascii="Times New Roman" w:eastAsia="Times New Roman" w:hAnsi="Times New Roman" w:cs="Times New Roman"/>
                <w:sz w:val="18"/>
                <w:szCs w:val="18"/>
              </w:rPr>
              <w:t xml:space="preserve"> in accordance with the definition set out in Article </w:t>
            </w:r>
            <w:r>
              <w:rPr>
                <w:rFonts w:ascii="Times New Roman" w:eastAsia="Times New Roman" w:hAnsi="Times New Roman" w:cs="Times New Roman"/>
                <w:sz w:val="18"/>
                <w:szCs w:val="18"/>
              </w:rPr>
              <w:t>428aj of CRR</w:t>
            </w:r>
            <w:r w:rsidRPr="00B06F5E">
              <w:rPr>
                <w:rFonts w:ascii="Times New Roman" w:eastAsia="Times New Roman" w:hAnsi="Times New Roman" w:cs="Times New Roman"/>
                <w:sz w:val="18"/>
                <w:szCs w:val="18"/>
              </w:rPr>
              <w:t>.</w:t>
            </w:r>
          </w:p>
          <w:p w14:paraId="0EDE48B6" w14:textId="77777777" w:rsidR="00676422" w:rsidRDefault="00676422" w:rsidP="00A103D6">
            <w:pPr>
              <w:pStyle w:val="TableParagraph"/>
              <w:ind w:left="102"/>
              <w:rPr>
                <w:rFonts w:ascii="Times New Roman" w:eastAsia="Times New Roman" w:hAnsi="Times New Roman" w:cs="Times New Roman"/>
                <w:sz w:val="18"/>
                <w:szCs w:val="18"/>
              </w:rPr>
            </w:pPr>
          </w:p>
          <w:p w14:paraId="00982784" w14:textId="77777777" w:rsidR="00676422" w:rsidRPr="00CD6B31" w:rsidRDefault="00676422" w:rsidP="00A103D6">
            <w:pPr>
              <w:pStyle w:val="TableParagraph"/>
              <w:ind w:left="102" w:right="100"/>
              <w:rPr>
                <w:rFonts w:ascii="Times New Roman" w:eastAsia="Times New Roman" w:hAnsi="Times New Roman" w:cs="Times New Roman"/>
                <w:sz w:val="18"/>
                <w:szCs w:val="18"/>
              </w:rPr>
            </w:pPr>
            <w:r w:rsidRPr="00CD6B31">
              <w:rPr>
                <w:rFonts w:ascii="Times New Roman" w:eastAsia="Times New Roman" w:hAnsi="Times New Roman" w:cs="Times New Roman"/>
                <w:sz w:val="18"/>
                <w:szCs w:val="18"/>
              </w:rPr>
              <w:t>This is calculated by the following formula:</w:t>
            </w:r>
            <w:r w:rsidRPr="00CD6B31">
              <w:rPr>
                <w:rFonts w:ascii="Times New Roman" w:eastAsia="Times New Roman" w:hAnsi="Times New Roman" w:cs="Times New Roman"/>
                <w:sz w:val="18"/>
                <w:szCs w:val="18"/>
              </w:rPr>
              <w:br/>
              <w:t>c0</w:t>
            </w:r>
            <w:r>
              <w:rPr>
                <w:rFonts w:ascii="Times New Roman" w:eastAsia="Times New Roman" w:hAnsi="Times New Roman" w:cs="Times New Roman"/>
                <w:sz w:val="18"/>
                <w:szCs w:val="18"/>
              </w:rPr>
              <w:t>07</w:t>
            </w:r>
            <w:r w:rsidRPr="00CD6B31">
              <w:rPr>
                <w:rFonts w:ascii="Times New Roman" w:eastAsia="Times New Roman" w:hAnsi="Times New Roman" w:cs="Times New Roman"/>
                <w:sz w:val="18"/>
                <w:szCs w:val="18"/>
              </w:rPr>
              <w:t>0 = SUM{(c0010 * c 00</w:t>
            </w:r>
            <w:r>
              <w:rPr>
                <w:rFonts w:ascii="Times New Roman" w:eastAsia="Times New Roman" w:hAnsi="Times New Roman" w:cs="Times New Roman"/>
                <w:sz w:val="18"/>
                <w:szCs w:val="18"/>
              </w:rPr>
              <w:t>5</w:t>
            </w:r>
            <w:r w:rsidRPr="00CD6B31">
              <w:rPr>
                <w:rFonts w:ascii="Times New Roman" w:eastAsia="Times New Roman" w:hAnsi="Times New Roman" w:cs="Times New Roman"/>
                <w:sz w:val="18"/>
                <w:szCs w:val="18"/>
              </w:rPr>
              <w:t>0), (c0020 * c 0</w:t>
            </w:r>
            <w:r>
              <w:rPr>
                <w:rFonts w:ascii="Times New Roman" w:eastAsia="Times New Roman" w:hAnsi="Times New Roman" w:cs="Times New Roman"/>
                <w:sz w:val="18"/>
                <w:szCs w:val="18"/>
              </w:rPr>
              <w:t>060)</w:t>
            </w:r>
          </w:p>
          <w:p w14:paraId="6830ABAC" w14:textId="77777777" w:rsidR="00676422" w:rsidRPr="00B06F5E" w:rsidRDefault="00676422" w:rsidP="00A103D6">
            <w:pPr>
              <w:pStyle w:val="TableParagraph"/>
              <w:ind w:left="102"/>
              <w:rPr>
                <w:rFonts w:ascii="Times New Roman"/>
                <w:b/>
                <w:sz w:val="18"/>
                <w:szCs w:val="18"/>
                <w:u w:val="single"/>
              </w:rPr>
            </w:pPr>
          </w:p>
        </w:tc>
      </w:tr>
    </w:tbl>
    <w:p w14:paraId="08396F0E" w14:textId="628DA4C6" w:rsidR="00676422" w:rsidRDefault="00676422" w:rsidP="0055437F">
      <w:pPr>
        <w:pStyle w:val="InstructionsText2"/>
        <w:spacing w:before="120" w:after="120"/>
        <w:ind w:left="714" w:hanging="357"/>
      </w:pPr>
    </w:p>
    <w:p w14:paraId="1E662628" w14:textId="6EF7380A" w:rsidR="00676422" w:rsidRDefault="00676422" w:rsidP="0055437F">
      <w:pPr>
        <w:pStyle w:val="InstructionsText2"/>
        <w:spacing w:before="120" w:after="120"/>
        <w:ind w:left="714" w:hanging="357"/>
      </w:pPr>
    </w:p>
    <w:p w14:paraId="4FD29D9A" w14:textId="3E904224" w:rsidR="00676422" w:rsidRDefault="00E0770F" w:rsidP="00E0770F">
      <w:pPr>
        <w:pStyle w:val="BodyText1"/>
        <w:spacing w:before="120" w:after="120"/>
        <w:ind w:left="714"/>
        <w:outlineLvl w:val="0"/>
        <w:rPr>
          <w:rFonts w:ascii="Times New Roman" w:hAnsi="Times New Roman"/>
          <w:b/>
          <w:sz w:val="24"/>
          <w:szCs w:val="24"/>
        </w:rPr>
      </w:pPr>
      <w:bookmarkStart w:id="32" w:name="_Toc7641933"/>
      <w:r>
        <w:rPr>
          <w:rFonts w:ascii="Times New Roman" w:hAnsi="Times New Roman"/>
          <w:b/>
          <w:sz w:val="24"/>
          <w:szCs w:val="24"/>
        </w:rPr>
        <w:t xml:space="preserve">3. </w:t>
      </w:r>
      <w:r w:rsidR="00676422">
        <w:rPr>
          <w:rFonts w:ascii="Times New Roman" w:hAnsi="Times New Roman"/>
          <w:b/>
          <w:sz w:val="24"/>
          <w:szCs w:val="24"/>
        </w:rPr>
        <w:t>Instructions concerning specific rows</w:t>
      </w:r>
      <w:bookmarkEnd w:id="32"/>
    </w:p>
    <w:p w14:paraId="5DF50B50" w14:textId="77777777" w:rsidR="00676422" w:rsidRPr="0055437F" w:rsidRDefault="00676422" w:rsidP="00D967E5">
      <w:pPr>
        <w:pStyle w:val="BodyText1"/>
        <w:spacing w:before="120" w:after="120"/>
        <w:ind w:left="720"/>
        <w:rPr>
          <w:rFonts w:ascii="Times New Roman" w:hAnsi="Times New Roman"/>
          <w:b/>
          <w:sz w:val="24"/>
          <w:szCs w:val="24"/>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676422" w:rsidRPr="00B06F5E" w14:paraId="681BED15"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CBFEB42" w14:textId="77777777" w:rsidR="00676422" w:rsidRPr="00B06F5E" w:rsidRDefault="00676422" w:rsidP="00A467EE">
            <w:pPr>
              <w:pStyle w:val="TableParagraph"/>
              <w:spacing w:before="117" w:after="120"/>
              <w:ind w:left="102"/>
              <w:rPr>
                <w:rFonts w:ascii="Times New Roman" w:hAnsi="Times New Roman"/>
                <w:sz w:val="18"/>
                <w:szCs w:val="18"/>
              </w:rPr>
            </w:pPr>
            <w:r w:rsidRPr="00B06F5E">
              <w:rPr>
                <w:rFonts w:ascii="Times New Roman"/>
                <w:spacing w:val="-1"/>
                <w:sz w:val="18"/>
                <w:szCs w:val="18"/>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9B10BBC" w14:textId="77777777" w:rsidR="00676422" w:rsidRPr="00B06F5E" w:rsidRDefault="00676422" w:rsidP="00A467EE">
            <w:pPr>
              <w:pStyle w:val="TableParagraph"/>
              <w:spacing w:before="117" w:after="120"/>
              <w:ind w:left="102"/>
              <w:rPr>
                <w:rFonts w:ascii="Times New Roman" w:hAnsi="Times New Roman"/>
                <w:bCs/>
                <w:sz w:val="18"/>
                <w:szCs w:val="18"/>
                <w:u w:val="single"/>
              </w:rPr>
            </w:pPr>
            <w:r w:rsidRPr="00B06F5E">
              <w:rPr>
                <w:rFonts w:ascii="Times New Roman" w:hAnsi="Times New Roman"/>
                <w:sz w:val="18"/>
                <w:szCs w:val="18"/>
              </w:rPr>
              <w:t xml:space="preserve">Legal </w:t>
            </w:r>
            <w:r w:rsidRPr="00B06F5E">
              <w:rPr>
                <w:rFonts w:ascii="Times New Roman"/>
                <w:spacing w:val="-1"/>
                <w:sz w:val="18"/>
                <w:szCs w:val="18"/>
              </w:rPr>
              <w:t>references</w:t>
            </w:r>
            <w:r w:rsidRPr="00B06F5E">
              <w:rPr>
                <w:rFonts w:ascii="Times New Roman" w:hAnsi="Times New Roman"/>
                <w:sz w:val="18"/>
                <w:szCs w:val="18"/>
              </w:rPr>
              <w:t xml:space="preserve"> and instructions</w:t>
            </w:r>
          </w:p>
        </w:tc>
      </w:tr>
      <w:tr w:rsidR="00676422" w:rsidRPr="00B06F5E" w14:paraId="56A0B32A" w14:textId="77777777" w:rsidTr="00A467EE">
        <w:trPr>
          <w:trHeight w:val="304"/>
        </w:trPr>
        <w:tc>
          <w:tcPr>
            <w:tcW w:w="1418" w:type="dxa"/>
          </w:tcPr>
          <w:p w14:paraId="12632AE7" w14:textId="77777777" w:rsidR="00676422" w:rsidRPr="00B06F5E"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sz w:val="18"/>
                <w:szCs w:val="18"/>
              </w:rPr>
              <w:t>0010</w:t>
            </w:r>
          </w:p>
        </w:tc>
        <w:tc>
          <w:tcPr>
            <w:tcW w:w="7590" w:type="dxa"/>
          </w:tcPr>
          <w:p w14:paraId="0171A575" w14:textId="77777777" w:rsidR="00676422" w:rsidRPr="00B06F5E" w:rsidRDefault="00676422" w:rsidP="00A467EE">
            <w:pPr>
              <w:pStyle w:val="TableParagraph"/>
              <w:spacing w:before="119"/>
              <w:ind w:left="102"/>
              <w:rPr>
                <w:rFonts w:ascii="Times New Roman"/>
                <w:b/>
                <w:sz w:val="18"/>
                <w:szCs w:val="18"/>
                <w:u w:val="single"/>
              </w:rPr>
            </w:pPr>
            <w:r>
              <w:rPr>
                <w:rFonts w:ascii="Times New Roman"/>
                <w:b/>
                <w:sz w:val="18"/>
                <w:szCs w:val="18"/>
                <w:u w:val="single"/>
              </w:rPr>
              <w:t>2. AVAILABLE</w:t>
            </w:r>
            <w:r w:rsidRPr="00B06F5E">
              <w:rPr>
                <w:rFonts w:ascii="Times New Roman"/>
                <w:b/>
                <w:sz w:val="18"/>
                <w:szCs w:val="18"/>
                <w:u w:val="single"/>
              </w:rPr>
              <w:t xml:space="preserve"> STABLE FUNDING</w:t>
            </w:r>
          </w:p>
          <w:p w14:paraId="7FE51C31" w14:textId="77777777" w:rsidR="00676422" w:rsidRPr="00B06F5E" w:rsidRDefault="00676422" w:rsidP="00A467EE">
            <w:pPr>
              <w:pStyle w:val="TableParagraph"/>
              <w:ind w:left="102"/>
              <w:rPr>
                <w:rFonts w:ascii="Times New Roman" w:eastAsia="Times New Roman" w:hAnsi="Times New Roman" w:cs="Times New Roman"/>
                <w:sz w:val="18"/>
                <w:szCs w:val="18"/>
              </w:rPr>
            </w:pPr>
          </w:p>
          <w:p w14:paraId="137787D4" w14:textId="6F01A158" w:rsidR="00676422" w:rsidRPr="00B06F5E" w:rsidRDefault="00676422" w:rsidP="00A467EE">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Chapter 6 of </w:t>
            </w:r>
            <w:r w:rsidR="00607717" w:rsidRPr="00F06AEE">
              <w:rPr>
                <w:rFonts w:ascii="Times New Roman" w:eastAsia="Times New Roman" w:hAnsi="Times New Roman" w:cs="Times New Roman"/>
                <w:sz w:val="18"/>
                <w:szCs w:val="18"/>
              </w:rPr>
              <w:t>T</w:t>
            </w:r>
            <w:r w:rsidR="00607717">
              <w:rPr>
                <w:rFonts w:ascii="Times New Roman" w:eastAsia="Times New Roman" w:hAnsi="Times New Roman" w:cs="Times New Roman"/>
                <w:sz w:val="18"/>
                <w:szCs w:val="18"/>
              </w:rPr>
              <w:t>itle </w:t>
            </w:r>
            <w:r w:rsidR="00607717" w:rsidRPr="00F06AEE">
              <w:rPr>
                <w:rFonts w:ascii="Times New Roman" w:eastAsia="Times New Roman" w:hAnsi="Times New Roman" w:cs="Times New Roman"/>
                <w:sz w:val="18"/>
                <w:szCs w:val="18"/>
              </w:rPr>
              <w:t>IV</w:t>
            </w:r>
            <w:r w:rsidR="00607717">
              <w:rPr>
                <w:rFonts w:ascii="Times New Roman" w:eastAsia="Times New Roman" w:hAnsi="Times New Roman" w:cs="Times New Roman"/>
                <w:sz w:val="18"/>
                <w:szCs w:val="18"/>
              </w:rPr>
              <w:t xml:space="preserve"> of </w:t>
            </w:r>
            <w:r w:rsidR="003E3F6A">
              <w:rPr>
                <w:rFonts w:ascii="Times New Roman" w:eastAsia="Times New Roman" w:hAnsi="Times New Roman" w:cs="Times New Roman"/>
                <w:sz w:val="18"/>
                <w:szCs w:val="18"/>
              </w:rPr>
              <w:t xml:space="preserve">Part Six of </w:t>
            </w:r>
            <w:r>
              <w:rPr>
                <w:rFonts w:ascii="Times New Roman" w:eastAsia="Times New Roman" w:hAnsi="Times New Roman" w:cs="Times New Roman"/>
                <w:sz w:val="18"/>
                <w:szCs w:val="18"/>
              </w:rPr>
              <w:t>CRR.</w:t>
            </w:r>
          </w:p>
          <w:p w14:paraId="6BA290FA" w14:textId="77777777" w:rsidR="00676422" w:rsidRPr="00B06F5E" w:rsidRDefault="00676422" w:rsidP="00A467EE">
            <w:pPr>
              <w:pStyle w:val="TableParagraph"/>
              <w:ind w:left="102"/>
              <w:rPr>
                <w:rFonts w:ascii="Times New Roman" w:eastAsia="Times New Roman" w:hAnsi="Times New Roman" w:cs="Times New Roman"/>
                <w:sz w:val="18"/>
                <w:szCs w:val="18"/>
              </w:rPr>
            </w:pPr>
          </w:p>
        </w:tc>
      </w:tr>
      <w:tr w:rsidR="00676422" w:rsidRPr="00B06F5E" w14:paraId="4283E466" w14:textId="77777777" w:rsidTr="00A467EE">
        <w:trPr>
          <w:trHeight w:val="304"/>
        </w:trPr>
        <w:tc>
          <w:tcPr>
            <w:tcW w:w="1418" w:type="dxa"/>
          </w:tcPr>
          <w:p w14:paraId="6E064545" w14:textId="77777777" w:rsidR="00676422" w:rsidRPr="00B06F5E"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0020</w:t>
            </w:r>
          </w:p>
        </w:tc>
        <w:tc>
          <w:tcPr>
            <w:tcW w:w="7590" w:type="dxa"/>
          </w:tcPr>
          <w:p w14:paraId="019C614E" w14:textId="77777777" w:rsidR="00676422" w:rsidRPr="00B06F5E" w:rsidRDefault="00676422" w:rsidP="00A467EE">
            <w:pPr>
              <w:pStyle w:val="TableParagraph"/>
              <w:spacing w:before="119"/>
              <w:ind w:left="102"/>
              <w:rPr>
                <w:rFonts w:ascii="Times New Roman"/>
                <w:b/>
                <w:sz w:val="18"/>
                <w:szCs w:val="18"/>
                <w:u w:val="single"/>
              </w:rPr>
            </w:pPr>
            <w:r>
              <w:rPr>
                <w:rFonts w:ascii="Times New Roman"/>
                <w:b/>
                <w:sz w:val="18"/>
                <w:szCs w:val="18"/>
                <w:u w:val="single"/>
              </w:rPr>
              <w:t>2.1 ASF from capital items and instruments</w:t>
            </w:r>
          </w:p>
          <w:p w14:paraId="674D9CEA" w14:textId="77777777" w:rsidR="00676422" w:rsidRPr="00B06F5E" w:rsidRDefault="00676422" w:rsidP="00A103D6">
            <w:pPr>
              <w:pStyle w:val="TableParagraph"/>
              <w:ind w:left="102"/>
              <w:rPr>
                <w:rFonts w:ascii="Times New Roman" w:eastAsia="Times New Roman" w:hAnsi="Times New Roman" w:cs="Times New Roman"/>
                <w:sz w:val="18"/>
                <w:szCs w:val="18"/>
              </w:rPr>
            </w:pPr>
          </w:p>
          <w:p w14:paraId="2789A3F6" w14:textId="77777777" w:rsidR="00676422" w:rsidRDefault="00676422" w:rsidP="00A467EE">
            <w:pPr>
              <w:pStyle w:val="TableParagraph"/>
              <w:ind w:left="102"/>
              <w:rPr>
                <w:rFonts w:ascii="Times New Roman"/>
                <w:b/>
                <w:sz w:val="18"/>
                <w:szCs w:val="18"/>
                <w:u w:val="single"/>
              </w:rPr>
            </w:pPr>
            <w:r w:rsidRPr="00160C7F">
              <w:rPr>
                <w:rFonts w:ascii="Times New Roman"/>
                <w:b/>
                <w:sz w:val="18"/>
                <w:szCs w:val="18"/>
                <w:u w:val="single"/>
              </w:rPr>
              <w:t>Common Equity Tier 1</w:t>
            </w:r>
          </w:p>
          <w:p w14:paraId="6663E955" w14:textId="77777777" w:rsidR="00676422" w:rsidRDefault="00676422" w:rsidP="00A467EE">
            <w:pPr>
              <w:pStyle w:val="TableParagraph"/>
              <w:ind w:left="102"/>
              <w:rPr>
                <w:rFonts w:ascii="Times New Roman"/>
                <w:sz w:val="18"/>
                <w:szCs w:val="18"/>
              </w:rPr>
            </w:pPr>
          </w:p>
          <w:p w14:paraId="21FB6156" w14:textId="0DEF9580" w:rsidR="00676422" w:rsidRDefault="00676422" w:rsidP="00A467EE">
            <w:pPr>
              <w:pStyle w:val="TableParagraph"/>
              <w:ind w:left="102"/>
              <w:rPr>
                <w:rFonts w:ascii="Times New Roman"/>
                <w:sz w:val="18"/>
                <w:szCs w:val="18"/>
              </w:rPr>
            </w:pPr>
            <w:r>
              <w:rPr>
                <w:rFonts w:ascii="Times New Roman"/>
                <w:sz w:val="18"/>
                <w:szCs w:val="18"/>
              </w:rPr>
              <w:t>Art</w:t>
            </w:r>
            <w:r w:rsidR="006768EC">
              <w:rPr>
                <w:rFonts w:ascii="Times New Roman"/>
                <w:sz w:val="18"/>
                <w:szCs w:val="18"/>
              </w:rPr>
              <w:t xml:space="preserve">icle </w:t>
            </w:r>
            <w:r>
              <w:rPr>
                <w:rFonts w:ascii="Times New Roman"/>
                <w:sz w:val="18"/>
                <w:szCs w:val="18"/>
              </w:rPr>
              <w:t>428ap (a) of CRR.</w:t>
            </w:r>
          </w:p>
          <w:p w14:paraId="43D1D298" w14:textId="77777777" w:rsidR="00676422" w:rsidRDefault="00676422" w:rsidP="00A467EE">
            <w:pPr>
              <w:pStyle w:val="TableParagraph"/>
              <w:ind w:left="102"/>
              <w:rPr>
                <w:rFonts w:ascii="Times New Roman"/>
                <w:sz w:val="18"/>
                <w:szCs w:val="18"/>
              </w:rPr>
            </w:pPr>
          </w:p>
          <w:p w14:paraId="6388ED74" w14:textId="4AF2F5CC" w:rsidR="00676422" w:rsidRDefault="00676422" w:rsidP="00A467EE">
            <w:pPr>
              <w:pStyle w:val="TableParagraph"/>
              <w:ind w:left="102"/>
              <w:rPr>
                <w:rFonts w:ascii="Times New Roman"/>
                <w:sz w:val="18"/>
                <w:szCs w:val="18"/>
              </w:rPr>
            </w:pPr>
            <w:r>
              <w:rPr>
                <w:rFonts w:ascii="Times New Roman"/>
                <w:sz w:val="18"/>
                <w:szCs w:val="18"/>
              </w:rPr>
              <w:t>Common Equity Tier 1 items before the application of prudential filters, deductions and exemption or alternatives stipulated in Article 32 to 36, 48, 49 and 79 of CRR.</w:t>
            </w:r>
          </w:p>
          <w:p w14:paraId="170A6BFC" w14:textId="77777777" w:rsidR="00676422" w:rsidRDefault="00676422" w:rsidP="00A467EE">
            <w:pPr>
              <w:pStyle w:val="TableParagraph"/>
              <w:ind w:left="102"/>
              <w:rPr>
                <w:rFonts w:ascii="Times New Roman"/>
                <w:sz w:val="18"/>
                <w:szCs w:val="18"/>
              </w:rPr>
            </w:pPr>
          </w:p>
          <w:p w14:paraId="05DD6B28" w14:textId="77777777" w:rsidR="00676422" w:rsidRDefault="00676422" w:rsidP="00A467EE">
            <w:pPr>
              <w:pStyle w:val="TableParagraph"/>
              <w:ind w:left="102"/>
              <w:rPr>
                <w:rFonts w:ascii="Times New Roman"/>
                <w:b/>
                <w:sz w:val="18"/>
                <w:szCs w:val="18"/>
                <w:u w:val="single"/>
              </w:rPr>
            </w:pPr>
            <w:r w:rsidRPr="00160C7F">
              <w:rPr>
                <w:rFonts w:ascii="Times New Roman"/>
                <w:b/>
                <w:sz w:val="18"/>
                <w:szCs w:val="18"/>
                <w:u w:val="single"/>
              </w:rPr>
              <w:t>Additional Tier 1</w:t>
            </w:r>
          </w:p>
          <w:p w14:paraId="1A649162" w14:textId="77777777" w:rsidR="00676422" w:rsidRPr="00B06F5E" w:rsidRDefault="00676422" w:rsidP="00A467EE">
            <w:pPr>
              <w:pStyle w:val="TableParagraph"/>
              <w:ind w:left="102"/>
              <w:rPr>
                <w:rFonts w:ascii="Times New Roman" w:eastAsia="Times New Roman" w:hAnsi="Times New Roman" w:cs="Times New Roman"/>
                <w:sz w:val="18"/>
                <w:szCs w:val="18"/>
              </w:rPr>
            </w:pPr>
          </w:p>
          <w:p w14:paraId="1F2A2AC1" w14:textId="44AA425B" w:rsidR="00676422" w:rsidRDefault="006768EC"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428ap (b) of CRR.</w:t>
            </w:r>
          </w:p>
          <w:p w14:paraId="2FB6F2E6" w14:textId="77777777" w:rsidR="00676422" w:rsidRDefault="00676422" w:rsidP="00A467EE">
            <w:pPr>
              <w:pStyle w:val="TableParagraph"/>
              <w:ind w:left="102"/>
              <w:rPr>
                <w:rFonts w:ascii="Times New Roman"/>
                <w:sz w:val="18"/>
                <w:szCs w:val="18"/>
              </w:rPr>
            </w:pPr>
          </w:p>
          <w:p w14:paraId="189131A8" w14:textId="7ECE7C1A" w:rsidR="00676422" w:rsidRDefault="00676422" w:rsidP="00A467EE">
            <w:pPr>
              <w:pStyle w:val="TableParagraph"/>
              <w:ind w:left="102"/>
              <w:rPr>
                <w:rFonts w:ascii="Times New Roman"/>
                <w:sz w:val="18"/>
                <w:szCs w:val="18"/>
              </w:rPr>
            </w:pPr>
            <w:r>
              <w:rPr>
                <w:rFonts w:ascii="Times New Roman"/>
                <w:sz w:val="18"/>
                <w:szCs w:val="18"/>
              </w:rPr>
              <w:t>Additional Tier 1 items before the application of the deductions and exemptions stipulated in Articles 56 and 79 of CRR.</w:t>
            </w:r>
          </w:p>
          <w:p w14:paraId="152AB42E" w14:textId="77777777" w:rsidR="00676422" w:rsidRDefault="00676422" w:rsidP="00A467EE">
            <w:pPr>
              <w:pStyle w:val="TableParagraph"/>
              <w:ind w:left="102"/>
              <w:rPr>
                <w:rFonts w:ascii="Times New Roman"/>
                <w:sz w:val="18"/>
                <w:szCs w:val="18"/>
              </w:rPr>
            </w:pPr>
          </w:p>
          <w:p w14:paraId="224EFA64" w14:textId="77777777" w:rsidR="00676422" w:rsidRDefault="00676422" w:rsidP="00A467EE">
            <w:pPr>
              <w:pStyle w:val="TableParagraph"/>
              <w:ind w:left="102"/>
              <w:rPr>
                <w:rFonts w:ascii="Times New Roman"/>
                <w:b/>
                <w:sz w:val="18"/>
                <w:szCs w:val="18"/>
                <w:u w:val="single"/>
              </w:rPr>
            </w:pPr>
            <w:r w:rsidRPr="00160C7F">
              <w:rPr>
                <w:rFonts w:ascii="Times New Roman"/>
                <w:b/>
                <w:sz w:val="18"/>
                <w:szCs w:val="18"/>
                <w:u w:val="single"/>
              </w:rPr>
              <w:t>Tier 2</w:t>
            </w:r>
          </w:p>
          <w:p w14:paraId="4AE89236" w14:textId="77777777" w:rsidR="00676422" w:rsidRPr="00B06F5E" w:rsidRDefault="00676422" w:rsidP="00A467EE">
            <w:pPr>
              <w:pStyle w:val="TableParagraph"/>
              <w:ind w:left="102"/>
              <w:rPr>
                <w:rFonts w:ascii="Times New Roman" w:eastAsia="Times New Roman" w:hAnsi="Times New Roman" w:cs="Times New Roman"/>
                <w:sz w:val="18"/>
                <w:szCs w:val="18"/>
              </w:rPr>
            </w:pPr>
          </w:p>
          <w:p w14:paraId="573E112F" w14:textId="771227BD" w:rsidR="00676422" w:rsidRDefault="006768EC"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428ap (c) of CRR.</w:t>
            </w:r>
          </w:p>
          <w:p w14:paraId="032623AD" w14:textId="77777777" w:rsidR="00676422" w:rsidRDefault="00676422" w:rsidP="00A467EE">
            <w:pPr>
              <w:pStyle w:val="TableParagraph"/>
              <w:ind w:left="102"/>
              <w:rPr>
                <w:rFonts w:ascii="Times New Roman"/>
                <w:sz w:val="18"/>
                <w:szCs w:val="18"/>
              </w:rPr>
            </w:pPr>
          </w:p>
          <w:p w14:paraId="70B867B0" w14:textId="7D842C02" w:rsidR="00676422" w:rsidRDefault="00676422" w:rsidP="00173D2D">
            <w:pPr>
              <w:pStyle w:val="TableParagraph"/>
              <w:ind w:left="102"/>
              <w:rPr>
                <w:rFonts w:ascii="Times New Roman"/>
                <w:sz w:val="18"/>
                <w:szCs w:val="18"/>
              </w:rPr>
            </w:pPr>
            <w:r>
              <w:rPr>
                <w:rFonts w:ascii="Times New Roman"/>
                <w:sz w:val="18"/>
                <w:szCs w:val="18"/>
              </w:rPr>
              <w:t>Tier 2 items before the application of the deductions and exemptions stipulated in Articles 66 and 79 of CRR</w:t>
            </w:r>
            <w:r w:rsidR="006768EC">
              <w:rPr>
                <w:rFonts w:ascii="Times New Roman"/>
                <w:sz w:val="18"/>
                <w:szCs w:val="18"/>
              </w:rPr>
              <w:t>.</w:t>
            </w:r>
          </w:p>
          <w:p w14:paraId="6D6EBC3A" w14:textId="77777777" w:rsidR="00676422" w:rsidRDefault="00676422" w:rsidP="00A103D6">
            <w:pPr>
              <w:pStyle w:val="TableParagraph"/>
              <w:ind w:left="102"/>
              <w:rPr>
                <w:rFonts w:ascii="Times New Roman"/>
                <w:sz w:val="18"/>
                <w:szCs w:val="18"/>
              </w:rPr>
            </w:pPr>
          </w:p>
          <w:p w14:paraId="4C37EF7C" w14:textId="77777777" w:rsidR="00676422" w:rsidRDefault="00676422" w:rsidP="00A467EE">
            <w:pPr>
              <w:pStyle w:val="TableParagraph"/>
              <w:ind w:left="102"/>
              <w:rPr>
                <w:rFonts w:ascii="Times New Roman"/>
                <w:b/>
                <w:sz w:val="18"/>
                <w:szCs w:val="18"/>
                <w:u w:val="single"/>
              </w:rPr>
            </w:pPr>
            <w:r w:rsidRPr="00160C7F">
              <w:rPr>
                <w:rFonts w:ascii="Times New Roman"/>
                <w:b/>
                <w:sz w:val="18"/>
                <w:szCs w:val="18"/>
                <w:u w:val="single"/>
              </w:rPr>
              <w:t>Other capital instruments</w:t>
            </w:r>
          </w:p>
          <w:p w14:paraId="18EB4FFA" w14:textId="77777777" w:rsidR="00676422" w:rsidRPr="00B06F5E" w:rsidRDefault="00676422" w:rsidP="00A467EE">
            <w:pPr>
              <w:pStyle w:val="TableParagraph"/>
              <w:ind w:left="102"/>
              <w:rPr>
                <w:rFonts w:ascii="Times New Roman" w:eastAsia="Times New Roman" w:hAnsi="Times New Roman" w:cs="Times New Roman"/>
                <w:sz w:val="18"/>
                <w:szCs w:val="18"/>
              </w:rPr>
            </w:pPr>
          </w:p>
          <w:p w14:paraId="1667DAD4" w14:textId="30135A56" w:rsidR="00676422" w:rsidRDefault="006768EC" w:rsidP="00A467EE">
            <w:pPr>
              <w:pStyle w:val="TableParagraph"/>
              <w:ind w:left="102"/>
              <w:rPr>
                <w:rFonts w:ascii="Times New Roman"/>
                <w:sz w:val="18"/>
                <w:szCs w:val="18"/>
              </w:rPr>
            </w:pPr>
            <w:r>
              <w:rPr>
                <w:rFonts w:ascii="Times New Roman"/>
                <w:sz w:val="18"/>
                <w:szCs w:val="18"/>
              </w:rPr>
              <w:t xml:space="preserve">Articles </w:t>
            </w:r>
            <w:r w:rsidR="00676422">
              <w:rPr>
                <w:rFonts w:ascii="Times New Roman"/>
                <w:sz w:val="18"/>
                <w:szCs w:val="18"/>
              </w:rPr>
              <w:t>428ap (d) and 428al(3)(d) of CRR.</w:t>
            </w:r>
          </w:p>
          <w:p w14:paraId="2942A28D" w14:textId="77777777" w:rsidR="00676422" w:rsidRDefault="00676422" w:rsidP="00A467EE">
            <w:pPr>
              <w:pStyle w:val="TableParagraph"/>
              <w:ind w:left="102"/>
              <w:rPr>
                <w:rFonts w:ascii="Times New Roman"/>
                <w:sz w:val="18"/>
                <w:szCs w:val="18"/>
              </w:rPr>
            </w:pPr>
          </w:p>
          <w:p w14:paraId="73E59764" w14:textId="76150BB5" w:rsidR="00676422" w:rsidRDefault="00676422" w:rsidP="0055437F">
            <w:pPr>
              <w:pStyle w:val="TableParagraph"/>
              <w:ind w:left="102"/>
              <w:rPr>
                <w:rFonts w:ascii="Times New Roman"/>
                <w:sz w:val="18"/>
                <w:szCs w:val="18"/>
              </w:rPr>
            </w:pPr>
            <w:r>
              <w:rPr>
                <w:rFonts w:ascii="Times New Roman"/>
                <w:sz w:val="18"/>
                <w:szCs w:val="18"/>
              </w:rPr>
              <w:t>Other capital instruments</w:t>
            </w:r>
            <w:r w:rsidR="006768EC">
              <w:rPr>
                <w:rFonts w:ascii="Times New Roman"/>
                <w:sz w:val="18"/>
                <w:szCs w:val="18"/>
              </w:rPr>
              <w:t xml:space="preserve"> not referred to in any of the abovementioned categories.</w:t>
            </w:r>
          </w:p>
          <w:p w14:paraId="49EDCAA4" w14:textId="77777777" w:rsidR="00676422" w:rsidRPr="00B06F5E" w:rsidRDefault="00676422" w:rsidP="00A467EE">
            <w:pPr>
              <w:pStyle w:val="TableParagraph"/>
              <w:ind w:left="102"/>
              <w:rPr>
                <w:rFonts w:ascii="Times New Roman" w:eastAsia="Times New Roman" w:hAnsi="Times New Roman" w:cs="Times New Roman"/>
                <w:sz w:val="18"/>
                <w:szCs w:val="18"/>
              </w:rPr>
            </w:pPr>
          </w:p>
        </w:tc>
      </w:tr>
      <w:tr w:rsidR="00676422" w14:paraId="02F969B2" w14:textId="77777777" w:rsidTr="00A467EE">
        <w:trPr>
          <w:trHeight w:val="304"/>
        </w:trPr>
        <w:tc>
          <w:tcPr>
            <w:tcW w:w="1418" w:type="dxa"/>
          </w:tcPr>
          <w:p w14:paraId="58DDE955" w14:textId="77777777" w:rsidR="00676422" w:rsidRDefault="00676422" w:rsidP="00A467EE">
            <w:pPr>
              <w:pStyle w:val="TableParagraph"/>
              <w:spacing w:before="118"/>
              <w:ind w:left="57" w:right="96"/>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0030</w:t>
            </w:r>
          </w:p>
        </w:tc>
        <w:tc>
          <w:tcPr>
            <w:tcW w:w="7590" w:type="dxa"/>
          </w:tcPr>
          <w:p w14:paraId="544D3845"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2.2 </w:t>
            </w:r>
            <w:r w:rsidRPr="00B47BE4">
              <w:rPr>
                <w:rFonts w:ascii="Times New Roman"/>
                <w:b/>
                <w:sz w:val="18"/>
                <w:szCs w:val="18"/>
                <w:u w:val="single"/>
              </w:rPr>
              <w:t>ASF from retail deposits</w:t>
            </w:r>
          </w:p>
          <w:p w14:paraId="31749977" w14:textId="77777777" w:rsidR="00676422" w:rsidRDefault="00676422" w:rsidP="00A467EE">
            <w:pPr>
              <w:pStyle w:val="TableParagraph"/>
              <w:ind w:left="102"/>
              <w:rPr>
                <w:rFonts w:ascii="Times New Roman"/>
                <w:sz w:val="18"/>
                <w:szCs w:val="18"/>
              </w:rPr>
            </w:pPr>
          </w:p>
          <w:p w14:paraId="6130415F" w14:textId="50941F99"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428aj (2) of CRR.</w:t>
            </w:r>
          </w:p>
          <w:p w14:paraId="1348BCDF" w14:textId="77777777" w:rsidR="00676422" w:rsidRDefault="00676422" w:rsidP="00A467EE">
            <w:pPr>
              <w:pStyle w:val="TableParagraph"/>
              <w:spacing w:before="117"/>
              <w:ind w:left="102" w:right="100"/>
              <w:rPr>
                <w:rFonts w:ascii="Times New Roman"/>
                <w:sz w:val="18"/>
                <w:szCs w:val="18"/>
              </w:rPr>
            </w:pPr>
            <w:r>
              <w:rPr>
                <w:rFonts w:ascii="Times New Roman"/>
                <w:sz w:val="18"/>
                <w:szCs w:val="18"/>
              </w:rPr>
              <w:t xml:space="preserve">Institutions shall report here </w:t>
            </w:r>
            <w:r w:rsidRPr="009F1C48">
              <w:rPr>
                <w:rFonts w:ascii="Times New Roman"/>
                <w:sz w:val="18"/>
                <w:szCs w:val="18"/>
              </w:rPr>
              <w:t xml:space="preserve">bonds and other </w:t>
            </w:r>
            <w:r>
              <w:rPr>
                <w:rFonts w:ascii="Times New Roman"/>
                <w:sz w:val="18"/>
                <w:szCs w:val="18"/>
              </w:rPr>
              <w:t xml:space="preserve">debt </w:t>
            </w:r>
            <w:r w:rsidRPr="009F1C48">
              <w:rPr>
                <w:rFonts w:ascii="Times New Roman"/>
                <w:sz w:val="18"/>
                <w:szCs w:val="18"/>
              </w:rPr>
              <w:t>securities issued which are sold exclusively in the retail market and held in a retail account</w:t>
            </w:r>
            <w:r>
              <w:rPr>
                <w:rFonts w:ascii="Times New Roman"/>
                <w:sz w:val="18"/>
                <w:szCs w:val="18"/>
              </w:rPr>
              <w:t xml:space="preserve">. </w:t>
            </w:r>
            <w:r w:rsidRPr="009F1C48">
              <w:rPr>
                <w:rFonts w:ascii="Times New Roman"/>
                <w:sz w:val="18"/>
                <w:szCs w:val="18"/>
              </w:rPr>
              <w:t xml:space="preserve">These retail bonds </w:t>
            </w:r>
            <w:r>
              <w:rPr>
                <w:rFonts w:ascii="Times New Roman"/>
                <w:sz w:val="18"/>
                <w:szCs w:val="18"/>
              </w:rPr>
              <w:t>shall be</w:t>
            </w:r>
            <w:r w:rsidRPr="009F1C48">
              <w:rPr>
                <w:rFonts w:ascii="Times New Roman"/>
                <w:sz w:val="18"/>
                <w:szCs w:val="18"/>
              </w:rPr>
              <w:t xml:space="preserve"> reported also within the corresponding category of retail deposits as </w:t>
            </w:r>
            <w:r>
              <w:rPr>
                <w:rFonts w:ascii="Times New Roman"/>
                <w:sz w:val="18"/>
                <w:szCs w:val="18"/>
              </w:rPr>
              <w:t>“</w:t>
            </w:r>
            <w:r>
              <w:rPr>
                <w:rFonts w:ascii="Times New Roman"/>
                <w:sz w:val="18"/>
                <w:szCs w:val="18"/>
              </w:rPr>
              <w:t>stable retail deposits</w:t>
            </w:r>
            <w:r>
              <w:rPr>
                <w:rFonts w:ascii="Times New Roman"/>
                <w:sz w:val="18"/>
                <w:szCs w:val="18"/>
              </w:rPr>
              <w:t>”</w:t>
            </w:r>
            <w:r>
              <w:rPr>
                <w:rFonts w:ascii="Times New Roman"/>
                <w:sz w:val="18"/>
                <w:szCs w:val="18"/>
              </w:rPr>
              <w:t xml:space="preserve"> or </w:t>
            </w:r>
            <w:r>
              <w:rPr>
                <w:rFonts w:ascii="Times New Roman"/>
                <w:sz w:val="18"/>
                <w:szCs w:val="18"/>
              </w:rPr>
              <w:t>“</w:t>
            </w:r>
            <w:r>
              <w:rPr>
                <w:rFonts w:ascii="Times New Roman"/>
                <w:sz w:val="18"/>
                <w:szCs w:val="18"/>
              </w:rPr>
              <w:t>other retail deposits</w:t>
            </w:r>
            <w:r>
              <w:rPr>
                <w:rFonts w:ascii="Times New Roman"/>
                <w:sz w:val="18"/>
                <w:szCs w:val="18"/>
              </w:rPr>
              <w:t>”</w:t>
            </w:r>
            <w:r>
              <w:rPr>
                <w:rFonts w:ascii="Times New Roman"/>
                <w:sz w:val="18"/>
                <w:szCs w:val="18"/>
              </w:rPr>
              <w:t xml:space="preserve"> under items 2.2.1 and 2.2.2 respectively.</w:t>
            </w:r>
          </w:p>
          <w:p w14:paraId="688264F1" w14:textId="77777777" w:rsidR="00676422" w:rsidRPr="00A103D6" w:rsidRDefault="00676422" w:rsidP="00A103D6">
            <w:pPr>
              <w:pStyle w:val="TableParagraph"/>
              <w:ind w:left="102"/>
              <w:rPr>
                <w:rFonts w:ascii="Times New Roman" w:eastAsia="Times New Roman" w:hAnsi="Times New Roman" w:cs="Times New Roman"/>
                <w:sz w:val="18"/>
                <w:szCs w:val="18"/>
              </w:rPr>
            </w:pPr>
          </w:p>
          <w:p w14:paraId="6D6758A6" w14:textId="07DFA3F7"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428ak (3) of CRR</w:t>
            </w:r>
          </w:p>
          <w:p w14:paraId="70E2C91C" w14:textId="7FE40F49" w:rsidR="00676422" w:rsidRPr="00B47BE4" w:rsidRDefault="00676422" w:rsidP="00A103D6">
            <w:pPr>
              <w:pStyle w:val="TableParagraph"/>
              <w:spacing w:before="117"/>
              <w:ind w:left="102" w:right="100"/>
              <w:rPr>
                <w:rFonts w:ascii="Times New Roman"/>
                <w:sz w:val="18"/>
                <w:szCs w:val="18"/>
              </w:rPr>
            </w:pPr>
            <w:r>
              <w:rPr>
                <w:rFonts w:ascii="Times New Roman"/>
                <w:sz w:val="18"/>
                <w:szCs w:val="18"/>
              </w:rPr>
              <w:t xml:space="preserve">Institutions shall report retail deposits maturing not before one year that can be early withdrawn before one year upon the payment of a penalty that has been assessed as material within the corresponding category of retail deposits as </w:t>
            </w:r>
            <w:r>
              <w:rPr>
                <w:rFonts w:ascii="Times New Roman"/>
                <w:sz w:val="18"/>
                <w:szCs w:val="18"/>
              </w:rPr>
              <w:t>“</w:t>
            </w:r>
            <w:r>
              <w:rPr>
                <w:rFonts w:ascii="Times New Roman"/>
                <w:sz w:val="18"/>
                <w:szCs w:val="18"/>
              </w:rPr>
              <w:t>stable retail deposits</w:t>
            </w:r>
            <w:r>
              <w:rPr>
                <w:rFonts w:ascii="Times New Roman"/>
                <w:sz w:val="18"/>
                <w:szCs w:val="18"/>
              </w:rPr>
              <w:t>”</w:t>
            </w:r>
            <w:r>
              <w:rPr>
                <w:rFonts w:ascii="Times New Roman"/>
                <w:sz w:val="18"/>
                <w:szCs w:val="18"/>
              </w:rPr>
              <w:t xml:space="preserve"> or </w:t>
            </w:r>
            <w:r>
              <w:rPr>
                <w:rFonts w:ascii="Times New Roman"/>
                <w:sz w:val="18"/>
                <w:szCs w:val="18"/>
              </w:rPr>
              <w:t>“</w:t>
            </w:r>
            <w:r>
              <w:rPr>
                <w:rFonts w:ascii="Times New Roman"/>
                <w:sz w:val="18"/>
                <w:szCs w:val="18"/>
              </w:rPr>
              <w:t>other retail deposits</w:t>
            </w:r>
            <w:r>
              <w:rPr>
                <w:rFonts w:ascii="Times New Roman"/>
                <w:sz w:val="18"/>
                <w:szCs w:val="18"/>
              </w:rPr>
              <w:t>”</w:t>
            </w:r>
            <w:r>
              <w:rPr>
                <w:rFonts w:ascii="Times New Roman"/>
                <w:sz w:val="18"/>
                <w:szCs w:val="18"/>
              </w:rPr>
              <w:t xml:space="preserve"> under items 2.2.1 and 2.2.2 respectively</w:t>
            </w:r>
            <w:r w:rsidR="009902DF">
              <w:rPr>
                <w:rFonts w:ascii="Times New Roman"/>
                <w:sz w:val="18"/>
                <w:szCs w:val="18"/>
              </w:rPr>
              <w:t xml:space="preserve">, in line with </w:t>
            </w:r>
            <w:r w:rsidR="009902DF" w:rsidRPr="009902DF">
              <w:rPr>
                <w:rFonts w:ascii="Times New Roman"/>
                <w:sz w:val="18"/>
                <w:szCs w:val="18"/>
              </w:rPr>
              <w:t>Article 25(4) of Delegated Regulation (EU) 2015/61.</w:t>
            </w:r>
            <w:r>
              <w:rPr>
                <w:rFonts w:ascii="Times New Roman"/>
                <w:sz w:val="18"/>
                <w:szCs w:val="18"/>
              </w:rPr>
              <w:t>.</w:t>
            </w:r>
          </w:p>
          <w:p w14:paraId="474A2850" w14:textId="77777777" w:rsidR="00676422" w:rsidRPr="00A103D6" w:rsidRDefault="00676422" w:rsidP="00A103D6">
            <w:pPr>
              <w:pStyle w:val="TableParagraph"/>
              <w:ind w:left="102"/>
              <w:rPr>
                <w:rFonts w:ascii="Times New Roman" w:eastAsia="Times New Roman" w:hAnsi="Times New Roman" w:cs="Times New Roman"/>
                <w:sz w:val="18"/>
                <w:szCs w:val="18"/>
              </w:rPr>
            </w:pPr>
          </w:p>
        </w:tc>
      </w:tr>
      <w:tr w:rsidR="00676422" w:rsidRPr="00B54083" w14:paraId="0C656225" w14:textId="77777777" w:rsidTr="00A467EE">
        <w:trPr>
          <w:trHeight w:val="304"/>
        </w:trPr>
        <w:tc>
          <w:tcPr>
            <w:tcW w:w="1418" w:type="dxa"/>
          </w:tcPr>
          <w:p w14:paraId="355882F8" w14:textId="77777777" w:rsidR="00676422" w:rsidRDefault="00676422" w:rsidP="00A467EE">
            <w:pPr>
              <w:pStyle w:val="TableParagraph"/>
              <w:spacing w:before="118"/>
              <w:ind w:left="57" w:right="96"/>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0040</w:t>
            </w:r>
          </w:p>
        </w:tc>
        <w:tc>
          <w:tcPr>
            <w:tcW w:w="7590" w:type="dxa"/>
          </w:tcPr>
          <w:p w14:paraId="1FA52B81"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2.2.1 </w:t>
            </w:r>
            <w:r w:rsidRPr="00B47BE4">
              <w:rPr>
                <w:rFonts w:ascii="Times New Roman"/>
                <w:b/>
                <w:sz w:val="18"/>
                <w:szCs w:val="18"/>
                <w:u w:val="single"/>
              </w:rPr>
              <w:t>Stable retail deposits</w:t>
            </w:r>
          </w:p>
          <w:p w14:paraId="1E82C251" w14:textId="77777777" w:rsidR="00676422" w:rsidRPr="00B06F5E" w:rsidRDefault="00676422" w:rsidP="00A467EE">
            <w:pPr>
              <w:pStyle w:val="TableParagraph"/>
              <w:ind w:left="102"/>
              <w:rPr>
                <w:rFonts w:ascii="Times New Roman" w:eastAsia="Times New Roman" w:hAnsi="Times New Roman" w:cs="Times New Roman"/>
                <w:sz w:val="18"/>
                <w:szCs w:val="18"/>
              </w:rPr>
            </w:pPr>
          </w:p>
          <w:p w14:paraId="196557B9" w14:textId="237ED3F3"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428ao of CRR.</w:t>
            </w:r>
          </w:p>
          <w:p w14:paraId="5FE313D2" w14:textId="77777777" w:rsidR="00676422" w:rsidRDefault="00676422" w:rsidP="00A467EE">
            <w:pPr>
              <w:pStyle w:val="TableParagraph"/>
              <w:ind w:left="102"/>
              <w:rPr>
                <w:rFonts w:ascii="Times New Roman"/>
                <w:sz w:val="18"/>
                <w:szCs w:val="18"/>
              </w:rPr>
            </w:pPr>
          </w:p>
          <w:p w14:paraId="257C414C" w14:textId="77777777" w:rsidR="00676422" w:rsidRPr="00B66E5C" w:rsidRDefault="00676422" w:rsidP="00A467EE">
            <w:pPr>
              <w:pStyle w:val="TableParagraph"/>
              <w:ind w:left="102"/>
              <w:rPr>
                <w:rFonts w:ascii="Times New Roman"/>
                <w:sz w:val="18"/>
                <w:szCs w:val="18"/>
              </w:rPr>
            </w:pPr>
            <w:r>
              <w:rPr>
                <w:rFonts w:ascii="Times New Roman"/>
                <w:sz w:val="18"/>
                <w:szCs w:val="18"/>
              </w:rPr>
              <w:t>Institutions</w:t>
            </w:r>
            <w:r w:rsidRPr="00B66E5C">
              <w:rPr>
                <w:rFonts w:ascii="Times New Roman"/>
                <w:sz w:val="18"/>
                <w:szCs w:val="18"/>
              </w:rPr>
              <w:t xml:space="preserve"> shall report the part of the amounts of retail deposits covered by a Deposit Guarantee Scheme in accordance with Directive 94/19/EC or Directive 2014/49/EU or an equivalent deposit guarantee scheme in a third</w:t>
            </w:r>
            <w:r>
              <w:rPr>
                <w:rFonts w:ascii="Times New Roman"/>
                <w:sz w:val="18"/>
                <w:szCs w:val="18"/>
              </w:rPr>
              <w:t xml:space="preserve"> </w:t>
            </w:r>
            <w:r w:rsidRPr="00B66E5C">
              <w:rPr>
                <w:rFonts w:ascii="Times New Roman"/>
                <w:sz w:val="18"/>
                <w:szCs w:val="18"/>
              </w:rPr>
              <w:t>country and either is part of an established relationship making withdrawal highly unlikely or is held in a transactional account in accordance with Article 24</w:t>
            </w:r>
          </w:p>
          <w:p w14:paraId="2AE1CA91" w14:textId="77777777" w:rsidR="00676422" w:rsidRDefault="00676422" w:rsidP="00A467EE">
            <w:pPr>
              <w:pStyle w:val="TableParagraph"/>
              <w:ind w:left="102"/>
              <w:rPr>
                <w:rFonts w:ascii="Times New Roman"/>
                <w:sz w:val="18"/>
                <w:szCs w:val="18"/>
              </w:rPr>
            </w:pPr>
            <w:r w:rsidRPr="00B66E5C">
              <w:rPr>
                <w:rFonts w:ascii="Times New Roman"/>
                <w:sz w:val="18"/>
                <w:szCs w:val="18"/>
              </w:rPr>
              <w:t>(2) and (3) of the Commission delegated regulation (EU) 2015/61 respectively and where:</w:t>
            </w:r>
          </w:p>
          <w:p w14:paraId="3324DADE" w14:textId="77777777" w:rsidR="00676422" w:rsidRPr="00B66E5C" w:rsidRDefault="00676422" w:rsidP="00A467EE">
            <w:pPr>
              <w:pStyle w:val="TableParagraph"/>
              <w:ind w:left="102"/>
              <w:rPr>
                <w:rFonts w:ascii="Times New Roman"/>
                <w:sz w:val="18"/>
                <w:szCs w:val="18"/>
              </w:rPr>
            </w:pPr>
          </w:p>
          <w:p w14:paraId="27ED4759" w14:textId="2D437028" w:rsidR="00676422" w:rsidRPr="00B66E5C" w:rsidRDefault="00676422" w:rsidP="00A467EE">
            <w:pPr>
              <w:pStyle w:val="TableParagraph"/>
              <w:numPr>
                <w:ilvl w:val="0"/>
                <w:numId w:val="29"/>
              </w:numPr>
              <w:rPr>
                <w:rFonts w:ascii="Times New Roman"/>
                <w:sz w:val="18"/>
                <w:szCs w:val="18"/>
              </w:rPr>
            </w:pPr>
            <w:r w:rsidRPr="00B66E5C">
              <w:rPr>
                <w:rFonts w:ascii="Times New Roman"/>
                <w:sz w:val="18"/>
                <w:szCs w:val="18"/>
              </w:rPr>
              <w:t xml:space="preserve">These deposits do not fulfill the criteria for a higher outflow rate in accordance with Article 25 paragraphs 2, 3, or 5 of </w:t>
            </w:r>
            <w:r w:rsidR="003E3F6A">
              <w:rPr>
                <w:rFonts w:ascii="Times New Roman"/>
                <w:sz w:val="18"/>
                <w:szCs w:val="18"/>
              </w:rPr>
              <w:t>D</w:t>
            </w:r>
            <w:r w:rsidRPr="00B66E5C">
              <w:rPr>
                <w:rFonts w:ascii="Times New Roman"/>
                <w:sz w:val="18"/>
                <w:szCs w:val="18"/>
              </w:rPr>
              <w:t xml:space="preserve">elegated </w:t>
            </w:r>
            <w:r w:rsidR="003E3F6A">
              <w:rPr>
                <w:rFonts w:ascii="Times New Roman"/>
                <w:sz w:val="18"/>
                <w:szCs w:val="18"/>
              </w:rPr>
              <w:t>R</w:t>
            </w:r>
            <w:r w:rsidRPr="00B66E5C">
              <w:rPr>
                <w:rFonts w:ascii="Times New Roman"/>
                <w:sz w:val="18"/>
                <w:szCs w:val="18"/>
              </w:rPr>
              <w:t xml:space="preserve">egulation (EU) 2015/61 in which case they shall be reported </w:t>
            </w:r>
            <w:r>
              <w:rPr>
                <w:rFonts w:ascii="Times New Roman"/>
                <w:sz w:val="18"/>
                <w:szCs w:val="18"/>
              </w:rPr>
              <w:t xml:space="preserve">as </w:t>
            </w:r>
            <w:r>
              <w:rPr>
                <w:rFonts w:ascii="Times New Roman"/>
                <w:sz w:val="18"/>
                <w:szCs w:val="18"/>
              </w:rPr>
              <w:t>“</w:t>
            </w:r>
            <w:r>
              <w:rPr>
                <w:rFonts w:ascii="Times New Roman"/>
                <w:sz w:val="18"/>
                <w:szCs w:val="18"/>
              </w:rPr>
              <w:t>other retail deposits</w:t>
            </w:r>
            <w:r>
              <w:rPr>
                <w:rFonts w:ascii="Times New Roman"/>
                <w:sz w:val="18"/>
                <w:szCs w:val="18"/>
              </w:rPr>
              <w:t>”</w:t>
            </w:r>
            <w:r>
              <w:rPr>
                <w:rFonts w:ascii="Times New Roman"/>
                <w:sz w:val="18"/>
                <w:szCs w:val="18"/>
              </w:rPr>
              <w:t>;</w:t>
            </w:r>
            <w:r w:rsidRPr="00B66E5C">
              <w:rPr>
                <w:rFonts w:ascii="Times New Roman"/>
                <w:sz w:val="18"/>
                <w:szCs w:val="18"/>
              </w:rPr>
              <w:t xml:space="preserve"> or</w:t>
            </w:r>
          </w:p>
          <w:p w14:paraId="255A3D4E" w14:textId="68CA2D47" w:rsidR="00676422" w:rsidRDefault="00676422" w:rsidP="00A103D6">
            <w:pPr>
              <w:pStyle w:val="TableParagraph"/>
              <w:numPr>
                <w:ilvl w:val="0"/>
                <w:numId w:val="29"/>
              </w:numPr>
              <w:rPr>
                <w:rFonts w:ascii="Times New Roman"/>
                <w:sz w:val="18"/>
                <w:szCs w:val="18"/>
              </w:rPr>
            </w:pPr>
            <w:r w:rsidRPr="00B66E5C">
              <w:rPr>
                <w:rFonts w:ascii="Times New Roman"/>
                <w:sz w:val="18"/>
                <w:szCs w:val="18"/>
              </w:rPr>
              <w:t>These deposits have not been taken in third countries where a higher outflow is applied in accordance with Article 25 (5)</w:t>
            </w:r>
            <w:r w:rsidR="003E3F6A">
              <w:rPr>
                <w:rFonts w:ascii="Times New Roman"/>
                <w:sz w:val="18"/>
                <w:szCs w:val="18"/>
              </w:rPr>
              <w:t xml:space="preserve"> of Delegated Regulation (EU) 2015/61</w:t>
            </w:r>
            <w:r w:rsidRPr="00B66E5C">
              <w:rPr>
                <w:rFonts w:ascii="Times New Roman"/>
                <w:sz w:val="18"/>
                <w:szCs w:val="18"/>
              </w:rPr>
              <w:t xml:space="preserve"> in which case they shall be reported </w:t>
            </w:r>
            <w:r>
              <w:rPr>
                <w:rFonts w:ascii="Times New Roman"/>
                <w:sz w:val="18"/>
                <w:szCs w:val="18"/>
              </w:rPr>
              <w:t xml:space="preserve">as </w:t>
            </w:r>
            <w:r>
              <w:rPr>
                <w:rFonts w:ascii="Times New Roman"/>
                <w:sz w:val="18"/>
                <w:szCs w:val="18"/>
              </w:rPr>
              <w:t>“</w:t>
            </w:r>
            <w:r>
              <w:rPr>
                <w:rFonts w:ascii="Times New Roman"/>
                <w:sz w:val="18"/>
                <w:szCs w:val="18"/>
              </w:rPr>
              <w:t>other retail deposits</w:t>
            </w:r>
            <w:r>
              <w:rPr>
                <w:rFonts w:ascii="Times New Roman"/>
                <w:sz w:val="18"/>
                <w:szCs w:val="18"/>
              </w:rPr>
              <w:t>”</w:t>
            </w:r>
            <w:r>
              <w:rPr>
                <w:rFonts w:ascii="Times New Roman"/>
                <w:sz w:val="18"/>
                <w:szCs w:val="18"/>
              </w:rPr>
              <w:t>.</w:t>
            </w:r>
          </w:p>
          <w:p w14:paraId="11EEACBC" w14:textId="77777777" w:rsidR="00676422" w:rsidRPr="00B54083" w:rsidRDefault="00676422" w:rsidP="00A103D6">
            <w:pPr>
              <w:pStyle w:val="TableParagraph"/>
              <w:rPr>
                <w:rFonts w:ascii="Times New Roman"/>
                <w:sz w:val="18"/>
                <w:szCs w:val="18"/>
              </w:rPr>
            </w:pPr>
          </w:p>
        </w:tc>
      </w:tr>
      <w:tr w:rsidR="00676422" w:rsidRPr="00B47BE4" w14:paraId="37EC9881"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2872E19C" w14:textId="77777777" w:rsidR="00676422" w:rsidRPr="00B47BE4"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0050</w:t>
            </w:r>
          </w:p>
        </w:tc>
        <w:tc>
          <w:tcPr>
            <w:tcW w:w="7590" w:type="dxa"/>
            <w:tcBorders>
              <w:top w:val="single" w:sz="4" w:space="0" w:color="auto"/>
              <w:left w:val="single" w:sz="4" w:space="0" w:color="auto"/>
              <w:bottom w:val="single" w:sz="4" w:space="0" w:color="auto"/>
              <w:right w:val="single" w:sz="4" w:space="0" w:color="auto"/>
            </w:tcBorders>
          </w:tcPr>
          <w:p w14:paraId="5A45F20A"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2.2.2 </w:t>
            </w:r>
            <w:r w:rsidRPr="00B47BE4">
              <w:rPr>
                <w:rFonts w:ascii="Times New Roman"/>
                <w:b/>
                <w:sz w:val="18"/>
                <w:szCs w:val="18"/>
                <w:u w:val="single"/>
              </w:rPr>
              <w:t>Other retail deposits</w:t>
            </w:r>
          </w:p>
          <w:p w14:paraId="486357B4" w14:textId="77777777" w:rsidR="00676422" w:rsidRPr="00A103D6" w:rsidRDefault="00676422" w:rsidP="00A467EE">
            <w:pPr>
              <w:pStyle w:val="TableParagraph"/>
              <w:ind w:left="102"/>
              <w:rPr>
                <w:rFonts w:ascii="Times New Roman"/>
                <w:sz w:val="18"/>
                <w:szCs w:val="18"/>
              </w:rPr>
            </w:pPr>
          </w:p>
          <w:p w14:paraId="262867B6" w14:textId="55AC213E"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428an of CRR.</w:t>
            </w:r>
          </w:p>
          <w:p w14:paraId="771F8A5B" w14:textId="77777777" w:rsidR="00676422" w:rsidRPr="00A103D6" w:rsidRDefault="00676422" w:rsidP="00A467EE">
            <w:pPr>
              <w:pStyle w:val="TableParagraph"/>
              <w:ind w:left="102"/>
              <w:rPr>
                <w:rFonts w:ascii="Times New Roman"/>
                <w:sz w:val="18"/>
                <w:szCs w:val="18"/>
              </w:rPr>
            </w:pPr>
          </w:p>
          <w:p w14:paraId="100BABB7" w14:textId="7998F548" w:rsidR="00676422" w:rsidRDefault="00676422" w:rsidP="00A467EE">
            <w:pPr>
              <w:pStyle w:val="TableParagraph"/>
              <w:ind w:left="102"/>
              <w:rPr>
                <w:rFonts w:ascii="Times New Roman" w:hAnsi="Times New Roman"/>
                <w:sz w:val="18"/>
              </w:rPr>
            </w:pPr>
            <w:r>
              <w:rPr>
                <w:rFonts w:ascii="Times New Roman" w:hAnsi="Times New Roman"/>
                <w:sz w:val="18"/>
              </w:rPr>
              <w:t>Institutions</w:t>
            </w:r>
            <w:r w:rsidRPr="00410DD6">
              <w:rPr>
                <w:rFonts w:ascii="Times New Roman" w:hAnsi="Times New Roman"/>
                <w:sz w:val="18"/>
              </w:rPr>
              <w:t xml:space="preserve"> shall report the amount of other retail deposits than those captured </w:t>
            </w:r>
            <w:r>
              <w:rPr>
                <w:rFonts w:ascii="Times New Roman" w:hAnsi="Times New Roman"/>
                <w:sz w:val="18"/>
              </w:rPr>
              <w:t>as “stable retail deposits”</w:t>
            </w:r>
            <w:r w:rsidR="00173D2D">
              <w:rPr>
                <w:rFonts w:ascii="Times New Roman" w:hAnsi="Times New Roman"/>
                <w:sz w:val="18"/>
              </w:rPr>
              <w:t xml:space="preserve"> under Item 2.2.1</w:t>
            </w:r>
            <w:r w:rsidRPr="00410DD6">
              <w:rPr>
                <w:rFonts w:ascii="Times New Roman" w:hAnsi="Times New Roman"/>
                <w:sz w:val="18"/>
              </w:rPr>
              <w:t>.</w:t>
            </w:r>
          </w:p>
          <w:p w14:paraId="2AC73943" w14:textId="77777777" w:rsidR="00676422" w:rsidRPr="00B47BE4" w:rsidRDefault="00676422" w:rsidP="00A467EE">
            <w:pPr>
              <w:pStyle w:val="TableParagraph"/>
              <w:ind w:left="102"/>
              <w:rPr>
                <w:rFonts w:ascii="Times New Roman"/>
                <w:b/>
                <w:sz w:val="18"/>
                <w:szCs w:val="18"/>
                <w:u w:val="single"/>
              </w:rPr>
            </w:pPr>
          </w:p>
        </w:tc>
      </w:tr>
      <w:tr w:rsidR="00676422" w:rsidRPr="00B47BE4" w14:paraId="3219CF47"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0AA36C8D" w14:textId="77777777" w:rsidR="00676422" w:rsidRPr="00B47BE4"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0060</w:t>
            </w:r>
          </w:p>
        </w:tc>
        <w:tc>
          <w:tcPr>
            <w:tcW w:w="7590" w:type="dxa"/>
            <w:tcBorders>
              <w:top w:val="single" w:sz="4" w:space="0" w:color="auto"/>
              <w:left w:val="single" w:sz="4" w:space="0" w:color="auto"/>
              <w:bottom w:val="single" w:sz="4" w:space="0" w:color="auto"/>
              <w:right w:val="single" w:sz="4" w:space="0" w:color="auto"/>
            </w:tcBorders>
          </w:tcPr>
          <w:p w14:paraId="3A880EFA"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2.3 </w:t>
            </w:r>
            <w:r w:rsidRPr="00B47BE4">
              <w:rPr>
                <w:rFonts w:ascii="Times New Roman"/>
                <w:b/>
                <w:sz w:val="18"/>
                <w:szCs w:val="18"/>
                <w:u w:val="single"/>
              </w:rPr>
              <w:t>ASF from other non-financial customers (except central banks)</w:t>
            </w:r>
          </w:p>
          <w:p w14:paraId="10B357AD" w14:textId="77777777" w:rsidR="00676422" w:rsidRPr="00A103D6" w:rsidRDefault="00676422" w:rsidP="00A467EE">
            <w:pPr>
              <w:pStyle w:val="TableParagraph"/>
              <w:ind w:left="102"/>
              <w:rPr>
                <w:rFonts w:ascii="Times New Roman" w:hAnsi="Times New Roman" w:cs="Times New Roman"/>
                <w:sz w:val="18"/>
                <w:szCs w:val="18"/>
              </w:rPr>
            </w:pPr>
          </w:p>
          <w:p w14:paraId="4B374CEE" w14:textId="75A327B7" w:rsidR="00676422" w:rsidRPr="00A103D6" w:rsidRDefault="00173D2D" w:rsidP="00A467EE">
            <w:pPr>
              <w:pStyle w:val="TableParagraph"/>
              <w:ind w:left="102"/>
              <w:rPr>
                <w:rFonts w:ascii="Times New Roman" w:hAnsi="Times New Roman" w:cs="Times New Roman"/>
                <w:sz w:val="18"/>
                <w:szCs w:val="18"/>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w:t>
            </w:r>
            <w:r w:rsidRPr="00A103D6">
              <w:rPr>
                <w:rFonts w:ascii="Times New Roman" w:hAnsi="Times New Roman" w:cs="Times New Roman"/>
                <w:sz w:val="18"/>
                <w:szCs w:val="18"/>
              </w:rPr>
              <w:t xml:space="preserve"> of CRR.</w:t>
            </w:r>
          </w:p>
          <w:p w14:paraId="238F326F" w14:textId="77777777" w:rsidR="00676422" w:rsidRPr="00A103D6" w:rsidRDefault="00676422" w:rsidP="00A467EE">
            <w:pPr>
              <w:pStyle w:val="TableParagraph"/>
              <w:ind w:left="102"/>
              <w:rPr>
                <w:rFonts w:ascii="Times New Roman" w:hAnsi="Times New Roman" w:cs="Times New Roman"/>
                <w:sz w:val="18"/>
                <w:szCs w:val="18"/>
              </w:rPr>
            </w:pPr>
          </w:p>
          <w:p w14:paraId="478E9C59" w14:textId="77777777" w:rsidR="00676422" w:rsidRPr="00A103D6" w:rsidRDefault="00676422" w:rsidP="00A467EE">
            <w:pPr>
              <w:pStyle w:val="TableParagraph"/>
              <w:ind w:left="102"/>
              <w:rPr>
                <w:rFonts w:ascii="Times New Roman" w:hAnsi="Times New Roman" w:cs="Times New Roman"/>
                <w:sz w:val="18"/>
                <w:szCs w:val="18"/>
              </w:rPr>
            </w:pPr>
            <w:r w:rsidRPr="00A103D6">
              <w:rPr>
                <w:rFonts w:ascii="Times New Roman" w:hAnsi="Times New Roman" w:cs="Times New Roman"/>
                <w:sz w:val="18"/>
                <w:szCs w:val="18"/>
              </w:rPr>
              <w:t>Liabilities provided by wholesale non-financial customers (except central banks)</w:t>
            </w:r>
          </w:p>
          <w:p w14:paraId="4510DBDF" w14:textId="77777777" w:rsidR="00676422" w:rsidRPr="00A103D6" w:rsidRDefault="00676422" w:rsidP="00A467EE">
            <w:pPr>
              <w:pStyle w:val="TableParagraph"/>
              <w:ind w:left="102"/>
              <w:rPr>
                <w:rFonts w:ascii="Times New Roman" w:hAnsi="Times New Roman" w:cs="Times New Roman"/>
                <w:sz w:val="18"/>
                <w:szCs w:val="18"/>
              </w:rPr>
            </w:pPr>
          </w:p>
          <w:p w14:paraId="32CFD62D" w14:textId="77777777"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the central government of a Member State or a third country</w:t>
            </w:r>
          </w:p>
          <w:p w14:paraId="6A583FDB" w14:textId="77777777" w:rsidR="00676422" w:rsidRPr="00A103D6" w:rsidRDefault="00676422" w:rsidP="00A467EE">
            <w:pPr>
              <w:pStyle w:val="TableParagraph"/>
              <w:ind w:left="102"/>
              <w:rPr>
                <w:rFonts w:ascii="Times New Roman" w:hAnsi="Times New Roman" w:cs="Times New Roman"/>
                <w:sz w:val="18"/>
                <w:szCs w:val="18"/>
              </w:rPr>
            </w:pPr>
          </w:p>
          <w:p w14:paraId="6CAA6524" w14:textId="085F72FA" w:rsidR="00676422" w:rsidRPr="00A103D6" w:rsidRDefault="00173D2D" w:rsidP="00A103D6">
            <w:pPr>
              <w:pStyle w:val="TableParagraph"/>
              <w:ind w:left="102"/>
              <w:rPr>
                <w:rFonts w:ascii="Times New Roman" w:hAnsi="Times New Roman" w:cs="Times New Roman"/>
                <w:b/>
                <w:sz w:val="18"/>
                <w:szCs w:val="18"/>
                <w:u w:val="single"/>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 (i) of CRR.</w:t>
            </w:r>
          </w:p>
          <w:p w14:paraId="5FF70E1D" w14:textId="77777777" w:rsidR="00676422" w:rsidRPr="00A103D6" w:rsidRDefault="00676422" w:rsidP="00A467EE">
            <w:pPr>
              <w:pStyle w:val="TableParagraph"/>
              <w:ind w:left="102"/>
              <w:rPr>
                <w:rFonts w:ascii="Times New Roman" w:hAnsi="Times New Roman" w:cs="Times New Roman"/>
                <w:sz w:val="18"/>
                <w:szCs w:val="18"/>
              </w:rPr>
            </w:pPr>
          </w:p>
          <w:p w14:paraId="23E54814" w14:textId="77777777"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regional governments or local authorities of a Member State or a third country</w:t>
            </w:r>
          </w:p>
          <w:p w14:paraId="2E0ADD11" w14:textId="77777777" w:rsidR="00676422" w:rsidRPr="00A103D6" w:rsidRDefault="00676422" w:rsidP="00A467EE">
            <w:pPr>
              <w:pStyle w:val="TableParagraph"/>
              <w:ind w:left="102"/>
              <w:rPr>
                <w:rFonts w:ascii="Times New Roman" w:hAnsi="Times New Roman" w:cs="Times New Roman"/>
                <w:sz w:val="18"/>
                <w:szCs w:val="18"/>
              </w:rPr>
            </w:pPr>
          </w:p>
          <w:p w14:paraId="442164AA" w14:textId="7FCE9DF0" w:rsidR="00676422" w:rsidRPr="00A103D6" w:rsidRDefault="00173D2D" w:rsidP="00A103D6">
            <w:pPr>
              <w:pStyle w:val="TableParagraph"/>
              <w:ind w:left="102"/>
              <w:rPr>
                <w:rFonts w:ascii="Times New Roman" w:hAnsi="Times New Roman" w:cs="Times New Roman"/>
                <w:sz w:val="18"/>
                <w:szCs w:val="18"/>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 (ii) of CRR.</w:t>
            </w:r>
          </w:p>
          <w:p w14:paraId="501FA799" w14:textId="77777777" w:rsidR="00676422" w:rsidRPr="00A103D6" w:rsidRDefault="00676422" w:rsidP="00A467EE">
            <w:pPr>
              <w:pStyle w:val="TableParagraph"/>
              <w:ind w:left="102"/>
              <w:rPr>
                <w:rFonts w:ascii="Times New Roman" w:hAnsi="Times New Roman" w:cs="Times New Roman"/>
                <w:sz w:val="18"/>
                <w:szCs w:val="18"/>
              </w:rPr>
            </w:pPr>
          </w:p>
          <w:p w14:paraId="696D6A40" w14:textId="77777777"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public sector entities of a Member State or a third country</w:t>
            </w:r>
          </w:p>
          <w:p w14:paraId="25921901" w14:textId="77777777" w:rsidR="00676422" w:rsidRPr="00A103D6" w:rsidRDefault="00676422" w:rsidP="00A467EE">
            <w:pPr>
              <w:pStyle w:val="TableParagraph"/>
              <w:ind w:left="102"/>
              <w:rPr>
                <w:rFonts w:ascii="Times New Roman" w:hAnsi="Times New Roman" w:cs="Times New Roman"/>
                <w:sz w:val="18"/>
                <w:szCs w:val="18"/>
              </w:rPr>
            </w:pPr>
          </w:p>
          <w:p w14:paraId="5E3AB19B" w14:textId="52DFBD20" w:rsidR="00676422" w:rsidRPr="00A103D6" w:rsidRDefault="00173D2D" w:rsidP="00A103D6">
            <w:pPr>
              <w:pStyle w:val="TableParagraph"/>
              <w:ind w:left="102"/>
              <w:rPr>
                <w:rFonts w:ascii="Times New Roman" w:hAnsi="Times New Roman" w:cs="Times New Roman"/>
                <w:b/>
                <w:sz w:val="18"/>
                <w:szCs w:val="18"/>
                <w:u w:val="single"/>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 (iii) of CRR.</w:t>
            </w:r>
          </w:p>
          <w:p w14:paraId="0CBC79BA" w14:textId="77777777" w:rsidR="00676422" w:rsidRPr="00A103D6" w:rsidRDefault="00676422" w:rsidP="00A467EE">
            <w:pPr>
              <w:pStyle w:val="TableParagraph"/>
              <w:ind w:left="102"/>
              <w:rPr>
                <w:rFonts w:ascii="Times New Roman" w:hAnsi="Times New Roman" w:cs="Times New Roman"/>
                <w:sz w:val="18"/>
                <w:szCs w:val="18"/>
              </w:rPr>
            </w:pPr>
          </w:p>
          <w:p w14:paraId="3596960F" w14:textId="29128276"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multilateral development banks and international organisations</w:t>
            </w:r>
          </w:p>
          <w:p w14:paraId="6D078DD8" w14:textId="77777777" w:rsidR="00676422" w:rsidRPr="00A103D6" w:rsidRDefault="00676422" w:rsidP="00A467EE">
            <w:pPr>
              <w:pStyle w:val="TableParagraph"/>
              <w:ind w:left="102"/>
              <w:rPr>
                <w:rFonts w:ascii="Times New Roman" w:hAnsi="Times New Roman" w:cs="Times New Roman"/>
                <w:sz w:val="18"/>
                <w:szCs w:val="18"/>
              </w:rPr>
            </w:pPr>
          </w:p>
          <w:p w14:paraId="150E67D2" w14:textId="69D165C7" w:rsidR="00E06921" w:rsidRPr="00A103D6" w:rsidRDefault="00173D2D" w:rsidP="00A103D6">
            <w:pPr>
              <w:pStyle w:val="TableParagraph"/>
              <w:ind w:left="102"/>
              <w:rPr>
                <w:rFonts w:ascii="Times New Roman" w:hAnsi="Times New Roman" w:cs="Times New Roman"/>
                <w:b/>
                <w:sz w:val="18"/>
                <w:szCs w:val="18"/>
                <w:u w:val="single"/>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 (iv) of CRR.</w:t>
            </w:r>
          </w:p>
          <w:p w14:paraId="6FF3867F" w14:textId="77777777" w:rsidR="00676422" w:rsidRPr="00A103D6" w:rsidRDefault="00676422" w:rsidP="00A467EE">
            <w:pPr>
              <w:pStyle w:val="TableParagraph"/>
              <w:ind w:left="102"/>
              <w:rPr>
                <w:rFonts w:ascii="Times New Roman" w:hAnsi="Times New Roman" w:cs="Times New Roman"/>
                <w:sz w:val="18"/>
                <w:szCs w:val="18"/>
              </w:rPr>
            </w:pPr>
          </w:p>
          <w:p w14:paraId="6C7B979E" w14:textId="77777777"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non-financial corporate customers</w:t>
            </w:r>
          </w:p>
          <w:p w14:paraId="5C746E60" w14:textId="77777777" w:rsidR="00676422" w:rsidRPr="00A103D6" w:rsidRDefault="00676422" w:rsidP="00A467EE">
            <w:pPr>
              <w:pStyle w:val="TableParagraph"/>
              <w:ind w:left="102"/>
              <w:rPr>
                <w:rFonts w:ascii="Times New Roman" w:hAnsi="Times New Roman" w:cs="Times New Roman"/>
                <w:sz w:val="18"/>
                <w:szCs w:val="18"/>
              </w:rPr>
            </w:pPr>
          </w:p>
          <w:p w14:paraId="79BB3AF4" w14:textId="0AC2252C" w:rsidR="00676422" w:rsidRPr="00A103D6" w:rsidRDefault="00173D2D"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 (b) (v) of CRR.</w:t>
            </w:r>
          </w:p>
          <w:p w14:paraId="6A0AF987" w14:textId="77777777" w:rsidR="00676422" w:rsidRPr="00A103D6" w:rsidRDefault="00676422" w:rsidP="00A103D6">
            <w:pPr>
              <w:pStyle w:val="TableParagraph"/>
              <w:ind w:left="102"/>
              <w:rPr>
                <w:rFonts w:ascii="Times New Roman" w:hAnsi="Times New Roman" w:cs="Times New Roman"/>
                <w:b/>
                <w:sz w:val="18"/>
                <w:szCs w:val="18"/>
                <w:u w:val="single"/>
              </w:rPr>
            </w:pPr>
          </w:p>
          <w:p w14:paraId="4213A77B" w14:textId="77777777" w:rsidR="00676422" w:rsidRPr="00A103D6" w:rsidRDefault="00676422" w:rsidP="00A467EE">
            <w:pPr>
              <w:pStyle w:val="TableParagraph"/>
              <w:ind w:left="102"/>
              <w:rPr>
                <w:rFonts w:ascii="Times New Roman" w:hAnsi="Times New Roman" w:cs="Times New Roman"/>
                <w:b/>
                <w:sz w:val="18"/>
                <w:szCs w:val="18"/>
                <w:u w:val="single"/>
              </w:rPr>
            </w:pPr>
            <w:r w:rsidRPr="00A103D6">
              <w:rPr>
                <w:rFonts w:ascii="Times New Roman" w:hAnsi="Times New Roman" w:cs="Times New Roman"/>
                <w:b/>
                <w:sz w:val="18"/>
                <w:szCs w:val="18"/>
                <w:u w:val="single"/>
              </w:rPr>
              <w:t>Liabilities provided by credit unions, personal investment companies and deposit brokers</w:t>
            </w:r>
          </w:p>
          <w:p w14:paraId="070CE1B2" w14:textId="77777777" w:rsidR="00676422" w:rsidRPr="00A103D6" w:rsidRDefault="00676422" w:rsidP="00A467EE">
            <w:pPr>
              <w:pStyle w:val="TableParagraph"/>
              <w:ind w:left="102"/>
              <w:rPr>
                <w:rFonts w:ascii="Times New Roman" w:hAnsi="Times New Roman" w:cs="Times New Roman"/>
                <w:sz w:val="18"/>
                <w:szCs w:val="18"/>
              </w:rPr>
            </w:pPr>
          </w:p>
          <w:p w14:paraId="384D3D1C" w14:textId="26B06E86" w:rsidR="00676422" w:rsidRPr="00A103D6" w:rsidRDefault="00173D2D" w:rsidP="00A103D6">
            <w:pPr>
              <w:pStyle w:val="TableParagraph"/>
              <w:ind w:left="102"/>
              <w:rPr>
                <w:rFonts w:ascii="Times New Roman" w:hAnsi="Times New Roman" w:cs="Times New Roman"/>
                <w:b/>
                <w:sz w:val="18"/>
                <w:szCs w:val="18"/>
                <w:u w:val="single"/>
              </w:rPr>
            </w:pPr>
            <w:r w:rsidRPr="00A103D6">
              <w:rPr>
                <w:rFonts w:ascii="Times New Roman" w:hAnsi="Times New Roman" w:cs="Times New Roman"/>
                <w:sz w:val="18"/>
                <w:szCs w:val="18"/>
              </w:rPr>
              <w:t xml:space="preserve">Article </w:t>
            </w:r>
            <w:r w:rsidR="00676422" w:rsidRPr="00A103D6">
              <w:rPr>
                <w:rFonts w:ascii="Times New Roman" w:hAnsi="Times New Roman" w:cs="Times New Roman"/>
                <w:sz w:val="18"/>
                <w:szCs w:val="18"/>
              </w:rPr>
              <w:t>428am(b)(vi) of CRR.</w:t>
            </w:r>
          </w:p>
          <w:p w14:paraId="062E1CF6" w14:textId="77777777" w:rsidR="00676422" w:rsidRPr="00B47BE4" w:rsidRDefault="00676422" w:rsidP="00A467EE">
            <w:pPr>
              <w:pStyle w:val="TableParagraph"/>
              <w:ind w:left="102"/>
              <w:rPr>
                <w:rFonts w:ascii="Times New Roman"/>
                <w:b/>
                <w:sz w:val="18"/>
                <w:szCs w:val="18"/>
                <w:u w:val="single"/>
              </w:rPr>
            </w:pPr>
          </w:p>
        </w:tc>
      </w:tr>
      <w:tr w:rsidR="00676422" w:rsidRPr="000B080B" w14:paraId="5FF07A7A"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23319C54" w14:textId="77777777" w:rsidR="00676422" w:rsidRPr="00B06F5E"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0070</w:t>
            </w:r>
          </w:p>
        </w:tc>
        <w:tc>
          <w:tcPr>
            <w:tcW w:w="7590" w:type="dxa"/>
            <w:tcBorders>
              <w:top w:val="single" w:sz="4" w:space="0" w:color="auto"/>
              <w:left w:val="single" w:sz="4" w:space="0" w:color="auto"/>
              <w:bottom w:val="single" w:sz="4" w:space="0" w:color="auto"/>
              <w:right w:val="single" w:sz="4" w:space="0" w:color="auto"/>
            </w:tcBorders>
          </w:tcPr>
          <w:p w14:paraId="41470B92" w14:textId="77777777" w:rsidR="00676422" w:rsidRPr="001101D8" w:rsidRDefault="00676422" w:rsidP="00A467EE">
            <w:pPr>
              <w:pStyle w:val="TableParagraph"/>
              <w:ind w:left="102"/>
              <w:rPr>
                <w:rFonts w:ascii="Times New Roman"/>
                <w:b/>
                <w:sz w:val="18"/>
                <w:szCs w:val="18"/>
                <w:u w:val="single"/>
              </w:rPr>
            </w:pPr>
            <w:r>
              <w:rPr>
                <w:rFonts w:ascii="Times New Roman"/>
                <w:b/>
                <w:sz w:val="18"/>
                <w:szCs w:val="18"/>
                <w:u w:val="single"/>
              </w:rPr>
              <w:t xml:space="preserve">2.4 </w:t>
            </w:r>
            <w:r w:rsidRPr="001101D8">
              <w:rPr>
                <w:rFonts w:ascii="Times New Roman"/>
                <w:b/>
                <w:sz w:val="18"/>
                <w:szCs w:val="18"/>
                <w:u w:val="single"/>
              </w:rPr>
              <w:t>ASF from operational deposits</w:t>
            </w:r>
          </w:p>
          <w:p w14:paraId="5D93BDB3" w14:textId="77777777" w:rsidR="00676422" w:rsidRDefault="00676422" w:rsidP="00A467EE">
            <w:pPr>
              <w:pStyle w:val="TableParagraph"/>
              <w:ind w:left="102"/>
              <w:rPr>
                <w:rFonts w:ascii="Times New Roman"/>
                <w:sz w:val="18"/>
                <w:szCs w:val="18"/>
              </w:rPr>
            </w:pPr>
          </w:p>
          <w:p w14:paraId="07E157D1" w14:textId="6625B50F" w:rsidR="00676422" w:rsidRDefault="00676422" w:rsidP="00A467EE">
            <w:pPr>
              <w:pStyle w:val="TableParagraph"/>
              <w:ind w:left="102"/>
              <w:rPr>
                <w:rFonts w:ascii="Times New Roman"/>
                <w:sz w:val="18"/>
                <w:szCs w:val="18"/>
              </w:rPr>
            </w:pPr>
            <w:r>
              <w:rPr>
                <w:rFonts w:ascii="Times New Roman"/>
                <w:sz w:val="18"/>
                <w:szCs w:val="18"/>
              </w:rPr>
              <w:t>Article 428am(a)</w:t>
            </w:r>
            <w:r w:rsidR="00173D2D">
              <w:rPr>
                <w:rFonts w:ascii="Times New Roman"/>
                <w:sz w:val="18"/>
                <w:szCs w:val="18"/>
              </w:rPr>
              <w:t xml:space="preserve"> of CRR.</w:t>
            </w:r>
          </w:p>
          <w:p w14:paraId="6AF2B3F5" w14:textId="77777777" w:rsidR="00676422" w:rsidRPr="001D55AB" w:rsidRDefault="00676422" w:rsidP="00A467EE">
            <w:pPr>
              <w:pStyle w:val="TableParagraph"/>
              <w:ind w:left="102"/>
              <w:rPr>
                <w:rFonts w:ascii="Times New Roman"/>
                <w:sz w:val="18"/>
                <w:szCs w:val="18"/>
              </w:rPr>
            </w:pPr>
          </w:p>
          <w:p w14:paraId="7BEE9F55" w14:textId="77777777" w:rsidR="00676422" w:rsidRDefault="00676422" w:rsidP="00A467EE">
            <w:pPr>
              <w:pStyle w:val="TableParagraph"/>
              <w:ind w:left="102"/>
              <w:rPr>
                <w:rFonts w:ascii="Times New Roman"/>
                <w:sz w:val="18"/>
                <w:szCs w:val="18"/>
              </w:rPr>
            </w:pPr>
            <w:r>
              <w:rPr>
                <w:rFonts w:ascii="Times New Roman"/>
                <w:sz w:val="18"/>
                <w:szCs w:val="18"/>
                <w:lang w:val="en-GB"/>
              </w:rPr>
              <w:t>D</w:t>
            </w:r>
            <w:r w:rsidRPr="00485E59">
              <w:rPr>
                <w:rFonts w:ascii="Times New Roman"/>
                <w:sz w:val="18"/>
                <w:szCs w:val="18"/>
                <w:lang w:val="en-GB"/>
              </w:rPr>
              <w:t xml:space="preserve">eposits received </w:t>
            </w:r>
            <w:r w:rsidRPr="001101D8">
              <w:rPr>
                <w:rFonts w:ascii="Times New Roman"/>
                <w:sz w:val="18"/>
                <w:szCs w:val="18"/>
              </w:rPr>
              <w:t>for the provision of operational services</w:t>
            </w:r>
            <w:r w:rsidRPr="005E5B33">
              <w:rPr>
                <w:rFonts w:ascii="Times New Roman"/>
                <w:sz w:val="18"/>
                <w:szCs w:val="18"/>
                <w:lang w:val="en-GB"/>
              </w:rPr>
              <w:t xml:space="preserve"> that fulfil the criteria for operational deposits set out in Article 27 of Delegated Regulation (EU) 2015/61</w:t>
            </w:r>
            <w:r>
              <w:rPr>
                <w:rFonts w:ascii="Times New Roman"/>
                <w:sz w:val="18"/>
                <w:szCs w:val="18"/>
                <w:lang w:val="en-GB"/>
              </w:rPr>
              <w:t>.</w:t>
            </w:r>
          </w:p>
          <w:p w14:paraId="0C637E49" w14:textId="77777777" w:rsidR="00676422" w:rsidRPr="00AA031A" w:rsidRDefault="00676422" w:rsidP="00A467EE">
            <w:pPr>
              <w:pStyle w:val="TableParagraph"/>
              <w:ind w:left="102"/>
              <w:rPr>
                <w:rFonts w:ascii="Times New Roman"/>
                <w:sz w:val="18"/>
                <w:szCs w:val="18"/>
              </w:rPr>
            </w:pPr>
          </w:p>
        </w:tc>
      </w:tr>
      <w:tr w:rsidR="00676422" w:rsidRPr="001D55AB" w14:paraId="48291151"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279790DC" w14:textId="77777777" w:rsidR="00676422" w:rsidRPr="00B47BE4"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0080</w:t>
            </w:r>
          </w:p>
        </w:tc>
        <w:tc>
          <w:tcPr>
            <w:tcW w:w="7590" w:type="dxa"/>
            <w:tcBorders>
              <w:top w:val="single" w:sz="4" w:space="0" w:color="auto"/>
              <w:left w:val="single" w:sz="4" w:space="0" w:color="auto"/>
              <w:bottom w:val="single" w:sz="4" w:space="0" w:color="auto"/>
              <w:right w:val="single" w:sz="4" w:space="0" w:color="auto"/>
            </w:tcBorders>
          </w:tcPr>
          <w:p w14:paraId="7C9D0908" w14:textId="660DF740" w:rsidR="00676422" w:rsidRPr="001D55AB" w:rsidRDefault="00676422" w:rsidP="00A467EE">
            <w:pPr>
              <w:pStyle w:val="TableParagraph"/>
              <w:ind w:left="102"/>
              <w:rPr>
                <w:rFonts w:ascii="Times New Roman"/>
                <w:sz w:val="18"/>
                <w:szCs w:val="18"/>
              </w:rPr>
            </w:pPr>
            <w:r>
              <w:rPr>
                <w:rFonts w:ascii="Times New Roman"/>
                <w:b/>
                <w:sz w:val="18"/>
                <w:szCs w:val="18"/>
                <w:u w:val="single"/>
              </w:rPr>
              <w:t xml:space="preserve">2.5 </w:t>
            </w:r>
            <w:r w:rsidRPr="000B080B">
              <w:rPr>
                <w:rFonts w:ascii="Times New Roman"/>
                <w:b/>
                <w:sz w:val="18"/>
                <w:szCs w:val="18"/>
                <w:u w:val="single"/>
              </w:rPr>
              <w:t xml:space="preserve">ASF from liabilities </w:t>
            </w:r>
            <w:r w:rsidR="00FB38C2">
              <w:rPr>
                <w:rFonts w:ascii="Times New Roman"/>
                <w:b/>
                <w:sz w:val="18"/>
                <w:szCs w:val="18"/>
                <w:u w:val="single"/>
              </w:rPr>
              <w:t xml:space="preserve">and committed facilities </w:t>
            </w:r>
            <w:r w:rsidRPr="000B080B">
              <w:rPr>
                <w:rFonts w:ascii="Times New Roman"/>
                <w:b/>
                <w:sz w:val="18"/>
                <w:szCs w:val="18"/>
                <w:u w:val="single"/>
              </w:rPr>
              <w:t>within a group or an IPS if subject to preferential treatment</w:t>
            </w:r>
          </w:p>
          <w:p w14:paraId="2F707231" w14:textId="77777777" w:rsidR="00676422" w:rsidRPr="001D55AB" w:rsidRDefault="00676422" w:rsidP="00A467EE">
            <w:pPr>
              <w:pStyle w:val="TableParagraph"/>
              <w:ind w:left="102"/>
              <w:rPr>
                <w:rFonts w:ascii="Times New Roman"/>
                <w:sz w:val="18"/>
                <w:szCs w:val="18"/>
              </w:rPr>
            </w:pPr>
          </w:p>
          <w:p w14:paraId="07D98610" w14:textId="4F9FDC29" w:rsidR="00676422" w:rsidRPr="001D55AB" w:rsidRDefault="00676422" w:rsidP="00A467EE">
            <w:pPr>
              <w:pStyle w:val="TableParagraph"/>
              <w:ind w:left="102"/>
              <w:rPr>
                <w:rFonts w:ascii="Times New Roman"/>
                <w:sz w:val="18"/>
                <w:szCs w:val="18"/>
              </w:rPr>
            </w:pPr>
            <w:r w:rsidRPr="001D55AB">
              <w:rPr>
                <w:rFonts w:ascii="Times New Roman"/>
                <w:sz w:val="18"/>
                <w:szCs w:val="18"/>
              </w:rPr>
              <w:t>Article 428h</w:t>
            </w:r>
            <w:r>
              <w:rPr>
                <w:rFonts w:ascii="Times New Roman"/>
                <w:sz w:val="18"/>
                <w:szCs w:val="18"/>
              </w:rPr>
              <w:t xml:space="preserve"> of CRR</w:t>
            </w:r>
            <w:r w:rsidR="00173D2D">
              <w:rPr>
                <w:rFonts w:ascii="Times New Roman"/>
                <w:sz w:val="18"/>
                <w:szCs w:val="18"/>
              </w:rPr>
              <w:t>.</w:t>
            </w:r>
          </w:p>
          <w:p w14:paraId="3EF8D97F" w14:textId="77777777" w:rsidR="00676422" w:rsidRPr="001D55AB" w:rsidRDefault="00676422" w:rsidP="00A467EE">
            <w:pPr>
              <w:pStyle w:val="TableParagraph"/>
              <w:ind w:left="102"/>
              <w:rPr>
                <w:rFonts w:ascii="Times New Roman"/>
                <w:sz w:val="18"/>
                <w:szCs w:val="18"/>
              </w:rPr>
            </w:pPr>
          </w:p>
          <w:p w14:paraId="6BBCB420" w14:textId="26D26FDB" w:rsidR="00676422" w:rsidRDefault="00676422" w:rsidP="00173D2D">
            <w:pPr>
              <w:pStyle w:val="TableParagraph"/>
              <w:ind w:left="102"/>
              <w:rPr>
                <w:rFonts w:ascii="Times New Roman"/>
                <w:sz w:val="18"/>
                <w:szCs w:val="18"/>
              </w:rPr>
            </w:pPr>
            <w:r w:rsidRPr="001D55AB">
              <w:rPr>
                <w:rFonts w:ascii="Times New Roman"/>
                <w:sz w:val="18"/>
                <w:szCs w:val="18"/>
              </w:rPr>
              <w:t xml:space="preserve">Institutions shall report here liabilities </w:t>
            </w:r>
            <w:r w:rsidR="009902DF">
              <w:rPr>
                <w:rFonts w:ascii="Times New Roman"/>
                <w:sz w:val="18"/>
                <w:szCs w:val="18"/>
              </w:rPr>
              <w:t xml:space="preserve">and committed facilities </w:t>
            </w:r>
            <w:r w:rsidR="00FB38C2">
              <w:rPr>
                <w:rFonts w:ascii="Times New Roman"/>
                <w:sz w:val="18"/>
                <w:szCs w:val="18"/>
              </w:rPr>
              <w:t xml:space="preserve">for which the competent authority has granted the </w:t>
            </w:r>
            <w:r w:rsidR="00FB38C2" w:rsidRPr="001D55AB">
              <w:rPr>
                <w:rFonts w:ascii="Times New Roman"/>
                <w:sz w:val="18"/>
                <w:szCs w:val="18"/>
              </w:rPr>
              <w:t xml:space="preserve">preferential treatment </w:t>
            </w:r>
            <w:r w:rsidR="00FB38C2">
              <w:rPr>
                <w:rFonts w:ascii="Times New Roman"/>
                <w:sz w:val="18"/>
                <w:szCs w:val="18"/>
              </w:rPr>
              <w:t>referred to in</w:t>
            </w:r>
            <w:r w:rsidR="00FB38C2" w:rsidRPr="001D55AB">
              <w:rPr>
                <w:rFonts w:ascii="Times New Roman"/>
                <w:sz w:val="18"/>
                <w:szCs w:val="18"/>
              </w:rPr>
              <w:t xml:space="preserve"> </w:t>
            </w:r>
            <w:r w:rsidRPr="001D55AB">
              <w:rPr>
                <w:rFonts w:ascii="Times New Roman"/>
                <w:sz w:val="18"/>
                <w:szCs w:val="18"/>
              </w:rPr>
              <w:t xml:space="preserve">Article 428h of </w:t>
            </w:r>
            <w:r>
              <w:rPr>
                <w:rFonts w:ascii="Times New Roman"/>
                <w:sz w:val="18"/>
                <w:szCs w:val="18"/>
              </w:rPr>
              <w:t>CRR</w:t>
            </w:r>
            <w:r w:rsidRPr="001D55AB">
              <w:rPr>
                <w:rFonts w:ascii="Times New Roman"/>
                <w:sz w:val="18"/>
                <w:szCs w:val="18"/>
              </w:rPr>
              <w:t>.</w:t>
            </w:r>
          </w:p>
          <w:p w14:paraId="41572B68" w14:textId="77777777" w:rsidR="00676422" w:rsidRPr="001D55AB" w:rsidRDefault="00676422" w:rsidP="00A467EE">
            <w:pPr>
              <w:pStyle w:val="TableParagraph"/>
              <w:ind w:left="102"/>
              <w:rPr>
                <w:rFonts w:ascii="Times New Roman"/>
                <w:sz w:val="18"/>
                <w:szCs w:val="18"/>
              </w:rPr>
            </w:pPr>
          </w:p>
        </w:tc>
      </w:tr>
      <w:tr w:rsidR="00676422" w:rsidRPr="002362BC" w14:paraId="66ADE312"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6A8A36C7" w14:textId="77777777" w:rsidR="00676422" w:rsidRPr="00214712"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0090</w:t>
            </w:r>
          </w:p>
        </w:tc>
        <w:tc>
          <w:tcPr>
            <w:tcW w:w="7590" w:type="dxa"/>
            <w:tcBorders>
              <w:top w:val="single" w:sz="4" w:space="0" w:color="auto"/>
              <w:left w:val="single" w:sz="4" w:space="0" w:color="auto"/>
              <w:bottom w:val="single" w:sz="4" w:space="0" w:color="auto"/>
              <w:right w:val="single" w:sz="4" w:space="0" w:color="auto"/>
            </w:tcBorders>
          </w:tcPr>
          <w:p w14:paraId="53644EC7"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2.6 </w:t>
            </w:r>
            <w:r w:rsidRPr="00214712">
              <w:rPr>
                <w:rFonts w:ascii="Times New Roman"/>
                <w:b/>
                <w:sz w:val="18"/>
                <w:szCs w:val="18"/>
                <w:u w:val="single"/>
              </w:rPr>
              <w:t xml:space="preserve">ASF from financial customers and central banks </w:t>
            </w:r>
          </w:p>
          <w:p w14:paraId="4A2F0401" w14:textId="77777777" w:rsidR="00676422" w:rsidRPr="00A103D6" w:rsidRDefault="00676422" w:rsidP="00A467EE">
            <w:pPr>
              <w:pStyle w:val="TableParagraph"/>
              <w:ind w:left="102"/>
              <w:rPr>
                <w:rFonts w:ascii="Times New Roman"/>
                <w:sz w:val="18"/>
                <w:szCs w:val="18"/>
              </w:rPr>
            </w:pPr>
          </w:p>
          <w:p w14:paraId="08B980CB" w14:textId="48F4407A" w:rsidR="00676422" w:rsidRPr="00E0770F" w:rsidRDefault="00676422" w:rsidP="00A467EE">
            <w:pPr>
              <w:pStyle w:val="TableParagraph"/>
              <w:ind w:left="102"/>
              <w:rPr>
                <w:rFonts w:ascii="Times New Roman"/>
                <w:sz w:val="18"/>
                <w:szCs w:val="18"/>
                <w:lang w:val="en-GB"/>
              </w:rPr>
            </w:pPr>
            <w:r w:rsidRPr="00E0770F">
              <w:rPr>
                <w:rFonts w:ascii="Times New Roman"/>
                <w:sz w:val="18"/>
                <w:szCs w:val="18"/>
                <w:lang w:val="en-GB"/>
              </w:rPr>
              <w:t>Articles 428al(3)(c)</w:t>
            </w:r>
            <w:r w:rsidR="00E06921" w:rsidRPr="00E0770F">
              <w:rPr>
                <w:rFonts w:ascii="Times New Roman"/>
                <w:sz w:val="18"/>
                <w:szCs w:val="18"/>
                <w:lang w:val="en-GB"/>
              </w:rPr>
              <w:t xml:space="preserve"> and </w:t>
            </w:r>
            <w:r w:rsidRPr="00E0770F">
              <w:rPr>
                <w:rFonts w:ascii="Times New Roman"/>
                <w:sz w:val="18"/>
                <w:szCs w:val="18"/>
                <w:lang w:val="en-GB"/>
              </w:rPr>
              <w:t>428ap(e)</w:t>
            </w:r>
            <w:r w:rsidR="00E06921" w:rsidRPr="00E0770F">
              <w:rPr>
                <w:rFonts w:ascii="Times New Roman"/>
                <w:sz w:val="18"/>
                <w:szCs w:val="18"/>
                <w:lang w:val="en-GB"/>
              </w:rPr>
              <w:t xml:space="preserve"> of CRR.</w:t>
            </w:r>
          </w:p>
          <w:p w14:paraId="4F8EAAD6" w14:textId="77777777" w:rsidR="00676422" w:rsidRPr="00E0770F" w:rsidRDefault="00676422" w:rsidP="00A103D6">
            <w:pPr>
              <w:pStyle w:val="TableParagraph"/>
              <w:ind w:left="102"/>
              <w:rPr>
                <w:rFonts w:ascii="Times New Roman"/>
                <w:sz w:val="18"/>
                <w:szCs w:val="18"/>
                <w:lang w:val="en-GB"/>
              </w:rPr>
            </w:pPr>
          </w:p>
          <w:p w14:paraId="2F3CAB56"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Liabilities provided by the ECB or the central bank of a Member State</w:t>
            </w:r>
          </w:p>
          <w:p w14:paraId="4585C2AE" w14:textId="77777777" w:rsidR="00676422" w:rsidRPr="00A103D6" w:rsidRDefault="00676422" w:rsidP="00A467EE">
            <w:pPr>
              <w:pStyle w:val="TableParagraph"/>
              <w:ind w:left="102"/>
              <w:rPr>
                <w:rFonts w:ascii="Times New Roman"/>
                <w:sz w:val="18"/>
                <w:szCs w:val="18"/>
              </w:rPr>
            </w:pPr>
          </w:p>
          <w:p w14:paraId="378A6F25" w14:textId="6D8C5D9B" w:rsidR="00676422" w:rsidRDefault="00173D2D" w:rsidP="00A467EE">
            <w:pPr>
              <w:pStyle w:val="TableParagraph"/>
              <w:ind w:left="102"/>
              <w:rPr>
                <w:rFonts w:ascii="Times New Roman"/>
                <w:sz w:val="18"/>
                <w:szCs w:val="18"/>
              </w:rPr>
            </w:pPr>
            <w:r>
              <w:rPr>
                <w:rFonts w:ascii="Times New Roman"/>
                <w:sz w:val="18"/>
                <w:szCs w:val="18"/>
              </w:rPr>
              <w:t>Article</w:t>
            </w:r>
            <w:r w:rsidR="00676422">
              <w:rPr>
                <w:rFonts w:ascii="Times New Roman"/>
                <w:sz w:val="18"/>
                <w:szCs w:val="18"/>
              </w:rPr>
              <w:t xml:space="preserve"> 428al(3)(c)(i) of CRR.</w:t>
            </w:r>
          </w:p>
          <w:p w14:paraId="54D6A16D" w14:textId="77777777" w:rsidR="00676422" w:rsidRDefault="00676422" w:rsidP="00A467EE">
            <w:pPr>
              <w:pStyle w:val="TableParagraph"/>
              <w:ind w:left="102"/>
              <w:rPr>
                <w:rFonts w:ascii="Times New Roman"/>
                <w:sz w:val="18"/>
                <w:szCs w:val="18"/>
              </w:rPr>
            </w:pPr>
          </w:p>
          <w:p w14:paraId="48FBBB46" w14:textId="764ABDA7" w:rsidR="00676422" w:rsidRPr="00B54083" w:rsidRDefault="00676422" w:rsidP="00A467EE">
            <w:pPr>
              <w:pStyle w:val="TableParagraph"/>
              <w:ind w:left="102"/>
              <w:rPr>
                <w:rFonts w:ascii="Times New Roman"/>
                <w:b/>
                <w:sz w:val="18"/>
                <w:szCs w:val="18"/>
                <w:u w:val="single"/>
              </w:rPr>
            </w:pPr>
            <w:r>
              <w:rPr>
                <w:rFonts w:ascii="Times New Roman"/>
                <w:sz w:val="18"/>
                <w:szCs w:val="18"/>
              </w:rPr>
              <w:t>Liabilities provided by the ECB or the central bank of a Member State irrespective of whether or not they are securities financing transactions.</w:t>
            </w:r>
          </w:p>
          <w:p w14:paraId="7C4C3CC0" w14:textId="77777777" w:rsidR="00676422" w:rsidRPr="00A103D6" w:rsidRDefault="00676422" w:rsidP="00A103D6">
            <w:pPr>
              <w:pStyle w:val="TableParagraph"/>
              <w:ind w:left="102"/>
              <w:rPr>
                <w:rFonts w:ascii="Times New Roman"/>
                <w:sz w:val="18"/>
                <w:szCs w:val="18"/>
                <w:lang w:val="en-GB"/>
              </w:rPr>
            </w:pPr>
          </w:p>
          <w:p w14:paraId="13C3872A"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Liabilities provided by the central bank of a third country</w:t>
            </w:r>
          </w:p>
          <w:p w14:paraId="4F252202" w14:textId="77777777" w:rsidR="00676422" w:rsidRPr="00A103D6" w:rsidRDefault="00676422" w:rsidP="00A467EE">
            <w:pPr>
              <w:pStyle w:val="TableParagraph"/>
              <w:ind w:left="102"/>
              <w:rPr>
                <w:rFonts w:ascii="Times New Roman"/>
                <w:sz w:val="18"/>
                <w:szCs w:val="18"/>
              </w:rPr>
            </w:pPr>
          </w:p>
          <w:p w14:paraId="5E969911" w14:textId="51DC71F0"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428al(3)(c)(ii) of CRR.</w:t>
            </w:r>
          </w:p>
          <w:p w14:paraId="527B020F" w14:textId="77777777" w:rsidR="00676422" w:rsidRDefault="00676422" w:rsidP="00A467EE">
            <w:pPr>
              <w:pStyle w:val="TableParagraph"/>
              <w:ind w:left="102"/>
              <w:rPr>
                <w:rFonts w:ascii="Times New Roman"/>
                <w:sz w:val="18"/>
                <w:szCs w:val="18"/>
              </w:rPr>
            </w:pPr>
          </w:p>
          <w:p w14:paraId="540ACDF8" w14:textId="06255ECC" w:rsidR="00676422" w:rsidRPr="001D55AB" w:rsidRDefault="00676422" w:rsidP="00A467EE">
            <w:pPr>
              <w:pStyle w:val="TableParagraph"/>
              <w:ind w:left="102"/>
              <w:rPr>
                <w:rFonts w:ascii="Times New Roman"/>
                <w:b/>
                <w:sz w:val="18"/>
                <w:szCs w:val="18"/>
                <w:u w:val="single"/>
              </w:rPr>
            </w:pPr>
            <w:r>
              <w:rPr>
                <w:rFonts w:ascii="Times New Roman"/>
                <w:sz w:val="18"/>
                <w:szCs w:val="18"/>
              </w:rPr>
              <w:t>Liabilities provided by the central bank of a third country irrespective of whether or not they are securities financing transactions.</w:t>
            </w:r>
          </w:p>
          <w:p w14:paraId="3D8C78BD" w14:textId="77777777" w:rsidR="00676422" w:rsidRPr="00A103D6" w:rsidRDefault="00676422" w:rsidP="00A103D6">
            <w:pPr>
              <w:pStyle w:val="TableParagraph"/>
              <w:ind w:left="102"/>
              <w:rPr>
                <w:rFonts w:ascii="Times New Roman"/>
                <w:sz w:val="18"/>
                <w:szCs w:val="18"/>
                <w:lang w:val="en-GB"/>
              </w:rPr>
            </w:pPr>
          </w:p>
          <w:p w14:paraId="5100B5BD"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Liabilities provided by financial customers</w:t>
            </w:r>
          </w:p>
          <w:p w14:paraId="2348EDA7" w14:textId="77777777" w:rsidR="00676422" w:rsidRPr="00A103D6" w:rsidRDefault="00676422" w:rsidP="00A467EE">
            <w:pPr>
              <w:pStyle w:val="TableParagraph"/>
              <w:ind w:left="102"/>
              <w:rPr>
                <w:rFonts w:ascii="Times New Roman"/>
                <w:sz w:val="18"/>
                <w:szCs w:val="18"/>
              </w:rPr>
            </w:pPr>
          </w:p>
          <w:p w14:paraId="3FD1D8EA" w14:textId="6D20C2C1" w:rsidR="00676422" w:rsidRDefault="00173D2D" w:rsidP="00A467EE">
            <w:pPr>
              <w:pStyle w:val="TableParagraph"/>
              <w:ind w:left="102"/>
              <w:rPr>
                <w:rFonts w:ascii="Times New Roman"/>
                <w:sz w:val="18"/>
                <w:szCs w:val="18"/>
              </w:rPr>
            </w:pPr>
            <w:r>
              <w:rPr>
                <w:rFonts w:ascii="Times New Roman"/>
                <w:sz w:val="18"/>
                <w:szCs w:val="18"/>
              </w:rPr>
              <w:t xml:space="preserve">Article </w:t>
            </w:r>
            <w:r w:rsidR="00676422">
              <w:rPr>
                <w:rFonts w:ascii="Times New Roman"/>
                <w:sz w:val="18"/>
                <w:szCs w:val="18"/>
              </w:rPr>
              <w:t>428al(3)(c)(iii) of CRR.</w:t>
            </w:r>
          </w:p>
          <w:p w14:paraId="707B5A27" w14:textId="77777777" w:rsidR="00676422" w:rsidRDefault="00676422" w:rsidP="00A467EE">
            <w:pPr>
              <w:pStyle w:val="TableParagraph"/>
              <w:ind w:left="102"/>
              <w:rPr>
                <w:rFonts w:ascii="Times New Roman"/>
                <w:sz w:val="18"/>
                <w:szCs w:val="18"/>
              </w:rPr>
            </w:pPr>
          </w:p>
          <w:p w14:paraId="473E7F81" w14:textId="2EDA81BE" w:rsidR="00676422" w:rsidRDefault="00676422" w:rsidP="00A467EE">
            <w:pPr>
              <w:pStyle w:val="TableParagraph"/>
              <w:ind w:left="102"/>
              <w:rPr>
                <w:rFonts w:ascii="Times New Roman"/>
                <w:sz w:val="18"/>
                <w:szCs w:val="18"/>
              </w:rPr>
            </w:pPr>
            <w:r>
              <w:rPr>
                <w:rFonts w:ascii="Times New Roman"/>
                <w:sz w:val="18"/>
                <w:szCs w:val="18"/>
              </w:rPr>
              <w:t>Liabilities provided by financial customers irrespective of whether or not they are securities financing transactions.</w:t>
            </w:r>
          </w:p>
          <w:p w14:paraId="43AE6316" w14:textId="69DC089E" w:rsidR="00676422" w:rsidRDefault="00676422" w:rsidP="00A467EE">
            <w:pPr>
              <w:pStyle w:val="TableParagraph"/>
              <w:ind w:left="102"/>
              <w:rPr>
                <w:rFonts w:ascii="Times New Roman"/>
                <w:sz w:val="18"/>
                <w:szCs w:val="18"/>
              </w:rPr>
            </w:pPr>
          </w:p>
          <w:p w14:paraId="141C1A10" w14:textId="01F63A9F" w:rsidR="00676422" w:rsidRDefault="002A628C" w:rsidP="00A467EE">
            <w:pPr>
              <w:pStyle w:val="TableParagraph"/>
              <w:ind w:left="102"/>
              <w:rPr>
                <w:rFonts w:ascii="Times New Roman"/>
                <w:sz w:val="18"/>
                <w:szCs w:val="18"/>
              </w:rPr>
            </w:pPr>
            <w:r>
              <w:rPr>
                <w:rFonts w:ascii="Times New Roman"/>
                <w:b/>
                <w:sz w:val="18"/>
                <w:szCs w:val="18"/>
                <w:u w:val="single"/>
              </w:rPr>
              <w:t xml:space="preserve">Liabilities </w:t>
            </w:r>
            <w:r w:rsidR="00676422" w:rsidRPr="00214712">
              <w:rPr>
                <w:rFonts w:ascii="Times New Roman"/>
                <w:b/>
                <w:sz w:val="18"/>
                <w:szCs w:val="18"/>
                <w:u w:val="single"/>
              </w:rPr>
              <w:t xml:space="preserve">from financial customers and central banks </w:t>
            </w:r>
            <w:r w:rsidR="00676422">
              <w:rPr>
                <w:rFonts w:ascii="Times New Roman"/>
                <w:b/>
                <w:sz w:val="18"/>
                <w:szCs w:val="18"/>
                <w:u w:val="single"/>
              </w:rPr>
              <w:t>with a residual maturity of one year or more</w:t>
            </w:r>
          </w:p>
          <w:p w14:paraId="15208DD7" w14:textId="7C5C0838" w:rsidR="00676422" w:rsidRDefault="00676422" w:rsidP="00A467EE">
            <w:pPr>
              <w:pStyle w:val="TableParagraph"/>
              <w:ind w:left="102"/>
              <w:rPr>
                <w:rFonts w:ascii="Times New Roman"/>
                <w:sz w:val="18"/>
                <w:szCs w:val="18"/>
              </w:rPr>
            </w:pPr>
          </w:p>
          <w:p w14:paraId="1CEE2329" w14:textId="2E8319A9" w:rsidR="00676422" w:rsidRPr="00A103D6" w:rsidRDefault="00676422" w:rsidP="00A467EE">
            <w:pPr>
              <w:pStyle w:val="TableParagraph"/>
              <w:ind w:left="102"/>
              <w:rPr>
                <w:rFonts w:ascii="Times New Roman"/>
                <w:sz w:val="18"/>
                <w:szCs w:val="18"/>
              </w:rPr>
            </w:pPr>
            <w:r w:rsidRPr="00A103D6">
              <w:rPr>
                <w:rFonts w:ascii="Times New Roman"/>
                <w:sz w:val="18"/>
                <w:szCs w:val="18"/>
              </w:rPr>
              <w:t>Art</w:t>
            </w:r>
            <w:r w:rsidR="006B6363">
              <w:rPr>
                <w:rFonts w:ascii="Times New Roman"/>
                <w:sz w:val="18"/>
                <w:szCs w:val="18"/>
              </w:rPr>
              <w:t>icle</w:t>
            </w:r>
            <w:r w:rsidRPr="00A103D6">
              <w:rPr>
                <w:rFonts w:ascii="Times New Roman"/>
                <w:sz w:val="18"/>
                <w:szCs w:val="18"/>
              </w:rPr>
              <w:t xml:space="preserve"> 428ap (e)</w:t>
            </w:r>
            <w:r w:rsidR="006B6363">
              <w:rPr>
                <w:rFonts w:ascii="Times New Roman"/>
                <w:sz w:val="18"/>
                <w:szCs w:val="18"/>
              </w:rPr>
              <w:t xml:space="preserve"> of CRR.</w:t>
            </w:r>
          </w:p>
          <w:p w14:paraId="76C79C41" w14:textId="15EE6FA4" w:rsidR="00676422" w:rsidRDefault="00676422" w:rsidP="00A467EE">
            <w:pPr>
              <w:pStyle w:val="TableParagraph"/>
              <w:ind w:left="102"/>
              <w:rPr>
                <w:rFonts w:ascii="Times New Roman"/>
                <w:sz w:val="18"/>
                <w:szCs w:val="18"/>
                <w:u w:val="single"/>
              </w:rPr>
            </w:pPr>
          </w:p>
          <w:p w14:paraId="62C26AF0" w14:textId="38757F11" w:rsidR="00676422" w:rsidRPr="00A103D6" w:rsidRDefault="002A628C" w:rsidP="00A467EE">
            <w:pPr>
              <w:pStyle w:val="TableParagraph"/>
              <w:ind w:left="102"/>
              <w:rPr>
                <w:rFonts w:ascii="Times New Roman"/>
                <w:sz w:val="18"/>
                <w:szCs w:val="18"/>
              </w:rPr>
            </w:pPr>
            <w:r>
              <w:rPr>
                <w:rFonts w:ascii="Times New Roman"/>
                <w:sz w:val="18"/>
                <w:szCs w:val="18"/>
              </w:rPr>
              <w:t>Liabilities</w:t>
            </w:r>
            <w:r w:rsidRPr="00A103D6">
              <w:rPr>
                <w:rFonts w:ascii="Times New Roman"/>
                <w:sz w:val="18"/>
                <w:szCs w:val="18"/>
              </w:rPr>
              <w:t xml:space="preserve"> </w:t>
            </w:r>
            <w:r w:rsidR="00676422" w:rsidRPr="00A103D6">
              <w:rPr>
                <w:rFonts w:ascii="Times New Roman"/>
                <w:sz w:val="18"/>
                <w:szCs w:val="18"/>
              </w:rPr>
              <w:t>provided by financial customers and central banks with a residual maturity of one year or more</w:t>
            </w:r>
            <w:r w:rsidR="009902DF">
              <w:rPr>
                <w:rFonts w:ascii="Times New Roman"/>
                <w:sz w:val="18"/>
                <w:szCs w:val="18"/>
              </w:rPr>
              <w:t>.</w:t>
            </w:r>
          </w:p>
          <w:p w14:paraId="578D66CE" w14:textId="77777777" w:rsidR="00676422" w:rsidRPr="002362BC" w:rsidRDefault="00676422" w:rsidP="006F43CE">
            <w:pPr>
              <w:pStyle w:val="TableParagraph"/>
              <w:ind w:left="102"/>
              <w:rPr>
                <w:rFonts w:ascii="Times New Roman"/>
                <w:b/>
                <w:sz w:val="18"/>
                <w:szCs w:val="18"/>
                <w:u w:val="single"/>
                <w:lang w:val="en-GB"/>
              </w:rPr>
            </w:pPr>
          </w:p>
        </w:tc>
      </w:tr>
      <w:tr w:rsidR="00676422" w:rsidRPr="00B47BE4" w14:paraId="37A3E49A"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37ED1B81" w14:textId="77777777" w:rsidR="00676422" w:rsidRPr="00B06F5E"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0100</w:t>
            </w:r>
          </w:p>
        </w:tc>
        <w:tc>
          <w:tcPr>
            <w:tcW w:w="7590" w:type="dxa"/>
            <w:tcBorders>
              <w:top w:val="single" w:sz="4" w:space="0" w:color="auto"/>
              <w:left w:val="single" w:sz="4" w:space="0" w:color="auto"/>
              <w:bottom w:val="single" w:sz="4" w:space="0" w:color="auto"/>
              <w:right w:val="single" w:sz="4" w:space="0" w:color="auto"/>
            </w:tcBorders>
          </w:tcPr>
          <w:p w14:paraId="1E450845"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2.7 </w:t>
            </w:r>
            <w:r w:rsidRPr="00452A84">
              <w:rPr>
                <w:rFonts w:ascii="Times New Roman"/>
                <w:b/>
                <w:sz w:val="18"/>
                <w:szCs w:val="18"/>
                <w:u w:val="single"/>
              </w:rPr>
              <w:t>ASF from liabilities provided where the counterparty cannot be determined</w:t>
            </w:r>
          </w:p>
          <w:p w14:paraId="595B01D4" w14:textId="77777777" w:rsidR="00676422" w:rsidRPr="00A103D6" w:rsidRDefault="00676422" w:rsidP="00A467EE">
            <w:pPr>
              <w:pStyle w:val="TableParagraph"/>
              <w:ind w:left="102"/>
              <w:rPr>
                <w:rFonts w:ascii="Times New Roman"/>
                <w:sz w:val="18"/>
                <w:szCs w:val="18"/>
              </w:rPr>
            </w:pPr>
          </w:p>
          <w:p w14:paraId="1361F5CA" w14:textId="2EA5D0CC" w:rsidR="00676422" w:rsidRDefault="00173D2D" w:rsidP="00A467EE">
            <w:pPr>
              <w:pStyle w:val="TableParagraph"/>
              <w:ind w:left="102"/>
              <w:rPr>
                <w:rFonts w:ascii="Times New Roman"/>
                <w:sz w:val="18"/>
                <w:szCs w:val="18"/>
              </w:rPr>
            </w:pPr>
            <w:r>
              <w:rPr>
                <w:rFonts w:ascii="Times New Roman"/>
                <w:sz w:val="18"/>
                <w:szCs w:val="18"/>
              </w:rPr>
              <w:t>Article</w:t>
            </w:r>
            <w:r w:rsidR="00E06921">
              <w:rPr>
                <w:rFonts w:ascii="Times New Roman"/>
                <w:sz w:val="18"/>
                <w:szCs w:val="18"/>
              </w:rPr>
              <w:t>s</w:t>
            </w:r>
            <w:r w:rsidR="00676422">
              <w:rPr>
                <w:rFonts w:ascii="Times New Roman"/>
                <w:sz w:val="18"/>
                <w:szCs w:val="18"/>
              </w:rPr>
              <w:t xml:space="preserve"> 428al(3)(d) and </w:t>
            </w:r>
            <w:r w:rsidR="00676422" w:rsidRPr="00D92E6E">
              <w:rPr>
                <w:rFonts w:ascii="Times New Roman"/>
                <w:sz w:val="18"/>
                <w:szCs w:val="18"/>
              </w:rPr>
              <w:t>428a</w:t>
            </w:r>
            <w:r w:rsidR="00676422">
              <w:rPr>
                <w:rFonts w:ascii="Times New Roman"/>
                <w:sz w:val="18"/>
                <w:szCs w:val="18"/>
              </w:rPr>
              <w:t>p(e) of CRR.</w:t>
            </w:r>
          </w:p>
          <w:p w14:paraId="301EFCB5" w14:textId="77777777" w:rsidR="00676422" w:rsidRDefault="00676422" w:rsidP="00A467EE">
            <w:pPr>
              <w:pStyle w:val="TableParagraph"/>
              <w:ind w:left="102"/>
              <w:rPr>
                <w:rFonts w:ascii="Times New Roman"/>
                <w:sz w:val="18"/>
                <w:szCs w:val="18"/>
              </w:rPr>
            </w:pPr>
          </w:p>
          <w:p w14:paraId="2FD179AE" w14:textId="2507039B" w:rsidR="00676422" w:rsidRPr="00FA65F2" w:rsidRDefault="00676422" w:rsidP="00A467EE">
            <w:pPr>
              <w:pStyle w:val="TableParagraph"/>
              <w:ind w:left="102"/>
              <w:rPr>
                <w:rFonts w:ascii="Times New Roman"/>
                <w:sz w:val="18"/>
                <w:szCs w:val="18"/>
              </w:rPr>
            </w:pPr>
            <w:r>
              <w:rPr>
                <w:rFonts w:ascii="Times New Roman"/>
                <w:sz w:val="18"/>
                <w:szCs w:val="18"/>
              </w:rPr>
              <w:t>Institutions shall report here liabilities where the counterparty cannot be determined</w:t>
            </w:r>
            <w:r w:rsidR="00173D2D">
              <w:rPr>
                <w:rFonts w:ascii="Times New Roman"/>
                <w:sz w:val="18"/>
                <w:szCs w:val="18"/>
              </w:rPr>
              <w:t xml:space="preserve">, including </w:t>
            </w:r>
            <w:r>
              <w:rPr>
                <w:rFonts w:ascii="Times New Roman"/>
                <w:sz w:val="18"/>
                <w:szCs w:val="18"/>
              </w:rPr>
              <w:t>securities issued where the holder cannot be identified.</w:t>
            </w:r>
          </w:p>
          <w:p w14:paraId="1235DE75" w14:textId="77777777" w:rsidR="00676422" w:rsidRPr="00214712" w:rsidRDefault="00676422" w:rsidP="00A467EE">
            <w:pPr>
              <w:pStyle w:val="TableParagraph"/>
              <w:ind w:left="102"/>
              <w:rPr>
                <w:rFonts w:ascii="Times New Roman"/>
                <w:b/>
                <w:sz w:val="18"/>
                <w:szCs w:val="18"/>
                <w:u w:val="single"/>
              </w:rPr>
            </w:pPr>
          </w:p>
        </w:tc>
      </w:tr>
      <w:tr w:rsidR="00676422" w:rsidRPr="00B47BE4" w14:paraId="58E094DB"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2585C755" w14:textId="77777777" w:rsidR="00676422" w:rsidRPr="00B06F5E"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0110</w:t>
            </w:r>
          </w:p>
        </w:tc>
        <w:tc>
          <w:tcPr>
            <w:tcW w:w="7590" w:type="dxa"/>
            <w:tcBorders>
              <w:top w:val="single" w:sz="4" w:space="0" w:color="auto"/>
              <w:left w:val="single" w:sz="4" w:space="0" w:color="auto"/>
              <w:bottom w:val="single" w:sz="4" w:space="0" w:color="auto"/>
              <w:right w:val="single" w:sz="4" w:space="0" w:color="auto"/>
            </w:tcBorders>
          </w:tcPr>
          <w:p w14:paraId="0F4A2A2E" w14:textId="35A6A99A" w:rsidR="002A628C" w:rsidRDefault="002A628C" w:rsidP="002A628C">
            <w:pPr>
              <w:pStyle w:val="TableParagraph"/>
              <w:ind w:left="102"/>
              <w:rPr>
                <w:rFonts w:ascii="Times New Roman"/>
                <w:b/>
                <w:sz w:val="18"/>
                <w:szCs w:val="18"/>
                <w:u w:val="single"/>
              </w:rPr>
            </w:pPr>
            <w:r>
              <w:rPr>
                <w:rFonts w:ascii="Times New Roman"/>
                <w:b/>
                <w:sz w:val="18"/>
                <w:szCs w:val="18"/>
                <w:u w:val="single"/>
              </w:rPr>
              <w:t xml:space="preserve">2.8 </w:t>
            </w:r>
            <w:r w:rsidRPr="00214712">
              <w:rPr>
                <w:rFonts w:ascii="Times New Roman"/>
                <w:b/>
                <w:sz w:val="18"/>
                <w:szCs w:val="18"/>
                <w:u w:val="single"/>
              </w:rPr>
              <w:t>ASF from authorised interdependent liabilities</w:t>
            </w:r>
          </w:p>
          <w:p w14:paraId="6E3CB499" w14:textId="77777777" w:rsidR="00676422" w:rsidRPr="00A103D6" w:rsidRDefault="00676422" w:rsidP="00A467EE">
            <w:pPr>
              <w:pStyle w:val="TableParagraph"/>
              <w:ind w:left="102"/>
              <w:rPr>
                <w:rFonts w:ascii="Times New Roman"/>
                <w:sz w:val="18"/>
                <w:szCs w:val="18"/>
              </w:rPr>
            </w:pPr>
          </w:p>
          <w:p w14:paraId="29E93B88" w14:textId="4147A0B8" w:rsidR="00676422" w:rsidRPr="0048141F"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428al(3)(b) of CRR.</w:t>
            </w:r>
          </w:p>
          <w:p w14:paraId="739DA440" w14:textId="77777777" w:rsidR="00676422" w:rsidRDefault="00676422" w:rsidP="00A467EE">
            <w:pPr>
              <w:pStyle w:val="TableParagraph"/>
              <w:ind w:left="102"/>
              <w:rPr>
                <w:rFonts w:ascii="Times New Roman"/>
                <w:sz w:val="18"/>
                <w:szCs w:val="18"/>
              </w:rPr>
            </w:pPr>
          </w:p>
          <w:p w14:paraId="752CC783" w14:textId="0AF94D41" w:rsidR="002A628C" w:rsidRDefault="002A628C" w:rsidP="002A628C">
            <w:pPr>
              <w:pStyle w:val="TableParagraph"/>
              <w:ind w:left="102"/>
              <w:rPr>
                <w:rFonts w:ascii="Times New Roman"/>
                <w:sz w:val="18"/>
                <w:szCs w:val="18"/>
                <w:lang w:val="en-GB"/>
              </w:rPr>
            </w:pPr>
            <w:r>
              <w:rPr>
                <w:rFonts w:ascii="Times New Roman"/>
                <w:sz w:val="18"/>
                <w:szCs w:val="18"/>
              </w:rPr>
              <w:t xml:space="preserve">Institutions shall report here liabilities that have been approved by the relevant competent authority to be treated as interdependent with assets in accordance with Art. </w:t>
            </w:r>
            <w:r w:rsidRPr="00FF6C18">
              <w:rPr>
                <w:rFonts w:ascii="Times New Roman"/>
                <w:sz w:val="18"/>
                <w:szCs w:val="18"/>
                <w:lang w:val="en-GB"/>
              </w:rPr>
              <w:t xml:space="preserve">428f of CRR.  </w:t>
            </w:r>
          </w:p>
          <w:p w14:paraId="4D4FA43C" w14:textId="77777777" w:rsidR="00676422" w:rsidRPr="002A628C" w:rsidRDefault="00676422" w:rsidP="00A467EE">
            <w:pPr>
              <w:pStyle w:val="TableParagraph"/>
              <w:ind w:left="102"/>
              <w:rPr>
                <w:rFonts w:ascii="Times New Roman"/>
                <w:sz w:val="18"/>
                <w:szCs w:val="18"/>
                <w:lang w:val="en-GB"/>
              </w:rPr>
            </w:pPr>
          </w:p>
          <w:p w14:paraId="035C765B"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Centralised regulated savings</w:t>
            </w:r>
          </w:p>
          <w:p w14:paraId="0D354266" w14:textId="77777777" w:rsidR="00676422" w:rsidRPr="00A103D6" w:rsidRDefault="00676422" w:rsidP="00A467EE">
            <w:pPr>
              <w:pStyle w:val="TableParagraph"/>
              <w:ind w:left="102"/>
              <w:rPr>
                <w:rFonts w:ascii="Times New Roman"/>
                <w:sz w:val="18"/>
                <w:szCs w:val="18"/>
              </w:rPr>
            </w:pPr>
          </w:p>
          <w:p w14:paraId="4F410584" w14:textId="291FE1D5"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428f(2)(a) of CRR.</w:t>
            </w:r>
          </w:p>
          <w:p w14:paraId="0C7D7737" w14:textId="77777777" w:rsidR="00676422" w:rsidRDefault="00676422" w:rsidP="00A467EE">
            <w:pPr>
              <w:pStyle w:val="TableParagraph"/>
              <w:ind w:left="102"/>
              <w:rPr>
                <w:rFonts w:ascii="Times New Roman"/>
                <w:sz w:val="18"/>
                <w:szCs w:val="18"/>
              </w:rPr>
            </w:pPr>
          </w:p>
          <w:p w14:paraId="44533FCA" w14:textId="035236C8" w:rsidR="00676422" w:rsidRPr="0048141F" w:rsidRDefault="002A628C" w:rsidP="002A628C">
            <w:pPr>
              <w:pStyle w:val="TableParagraph"/>
              <w:ind w:left="102"/>
              <w:rPr>
                <w:rFonts w:ascii="Times New Roman"/>
                <w:sz w:val="18"/>
                <w:szCs w:val="18"/>
              </w:rPr>
            </w:pPr>
            <w:r>
              <w:rPr>
                <w:rFonts w:ascii="Times New Roman"/>
                <w:sz w:val="18"/>
                <w:szCs w:val="18"/>
              </w:rPr>
              <w:t xml:space="preserve">Liabilities linked to centralized regulated savings that have been approved by the relevant competent authority to be treated as interdependent with assets in accordance with Art. 428f(2)(a) of CRR. </w:t>
            </w:r>
          </w:p>
          <w:p w14:paraId="48C2F4CF" w14:textId="77777777" w:rsidR="00676422" w:rsidRPr="00A103D6" w:rsidRDefault="00676422" w:rsidP="00A467EE">
            <w:pPr>
              <w:pStyle w:val="TableParagraph"/>
              <w:ind w:left="102"/>
              <w:rPr>
                <w:rFonts w:ascii="Times New Roman"/>
                <w:sz w:val="18"/>
                <w:szCs w:val="18"/>
              </w:rPr>
            </w:pPr>
          </w:p>
          <w:p w14:paraId="7A368D86"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Promotional loans and relevant credit and liquidity facilities</w:t>
            </w:r>
          </w:p>
          <w:p w14:paraId="19E05634" w14:textId="77777777" w:rsidR="00676422" w:rsidRPr="00A103D6" w:rsidRDefault="00676422" w:rsidP="00A467EE">
            <w:pPr>
              <w:pStyle w:val="TableParagraph"/>
              <w:ind w:left="102"/>
              <w:rPr>
                <w:rFonts w:ascii="Times New Roman"/>
                <w:sz w:val="18"/>
                <w:szCs w:val="18"/>
              </w:rPr>
            </w:pPr>
          </w:p>
          <w:p w14:paraId="4E57BA91" w14:textId="05E1BFA3"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428f(2)(b) of CRR.</w:t>
            </w:r>
          </w:p>
          <w:p w14:paraId="169D36ED" w14:textId="77777777" w:rsidR="00676422" w:rsidRDefault="00676422" w:rsidP="00A467EE">
            <w:pPr>
              <w:pStyle w:val="TableParagraph"/>
              <w:ind w:left="102"/>
              <w:rPr>
                <w:rFonts w:ascii="Times New Roman"/>
                <w:sz w:val="18"/>
                <w:szCs w:val="18"/>
              </w:rPr>
            </w:pPr>
          </w:p>
          <w:p w14:paraId="58DCBCBE" w14:textId="45FA6D41" w:rsidR="002A628C" w:rsidRPr="0048141F" w:rsidRDefault="002A628C" w:rsidP="002A628C">
            <w:pPr>
              <w:pStyle w:val="TableParagraph"/>
              <w:ind w:left="102"/>
              <w:rPr>
                <w:rFonts w:ascii="Times New Roman"/>
                <w:sz w:val="18"/>
                <w:szCs w:val="18"/>
              </w:rPr>
            </w:pPr>
            <w:r>
              <w:rPr>
                <w:rFonts w:ascii="Times New Roman"/>
                <w:sz w:val="18"/>
                <w:szCs w:val="18"/>
              </w:rPr>
              <w:t xml:space="preserve">Liabilities linked to </w:t>
            </w:r>
            <w:r w:rsidRPr="004921AE">
              <w:rPr>
                <w:rFonts w:ascii="Times New Roman"/>
                <w:sz w:val="18"/>
                <w:szCs w:val="18"/>
              </w:rPr>
              <w:t>promotional loans and credit and liquidity facilities</w:t>
            </w:r>
            <w:r>
              <w:rPr>
                <w:rFonts w:ascii="Times New Roman"/>
                <w:sz w:val="18"/>
                <w:szCs w:val="18"/>
              </w:rPr>
              <w:t xml:space="preserve"> that have been approved by the relevant competent authority to be treated as interdependent with assets in accordance with Art. 428f (2) (b) of CRR. </w:t>
            </w:r>
          </w:p>
          <w:p w14:paraId="435FD492" w14:textId="77777777" w:rsidR="00676422" w:rsidRPr="00A103D6" w:rsidRDefault="00676422" w:rsidP="00A467EE">
            <w:pPr>
              <w:pStyle w:val="TableParagraph"/>
              <w:ind w:left="102"/>
              <w:rPr>
                <w:rFonts w:ascii="Times New Roman"/>
                <w:sz w:val="18"/>
                <w:szCs w:val="18"/>
              </w:rPr>
            </w:pPr>
          </w:p>
          <w:p w14:paraId="4E6AB895"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Eligible covered bonds</w:t>
            </w:r>
          </w:p>
          <w:p w14:paraId="6F381A45" w14:textId="77777777" w:rsidR="00676422" w:rsidRPr="00A103D6" w:rsidRDefault="00676422" w:rsidP="00A467EE">
            <w:pPr>
              <w:pStyle w:val="TableParagraph"/>
              <w:ind w:left="102"/>
              <w:rPr>
                <w:rFonts w:ascii="Times New Roman"/>
                <w:sz w:val="18"/>
                <w:szCs w:val="18"/>
              </w:rPr>
            </w:pPr>
          </w:p>
          <w:p w14:paraId="5654C9B8" w14:textId="69182F84"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428f(2)(c) of CRR.</w:t>
            </w:r>
          </w:p>
          <w:p w14:paraId="0DCB6D0A" w14:textId="77777777" w:rsidR="00676422" w:rsidRDefault="00676422" w:rsidP="00A467EE">
            <w:pPr>
              <w:pStyle w:val="TableParagraph"/>
              <w:ind w:left="102"/>
              <w:rPr>
                <w:rFonts w:ascii="Times New Roman"/>
                <w:sz w:val="18"/>
                <w:szCs w:val="18"/>
              </w:rPr>
            </w:pPr>
          </w:p>
          <w:p w14:paraId="1BA933C3" w14:textId="7522799F" w:rsidR="002A628C" w:rsidRDefault="002A628C" w:rsidP="002A628C">
            <w:pPr>
              <w:pStyle w:val="TableParagraph"/>
              <w:ind w:left="102"/>
              <w:rPr>
                <w:rFonts w:ascii="Times New Roman"/>
                <w:sz w:val="18"/>
                <w:szCs w:val="18"/>
              </w:rPr>
            </w:pPr>
            <w:r>
              <w:rPr>
                <w:rFonts w:ascii="Times New Roman"/>
                <w:sz w:val="18"/>
                <w:szCs w:val="18"/>
              </w:rPr>
              <w:t xml:space="preserve">Liabilities linked to covered bonds that have been approved by the relevant competent authority to be treated as interdependent with assets in accordance with Art. 428f(2)(c) of CRR. </w:t>
            </w:r>
          </w:p>
          <w:p w14:paraId="65025D0E" w14:textId="77777777" w:rsidR="00676422" w:rsidRDefault="00676422" w:rsidP="00A467EE">
            <w:pPr>
              <w:pStyle w:val="TableParagraph"/>
              <w:ind w:left="102"/>
              <w:rPr>
                <w:rFonts w:ascii="Times New Roman"/>
                <w:sz w:val="18"/>
                <w:szCs w:val="18"/>
              </w:rPr>
            </w:pPr>
          </w:p>
          <w:p w14:paraId="26B8BF73"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Derivatives client clearing activities</w:t>
            </w:r>
          </w:p>
          <w:p w14:paraId="18955EB2" w14:textId="77777777" w:rsidR="00676422" w:rsidRPr="00A103D6" w:rsidRDefault="00676422" w:rsidP="00A467EE">
            <w:pPr>
              <w:pStyle w:val="TableParagraph"/>
              <w:ind w:left="102"/>
              <w:rPr>
                <w:rFonts w:ascii="Times New Roman"/>
                <w:sz w:val="18"/>
                <w:szCs w:val="18"/>
              </w:rPr>
            </w:pPr>
          </w:p>
          <w:p w14:paraId="355E83D1" w14:textId="7E54DC13"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428f(2)(d) of CRR.</w:t>
            </w:r>
          </w:p>
          <w:p w14:paraId="05F3C8C3" w14:textId="77777777" w:rsidR="00676422" w:rsidRDefault="00676422" w:rsidP="00A467EE">
            <w:pPr>
              <w:pStyle w:val="TableParagraph"/>
              <w:ind w:left="102"/>
              <w:rPr>
                <w:rFonts w:ascii="Times New Roman"/>
                <w:sz w:val="18"/>
                <w:szCs w:val="18"/>
              </w:rPr>
            </w:pPr>
          </w:p>
          <w:p w14:paraId="62CA515D" w14:textId="7F5EF6DF" w:rsidR="002A628C" w:rsidRPr="0048141F" w:rsidRDefault="002A628C" w:rsidP="002A628C">
            <w:pPr>
              <w:pStyle w:val="TableParagraph"/>
              <w:ind w:left="102"/>
              <w:rPr>
                <w:rFonts w:ascii="Times New Roman"/>
                <w:sz w:val="18"/>
                <w:szCs w:val="18"/>
              </w:rPr>
            </w:pPr>
            <w:r>
              <w:rPr>
                <w:rFonts w:ascii="Times New Roman"/>
                <w:sz w:val="18"/>
                <w:szCs w:val="18"/>
              </w:rPr>
              <w:t xml:space="preserve">Liabilities linked to </w:t>
            </w:r>
            <w:r w:rsidRPr="004921AE">
              <w:rPr>
                <w:rFonts w:ascii="Times New Roman"/>
                <w:sz w:val="18"/>
                <w:szCs w:val="18"/>
              </w:rPr>
              <w:t>derivatives client clearing activities</w:t>
            </w:r>
            <w:r>
              <w:rPr>
                <w:rFonts w:ascii="Times New Roman"/>
                <w:sz w:val="18"/>
                <w:szCs w:val="18"/>
              </w:rPr>
              <w:t xml:space="preserve"> that have been approved by the relevant competent authority to be treated as interdependent with assets in accordance with Art. 428f(2)(d) of CRR. </w:t>
            </w:r>
          </w:p>
          <w:p w14:paraId="237E39BA" w14:textId="77777777" w:rsidR="00676422" w:rsidRDefault="00676422" w:rsidP="00A103D6">
            <w:pPr>
              <w:pStyle w:val="TableParagraph"/>
              <w:ind w:left="102"/>
              <w:rPr>
                <w:rFonts w:ascii="Times New Roman"/>
                <w:b/>
                <w:sz w:val="18"/>
                <w:szCs w:val="18"/>
                <w:u w:val="single"/>
              </w:rPr>
            </w:pPr>
          </w:p>
          <w:p w14:paraId="3C795A1B"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Others</w:t>
            </w:r>
          </w:p>
          <w:p w14:paraId="168286DE" w14:textId="77777777" w:rsidR="00676422" w:rsidRPr="00A103D6" w:rsidRDefault="00676422" w:rsidP="00A467EE">
            <w:pPr>
              <w:pStyle w:val="TableParagraph"/>
              <w:ind w:left="102"/>
              <w:rPr>
                <w:rFonts w:ascii="Times New Roman"/>
                <w:sz w:val="18"/>
                <w:szCs w:val="18"/>
              </w:rPr>
            </w:pPr>
          </w:p>
          <w:p w14:paraId="287CA9F3" w14:textId="36521FF3" w:rsidR="00676422" w:rsidRDefault="00676422" w:rsidP="00A467EE">
            <w:pPr>
              <w:pStyle w:val="TableParagraph"/>
              <w:ind w:left="102"/>
              <w:rPr>
                <w:rFonts w:ascii="Times New Roman"/>
                <w:b/>
                <w:sz w:val="18"/>
                <w:szCs w:val="18"/>
                <w:u w:val="single"/>
              </w:rPr>
            </w:pPr>
            <w:r>
              <w:rPr>
                <w:rFonts w:ascii="Times New Roman"/>
                <w:sz w:val="18"/>
                <w:szCs w:val="18"/>
              </w:rPr>
              <w:t>Art</w:t>
            </w:r>
            <w:r w:rsidR="00173D2D">
              <w:rPr>
                <w:rFonts w:ascii="Times New Roman"/>
                <w:sz w:val="18"/>
                <w:szCs w:val="18"/>
              </w:rPr>
              <w:t>icle</w:t>
            </w:r>
            <w:r>
              <w:rPr>
                <w:rFonts w:ascii="Times New Roman"/>
                <w:sz w:val="18"/>
                <w:szCs w:val="18"/>
              </w:rPr>
              <w:t xml:space="preserve"> 428f(1) of CRR.</w:t>
            </w:r>
          </w:p>
          <w:p w14:paraId="519084B3" w14:textId="77777777" w:rsidR="00676422" w:rsidRPr="00A103D6" w:rsidRDefault="00676422" w:rsidP="00A467EE">
            <w:pPr>
              <w:pStyle w:val="TableParagraph"/>
              <w:ind w:left="102"/>
              <w:rPr>
                <w:rFonts w:ascii="Times New Roman"/>
                <w:sz w:val="18"/>
                <w:szCs w:val="18"/>
              </w:rPr>
            </w:pPr>
          </w:p>
          <w:p w14:paraId="16F97492" w14:textId="7D5C06C6" w:rsidR="00676422" w:rsidRDefault="00676422" w:rsidP="00A103D6">
            <w:pPr>
              <w:pStyle w:val="TableParagraph"/>
              <w:ind w:left="102"/>
              <w:rPr>
                <w:rFonts w:ascii="Times New Roman"/>
                <w:b/>
                <w:sz w:val="18"/>
                <w:szCs w:val="18"/>
                <w:u w:val="single"/>
              </w:rPr>
            </w:pPr>
            <w:r>
              <w:rPr>
                <w:rFonts w:ascii="Times New Roman"/>
                <w:sz w:val="18"/>
                <w:szCs w:val="18"/>
              </w:rPr>
              <w:t>Liabilities that fulfil all the conditions established in Article 428f(1) of CRR and that have been approved by the relevant competent authority to be treated as interdependent with assets in accordance with Art</w:t>
            </w:r>
            <w:r w:rsidR="00173D2D">
              <w:rPr>
                <w:rFonts w:ascii="Times New Roman"/>
                <w:sz w:val="18"/>
                <w:szCs w:val="18"/>
              </w:rPr>
              <w:t>icle</w:t>
            </w:r>
            <w:r>
              <w:rPr>
                <w:rFonts w:ascii="Times New Roman"/>
                <w:sz w:val="18"/>
                <w:szCs w:val="18"/>
              </w:rPr>
              <w:t xml:space="preserve"> 428f(1) of CRR.</w:t>
            </w:r>
          </w:p>
          <w:p w14:paraId="7AF9B6A3" w14:textId="77777777" w:rsidR="00676422" w:rsidRPr="00B47BE4" w:rsidRDefault="00676422" w:rsidP="00A467EE">
            <w:pPr>
              <w:pStyle w:val="TableParagraph"/>
              <w:ind w:left="102"/>
              <w:rPr>
                <w:rFonts w:ascii="Times New Roman"/>
                <w:b/>
                <w:sz w:val="18"/>
                <w:szCs w:val="18"/>
                <w:u w:val="single"/>
              </w:rPr>
            </w:pPr>
          </w:p>
        </w:tc>
      </w:tr>
      <w:tr w:rsidR="00676422" w:rsidRPr="00B47BE4" w14:paraId="2789A7E7" w14:textId="77777777" w:rsidTr="00A467EE">
        <w:trPr>
          <w:trHeight w:val="304"/>
        </w:trPr>
        <w:tc>
          <w:tcPr>
            <w:tcW w:w="1418" w:type="dxa"/>
            <w:tcBorders>
              <w:top w:val="single" w:sz="4" w:space="0" w:color="auto"/>
              <w:left w:val="single" w:sz="4" w:space="0" w:color="auto"/>
              <w:bottom w:val="single" w:sz="4" w:space="0" w:color="auto"/>
              <w:right w:val="single" w:sz="4" w:space="0" w:color="auto"/>
            </w:tcBorders>
          </w:tcPr>
          <w:p w14:paraId="3ABB8953" w14:textId="77777777" w:rsidR="00676422" w:rsidRPr="00B47BE4" w:rsidRDefault="00676422" w:rsidP="00A467EE">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0120</w:t>
            </w:r>
          </w:p>
        </w:tc>
        <w:tc>
          <w:tcPr>
            <w:tcW w:w="7590" w:type="dxa"/>
            <w:tcBorders>
              <w:top w:val="single" w:sz="4" w:space="0" w:color="auto"/>
              <w:left w:val="single" w:sz="4" w:space="0" w:color="auto"/>
              <w:bottom w:val="single" w:sz="4" w:space="0" w:color="auto"/>
              <w:right w:val="single" w:sz="4" w:space="0" w:color="auto"/>
            </w:tcBorders>
          </w:tcPr>
          <w:p w14:paraId="479000FB" w14:textId="77777777" w:rsidR="00676422" w:rsidRDefault="00676422" w:rsidP="00A467EE">
            <w:pPr>
              <w:pStyle w:val="TableParagraph"/>
              <w:ind w:left="102"/>
              <w:rPr>
                <w:rFonts w:ascii="Times New Roman"/>
                <w:b/>
                <w:sz w:val="18"/>
                <w:szCs w:val="18"/>
                <w:u w:val="single"/>
              </w:rPr>
            </w:pPr>
            <w:r>
              <w:rPr>
                <w:rFonts w:ascii="Times New Roman"/>
                <w:b/>
                <w:sz w:val="18"/>
                <w:szCs w:val="18"/>
                <w:u w:val="single"/>
              </w:rPr>
              <w:t xml:space="preserve">2.9 </w:t>
            </w:r>
            <w:r w:rsidRPr="00214712">
              <w:rPr>
                <w:rFonts w:ascii="Times New Roman"/>
                <w:b/>
                <w:sz w:val="18"/>
                <w:szCs w:val="18"/>
                <w:u w:val="single"/>
              </w:rPr>
              <w:t xml:space="preserve">ASF from other liabilities </w:t>
            </w:r>
          </w:p>
          <w:p w14:paraId="7A827020" w14:textId="77777777" w:rsidR="00676422" w:rsidRPr="00A103D6" w:rsidRDefault="00676422" w:rsidP="00A467EE">
            <w:pPr>
              <w:pStyle w:val="TableParagraph"/>
              <w:ind w:left="102"/>
              <w:rPr>
                <w:rFonts w:ascii="Times New Roman"/>
                <w:sz w:val="18"/>
                <w:szCs w:val="18"/>
              </w:rPr>
            </w:pPr>
          </w:p>
          <w:p w14:paraId="79147EBF"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Trade date payables</w:t>
            </w:r>
          </w:p>
          <w:p w14:paraId="224F60CC" w14:textId="77777777" w:rsidR="00676422" w:rsidRPr="00A103D6" w:rsidRDefault="00676422" w:rsidP="00A467EE">
            <w:pPr>
              <w:pStyle w:val="TableParagraph"/>
              <w:ind w:left="102"/>
              <w:rPr>
                <w:rFonts w:ascii="Times New Roman"/>
                <w:sz w:val="18"/>
                <w:szCs w:val="18"/>
              </w:rPr>
            </w:pPr>
          </w:p>
          <w:p w14:paraId="5A412BE1" w14:textId="488A7B85"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428al(3)(a) of CRR.</w:t>
            </w:r>
          </w:p>
          <w:p w14:paraId="113D324E" w14:textId="77777777" w:rsidR="00676422" w:rsidRDefault="00676422" w:rsidP="00A467EE">
            <w:pPr>
              <w:pStyle w:val="TableParagraph"/>
              <w:ind w:left="102"/>
              <w:rPr>
                <w:rFonts w:ascii="Times New Roman"/>
                <w:sz w:val="18"/>
                <w:szCs w:val="18"/>
              </w:rPr>
            </w:pPr>
          </w:p>
          <w:p w14:paraId="73BF8C76" w14:textId="77777777" w:rsidR="00676422" w:rsidRPr="0048141F" w:rsidRDefault="00676422" w:rsidP="00A467EE">
            <w:pPr>
              <w:pStyle w:val="TableParagraph"/>
              <w:ind w:left="102"/>
              <w:rPr>
                <w:rFonts w:ascii="Times New Roman"/>
                <w:sz w:val="18"/>
                <w:szCs w:val="18"/>
              </w:rPr>
            </w:pPr>
            <w:r>
              <w:rPr>
                <w:rFonts w:ascii="Times New Roman"/>
                <w:sz w:val="18"/>
                <w:szCs w:val="18"/>
              </w:rPr>
              <w:t>T</w:t>
            </w:r>
            <w:r w:rsidRPr="00F4486B">
              <w:rPr>
                <w:rFonts w:ascii="Times New Roman"/>
                <w:sz w:val="18"/>
                <w:szCs w:val="18"/>
              </w:rPr>
              <w:t>rade date payables arising from purchases of financial instruments, foreign currencies and commodities that are expected to settle within the standard settlement cycle or period that is customary for the relevant exchange or type of transactions or that have failed to, but are still expected to settle</w:t>
            </w:r>
            <w:r>
              <w:rPr>
                <w:rFonts w:ascii="Times New Roman"/>
                <w:sz w:val="18"/>
                <w:szCs w:val="18"/>
              </w:rPr>
              <w:t>.</w:t>
            </w:r>
          </w:p>
          <w:p w14:paraId="167C7891" w14:textId="77777777" w:rsidR="00676422" w:rsidRPr="00A103D6" w:rsidRDefault="00676422" w:rsidP="00A103D6">
            <w:pPr>
              <w:pStyle w:val="TableParagraph"/>
              <w:ind w:left="102"/>
              <w:rPr>
                <w:rFonts w:ascii="Times New Roman"/>
                <w:sz w:val="18"/>
                <w:szCs w:val="18"/>
              </w:rPr>
            </w:pPr>
          </w:p>
          <w:p w14:paraId="402A0328" w14:textId="1C957300"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 xml:space="preserve">Deferred tax </w:t>
            </w:r>
            <w:r w:rsidR="00173D2D" w:rsidRPr="00214712">
              <w:rPr>
                <w:rFonts w:ascii="Times New Roman"/>
                <w:b/>
                <w:sz w:val="18"/>
                <w:szCs w:val="18"/>
                <w:u w:val="single"/>
              </w:rPr>
              <w:t>liabilities</w:t>
            </w:r>
          </w:p>
          <w:p w14:paraId="26C7DD04" w14:textId="77777777" w:rsidR="00676422" w:rsidRPr="00A103D6" w:rsidRDefault="00676422" w:rsidP="00A467EE">
            <w:pPr>
              <w:pStyle w:val="TableParagraph"/>
              <w:ind w:left="102"/>
              <w:rPr>
                <w:rFonts w:ascii="Times New Roman"/>
                <w:sz w:val="18"/>
                <w:szCs w:val="18"/>
              </w:rPr>
            </w:pPr>
          </w:p>
          <w:p w14:paraId="5C76A0DE" w14:textId="7B35DC15"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428al(1)(a) of CRR.</w:t>
            </w:r>
          </w:p>
          <w:p w14:paraId="4E064A40" w14:textId="77777777" w:rsidR="00676422" w:rsidRDefault="00676422" w:rsidP="00A467EE">
            <w:pPr>
              <w:pStyle w:val="TableParagraph"/>
              <w:ind w:left="102"/>
              <w:rPr>
                <w:rFonts w:ascii="Times New Roman"/>
                <w:sz w:val="18"/>
                <w:szCs w:val="18"/>
              </w:rPr>
            </w:pPr>
          </w:p>
          <w:p w14:paraId="625B5EC7" w14:textId="16B57212" w:rsidR="00676422" w:rsidRPr="0048141F" w:rsidRDefault="00676422" w:rsidP="00A467EE">
            <w:pPr>
              <w:pStyle w:val="TableParagraph"/>
              <w:ind w:left="102"/>
              <w:rPr>
                <w:rFonts w:ascii="Times New Roman"/>
                <w:sz w:val="18"/>
                <w:szCs w:val="18"/>
              </w:rPr>
            </w:pPr>
            <w:r>
              <w:rPr>
                <w:rFonts w:ascii="Times New Roman"/>
                <w:sz w:val="18"/>
                <w:szCs w:val="18"/>
              </w:rPr>
              <w:t xml:space="preserve">Institution shall report here deferred tax liabilities and </w:t>
            </w:r>
            <w:r w:rsidR="003E3F6A">
              <w:rPr>
                <w:rFonts w:ascii="Times New Roman"/>
                <w:sz w:val="18"/>
                <w:szCs w:val="18"/>
              </w:rPr>
              <w:t xml:space="preserve">shall </w:t>
            </w:r>
            <w:r>
              <w:rPr>
                <w:rFonts w:ascii="Times New Roman"/>
                <w:sz w:val="18"/>
                <w:szCs w:val="18"/>
              </w:rPr>
              <w:t>consider the nearest possible date on which their amount can be realised as residual maturity.</w:t>
            </w:r>
          </w:p>
          <w:p w14:paraId="664FD6DA" w14:textId="77777777" w:rsidR="00676422" w:rsidRPr="00A103D6" w:rsidRDefault="00676422" w:rsidP="00A103D6">
            <w:pPr>
              <w:pStyle w:val="TableParagraph"/>
              <w:ind w:left="102"/>
              <w:rPr>
                <w:rFonts w:ascii="Times New Roman"/>
                <w:sz w:val="18"/>
                <w:szCs w:val="18"/>
              </w:rPr>
            </w:pPr>
          </w:p>
          <w:p w14:paraId="1FF24BE1" w14:textId="77777777"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Minority interests</w:t>
            </w:r>
          </w:p>
          <w:p w14:paraId="2D55B2AF" w14:textId="77777777" w:rsidR="00676422" w:rsidRPr="00A103D6" w:rsidRDefault="00676422" w:rsidP="00A467EE">
            <w:pPr>
              <w:pStyle w:val="TableParagraph"/>
              <w:ind w:left="102"/>
              <w:rPr>
                <w:rFonts w:ascii="Times New Roman"/>
                <w:sz w:val="18"/>
                <w:szCs w:val="18"/>
              </w:rPr>
            </w:pPr>
          </w:p>
          <w:p w14:paraId="4BB4A30A" w14:textId="673DB11B"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428al(1)(b) of CRR.</w:t>
            </w:r>
          </w:p>
          <w:p w14:paraId="6BDF8AB3" w14:textId="77777777" w:rsidR="00676422" w:rsidRDefault="00676422" w:rsidP="00A467EE">
            <w:pPr>
              <w:pStyle w:val="TableParagraph"/>
              <w:ind w:left="102"/>
              <w:rPr>
                <w:rFonts w:ascii="Times New Roman"/>
                <w:sz w:val="18"/>
                <w:szCs w:val="18"/>
              </w:rPr>
            </w:pPr>
          </w:p>
          <w:p w14:paraId="79D8ED95" w14:textId="49E5CFA4" w:rsidR="00676422" w:rsidRDefault="00676422" w:rsidP="00A467EE">
            <w:pPr>
              <w:pStyle w:val="TableParagraph"/>
              <w:ind w:left="102"/>
              <w:rPr>
                <w:rFonts w:ascii="Times New Roman"/>
                <w:sz w:val="18"/>
                <w:szCs w:val="18"/>
              </w:rPr>
            </w:pPr>
            <w:r>
              <w:rPr>
                <w:rFonts w:ascii="Times New Roman"/>
                <w:sz w:val="18"/>
                <w:szCs w:val="18"/>
              </w:rPr>
              <w:t xml:space="preserve">Institution shall report here minority interests and </w:t>
            </w:r>
            <w:r w:rsidR="003E3F6A">
              <w:rPr>
                <w:rFonts w:ascii="Times New Roman"/>
                <w:sz w:val="18"/>
                <w:szCs w:val="18"/>
              </w:rPr>
              <w:t xml:space="preserve">shall </w:t>
            </w:r>
            <w:r>
              <w:rPr>
                <w:rFonts w:ascii="Times New Roman"/>
                <w:sz w:val="18"/>
                <w:szCs w:val="18"/>
              </w:rPr>
              <w:t>consider the term of the instrument as residual maturity.</w:t>
            </w:r>
          </w:p>
          <w:p w14:paraId="121F7760" w14:textId="77777777" w:rsidR="00676422" w:rsidRDefault="00676422" w:rsidP="00A467EE">
            <w:pPr>
              <w:pStyle w:val="TableParagraph"/>
              <w:ind w:left="102"/>
              <w:rPr>
                <w:rFonts w:ascii="Times New Roman"/>
                <w:sz w:val="18"/>
                <w:szCs w:val="18"/>
              </w:rPr>
            </w:pPr>
          </w:p>
          <w:p w14:paraId="5C33564B" w14:textId="1F00A16C" w:rsidR="00676422" w:rsidRDefault="00676422" w:rsidP="00A467EE">
            <w:pPr>
              <w:pStyle w:val="TableParagraph"/>
              <w:ind w:left="102"/>
              <w:rPr>
                <w:rFonts w:ascii="Times New Roman"/>
                <w:b/>
                <w:sz w:val="18"/>
                <w:szCs w:val="18"/>
                <w:u w:val="single"/>
              </w:rPr>
            </w:pPr>
            <w:r w:rsidRPr="00214712">
              <w:rPr>
                <w:rFonts w:ascii="Times New Roman"/>
                <w:b/>
                <w:sz w:val="18"/>
                <w:szCs w:val="18"/>
                <w:u w:val="single"/>
              </w:rPr>
              <w:t>Other liabilities without a stated maturity</w:t>
            </w:r>
          </w:p>
          <w:p w14:paraId="388272D5" w14:textId="77777777" w:rsidR="00676422" w:rsidRPr="00A103D6" w:rsidRDefault="00676422" w:rsidP="00A467EE">
            <w:pPr>
              <w:pStyle w:val="TableParagraph"/>
              <w:ind w:left="102"/>
              <w:rPr>
                <w:rFonts w:ascii="Times New Roman"/>
                <w:sz w:val="18"/>
                <w:szCs w:val="18"/>
              </w:rPr>
            </w:pPr>
          </w:p>
          <w:p w14:paraId="7F7C2B51" w14:textId="11464593" w:rsidR="00676422" w:rsidRDefault="00676422" w:rsidP="00A467EE">
            <w:pPr>
              <w:pStyle w:val="TableParagraph"/>
              <w:ind w:left="102"/>
              <w:rPr>
                <w:rFonts w:ascii="Times New Roman"/>
                <w:sz w:val="18"/>
                <w:szCs w:val="18"/>
              </w:rPr>
            </w:pPr>
            <w:r>
              <w:rPr>
                <w:rFonts w:ascii="Times New Roman"/>
                <w:sz w:val="18"/>
                <w:szCs w:val="18"/>
              </w:rPr>
              <w:t>Art</w:t>
            </w:r>
            <w:r w:rsidR="00173D2D">
              <w:rPr>
                <w:rFonts w:ascii="Times New Roman"/>
                <w:sz w:val="18"/>
                <w:szCs w:val="18"/>
              </w:rPr>
              <w:t>icle</w:t>
            </w:r>
            <w:r>
              <w:rPr>
                <w:rFonts w:ascii="Times New Roman"/>
                <w:sz w:val="18"/>
                <w:szCs w:val="18"/>
              </w:rPr>
              <w:t xml:space="preserve"> 428al(1) of CRR.</w:t>
            </w:r>
          </w:p>
          <w:p w14:paraId="5996CFBD" w14:textId="77777777" w:rsidR="00676422" w:rsidRPr="00A103D6" w:rsidRDefault="00676422" w:rsidP="00A467EE">
            <w:pPr>
              <w:pStyle w:val="TableParagraph"/>
              <w:ind w:left="102"/>
              <w:rPr>
                <w:rFonts w:ascii="Times New Roman"/>
                <w:sz w:val="18"/>
                <w:szCs w:val="18"/>
              </w:rPr>
            </w:pPr>
          </w:p>
          <w:p w14:paraId="382B5CE4" w14:textId="1DCCE8A3" w:rsidR="00676422" w:rsidRDefault="00676422" w:rsidP="00A103D6">
            <w:pPr>
              <w:pStyle w:val="TableParagraph"/>
              <w:ind w:left="102"/>
              <w:rPr>
                <w:rFonts w:ascii="Times New Roman"/>
                <w:sz w:val="18"/>
                <w:szCs w:val="18"/>
              </w:rPr>
            </w:pPr>
            <w:r w:rsidRPr="001D55AB">
              <w:rPr>
                <w:rFonts w:ascii="Times New Roman"/>
                <w:sz w:val="18"/>
                <w:szCs w:val="18"/>
              </w:rPr>
              <w:t>Institutions shall report here other liabilities without a stated maturity</w:t>
            </w:r>
            <w:r w:rsidR="00173D2D">
              <w:rPr>
                <w:rFonts w:ascii="Times New Roman"/>
                <w:sz w:val="18"/>
                <w:szCs w:val="18"/>
              </w:rPr>
              <w:t xml:space="preserve">, including </w:t>
            </w:r>
            <w:r w:rsidRPr="001D55AB">
              <w:rPr>
                <w:rFonts w:ascii="Times New Roman"/>
                <w:sz w:val="18"/>
                <w:szCs w:val="18"/>
              </w:rPr>
              <w:t>short positions and open maturity positions</w:t>
            </w:r>
            <w:r>
              <w:rPr>
                <w:rFonts w:ascii="Times New Roman"/>
                <w:sz w:val="18"/>
                <w:szCs w:val="18"/>
              </w:rPr>
              <w:t xml:space="preserve"> unless otherwise specified in this Section</w:t>
            </w:r>
            <w:r w:rsidRPr="001D55AB">
              <w:rPr>
                <w:rFonts w:ascii="Times New Roman"/>
                <w:sz w:val="18"/>
                <w:szCs w:val="18"/>
              </w:rPr>
              <w:t>.</w:t>
            </w:r>
          </w:p>
          <w:p w14:paraId="72977802" w14:textId="77777777" w:rsidR="00676422" w:rsidRPr="00A103D6" w:rsidRDefault="00676422" w:rsidP="00A467EE">
            <w:pPr>
              <w:pStyle w:val="TableParagraph"/>
              <w:ind w:left="102"/>
              <w:rPr>
                <w:rFonts w:ascii="Times New Roman"/>
                <w:sz w:val="18"/>
                <w:szCs w:val="18"/>
              </w:rPr>
            </w:pPr>
          </w:p>
          <w:p w14:paraId="37E3D51F" w14:textId="7834F115" w:rsidR="00676422" w:rsidRPr="006A1DE1" w:rsidRDefault="00676422" w:rsidP="00A467EE">
            <w:pPr>
              <w:pStyle w:val="TableParagraph"/>
              <w:ind w:left="102"/>
              <w:rPr>
                <w:rFonts w:ascii="Times New Roman"/>
                <w:b/>
                <w:sz w:val="18"/>
                <w:szCs w:val="18"/>
                <w:u w:val="single"/>
              </w:rPr>
            </w:pPr>
            <w:r w:rsidRPr="006A1DE1">
              <w:rPr>
                <w:rFonts w:ascii="Times New Roman"/>
                <w:b/>
                <w:sz w:val="18"/>
                <w:szCs w:val="18"/>
                <w:u w:val="single"/>
              </w:rPr>
              <w:t>Net derivative liabilities</w:t>
            </w:r>
          </w:p>
          <w:p w14:paraId="441146A0" w14:textId="6C27ED52" w:rsidR="006A1DE1" w:rsidRDefault="006A1DE1" w:rsidP="00A467EE">
            <w:pPr>
              <w:pStyle w:val="TableParagraph"/>
              <w:ind w:left="102"/>
              <w:rPr>
                <w:rFonts w:ascii="Times New Roman"/>
                <w:sz w:val="18"/>
                <w:szCs w:val="18"/>
              </w:rPr>
            </w:pPr>
          </w:p>
          <w:p w14:paraId="3A73CB6C" w14:textId="06A03966" w:rsidR="00676422" w:rsidRPr="0035289A" w:rsidRDefault="00676422" w:rsidP="00A467EE">
            <w:pPr>
              <w:pStyle w:val="TableParagraph"/>
              <w:ind w:left="102"/>
              <w:rPr>
                <w:rFonts w:ascii="Times New Roman"/>
                <w:sz w:val="18"/>
                <w:szCs w:val="18"/>
              </w:rPr>
            </w:pPr>
            <w:r>
              <w:rPr>
                <w:rFonts w:ascii="Times New Roman"/>
                <w:sz w:val="18"/>
                <w:szCs w:val="18"/>
              </w:rPr>
              <w:t>Art</w:t>
            </w:r>
            <w:r w:rsidR="006A1DE1">
              <w:rPr>
                <w:rFonts w:ascii="Times New Roman"/>
                <w:sz w:val="18"/>
                <w:szCs w:val="18"/>
              </w:rPr>
              <w:t>icle</w:t>
            </w:r>
            <w:r w:rsidRPr="0035289A">
              <w:rPr>
                <w:rFonts w:ascii="Times New Roman"/>
                <w:sz w:val="18"/>
                <w:szCs w:val="18"/>
              </w:rPr>
              <w:t xml:space="preserve"> 428a</w:t>
            </w:r>
            <w:r>
              <w:rPr>
                <w:rFonts w:ascii="Times New Roman"/>
                <w:sz w:val="18"/>
                <w:szCs w:val="18"/>
              </w:rPr>
              <w:t>l</w:t>
            </w:r>
            <w:r w:rsidRPr="0035289A">
              <w:rPr>
                <w:rFonts w:ascii="Times New Roman"/>
                <w:sz w:val="18"/>
                <w:szCs w:val="18"/>
              </w:rPr>
              <w:t>(</w:t>
            </w:r>
            <w:r>
              <w:rPr>
                <w:rFonts w:ascii="Times New Roman"/>
                <w:sz w:val="18"/>
                <w:szCs w:val="18"/>
              </w:rPr>
              <w:t>4</w:t>
            </w:r>
            <w:r w:rsidRPr="0035289A">
              <w:rPr>
                <w:rFonts w:ascii="Times New Roman"/>
                <w:sz w:val="18"/>
                <w:szCs w:val="18"/>
              </w:rPr>
              <w:t>)</w:t>
            </w:r>
            <w:r w:rsidR="006A1DE1">
              <w:rPr>
                <w:rFonts w:ascii="Times New Roman"/>
                <w:sz w:val="18"/>
                <w:szCs w:val="18"/>
              </w:rPr>
              <w:t xml:space="preserve"> of CRR</w:t>
            </w:r>
            <w:r w:rsidR="002A628C">
              <w:rPr>
                <w:rFonts w:ascii="Times New Roman"/>
                <w:sz w:val="18"/>
                <w:szCs w:val="18"/>
              </w:rPr>
              <w:t>.</w:t>
            </w:r>
          </w:p>
          <w:p w14:paraId="074FBAD1" w14:textId="77777777" w:rsidR="00676422" w:rsidRPr="00A103D6" w:rsidRDefault="00676422" w:rsidP="00A467EE">
            <w:pPr>
              <w:pStyle w:val="TableParagraph"/>
              <w:ind w:left="102"/>
              <w:rPr>
                <w:rFonts w:ascii="Times New Roman"/>
                <w:sz w:val="18"/>
                <w:szCs w:val="18"/>
              </w:rPr>
            </w:pPr>
          </w:p>
          <w:p w14:paraId="18BE8978" w14:textId="6B2B6225" w:rsidR="00676422" w:rsidRPr="00A103D6" w:rsidRDefault="00676422" w:rsidP="00A467EE">
            <w:pPr>
              <w:pStyle w:val="TableParagraph"/>
              <w:ind w:left="102"/>
              <w:rPr>
                <w:rFonts w:ascii="Times New Roman"/>
                <w:sz w:val="18"/>
                <w:szCs w:val="18"/>
              </w:rPr>
            </w:pPr>
            <w:r w:rsidRPr="00A103D6">
              <w:rPr>
                <w:rFonts w:ascii="Times New Roman"/>
                <w:sz w:val="18"/>
                <w:szCs w:val="18"/>
              </w:rPr>
              <w:t xml:space="preserve">The negative difference between netting sets calculated in accordance with Article </w:t>
            </w:r>
            <w:r w:rsidR="009902DF" w:rsidRPr="00A103D6">
              <w:rPr>
                <w:rFonts w:ascii="Times New Roman"/>
                <w:sz w:val="18"/>
                <w:szCs w:val="18"/>
              </w:rPr>
              <w:t>428</w:t>
            </w:r>
            <w:r w:rsidR="009902DF">
              <w:rPr>
                <w:rFonts w:ascii="Times New Roman"/>
                <w:sz w:val="18"/>
                <w:szCs w:val="18"/>
              </w:rPr>
              <w:t>al</w:t>
            </w:r>
            <w:r w:rsidRPr="00A103D6">
              <w:rPr>
                <w:rFonts w:ascii="Times New Roman"/>
                <w:sz w:val="18"/>
                <w:szCs w:val="18"/>
              </w:rPr>
              <w:t xml:space="preserve">(3) of </w:t>
            </w:r>
            <w:r w:rsidR="009629DD" w:rsidRPr="00A103D6">
              <w:rPr>
                <w:rFonts w:ascii="Times New Roman"/>
                <w:sz w:val="18"/>
                <w:szCs w:val="18"/>
              </w:rPr>
              <w:t>CRR</w:t>
            </w:r>
            <w:r w:rsidRPr="00A103D6">
              <w:rPr>
                <w:rFonts w:ascii="Times New Roman"/>
                <w:sz w:val="18"/>
                <w:szCs w:val="18"/>
              </w:rPr>
              <w:t>.</w:t>
            </w:r>
            <w:r w:rsidR="0080050A" w:rsidRPr="00A103D6">
              <w:rPr>
                <w:rFonts w:ascii="Times New Roman"/>
                <w:sz w:val="18"/>
                <w:szCs w:val="18"/>
              </w:rPr>
              <w:t xml:space="preserve"> All derivative liabilities shall be reported as if having a residual maturity of less than one year.</w:t>
            </w:r>
          </w:p>
          <w:p w14:paraId="60AC7425" w14:textId="77777777" w:rsidR="00676422" w:rsidRPr="00A103D6" w:rsidRDefault="00676422" w:rsidP="00A467EE">
            <w:pPr>
              <w:pStyle w:val="TableParagraph"/>
              <w:ind w:left="102"/>
              <w:rPr>
                <w:rFonts w:ascii="Times New Roman"/>
                <w:sz w:val="18"/>
                <w:szCs w:val="18"/>
              </w:rPr>
            </w:pPr>
          </w:p>
          <w:p w14:paraId="52F08815" w14:textId="7FD5E9FA" w:rsidR="00676422" w:rsidRPr="006A1DE1" w:rsidRDefault="00676422" w:rsidP="00A467EE">
            <w:pPr>
              <w:pStyle w:val="TableParagraph"/>
              <w:ind w:left="102"/>
              <w:rPr>
                <w:rFonts w:ascii="Times New Roman"/>
                <w:b/>
                <w:sz w:val="18"/>
                <w:szCs w:val="18"/>
                <w:u w:val="single"/>
              </w:rPr>
            </w:pPr>
            <w:r w:rsidRPr="006A1DE1">
              <w:rPr>
                <w:rFonts w:ascii="Times New Roman"/>
                <w:b/>
                <w:sz w:val="18"/>
                <w:szCs w:val="18"/>
                <w:u w:val="single"/>
              </w:rPr>
              <w:t>Any other liabilities</w:t>
            </w:r>
          </w:p>
          <w:p w14:paraId="70A162E5" w14:textId="77777777" w:rsidR="00676422" w:rsidRDefault="00676422" w:rsidP="00A467EE">
            <w:pPr>
              <w:pStyle w:val="TableParagraph"/>
              <w:ind w:left="102"/>
              <w:rPr>
                <w:rFonts w:ascii="Times New Roman"/>
                <w:sz w:val="18"/>
                <w:szCs w:val="18"/>
              </w:rPr>
            </w:pPr>
          </w:p>
          <w:p w14:paraId="454E140A" w14:textId="5A24D03F" w:rsidR="0080050A" w:rsidRDefault="009629DD" w:rsidP="00A467EE">
            <w:pPr>
              <w:pStyle w:val="TableParagraph"/>
              <w:ind w:left="102"/>
              <w:rPr>
                <w:rFonts w:ascii="Times New Roman"/>
                <w:sz w:val="18"/>
                <w:szCs w:val="18"/>
                <w:lang w:val="en-GB"/>
              </w:rPr>
            </w:pPr>
            <w:r w:rsidRPr="0080050A">
              <w:rPr>
                <w:rFonts w:ascii="Times New Roman"/>
                <w:sz w:val="18"/>
                <w:szCs w:val="18"/>
                <w:lang w:val="en-GB"/>
              </w:rPr>
              <w:t>Art</w:t>
            </w:r>
            <w:r w:rsidR="0080050A" w:rsidRPr="0080050A">
              <w:rPr>
                <w:rFonts w:ascii="Times New Roman"/>
                <w:sz w:val="18"/>
                <w:szCs w:val="18"/>
                <w:lang w:val="en-GB"/>
              </w:rPr>
              <w:t>icle</w:t>
            </w:r>
            <w:r w:rsidRPr="0080050A">
              <w:rPr>
                <w:rFonts w:ascii="Times New Roman"/>
                <w:sz w:val="18"/>
                <w:szCs w:val="18"/>
                <w:lang w:val="en-GB"/>
              </w:rPr>
              <w:t xml:space="preserve"> </w:t>
            </w:r>
            <w:r w:rsidR="00676422" w:rsidRPr="0080050A">
              <w:rPr>
                <w:rFonts w:ascii="Times New Roman"/>
                <w:sz w:val="18"/>
                <w:szCs w:val="18"/>
                <w:lang w:val="en-GB"/>
              </w:rPr>
              <w:t xml:space="preserve">428al(3)(d) </w:t>
            </w:r>
            <w:r w:rsidR="0080050A" w:rsidRPr="0080050A">
              <w:rPr>
                <w:rFonts w:ascii="Times New Roman"/>
                <w:sz w:val="18"/>
                <w:szCs w:val="18"/>
                <w:lang w:val="en-GB"/>
              </w:rPr>
              <w:t>of CRR</w:t>
            </w:r>
            <w:r w:rsidR="0080050A">
              <w:rPr>
                <w:rFonts w:ascii="Times New Roman"/>
                <w:sz w:val="18"/>
                <w:szCs w:val="18"/>
                <w:lang w:val="en-GB"/>
              </w:rPr>
              <w:t>.</w:t>
            </w:r>
          </w:p>
          <w:p w14:paraId="09E5306B" w14:textId="77777777" w:rsidR="0080050A" w:rsidRDefault="0080050A" w:rsidP="00A467EE">
            <w:pPr>
              <w:pStyle w:val="TableParagraph"/>
              <w:ind w:left="102"/>
              <w:rPr>
                <w:rFonts w:ascii="Times New Roman"/>
                <w:sz w:val="18"/>
                <w:szCs w:val="18"/>
                <w:lang w:val="en-GB"/>
              </w:rPr>
            </w:pPr>
          </w:p>
          <w:p w14:paraId="31B326D7" w14:textId="53DD79E0" w:rsidR="00676422" w:rsidRDefault="0080050A" w:rsidP="0055437F">
            <w:pPr>
              <w:pStyle w:val="TableParagraph"/>
              <w:ind w:left="102"/>
              <w:rPr>
                <w:rFonts w:ascii="Times New Roman"/>
                <w:b/>
                <w:sz w:val="18"/>
                <w:szCs w:val="18"/>
                <w:u w:val="single"/>
              </w:rPr>
            </w:pPr>
            <w:r>
              <w:rPr>
                <w:rFonts w:ascii="Times New Roman"/>
                <w:sz w:val="18"/>
                <w:szCs w:val="18"/>
                <w:lang w:val="en-GB"/>
              </w:rPr>
              <w:t>A</w:t>
            </w:r>
            <w:r w:rsidR="00676422" w:rsidRPr="0035289A">
              <w:rPr>
                <w:rFonts w:ascii="Times New Roman"/>
                <w:sz w:val="18"/>
                <w:szCs w:val="18"/>
                <w:lang w:val="en-GB"/>
              </w:rPr>
              <w:t xml:space="preserve">ny other liabilities not referred to in </w:t>
            </w:r>
            <w:r w:rsidR="009629DD" w:rsidRPr="00871CF5">
              <w:rPr>
                <w:rFonts w:ascii="Times New Roman"/>
                <w:sz w:val="18"/>
                <w:szCs w:val="18"/>
                <w:lang w:val="en-GB"/>
              </w:rPr>
              <w:t>Art</w:t>
            </w:r>
            <w:r>
              <w:rPr>
                <w:rFonts w:ascii="Times New Roman"/>
                <w:sz w:val="18"/>
                <w:szCs w:val="18"/>
                <w:lang w:val="en-GB"/>
              </w:rPr>
              <w:t>icles</w:t>
            </w:r>
            <w:r w:rsidRPr="00871CF5">
              <w:rPr>
                <w:rFonts w:ascii="Times New Roman"/>
                <w:sz w:val="18"/>
                <w:szCs w:val="18"/>
                <w:lang w:val="en-GB"/>
              </w:rPr>
              <w:t xml:space="preserve"> </w:t>
            </w:r>
            <w:r w:rsidR="00676422" w:rsidRPr="00871CF5">
              <w:rPr>
                <w:rFonts w:ascii="Times New Roman"/>
                <w:sz w:val="18"/>
                <w:szCs w:val="18"/>
                <w:lang w:val="en-GB"/>
              </w:rPr>
              <w:t>428a</w:t>
            </w:r>
            <w:r w:rsidR="00676422">
              <w:rPr>
                <w:rFonts w:ascii="Times New Roman"/>
                <w:sz w:val="18"/>
                <w:szCs w:val="18"/>
                <w:lang w:val="en-GB"/>
              </w:rPr>
              <w:t>l</w:t>
            </w:r>
            <w:r w:rsidR="00676422" w:rsidRPr="00871CF5">
              <w:rPr>
                <w:rFonts w:ascii="Times New Roman"/>
                <w:sz w:val="18"/>
                <w:szCs w:val="18"/>
                <w:lang w:val="en-GB"/>
              </w:rPr>
              <w:t xml:space="preserve"> to 428a</w:t>
            </w:r>
            <w:r w:rsidR="00676422">
              <w:rPr>
                <w:rFonts w:ascii="Times New Roman"/>
                <w:sz w:val="18"/>
                <w:szCs w:val="18"/>
                <w:lang w:val="en-GB"/>
              </w:rPr>
              <w:t>p</w:t>
            </w:r>
            <w:r w:rsidR="009629DD">
              <w:rPr>
                <w:rFonts w:ascii="Times New Roman"/>
                <w:sz w:val="18"/>
                <w:szCs w:val="18"/>
                <w:lang w:val="en-GB"/>
              </w:rPr>
              <w:t xml:space="preserve"> of CRR</w:t>
            </w:r>
            <w:r w:rsidR="00676422" w:rsidRPr="00871CF5">
              <w:rPr>
                <w:rFonts w:ascii="Times New Roman"/>
                <w:sz w:val="18"/>
                <w:szCs w:val="18"/>
                <w:lang w:val="en-GB"/>
              </w:rPr>
              <w:t>.</w:t>
            </w:r>
            <w:r w:rsidR="00676422">
              <w:rPr>
                <w:rFonts w:ascii="Times New Roman"/>
                <w:sz w:val="18"/>
                <w:szCs w:val="18"/>
                <w:lang w:val="en-GB"/>
              </w:rPr>
              <w:t xml:space="preserve"> All capital items shall be reported in </w:t>
            </w:r>
            <w:r w:rsidR="003E3F6A">
              <w:rPr>
                <w:rFonts w:ascii="Times New Roman"/>
                <w:sz w:val="18"/>
                <w:szCs w:val="18"/>
                <w:lang w:val="en-GB"/>
              </w:rPr>
              <w:t xml:space="preserve">item </w:t>
            </w:r>
            <w:r w:rsidR="00676422">
              <w:rPr>
                <w:rFonts w:ascii="Times New Roman"/>
                <w:sz w:val="18"/>
                <w:szCs w:val="18"/>
                <w:lang w:val="en-GB"/>
              </w:rPr>
              <w:t xml:space="preserve">2.1 regardless of </w:t>
            </w:r>
            <w:r w:rsidR="003E3F6A">
              <w:rPr>
                <w:rFonts w:ascii="Times New Roman"/>
                <w:sz w:val="18"/>
                <w:szCs w:val="18"/>
                <w:lang w:val="en-GB"/>
              </w:rPr>
              <w:t xml:space="preserve">their residual </w:t>
            </w:r>
            <w:r w:rsidR="00676422">
              <w:rPr>
                <w:rFonts w:ascii="Times New Roman"/>
                <w:sz w:val="18"/>
                <w:szCs w:val="18"/>
                <w:lang w:val="en-GB"/>
              </w:rPr>
              <w:t>maturity.</w:t>
            </w:r>
          </w:p>
          <w:p w14:paraId="49B107EB" w14:textId="77777777" w:rsidR="00676422" w:rsidRPr="00B47BE4" w:rsidRDefault="00676422" w:rsidP="00A103D6">
            <w:pPr>
              <w:pStyle w:val="TableParagraph"/>
              <w:ind w:left="102"/>
              <w:rPr>
                <w:rFonts w:ascii="Times New Roman"/>
                <w:b/>
                <w:sz w:val="18"/>
                <w:szCs w:val="18"/>
                <w:u w:val="single"/>
              </w:rPr>
            </w:pPr>
          </w:p>
        </w:tc>
      </w:tr>
    </w:tbl>
    <w:p w14:paraId="295902D0" w14:textId="65223013" w:rsidR="00C002D1" w:rsidRDefault="00C002D1">
      <w:pPr>
        <w:rPr>
          <w:rFonts w:ascii="Times New Roman" w:hAnsi="Times New Roman"/>
          <w:b/>
          <w:sz w:val="24"/>
          <w:szCs w:val="24"/>
        </w:rPr>
      </w:pPr>
      <w:r>
        <w:rPr>
          <w:rFonts w:ascii="Times New Roman" w:hAnsi="Times New Roman"/>
          <w:b/>
          <w:sz w:val="24"/>
          <w:szCs w:val="24"/>
        </w:rPr>
        <w:br w:type="page"/>
      </w:r>
    </w:p>
    <w:p w14:paraId="38D07356" w14:textId="55E7CE0F" w:rsidR="00C002D1" w:rsidRPr="00A66401" w:rsidRDefault="00C002D1" w:rsidP="0055437F">
      <w:pPr>
        <w:pStyle w:val="BodyText1"/>
        <w:spacing w:before="120" w:after="120"/>
        <w:outlineLvl w:val="0"/>
        <w:rPr>
          <w:rFonts w:ascii="Times New Roman" w:hAnsi="Times New Roman"/>
          <w:b/>
          <w:sz w:val="24"/>
          <w:szCs w:val="24"/>
          <w:lang w:val="en-US"/>
        </w:rPr>
      </w:pPr>
      <w:bookmarkStart w:id="33" w:name="_Toc7641934"/>
      <w:r>
        <w:rPr>
          <w:rFonts w:ascii="Times New Roman" w:hAnsi="Times New Roman"/>
          <w:b/>
          <w:sz w:val="24"/>
          <w:szCs w:val="24"/>
          <w:lang w:val="en-US"/>
        </w:rPr>
        <w:t>PART V</w:t>
      </w:r>
      <w:r w:rsidR="00F12D29">
        <w:rPr>
          <w:rFonts w:ascii="Times New Roman" w:hAnsi="Times New Roman"/>
          <w:b/>
          <w:sz w:val="24"/>
          <w:szCs w:val="24"/>
          <w:lang w:val="en-US"/>
        </w:rPr>
        <w:t>I</w:t>
      </w:r>
      <w:r w:rsidRPr="00A66401">
        <w:rPr>
          <w:rFonts w:ascii="Times New Roman" w:hAnsi="Times New Roman"/>
          <w:b/>
          <w:sz w:val="24"/>
          <w:szCs w:val="24"/>
          <w:lang w:val="en-US"/>
        </w:rPr>
        <w:t xml:space="preserve">: </w:t>
      </w:r>
      <w:r>
        <w:rPr>
          <w:rFonts w:ascii="Times New Roman" w:hAnsi="Times New Roman"/>
          <w:b/>
          <w:sz w:val="24"/>
          <w:szCs w:val="24"/>
          <w:lang w:val="en-US"/>
        </w:rPr>
        <w:t>SUMMARY NSFR</w:t>
      </w:r>
      <w:bookmarkEnd w:id="33"/>
    </w:p>
    <w:p w14:paraId="2FE582E2" w14:textId="77777777" w:rsidR="00C002D1" w:rsidRPr="00A66401" w:rsidRDefault="00C002D1" w:rsidP="00D967E5">
      <w:pPr>
        <w:pStyle w:val="BodyText1"/>
        <w:spacing w:before="120" w:after="120"/>
        <w:rPr>
          <w:rFonts w:ascii="Times New Roman" w:hAnsi="Times New Roman"/>
          <w:b/>
          <w:sz w:val="24"/>
          <w:szCs w:val="24"/>
          <w:lang w:val="en-US"/>
        </w:rPr>
      </w:pPr>
    </w:p>
    <w:p w14:paraId="05477E5D" w14:textId="77777777" w:rsidR="00C002D1" w:rsidRDefault="00C002D1" w:rsidP="0055437F">
      <w:pPr>
        <w:pStyle w:val="BodyText1"/>
        <w:numPr>
          <w:ilvl w:val="0"/>
          <w:numId w:val="34"/>
        </w:numPr>
        <w:spacing w:before="120" w:after="120"/>
        <w:outlineLvl w:val="0"/>
        <w:rPr>
          <w:rFonts w:ascii="Times New Roman" w:hAnsi="Times New Roman"/>
          <w:b/>
          <w:sz w:val="24"/>
          <w:szCs w:val="24"/>
        </w:rPr>
      </w:pPr>
      <w:bookmarkStart w:id="34" w:name="_Toc7641935"/>
      <w:r>
        <w:rPr>
          <w:rFonts w:ascii="Times New Roman" w:hAnsi="Times New Roman"/>
          <w:b/>
          <w:sz w:val="24"/>
          <w:szCs w:val="24"/>
        </w:rPr>
        <w:t>Specific remarks</w:t>
      </w:r>
      <w:bookmarkEnd w:id="34"/>
    </w:p>
    <w:p w14:paraId="22C77028" w14:textId="77777777" w:rsidR="00C002D1" w:rsidRDefault="00C002D1" w:rsidP="00D967E5">
      <w:pPr>
        <w:pStyle w:val="BodyText1"/>
        <w:spacing w:before="120" w:after="120"/>
        <w:ind w:left="720"/>
      </w:pPr>
    </w:p>
    <w:p w14:paraId="2FA83CC2" w14:textId="4E9146C0" w:rsidR="00752373" w:rsidRDefault="00752373" w:rsidP="0080050A">
      <w:pPr>
        <w:pStyle w:val="ListParagraph"/>
        <w:widowControl w:val="0"/>
        <w:numPr>
          <w:ilvl w:val="0"/>
          <w:numId w:val="24"/>
        </w:numPr>
        <w:tabs>
          <w:tab w:val="left" w:pos="1397"/>
        </w:tabs>
        <w:spacing w:line="276" w:lineRule="auto"/>
        <w:ind w:left="714" w:right="113" w:hanging="357"/>
        <w:contextualSpacing w:val="0"/>
        <w:rPr>
          <w:rFonts w:ascii="Times New Roman" w:eastAsia="Verdana" w:hAnsi="Times New Roman"/>
          <w:szCs w:val="18"/>
          <w:lang w:val="en-US"/>
        </w:rPr>
      </w:pPr>
      <w:r>
        <w:rPr>
          <w:rFonts w:ascii="Times New Roman" w:eastAsia="Verdana" w:hAnsi="Times New Roman"/>
          <w:szCs w:val="18"/>
          <w:lang w:val="en-US"/>
        </w:rPr>
        <w:t xml:space="preserve">The purpose of this template is to provide information on the net stable funding ratio, both for institutions reporting the fully-fledged </w:t>
      </w:r>
      <w:r w:rsidR="0080050A">
        <w:rPr>
          <w:rFonts w:ascii="Times New Roman" w:eastAsia="Verdana" w:hAnsi="Times New Roman"/>
          <w:szCs w:val="18"/>
          <w:lang w:val="en-US"/>
        </w:rPr>
        <w:t xml:space="preserve">NSFR </w:t>
      </w:r>
      <w:r>
        <w:rPr>
          <w:rFonts w:ascii="Times New Roman" w:eastAsia="Verdana" w:hAnsi="Times New Roman"/>
          <w:szCs w:val="18"/>
          <w:lang w:val="en-US"/>
        </w:rPr>
        <w:t>(</w:t>
      </w:r>
      <w:r w:rsidR="00C41B47">
        <w:rPr>
          <w:rFonts w:ascii="Times New Roman" w:eastAsia="Verdana" w:hAnsi="Times New Roman"/>
          <w:szCs w:val="18"/>
          <w:lang w:val="en-US"/>
        </w:rPr>
        <w:t xml:space="preserve">reporting templates </w:t>
      </w:r>
      <w:r>
        <w:rPr>
          <w:rFonts w:ascii="Times New Roman" w:eastAsia="Verdana" w:hAnsi="Times New Roman"/>
          <w:szCs w:val="18"/>
          <w:lang w:val="en-US"/>
        </w:rPr>
        <w:t>C</w:t>
      </w:r>
      <w:r w:rsidR="00C41B47">
        <w:rPr>
          <w:rFonts w:ascii="Times New Roman" w:eastAsia="Verdana" w:hAnsi="Times New Roman"/>
          <w:szCs w:val="18"/>
          <w:lang w:val="en-US"/>
        </w:rPr>
        <w:t> </w:t>
      </w:r>
      <w:r>
        <w:rPr>
          <w:rFonts w:ascii="Times New Roman" w:eastAsia="Verdana" w:hAnsi="Times New Roman"/>
          <w:szCs w:val="18"/>
          <w:lang w:val="en-US"/>
        </w:rPr>
        <w:t>80.00 and C</w:t>
      </w:r>
      <w:r w:rsidR="00C41B47">
        <w:rPr>
          <w:rFonts w:ascii="Times New Roman" w:eastAsia="Verdana" w:hAnsi="Times New Roman"/>
          <w:szCs w:val="18"/>
          <w:lang w:val="en-US"/>
        </w:rPr>
        <w:t> </w:t>
      </w:r>
      <w:r>
        <w:rPr>
          <w:rFonts w:ascii="Times New Roman" w:eastAsia="Verdana" w:hAnsi="Times New Roman"/>
          <w:szCs w:val="18"/>
          <w:lang w:val="en-US"/>
        </w:rPr>
        <w:t xml:space="preserve">81.00) and for institutions reporting the simplified </w:t>
      </w:r>
      <w:r w:rsidR="0080050A">
        <w:rPr>
          <w:rFonts w:ascii="Times New Roman" w:eastAsia="Verdana" w:hAnsi="Times New Roman"/>
          <w:szCs w:val="18"/>
          <w:lang w:val="en-US"/>
        </w:rPr>
        <w:t xml:space="preserve">NSFR </w:t>
      </w:r>
      <w:r>
        <w:rPr>
          <w:rFonts w:ascii="Times New Roman" w:eastAsia="Verdana" w:hAnsi="Times New Roman"/>
          <w:szCs w:val="18"/>
          <w:lang w:val="en-US"/>
        </w:rPr>
        <w:t>(</w:t>
      </w:r>
      <w:r w:rsidR="00C41B47">
        <w:rPr>
          <w:rFonts w:ascii="Times New Roman" w:eastAsia="Verdana" w:hAnsi="Times New Roman"/>
          <w:szCs w:val="18"/>
          <w:lang w:val="en-US"/>
        </w:rPr>
        <w:t xml:space="preserve">reporting templates </w:t>
      </w:r>
      <w:r>
        <w:rPr>
          <w:rFonts w:ascii="Times New Roman" w:eastAsia="Verdana" w:hAnsi="Times New Roman"/>
          <w:szCs w:val="18"/>
          <w:lang w:val="en-US"/>
        </w:rPr>
        <w:t>C</w:t>
      </w:r>
      <w:r w:rsidR="00C41B47">
        <w:rPr>
          <w:rFonts w:ascii="Times New Roman" w:eastAsia="Verdana" w:hAnsi="Times New Roman"/>
          <w:szCs w:val="18"/>
          <w:lang w:val="en-US"/>
        </w:rPr>
        <w:t> </w:t>
      </w:r>
      <w:r>
        <w:rPr>
          <w:rFonts w:ascii="Times New Roman" w:eastAsia="Verdana" w:hAnsi="Times New Roman"/>
          <w:szCs w:val="18"/>
          <w:lang w:val="en-US"/>
        </w:rPr>
        <w:t>82.00 and C</w:t>
      </w:r>
      <w:r w:rsidR="00C41B47">
        <w:rPr>
          <w:rFonts w:ascii="Times New Roman" w:eastAsia="Verdana" w:hAnsi="Times New Roman"/>
          <w:szCs w:val="18"/>
          <w:lang w:val="en-US"/>
        </w:rPr>
        <w:t> </w:t>
      </w:r>
      <w:r>
        <w:rPr>
          <w:rFonts w:ascii="Times New Roman" w:eastAsia="Verdana" w:hAnsi="Times New Roman"/>
          <w:szCs w:val="18"/>
          <w:lang w:val="en-US"/>
        </w:rPr>
        <w:t>83.00).</w:t>
      </w:r>
    </w:p>
    <w:p w14:paraId="12DAED5F" w14:textId="224ACCBA" w:rsidR="00C002D1" w:rsidRDefault="0080050A" w:rsidP="0080050A">
      <w:pPr>
        <w:pStyle w:val="ListParagraph"/>
        <w:widowControl w:val="0"/>
        <w:numPr>
          <w:ilvl w:val="0"/>
          <w:numId w:val="24"/>
        </w:numPr>
        <w:tabs>
          <w:tab w:val="left" w:pos="1397"/>
        </w:tabs>
        <w:spacing w:line="276" w:lineRule="auto"/>
        <w:ind w:left="714" w:right="113" w:hanging="357"/>
        <w:contextualSpacing w:val="0"/>
        <w:rPr>
          <w:rFonts w:ascii="Times New Roman" w:eastAsia="Verdana" w:hAnsi="Times New Roman"/>
          <w:szCs w:val="18"/>
          <w:lang w:val="en-US"/>
        </w:rPr>
      </w:pPr>
      <w:r>
        <w:rPr>
          <w:rFonts w:ascii="Times New Roman" w:eastAsia="Verdana" w:hAnsi="Times New Roman"/>
          <w:szCs w:val="18"/>
          <w:lang w:val="en-US"/>
        </w:rPr>
        <w:t>In accordance with Article 428b(1) of CRR, t</w:t>
      </w:r>
      <w:r w:rsidR="00C002D1" w:rsidRPr="00C002D1">
        <w:rPr>
          <w:rFonts w:ascii="Times New Roman" w:eastAsia="Verdana" w:hAnsi="Times New Roman"/>
          <w:szCs w:val="18"/>
          <w:lang w:val="en-US"/>
        </w:rPr>
        <w:t>he net stable funding requirement laid down in Article</w:t>
      </w:r>
      <w:r w:rsidR="00C41B47">
        <w:rPr>
          <w:rFonts w:ascii="Times New Roman" w:eastAsia="Verdana" w:hAnsi="Times New Roman"/>
          <w:szCs w:val="18"/>
          <w:lang w:val="en-US"/>
        </w:rPr>
        <w:t> </w:t>
      </w:r>
      <w:r w:rsidR="00C002D1" w:rsidRPr="00C002D1">
        <w:rPr>
          <w:rFonts w:ascii="Times New Roman" w:eastAsia="Verdana" w:hAnsi="Times New Roman"/>
          <w:szCs w:val="18"/>
          <w:lang w:val="en-US"/>
        </w:rPr>
        <w:t>413(1)</w:t>
      </w:r>
      <w:r w:rsidR="00A272B0">
        <w:rPr>
          <w:rFonts w:ascii="Times New Roman" w:eastAsia="Verdana" w:hAnsi="Times New Roman"/>
          <w:szCs w:val="18"/>
          <w:lang w:val="en-US"/>
        </w:rPr>
        <w:t xml:space="preserve"> of CRR</w:t>
      </w:r>
      <w:r w:rsidR="00C002D1" w:rsidRPr="00C002D1">
        <w:rPr>
          <w:rFonts w:ascii="Times New Roman" w:eastAsia="Verdana" w:hAnsi="Times New Roman"/>
          <w:szCs w:val="18"/>
          <w:lang w:val="en-US"/>
        </w:rPr>
        <w:t xml:space="preserve"> shall be equal to the ratio of the institution's available stable funding as referred to in Chapter 3 </w:t>
      </w:r>
      <w:r w:rsidR="00752373">
        <w:rPr>
          <w:rFonts w:ascii="Times New Roman" w:eastAsia="Verdana" w:hAnsi="Times New Roman"/>
          <w:szCs w:val="18"/>
          <w:lang w:val="en-US"/>
        </w:rPr>
        <w:t xml:space="preserve">and 6 </w:t>
      </w:r>
      <w:r w:rsidR="00C002D1" w:rsidRPr="00C002D1">
        <w:rPr>
          <w:rFonts w:ascii="Times New Roman" w:eastAsia="Verdana" w:hAnsi="Times New Roman"/>
          <w:szCs w:val="18"/>
          <w:lang w:val="en-US"/>
        </w:rPr>
        <w:t>to the institution's required stable funding as referred to in C</w:t>
      </w:r>
      <w:r w:rsidR="00C002D1">
        <w:rPr>
          <w:rFonts w:ascii="Times New Roman" w:eastAsia="Verdana" w:hAnsi="Times New Roman"/>
          <w:szCs w:val="18"/>
          <w:lang w:val="en-US"/>
        </w:rPr>
        <w:t>hapter 4</w:t>
      </w:r>
      <w:r w:rsidR="00752373">
        <w:rPr>
          <w:rFonts w:ascii="Times New Roman" w:eastAsia="Verdana" w:hAnsi="Times New Roman"/>
          <w:szCs w:val="18"/>
          <w:lang w:val="en-US"/>
        </w:rPr>
        <w:t xml:space="preserve"> and 7</w:t>
      </w:r>
      <w:r w:rsidR="00C002D1" w:rsidRPr="00C002D1">
        <w:rPr>
          <w:rFonts w:ascii="Times New Roman" w:eastAsia="Verdana" w:hAnsi="Times New Roman"/>
          <w:szCs w:val="18"/>
          <w:lang w:val="en-US"/>
        </w:rPr>
        <w:t>, and shall be expressed as a percentage</w:t>
      </w:r>
      <w:r w:rsidR="00C002D1">
        <w:rPr>
          <w:rFonts w:ascii="Times New Roman" w:eastAsia="Verdana" w:hAnsi="Times New Roman"/>
          <w:szCs w:val="18"/>
          <w:lang w:val="en-US"/>
        </w:rPr>
        <w:t xml:space="preserve">. </w:t>
      </w:r>
      <w:r w:rsidR="00752373">
        <w:rPr>
          <w:rFonts w:ascii="Times New Roman" w:eastAsia="Verdana" w:hAnsi="Times New Roman"/>
          <w:szCs w:val="18"/>
          <w:lang w:val="en-US"/>
        </w:rPr>
        <w:t>The rules for the calculation of the ratio are laid down in Chapter 2.</w:t>
      </w:r>
    </w:p>
    <w:p w14:paraId="4C53FCEE" w14:textId="653CE46B" w:rsidR="00752373" w:rsidRDefault="00752373" w:rsidP="0080050A">
      <w:pPr>
        <w:pStyle w:val="ListParagraph"/>
        <w:widowControl w:val="0"/>
        <w:numPr>
          <w:ilvl w:val="0"/>
          <w:numId w:val="24"/>
        </w:numPr>
        <w:tabs>
          <w:tab w:val="left" w:pos="1397"/>
        </w:tabs>
        <w:spacing w:line="276" w:lineRule="auto"/>
        <w:ind w:left="714" w:right="113" w:hanging="357"/>
        <w:contextualSpacing w:val="0"/>
        <w:rPr>
          <w:rFonts w:ascii="Times New Roman" w:eastAsia="Verdana" w:hAnsi="Times New Roman"/>
          <w:szCs w:val="18"/>
          <w:lang w:val="en-US"/>
        </w:rPr>
      </w:pPr>
      <w:r>
        <w:rPr>
          <w:rFonts w:ascii="Times New Roman" w:eastAsia="Verdana" w:hAnsi="Times New Roman"/>
          <w:szCs w:val="18"/>
          <w:lang w:val="en-US"/>
        </w:rPr>
        <w:t>The items in rows 0010 to 0210 shall be the same as the</w:t>
      </w:r>
      <w:r w:rsidR="00F71FE3">
        <w:rPr>
          <w:rFonts w:ascii="Times New Roman" w:eastAsia="Verdana" w:hAnsi="Times New Roman"/>
          <w:szCs w:val="18"/>
          <w:lang w:val="en-US"/>
        </w:rPr>
        <w:t xml:space="preserve"> equivalent</w:t>
      </w:r>
      <w:r>
        <w:rPr>
          <w:rFonts w:ascii="Times New Roman" w:eastAsia="Verdana" w:hAnsi="Times New Roman"/>
          <w:szCs w:val="18"/>
          <w:lang w:val="en-US"/>
        </w:rPr>
        <w:t xml:space="preserve"> ones reported in </w:t>
      </w:r>
      <w:r w:rsidR="006B6363">
        <w:rPr>
          <w:rFonts w:ascii="Times New Roman" w:eastAsia="Verdana" w:hAnsi="Times New Roman"/>
          <w:szCs w:val="18"/>
          <w:lang w:val="en-US"/>
        </w:rPr>
        <w:t xml:space="preserve">reporting templates </w:t>
      </w:r>
      <w:r>
        <w:rPr>
          <w:rFonts w:ascii="Times New Roman" w:eastAsia="Verdana" w:hAnsi="Times New Roman"/>
          <w:szCs w:val="18"/>
          <w:lang w:val="en-US"/>
        </w:rPr>
        <w:t>C</w:t>
      </w:r>
      <w:r w:rsidR="00C41B47">
        <w:rPr>
          <w:rFonts w:ascii="Times New Roman" w:eastAsia="Verdana" w:hAnsi="Times New Roman"/>
          <w:szCs w:val="18"/>
          <w:lang w:val="en-US"/>
        </w:rPr>
        <w:t> </w:t>
      </w:r>
      <w:r>
        <w:rPr>
          <w:rFonts w:ascii="Times New Roman" w:eastAsia="Verdana" w:hAnsi="Times New Roman"/>
          <w:szCs w:val="18"/>
          <w:lang w:val="en-US"/>
        </w:rPr>
        <w:t>80.00 to C</w:t>
      </w:r>
      <w:r w:rsidR="00C41B47">
        <w:rPr>
          <w:rFonts w:ascii="Times New Roman" w:eastAsia="Verdana" w:hAnsi="Times New Roman"/>
          <w:szCs w:val="18"/>
          <w:lang w:val="en-US"/>
        </w:rPr>
        <w:t> </w:t>
      </w:r>
      <w:r>
        <w:rPr>
          <w:rFonts w:ascii="Times New Roman" w:eastAsia="Verdana" w:hAnsi="Times New Roman"/>
          <w:szCs w:val="18"/>
          <w:lang w:val="en-US"/>
        </w:rPr>
        <w:t>83.00.</w:t>
      </w:r>
    </w:p>
    <w:p w14:paraId="0C83BE6A" w14:textId="77777777" w:rsidR="00E0770F" w:rsidRPr="00363567" w:rsidRDefault="00E0770F" w:rsidP="00E0770F">
      <w:pPr>
        <w:pStyle w:val="ListParagraph"/>
        <w:widowControl w:val="0"/>
        <w:tabs>
          <w:tab w:val="left" w:pos="1397"/>
        </w:tabs>
        <w:spacing w:line="276" w:lineRule="auto"/>
        <w:ind w:left="714" w:right="113"/>
        <w:contextualSpacing w:val="0"/>
        <w:rPr>
          <w:rFonts w:ascii="Times New Roman" w:eastAsia="Verdana" w:hAnsi="Times New Roman"/>
          <w:szCs w:val="18"/>
          <w:lang w:val="en-US"/>
        </w:rPr>
      </w:pPr>
    </w:p>
    <w:p w14:paraId="7B146F1D" w14:textId="67469790" w:rsidR="00F71FE3" w:rsidRDefault="00E0770F" w:rsidP="00E0770F">
      <w:pPr>
        <w:pStyle w:val="BodyText1"/>
        <w:spacing w:before="120" w:after="120"/>
        <w:ind w:left="714"/>
        <w:outlineLvl w:val="0"/>
      </w:pPr>
      <w:bookmarkStart w:id="35" w:name="_Toc7641936"/>
      <w:r>
        <w:rPr>
          <w:rFonts w:ascii="Times New Roman" w:hAnsi="Times New Roman"/>
          <w:b/>
          <w:sz w:val="24"/>
          <w:szCs w:val="24"/>
        </w:rPr>
        <w:t xml:space="preserve">2. </w:t>
      </w:r>
      <w:r w:rsidR="00F71FE3">
        <w:rPr>
          <w:rFonts w:ascii="Times New Roman" w:hAnsi="Times New Roman"/>
          <w:b/>
          <w:sz w:val="24"/>
          <w:szCs w:val="24"/>
        </w:rPr>
        <w:t>Instructions concerning specific columns</w:t>
      </w:r>
      <w:bookmarkEnd w:id="35"/>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F71FE3" w:rsidRPr="00740184" w14:paraId="7AEFD36D"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59F7A5F7" w14:textId="77777777" w:rsidR="00F71FE3" w:rsidRPr="00C71F0B" w:rsidRDefault="00F71FE3" w:rsidP="006F31B2">
            <w:pPr>
              <w:pStyle w:val="TableParagraph"/>
              <w:spacing w:before="117" w:after="120"/>
              <w:ind w:left="102"/>
              <w:rPr>
                <w:rFonts w:ascii="Times New Roman" w:hAnsi="Times New Roman"/>
                <w:sz w:val="18"/>
                <w:szCs w:val="18"/>
              </w:rPr>
            </w:pPr>
            <w:r>
              <w:rPr>
                <w:rFonts w:ascii="Times New Roman"/>
                <w:spacing w:val="-1"/>
                <w:sz w:val="18"/>
                <w:szCs w:val="18"/>
              </w:rPr>
              <w:t>Column</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CA6ED72" w14:textId="77777777" w:rsidR="00F71FE3" w:rsidRPr="00C71F0B" w:rsidRDefault="00F71FE3" w:rsidP="006F31B2">
            <w:pPr>
              <w:pStyle w:val="TableParagraph"/>
              <w:spacing w:before="117" w:after="120"/>
              <w:ind w:left="102"/>
              <w:rPr>
                <w:rFonts w:ascii="Times New Roman" w:hAnsi="Times New Roman"/>
                <w:bCs/>
                <w:sz w:val="18"/>
                <w:szCs w:val="18"/>
                <w:u w:val="single"/>
              </w:rPr>
            </w:pPr>
            <w:r w:rsidRPr="00C71F0B">
              <w:rPr>
                <w:rFonts w:ascii="Times New Roman" w:hAnsi="Times New Roman"/>
                <w:sz w:val="18"/>
                <w:szCs w:val="18"/>
              </w:rPr>
              <w:t xml:space="preserve">Legal </w:t>
            </w:r>
            <w:r w:rsidRPr="00C71F0B">
              <w:rPr>
                <w:rFonts w:ascii="Times New Roman"/>
                <w:spacing w:val="-1"/>
                <w:sz w:val="18"/>
                <w:szCs w:val="18"/>
              </w:rPr>
              <w:t>references</w:t>
            </w:r>
            <w:r w:rsidRPr="00C71F0B">
              <w:rPr>
                <w:rFonts w:ascii="Times New Roman" w:hAnsi="Times New Roman"/>
                <w:sz w:val="18"/>
                <w:szCs w:val="18"/>
              </w:rPr>
              <w:t xml:space="preserve"> and instructions</w:t>
            </w:r>
          </w:p>
        </w:tc>
      </w:tr>
      <w:tr w:rsidR="00F71FE3" w:rsidRPr="00FE002E" w14:paraId="327F6458" w14:textId="77777777" w:rsidTr="006F31B2">
        <w:trPr>
          <w:trHeight w:val="304"/>
        </w:trPr>
        <w:tc>
          <w:tcPr>
            <w:tcW w:w="1418" w:type="dxa"/>
          </w:tcPr>
          <w:p w14:paraId="5D8EF275" w14:textId="228C012C" w:rsidR="00F71FE3" w:rsidRPr="00C71F0B" w:rsidRDefault="00F71FE3">
            <w:pPr>
              <w:pStyle w:val="TableParagraph"/>
              <w:spacing w:before="118"/>
              <w:ind w:left="57" w:right="96"/>
              <w:jc w:val="both"/>
              <w:rPr>
                <w:rFonts w:ascii="Times New Roman" w:eastAsia="Times New Roman" w:hAnsi="Times New Roman" w:cs="Times New Roman"/>
                <w:sz w:val="18"/>
                <w:szCs w:val="18"/>
              </w:rPr>
            </w:pPr>
            <w:r>
              <w:rPr>
                <w:rFonts w:ascii="Times New Roman"/>
                <w:sz w:val="18"/>
                <w:szCs w:val="18"/>
              </w:rPr>
              <w:t>0010</w:t>
            </w:r>
          </w:p>
        </w:tc>
        <w:tc>
          <w:tcPr>
            <w:tcW w:w="7590" w:type="dxa"/>
          </w:tcPr>
          <w:p w14:paraId="4FF86811" w14:textId="77777777" w:rsidR="00F71FE3" w:rsidRPr="002E79E8" w:rsidRDefault="00F71FE3" w:rsidP="006F31B2">
            <w:pPr>
              <w:pStyle w:val="TableParagraph"/>
              <w:spacing w:before="119"/>
              <w:ind w:left="102"/>
              <w:rPr>
                <w:rFonts w:ascii="Times New Roman"/>
                <w:b/>
                <w:sz w:val="18"/>
                <w:szCs w:val="18"/>
                <w:u w:val="single"/>
              </w:rPr>
            </w:pPr>
            <w:r>
              <w:rPr>
                <w:rFonts w:ascii="Times New Roman"/>
                <w:b/>
                <w:sz w:val="18"/>
                <w:szCs w:val="18"/>
                <w:u w:val="single"/>
              </w:rPr>
              <w:t>Amount</w:t>
            </w:r>
          </w:p>
          <w:p w14:paraId="07BD2DCB" w14:textId="40903A8D" w:rsidR="00F71FE3" w:rsidRPr="00C71F0B" w:rsidRDefault="00F71FE3" w:rsidP="006F31B2">
            <w:pPr>
              <w:pStyle w:val="TableParagraph"/>
              <w:spacing w:before="117"/>
              <w:ind w:left="102" w:right="99"/>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2E79E8">
              <w:rPr>
                <w:rFonts w:ascii="Times New Roman" w:eastAsia="Times New Roman" w:hAnsi="Times New Roman" w:cs="Times New Roman"/>
                <w:sz w:val="18"/>
                <w:szCs w:val="18"/>
              </w:rPr>
              <w:t xml:space="preserve">nstitutions shall report in </w:t>
            </w:r>
            <w:r>
              <w:rPr>
                <w:rFonts w:ascii="Times New Roman" w:eastAsia="Times New Roman" w:hAnsi="Times New Roman" w:cs="Times New Roman"/>
                <w:sz w:val="18"/>
                <w:szCs w:val="18"/>
              </w:rPr>
              <w:t>c</w:t>
            </w:r>
            <w:r w:rsidRPr="002E79E8">
              <w:rPr>
                <w:rFonts w:ascii="Times New Roman" w:eastAsia="Times New Roman" w:hAnsi="Times New Roman" w:cs="Times New Roman"/>
                <w:sz w:val="18"/>
                <w:szCs w:val="18"/>
              </w:rPr>
              <w:t xml:space="preserve">olumn </w:t>
            </w:r>
            <w:r>
              <w:rPr>
                <w:rFonts w:ascii="Times New Roman" w:eastAsia="Times New Roman" w:hAnsi="Times New Roman" w:cs="Times New Roman"/>
                <w:sz w:val="18"/>
                <w:szCs w:val="18"/>
              </w:rPr>
              <w:t>0</w:t>
            </w:r>
            <w:r w:rsidRPr="002E79E8">
              <w:rPr>
                <w:rFonts w:ascii="Times New Roman" w:eastAsia="Times New Roman" w:hAnsi="Times New Roman" w:cs="Times New Roman"/>
                <w:sz w:val="18"/>
                <w:szCs w:val="18"/>
              </w:rPr>
              <w:t>010</w:t>
            </w:r>
            <w:r>
              <w:rPr>
                <w:rFonts w:ascii="Times New Roman" w:eastAsia="Times New Roman" w:hAnsi="Times New Roman" w:cs="Times New Roman"/>
                <w:sz w:val="18"/>
                <w:szCs w:val="18"/>
              </w:rPr>
              <w:t xml:space="preserve"> </w:t>
            </w:r>
            <w:r w:rsidRPr="002E79E8">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amount</w:t>
            </w:r>
            <w:r w:rsidRPr="002E79E8">
              <w:rPr>
                <w:rFonts w:ascii="Times New Roman" w:eastAsia="Times New Roman" w:hAnsi="Times New Roman" w:cs="Times New Roman"/>
                <w:sz w:val="18"/>
                <w:szCs w:val="18"/>
              </w:rPr>
              <w:t xml:space="preserve"> of </w:t>
            </w:r>
            <w:r w:rsidRPr="00CF4E2F">
              <w:rPr>
                <w:rFonts w:ascii="Times New Roman" w:eastAsia="Times New Roman" w:hAnsi="Times New Roman" w:cs="Times New Roman"/>
                <w:sz w:val="18"/>
                <w:szCs w:val="18"/>
              </w:rPr>
              <w:t>assets</w:t>
            </w:r>
            <w:r>
              <w:rPr>
                <w:rFonts w:ascii="Times New Roman" w:eastAsia="Times New Roman" w:hAnsi="Times New Roman" w:cs="Times New Roman"/>
                <w:sz w:val="18"/>
                <w:szCs w:val="18"/>
              </w:rPr>
              <w:t>,</w:t>
            </w:r>
            <w:r w:rsidRPr="00CF4E2F">
              <w:rPr>
                <w:rFonts w:ascii="Times New Roman" w:eastAsia="Times New Roman" w:hAnsi="Times New Roman" w:cs="Times New Roman"/>
                <w:sz w:val="18"/>
                <w:szCs w:val="18"/>
              </w:rPr>
              <w:t xml:space="preserve"> off-balance sheet items</w:t>
            </w:r>
            <w:r>
              <w:rPr>
                <w:rFonts w:ascii="Times New Roman" w:eastAsia="Times New Roman" w:hAnsi="Times New Roman" w:cs="Times New Roman"/>
                <w:sz w:val="18"/>
                <w:szCs w:val="18"/>
              </w:rPr>
              <w:t>,</w:t>
            </w:r>
            <w:r w:rsidRPr="00CF4E2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liabilities and own funds allocated to the sum of all applicable residual maturity and HQLA buckets.</w:t>
            </w:r>
            <w:r w:rsidR="007011DE">
              <w:rPr>
                <w:rFonts w:ascii="Times New Roman" w:eastAsia="Times New Roman" w:hAnsi="Times New Roman" w:cs="Times New Roman"/>
                <w:sz w:val="18"/>
                <w:szCs w:val="18"/>
              </w:rPr>
              <w:t xml:space="preserve"> The amounts to be reported shall be those before application of the relevant ASF and RSF factors.</w:t>
            </w:r>
          </w:p>
          <w:p w14:paraId="7F928182" w14:textId="77777777" w:rsidR="00F71FE3" w:rsidRPr="00C71F0B" w:rsidRDefault="00F71FE3" w:rsidP="006F31B2">
            <w:pPr>
              <w:pStyle w:val="TableParagraph"/>
              <w:ind w:left="102"/>
              <w:rPr>
                <w:rFonts w:ascii="Times New Roman" w:eastAsia="Times New Roman" w:hAnsi="Times New Roman" w:cs="Times New Roman"/>
                <w:sz w:val="18"/>
                <w:szCs w:val="18"/>
              </w:rPr>
            </w:pPr>
          </w:p>
        </w:tc>
      </w:tr>
      <w:tr w:rsidR="00F71FE3" w:rsidRPr="00FE002E" w14:paraId="2DF1E95C" w14:textId="77777777" w:rsidTr="006F31B2">
        <w:trPr>
          <w:trHeight w:val="304"/>
        </w:trPr>
        <w:tc>
          <w:tcPr>
            <w:tcW w:w="1418" w:type="dxa"/>
          </w:tcPr>
          <w:p w14:paraId="5C395138" w14:textId="0E1FC75E" w:rsidR="00F71FE3" w:rsidRPr="00C71F0B" w:rsidRDefault="00F71FE3">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0020</w:t>
            </w:r>
          </w:p>
        </w:tc>
        <w:tc>
          <w:tcPr>
            <w:tcW w:w="7590" w:type="dxa"/>
          </w:tcPr>
          <w:p w14:paraId="1DEDB59A" w14:textId="5EFF52B4" w:rsidR="00F71FE3" w:rsidRPr="00F06AEE" w:rsidRDefault="009629DD" w:rsidP="006F31B2">
            <w:pPr>
              <w:pStyle w:val="TableParagraph"/>
              <w:spacing w:before="119"/>
              <w:ind w:left="102"/>
              <w:rPr>
                <w:rFonts w:ascii="Times New Roman"/>
                <w:b/>
                <w:sz w:val="18"/>
                <w:szCs w:val="18"/>
                <w:u w:val="single"/>
              </w:rPr>
            </w:pPr>
            <w:r>
              <w:rPr>
                <w:rFonts w:ascii="Times New Roman"/>
                <w:b/>
                <w:sz w:val="18"/>
                <w:szCs w:val="18"/>
                <w:u w:val="single"/>
              </w:rPr>
              <w:t>Required</w:t>
            </w:r>
            <w:r w:rsidRPr="009629DD">
              <w:rPr>
                <w:rFonts w:ascii="Times New Roman"/>
                <w:b/>
                <w:sz w:val="18"/>
                <w:szCs w:val="18"/>
                <w:u w:val="single"/>
              </w:rPr>
              <w:t xml:space="preserve"> Stable Funding</w:t>
            </w:r>
          </w:p>
          <w:p w14:paraId="325E09D6" w14:textId="6850B991" w:rsidR="00F71FE3" w:rsidRDefault="009629DD" w:rsidP="006F31B2">
            <w:pPr>
              <w:pStyle w:val="TableParagraph"/>
              <w:spacing w:before="117"/>
              <w:ind w:left="102" w:right="99"/>
              <w:rPr>
                <w:rFonts w:ascii="Times New Roman" w:eastAsia="Times New Roman" w:hAnsi="Times New Roman" w:cs="Times New Roman"/>
                <w:sz w:val="18"/>
                <w:szCs w:val="18"/>
              </w:rPr>
            </w:pPr>
            <w:r w:rsidRPr="009629DD">
              <w:rPr>
                <w:rFonts w:ascii="Times New Roman" w:eastAsia="Times New Roman" w:hAnsi="Times New Roman" w:cs="Times New Roman"/>
                <w:sz w:val="18"/>
                <w:szCs w:val="18"/>
              </w:rPr>
              <w:t xml:space="preserve">Institutions shall report in </w:t>
            </w:r>
            <w:r w:rsidR="008D6BB4">
              <w:rPr>
                <w:rFonts w:ascii="Times New Roman" w:eastAsia="Times New Roman" w:hAnsi="Times New Roman" w:cs="Times New Roman"/>
                <w:sz w:val="18"/>
                <w:szCs w:val="18"/>
              </w:rPr>
              <w:t>c</w:t>
            </w:r>
            <w:r w:rsidRPr="009629DD">
              <w:rPr>
                <w:rFonts w:ascii="Times New Roman" w:eastAsia="Times New Roman" w:hAnsi="Times New Roman" w:cs="Times New Roman"/>
                <w:sz w:val="18"/>
                <w:szCs w:val="18"/>
              </w:rPr>
              <w:t>olumn 0</w:t>
            </w:r>
            <w:r>
              <w:rPr>
                <w:rFonts w:ascii="Times New Roman" w:eastAsia="Times New Roman" w:hAnsi="Times New Roman" w:cs="Times New Roman"/>
                <w:sz w:val="18"/>
                <w:szCs w:val="18"/>
              </w:rPr>
              <w:t>02</w:t>
            </w:r>
            <w:r w:rsidRPr="009629DD">
              <w:rPr>
                <w:rFonts w:ascii="Times New Roman" w:eastAsia="Times New Roman" w:hAnsi="Times New Roman" w:cs="Times New Roman"/>
                <w:sz w:val="18"/>
                <w:szCs w:val="18"/>
              </w:rPr>
              <w:t xml:space="preserve">0 the required stable funding </w:t>
            </w:r>
            <w:r w:rsidR="007011DE">
              <w:rPr>
                <w:rFonts w:ascii="Times New Roman" w:eastAsia="Times New Roman" w:hAnsi="Times New Roman" w:cs="Times New Roman"/>
                <w:sz w:val="18"/>
                <w:szCs w:val="18"/>
              </w:rPr>
              <w:t xml:space="preserve">calculated </w:t>
            </w:r>
            <w:r w:rsidRPr="009629DD">
              <w:rPr>
                <w:rFonts w:ascii="Times New Roman" w:eastAsia="Times New Roman" w:hAnsi="Times New Roman" w:cs="Times New Roman"/>
                <w:sz w:val="18"/>
                <w:szCs w:val="18"/>
              </w:rPr>
              <w:t>in accordance with Chapter</w:t>
            </w:r>
            <w:r w:rsidR="007011DE">
              <w:rPr>
                <w:rFonts w:ascii="Times New Roman" w:eastAsia="Times New Roman" w:hAnsi="Times New Roman" w:cs="Times New Roman"/>
                <w:sz w:val="18"/>
                <w:szCs w:val="18"/>
              </w:rPr>
              <w:t>s</w:t>
            </w:r>
            <w:r w:rsidRPr="009629D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4 and </w:t>
            </w:r>
            <w:r w:rsidRPr="009629DD">
              <w:rPr>
                <w:rFonts w:ascii="Times New Roman" w:eastAsia="Times New Roman" w:hAnsi="Times New Roman" w:cs="Times New Roman"/>
                <w:sz w:val="18"/>
                <w:szCs w:val="18"/>
              </w:rPr>
              <w:t xml:space="preserve">7 of </w:t>
            </w:r>
            <w:r w:rsidR="00607717">
              <w:rPr>
                <w:rFonts w:ascii="Times New Roman" w:eastAsia="Times New Roman" w:hAnsi="Times New Roman" w:cs="Times New Roman"/>
                <w:sz w:val="18"/>
                <w:szCs w:val="18"/>
              </w:rPr>
              <w:t xml:space="preserve">Title IV of </w:t>
            </w:r>
            <w:r w:rsidR="00E81856">
              <w:rPr>
                <w:rFonts w:ascii="Times New Roman" w:eastAsia="Times New Roman" w:hAnsi="Times New Roman" w:cs="Times New Roman"/>
                <w:sz w:val="18"/>
                <w:szCs w:val="18"/>
              </w:rPr>
              <w:t xml:space="preserve">Part Six of </w:t>
            </w:r>
            <w:r w:rsidRPr="009629DD">
              <w:rPr>
                <w:rFonts w:ascii="Times New Roman" w:eastAsia="Times New Roman" w:hAnsi="Times New Roman" w:cs="Times New Roman"/>
                <w:sz w:val="18"/>
                <w:szCs w:val="18"/>
              </w:rPr>
              <w:t>CRR.</w:t>
            </w:r>
          </w:p>
          <w:p w14:paraId="2FBAD7B4" w14:textId="3DD5139C" w:rsidR="009629DD" w:rsidRPr="00C71F0B" w:rsidRDefault="009629DD" w:rsidP="00336100">
            <w:pPr>
              <w:pStyle w:val="TableParagraph"/>
              <w:ind w:left="102" w:right="99"/>
              <w:rPr>
                <w:rFonts w:ascii="Times New Roman" w:eastAsia="Times New Roman" w:hAnsi="Times New Roman" w:cs="Times New Roman"/>
                <w:sz w:val="18"/>
                <w:szCs w:val="18"/>
              </w:rPr>
            </w:pPr>
          </w:p>
        </w:tc>
      </w:tr>
      <w:tr w:rsidR="00F71FE3" w:rsidRPr="00C71F0B" w14:paraId="47C10952"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tcPr>
          <w:p w14:paraId="4C1E5572" w14:textId="5DCA084A" w:rsidR="00F71FE3" w:rsidRPr="00C71F0B" w:rsidRDefault="00F71FE3" w:rsidP="006F31B2">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0030</w:t>
            </w:r>
          </w:p>
        </w:tc>
        <w:tc>
          <w:tcPr>
            <w:tcW w:w="7590" w:type="dxa"/>
            <w:tcBorders>
              <w:top w:val="single" w:sz="4" w:space="0" w:color="auto"/>
              <w:left w:val="single" w:sz="4" w:space="0" w:color="auto"/>
              <w:bottom w:val="single" w:sz="4" w:space="0" w:color="auto"/>
              <w:right w:val="single" w:sz="4" w:space="0" w:color="auto"/>
            </w:tcBorders>
          </w:tcPr>
          <w:p w14:paraId="42C0DE0A" w14:textId="77777777" w:rsidR="00F71FE3" w:rsidRPr="00F06AEE" w:rsidRDefault="00F71FE3" w:rsidP="006F31B2">
            <w:pPr>
              <w:pStyle w:val="TableParagraph"/>
              <w:spacing w:before="119"/>
              <w:ind w:left="102"/>
              <w:rPr>
                <w:rFonts w:ascii="Times New Roman"/>
                <w:b/>
                <w:sz w:val="18"/>
                <w:szCs w:val="18"/>
                <w:u w:val="single"/>
              </w:rPr>
            </w:pPr>
            <w:r>
              <w:rPr>
                <w:rFonts w:ascii="Times New Roman"/>
                <w:b/>
                <w:sz w:val="18"/>
                <w:szCs w:val="18"/>
                <w:u w:val="single"/>
              </w:rPr>
              <w:t>Available Stable Funding</w:t>
            </w:r>
          </w:p>
          <w:p w14:paraId="464D5F08" w14:textId="209AA42E" w:rsidR="00F71FE3" w:rsidRDefault="009629DD" w:rsidP="00363567">
            <w:pPr>
              <w:pStyle w:val="TableParagraph"/>
              <w:spacing w:before="117"/>
              <w:ind w:left="102" w:right="99"/>
              <w:rPr>
                <w:rFonts w:ascii="Times New Roman" w:eastAsia="Times New Roman" w:hAnsi="Times New Roman" w:cs="Times New Roman"/>
                <w:sz w:val="18"/>
                <w:szCs w:val="18"/>
              </w:rPr>
            </w:pPr>
            <w:r w:rsidRPr="009629DD">
              <w:rPr>
                <w:rFonts w:ascii="Times New Roman" w:eastAsia="Times New Roman" w:hAnsi="Times New Roman" w:cs="Times New Roman"/>
                <w:sz w:val="18"/>
                <w:szCs w:val="18"/>
              </w:rPr>
              <w:t xml:space="preserve">Institutions shall report in </w:t>
            </w:r>
            <w:r w:rsidR="008D6BB4">
              <w:rPr>
                <w:rFonts w:ascii="Times New Roman" w:eastAsia="Times New Roman" w:hAnsi="Times New Roman" w:cs="Times New Roman"/>
                <w:sz w:val="18"/>
                <w:szCs w:val="18"/>
              </w:rPr>
              <w:t>c</w:t>
            </w:r>
            <w:r w:rsidRPr="009629DD">
              <w:rPr>
                <w:rFonts w:ascii="Times New Roman" w:eastAsia="Times New Roman" w:hAnsi="Times New Roman" w:cs="Times New Roman"/>
                <w:sz w:val="18"/>
                <w:szCs w:val="18"/>
              </w:rPr>
              <w:t>olumn 00</w:t>
            </w:r>
            <w:r>
              <w:rPr>
                <w:rFonts w:ascii="Times New Roman" w:eastAsia="Times New Roman" w:hAnsi="Times New Roman" w:cs="Times New Roman"/>
                <w:sz w:val="18"/>
                <w:szCs w:val="18"/>
              </w:rPr>
              <w:t>3</w:t>
            </w:r>
            <w:r w:rsidRPr="009629DD">
              <w:rPr>
                <w:rFonts w:ascii="Times New Roman" w:eastAsia="Times New Roman" w:hAnsi="Times New Roman" w:cs="Times New Roman"/>
                <w:sz w:val="18"/>
                <w:szCs w:val="18"/>
              </w:rPr>
              <w:t xml:space="preserve">0 the </w:t>
            </w:r>
            <w:r w:rsidR="007011DE">
              <w:rPr>
                <w:rFonts w:ascii="Times New Roman" w:eastAsia="Times New Roman" w:hAnsi="Times New Roman" w:cs="Times New Roman"/>
                <w:sz w:val="18"/>
                <w:szCs w:val="18"/>
              </w:rPr>
              <w:t>available</w:t>
            </w:r>
            <w:r w:rsidR="007011DE" w:rsidRPr="009629DD">
              <w:rPr>
                <w:rFonts w:ascii="Times New Roman" w:eastAsia="Times New Roman" w:hAnsi="Times New Roman" w:cs="Times New Roman"/>
                <w:sz w:val="18"/>
                <w:szCs w:val="18"/>
              </w:rPr>
              <w:t xml:space="preserve"> </w:t>
            </w:r>
            <w:r w:rsidRPr="009629DD">
              <w:rPr>
                <w:rFonts w:ascii="Times New Roman" w:eastAsia="Times New Roman" w:hAnsi="Times New Roman" w:cs="Times New Roman"/>
                <w:sz w:val="18"/>
                <w:szCs w:val="18"/>
              </w:rPr>
              <w:t xml:space="preserve">stable funding </w:t>
            </w:r>
            <w:r w:rsidR="007011DE">
              <w:rPr>
                <w:rFonts w:ascii="Times New Roman" w:eastAsia="Times New Roman" w:hAnsi="Times New Roman" w:cs="Times New Roman"/>
                <w:sz w:val="18"/>
                <w:szCs w:val="18"/>
              </w:rPr>
              <w:t xml:space="preserve">calculated </w:t>
            </w:r>
            <w:r w:rsidRPr="009629DD">
              <w:rPr>
                <w:rFonts w:ascii="Times New Roman" w:eastAsia="Times New Roman" w:hAnsi="Times New Roman" w:cs="Times New Roman"/>
                <w:sz w:val="18"/>
                <w:szCs w:val="18"/>
              </w:rPr>
              <w:t>in accordance with Chapter</w:t>
            </w:r>
            <w:r w:rsidR="007011DE">
              <w:rPr>
                <w:rFonts w:ascii="Times New Roman" w:eastAsia="Times New Roman" w:hAnsi="Times New Roman" w:cs="Times New Roman"/>
                <w:sz w:val="18"/>
                <w:szCs w:val="18"/>
              </w:rPr>
              <w:t>s</w:t>
            </w:r>
            <w:r w:rsidRPr="009629D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9629DD">
              <w:rPr>
                <w:rFonts w:ascii="Times New Roman" w:eastAsia="Times New Roman" w:hAnsi="Times New Roman" w:cs="Times New Roman"/>
                <w:sz w:val="18"/>
                <w:szCs w:val="18"/>
              </w:rPr>
              <w:t xml:space="preserve"> and </w:t>
            </w:r>
            <w:r>
              <w:rPr>
                <w:rFonts w:ascii="Times New Roman" w:eastAsia="Times New Roman" w:hAnsi="Times New Roman" w:cs="Times New Roman"/>
                <w:sz w:val="18"/>
                <w:szCs w:val="18"/>
              </w:rPr>
              <w:t>6</w:t>
            </w:r>
            <w:r w:rsidRPr="009629DD">
              <w:rPr>
                <w:rFonts w:ascii="Times New Roman" w:eastAsia="Times New Roman" w:hAnsi="Times New Roman" w:cs="Times New Roman"/>
                <w:sz w:val="18"/>
                <w:szCs w:val="18"/>
              </w:rPr>
              <w:t xml:space="preserve"> of </w:t>
            </w:r>
            <w:r w:rsidR="00607717">
              <w:rPr>
                <w:rFonts w:ascii="Times New Roman" w:eastAsia="Times New Roman" w:hAnsi="Times New Roman" w:cs="Times New Roman"/>
                <w:sz w:val="18"/>
                <w:szCs w:val="18"/>
              </w:rPr>
              <w:t xml:space="preserve">Title IV of </w:t>
            </w:r>
            <w:r w:rsidR="00E81856">
              <w:rPr>
                <w:rFonts w:ascii="Times New Roman" w:eastAsia="Times New Roman" w:hAnsi="Times New Roman" w:cs="Times New Roman"/>
                <w:sz w:val="18"/>
                <w:szCs w:val="18"/>
              </w:rPr>
              <w:t xml:space="preserve">Part Six </w:t>
            </w:r>
            <w:r w:rsidR="00607717">
              <w:rPr>
                <w:rFonts w:ascii="Times New Roman" w:eastAsia="Times New Roman" w:hAnsi="Times New Roman" w:cs="Times New Roman"/>
                <w:sz w:val="18"/>
                <w:szCs w:val="18"/>
              </w:rPr>
              <w:t xml:space="preserve">of </w:t>
            </w:r>
            <w:r w:rsidRPr="009629DD">
              <w:rPr>
                <w:rFonts w:ascii="Times New Roman" w:eastAsia="Times New Roman" w:hAnsi="Times New Roman" w:cs="Times New Roman"/>
                <w:sz w:val="18"/>
                <w:szCs w:val="18"/>
              </w:rPr>
              <w:t>CRR.</w:t>
            </w:r>
          </w:p>
          <w:p w14:paraId="37C62688" w14:textId="296FEFC0" w:rsidR="009629DD" w:rsidRPr="00B06F5E" w:rsidRDefault="009629DD" w:rsidP="00336100">
            <w:pPr>
              <w:pStyle w:val="TableParagraph"/>
              <w:ind w:left="102" w:right="99"/>
              <w:rPr>
                <w:rFonts w:ascii="Times New Roman"/>
                <w:b/>
                <w:sz w:val="18"/>
                <w:szCs w:val="18"/>
                <w:u w:val="single"/>
              </w:rPr>
            </w:pPr>
          </w:p>
        </w:tc>
      </w:tr>
      <w:tr w:rsidR="009629DD" w:rsidRPr="00C71F0B" w14:paraId="3BAF0B7C"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tcPr>
          <w:p w14:paraId="47E45F9A" w14:textId="2D8121F1" w:rsidR="009629DD" w:rsidRDefault="009629DD" w:rsidP="006F31B2">
            <w:pPr>
              <w:pStyle w:val="TableParagraph"/>
              <w:spacing w:before="118"/>
              <w:ind w:left="57"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0040</w:t>
            </w:r>
          </w:p>
        </w:tc>
        <w:tc>
          <w:tcPr>
            <w:tcW w:w="7590" w:type="dxa"/>
            <w:tcBorders>
              <w:top w:val="single" w:sz="4" w:space="0" w:color="auto"/>
              <w:left w:val="single" w:sz="4" w:space="0" w:color="auto"/>
              <w:bottom w:val="single" w:sz="4" w:space="0" w:color="auto"/>
              <w:right w:val="single" w:sz="4" w:space="0" w:color="auto"/>
            </w:tcBorders>
          </w:tcPr>
          <w:p w14:paraId="1B560A8B" w14:textId="6D561777" w:rsidR="009629DD" w:rsidRPr="00F06AEE" w:rsidRDefault="009629DD" w:rsidP="009629DD">
            <w:pPr>
              <w:pStyle w:val="TableParagraph"/>
              <w:spacing w:before="119"/>
              <w:ind w:left="102"/>
              <w:rPr>
                <w:rFonts w:ascii="Times New Roman"/>
                <w:b/>
                <w:sz w:val="18"/>
                <w:szCs w:val="18"/>
                <w:u w:val="single"/>
              </w:rPr>
            </w:pPr>
            <w:r>
              <w:rPr>
                <w:rFonts w:ascii="Times New Roman"/>
                <w:b/>
                <w:sz w:val="18"/>
                <w:szCs w:val="18"/>
                <w:u w:val="single"/>
              </w:rPr>
              <w:t>Ratio</w:t>
            </w:r>
          </w:p>
          <w:p w14:paraId="4EDF2853" w14:textId="5C6FC27C" w:rsidR="009629DD" w:rsidRDefault="009629DD" w:rsidP="009629DD">
            <w:pPr>
              <w:pStyle w:val="TableParagraph"/>
              <w:spacing w:before="117"/>
              <w:ind w:left="102" w:right="99"/>
              <w:rPr>
                <w:rFonts w:ascii="Times New Roman" w:eastAsia="Times New Roman" w:hAnsi="Times New Roman" w:cs="Times New Roman"/>
                <w:sz w:val="18"/>
                <w:szCs w:val="18"/>
              </w:rPr>
            </w:pPr>
            <w:r w:rsidRPr="009629DD">
              <w:rPr>
                <w:rFonts w:ascii="Times New Roman" w:eastAsia="Times New Roman" w:hAnsi="Times New Roman" w:cs="Times New Roman"/>
                <w:sz w:val="18"/>
                <w:szCs w:val="18"/>
              </w:rPr>
              <w:t xml:space="preserve">Institutions shall report in </w:t>
            </w:r>
            <w:r w:rsidR="008D6BB4">
              <w:rPr>
                <w:rFonts w:ascii="Times New Roman" w:eastAsia="Times New Roman" w:hAnsi="Times New Roman" w:cs="Times New Roman"/>
                <w:sz w:val="18"/>
                <w:szCs w:val="18"/>
              </w:rPr>
              <w:t>c</w:t>
            </w:r>
            <w:r w:rsidRPr="009629DD">
              <w:rPr>
                <w:rFonts w:ascii="Times New Roman" w:eastAsia="Times New Roman" w:hAnsi="Times New Roman" w:cs="Times New Roman"/>
                <w:sz w:val="18"/>
                <w:szCs w:val="18"/>
              </w:rPr>
              <w:t>olumn 00</w:t>
            </w:r>
            <w:r>
              <w:rPr>
                <w:rFonts w:ascii="Times New Roman" w:eastAsia="Times New Roman" w:hAnsi="Times New Roman" w:cs="Times New Roman"/>
                <w:sz w:val="18"/>
                <w:szCs w:val="18"/>
              </w:rPr>
              <w:t>4</w:t>
            </w:r>
            <w:r w:rsidRPr="009629DD">
              <w:rPr>
                <w:rFonts w:ascii="Times New Roman" w:eastAsia="Times New Roman" w:hAnsi="Times New Roman" w:cs="Times New Roman"/>
                <w:sz w:val="18"/>
                <w:szCs w:val="18"/>
              </w:rPr>
              <w:t xml:space="preserve">0 the </w:t>
            </w:r>
            <w:r>
              <w:rPr>
                <w:rFonts w:ascii="Times New Roman" w:eastAsia="Times New Roman" w:hAnsi="Times New Roman" w:cs="Times New Roman"/>
                <w:sz w:val="18"/>
                <w:szCs w:val="18"/>
              </w:rPr>
              <w:t>NSFR ratio in accordance to Art</w:t>
            </w:r>
            <w:r w:rsidR="007011DE">
              <w:rPr>
                <w:rFonts w:ascii="Times New Roman" w:eastAsia="Times New Roman" w:hAnsi="Times New Roman" w:cs="Times New Roman"/>
                <w:sz w:val="18"/>
                <w:szCs w:val="18"/>
              </w:rPr>
              <w:t xml:space="preserve">icle </w:t>
            </w:r>
            <w:r>
              <w:rPr>
                <w:rFonts w:ascii="Times New Roman" w:eastAsia="Times New Roman" w:hAnsi="Times New Roman" w:cs="Times New Roman"/>
                <w:sz w:val="18"/>
                <w:szCs w:val="18"/>
              </w:rPr>
              <w:t>428b</w:t>
            </w:r>
            <w:r w:rsidR="007011DE">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of CRR.</w:t>
            </w:r>
          </w:p>
          <w:p w14:paraId="1F347D13" w14:textId="77777777" w:rsidR="009629DD" w:rsidRDefault="009629DD" w:rsidP="00336100">
            <w:pPr>
              <w:pStyle w:val="TableParagraph"/>
              <w:ind w:left="102"/>
              <w:rPr>
                <w:rFonts w:ascii="Times New Roman"/>
                <w:b/>
                <w:sz w:val="18"/>
                <w:szCs w:val="18"/>
                <w:u w:val="single"/>
              </w:rPr>
            </w:pPr>
          </w:p>
        </w:tc>
      </w:tr>
    </w:tbl>
    <w:p w14:paraId="3D280AA4" w14:textId="77777777" w:rsidR="00E0770F" w:rsidRDefault="00E0770F" w:rsidP="00D967E5">
      <w:pPr>
        <w:pStyle w:val="BodyText1"/>
        <w:spacing w:before="120" w:after="120"/>
        <w:ind w:left="720"/>
        <w:rPr>
          <w:rFonts w:ascii="Times New Roman" w:hAnsi="Times New Roman"/>
          <w:b/>
          <w:sz w:val="24"/>
          <w:szCs w:val="24"/>
        </w:rPr>
      </w:pPr>
    </w:p>
    <w:p w14:paraId="73215F38" w14:textId="5FF79B29" w:rsidR="009629DD" w:rsidRPr="0055437F" w:rsidRDefault="00E0770F" w:rsidP="00E0770F">
      <w:pPr>
        <w:pStyle w:val="BodyText1"/>
        <w:spacing w:before="120" w:after="120"/>
        <w:ind w:left="714"/>
        <w:outlineLvl w:val="0"/>
        <w:rPr>
          <w:rFonts w:ascii="Times New Roman" w:hAnsi="Times New Roman"/>
          <w:b/>
          <w:sz w:val="24"/>
          <w:szCs w:val="24"/>
        </w:rPr>
      </w:pPr>
      <w:bookmarkStart w:id="36" w:name="_Toc7641937"/>
      <w:r>
        <w:rPr>
          <w:rFonts w:ascii="Times New Roman" w:hAnsi="Times New Roman"/>
          <w:b/>
          <w:sz w:val="24"/>
          <w:szCs w:val="24"/>
        </w:rPr>
        <w:t xml:space="preserve">3. </w:t>
      </w:r>
      <w:r w:rsidR="009629DD">
        <w:rPr>
          <w:rFonts w:ascii="Times New Roman" w:hAnsi="Times New Roman"/>
          <w:b/>
          <w:sz w:val="24"/>
          <w:szCs w:val="24"/>
        </w:rPr>
        <w:t>Instructions concerning specific rows</w:t>
      </w:r>
      <w:bookmarkEnd w:id="36"/>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9629DD" w:rsidRPr="00B06F5E" w14:paraId="0B562852" w14:textId="77777777" w:rsidTr="006F31B2">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624EDD81" w14:textId="77777777" w:rsidR="009629DD" w:rsidRPr="00B06F5E" w:rsidRDefault="009629DD" w:rsidP="006F31B2">
            <w:pPr>
              <w:pStyle w:val="TableParagraph"/>
              <w:spacing w:before="117" w:after="120"/>
              <w:ind w:left="102"/>
              <w:rPr>
                <w:rFonts w:ascii="Times New Roman" w:hAnsi="Times New Roman"/>
                <w:sz w:val="18"/>
                <w:szCs w:val="18"/>
              </w:rPr>
            </w:pPr>
            <w:r w:rsidRPr="00B06F5E">
              <w:rPr>
                <w:rFonts w:ascii="Times New Roman"/>
                <w:spacing w:val="-1"/>
                <w:sz w:val="18"/>
                <w:szCs w:val="18"/>
              </w:rPr>
              <w:t>Row</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069488F1" w14:textId="77777777" w:rsidR="009629DD" w:rsidRPr="00B06F5E" w:rsidRDefault="009629DD" w:rsidP="006F31B2">
            <w:pPr>
              <w:pStyle w:val="TableParagraph"/>
              <w:spacing w:before="117" w:after="120"/>
              <w:ind w:left="102"/>
              <w:rPr>
                <w:rFonts w:ascii="Times New Roman" w:hAnsi="Times New Roman"/>
                <w:bCs/>
                <w:sz w:val="18"/>
                <w:szCs w:val="18"/>
                <w:u w:val="single"/>
              </w:rPr>
            </w:pPr>
            <w:r w:rsidRPr="00B06F5E">
              <w:rPr>
                <w:rFonts w:ascii="Times New Roman" w:hAnsi="Times New Roman"/>
                <w:sz w:val="18"/>
                <w:szCs w:val="18"/>
              </w:rPr>
              <w:t xml:space="preserve">Legal </w:t>
            </w:r>
            <w:r w:rsidRPr="00B06F5E">
              <w:rPr>
                <w:rFonts w:ascii="Times New Roman"/>
                <w:spacing w:val="-1"/>
                <w:sz w:val="18"/>
                <w:szCs w:val="18"/>
              </w:rPr>
              <w:t>references</w:t>
            </w:r>
            <w:r w:rsidRPr="00B06F5E">
              <w:rPr>
                <w:rFonts w:ascii="Times New Roman" w:hAnsi="Times New Roman"/>
                <w:sz w:val="18"/>
                <w:szCs w:val="18"/>
              </w:rPr>
              <w:t xml:space="preserve"> and instructions</w:t>
            </w:r>
          </w:p>
        </w:tc>
      </w:tr>
      <w:tr w:rsidR="009629DD" w:rsidRPr="00B06F5E" w14:paraId="5323E77C" w14:textId="77777777" w:rsidTr="006F31B2">
        <w:trPr>
          <w:trHeight w:val="304"/>
        </w:trPr>
        <w:tc>
          <w:tcPr>
            <w:tcW w:w="1418" w:type="dxa"/>
          </w:tcPr>
          <w:p w14:paraId="0355900F" w14:textId="77777777" w:rsidR="009629DD" w:rsidRPr="00B06F5E" w:rsidRDefault="009629DD" w:rsidP="006F31B2">
            <w:pPr>
              <w:pStyle w:val="TableParagraph"/>
              <w:spacing w:before="118"/>
              <w:ind w:left="57" w:right="96"/>
              <w:jc w:val="both"/>
              <w:rPr>
                <w:rFonts w:ascii="Times New Roman" w:eastAsia="Times New Roman" w:hAnsi="Times New Roman" w:cs="Times New Roman"/>
                <w:sz w:val="18"/>
                <w:szCs w:val="18"/>
              </w:rPr>
            </w:pPr>
            <w:r>
              <w:rPr>
                <w:rFonts w:ascii="Times New Roman"/>
                <w:sz w:val="18"/>
                <w:szCs w:val="18"/>
              </w:rPr>
              <w:t>0010</w:t>
            </w:r>
          </w:p>
        </w:tc>
        <w:tc>
          <w:tcPr>
            <w:tcW w:w="7590" w:type="dxa"/>
          </w:tcPr>
          <w:p w14:paraId="048440C2" w14:textId="44F59E31" w:rsidR="009629DD" w:rsidRPr="00B06F5E" w:rsidRDefault="008D6BB4" w:rsidP="006F31B2">
            <w:pPr>
              <w:pStyle w:val="TableParagraph"/>
              <w:spacing w:before="119"/>
              <w:ind w:left="102"/>
              <w:rPr>
                <w:rFonts w:ascii="Times New Roman"/>
                <w:b/>
                <w:sz w:val="18"/>
                <w:szCs w:val="18"/>
                <w:u w:val="single"/>
              </w:rPr>
            </w:pPr>
            <w:r>
              <w:rPr>
                <w:rFonts w:ascii="Times New Roman"/>
                <w:b/>
                <w:sz w:val="18"/>
                <w:szCs w:val="18"/>
                <w:u w:val="single"/>
              </w:rPr>
              <w:t>1</w:t>
            </w:r>
            <w:r w:rsidR="009629DD">
              <w:rPr>
                <w:rFonts w:ascii="Times New Roman"/>
                <w:b/>
                <w:sz w:val="18"/>
                <w:szCs w:val="18"/>
                <w:u w:val="single"/>
              </w:rPr>
              <w:t xml:space="preserve">. </w:t>
            </w:r>
            <w:r>
              <w:rPr>
                <w:rFonts w:ascii="Times New Roman"/>
                <w:b/>
                <w:sz w:val="18"/>
                <w:szCs w:val="18"/>
                <w:u w:val="single"/>
              </w:rPr>
              <w:t>REQUIRED</w:t>
            </w:r>
            <w:r w:rsidR="009629DD" w:rsidRPr="00B06F5E">
              <w:rPr>
                <w:rFonts w:ascii="Times New Roman"/>
                <w:b/>
                <w:sz w:val="18"/>
                <w:szCs w:val="18"/>
                <w:u w:val="single"/>
              </w:rPr>
              <w:t xml:space="preserve"> STABLE FUNDING</w:t>
            </w:r>
          </w:p>
          <w:p w14:paraId="60B4F385" w14:textId="77777777" w:rsidR="009629DD" w:rsidRPr="00B06F5E" w:rsidRDefault="009629DD" w:rsidP="006F31B2">
            <w:pPr>
              <w:pStyle w:val="TableParagraph"/>
              <w:ind w:left="102"/>
              <w:rPr>
                <w:rFonts w:ascii="Times New Roman" w:eastAsia="Times New Roman" w:hAnsi="Times New Roman" w:cs="Times New Roman"/>
                <w:sz w:val="18"/>
                <w:szCs w:val="18"/>
              </w:rPr>
            </w:pPr>
          </w:p>
          <w:p w14:paraId="18EF1321" w14:textId="7BE5B2C8" w:rsidR="009629DD" w:rsidRPr="00B06F5E" w:rsidRDefault="008D6BB4" w:rsidP="006F31B2">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1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26BD9C5A" w14:textId="77777777" w:rsidR="009629DD" w:rsidRPr="00B06F5E" w:rsidRDefault="009629DD" w:rsidP="006F31B2">
            <w:pPr>
              <w:pStyle w:val="TableParagraph"/>
              <w:ind w:left="102"/>
              <w:rPr>
                <w:rFonts w:ascii="Times New Roman" w:eastAsia="Times New Roman" w:hAnsi="Times New Roman" w:cs="Times New Roman"/>
                <w:sz w:val="18"/>
                <w:szCs w:val="18"/>
              </w:rPr>
            </w:pPr>
          </w:p>
        </w:tc>
      </w:tr>
      <w:tr w:rsidR="00451BFE" w:rsidRPr="00B06F5E" w14:paraId="5D32139D" w14:textId="77777777" w:rsidTr="006F31B2">
        <w:trPr>
          <w:trHeight w:val="304"/>
        </w:trPr>
        <w:tc>
          <w:tcPr>
            <w:tcW w:w="1418" w:type="dxa"/>
          </w:tcPr>
          <w:p w14:paraId="4B0D5F52" w14:textId="484B706D" w:rsidR="00451BFE" w:rsidRDefault="00451BFE">
            <w:pPr>
              <w:pStyle w:val="TableParagraph"/>
              <w:spacing w:before="118"/>
              <w:ind w:left="57" w:right="96"/>
              <w:jc w:val="both"/>
              <w:rPr>
                <w:rFonts w:ascii="Times New Roman"/>
                <w:sz w:val="18"/>
                <w:szCs w:val="18"/>
              </w:rPr>
            </w:pPr>
            <w:r>
              <w:rPr>
                <w:rFonts w:ascii="Times New Roman"/>
                <w:sz w:val="18"/>
                <w:szCs w:val="18"/>
              </w:rPr>
              <w:t>0020</w:t>
            </w:r>
          </w:p>
        </w:tc>
        <w:tc>
          <w:tcPr>
            <w:tcW w:w="7590" w:type="dxa"/>
          </w:tcPr>
          <w:p w14:paraId="62FE4B0F" w14:textId="7A83747A" w:rsidR="00451BFE" w:rsidRPr="00B06F5E" w:rsidRDefault="00451BFE" w:rsidP="00451BFE">
            <w:pPr>
              <w:pStyle w:val="TableParagraph"/>
              <w:spacing w:before="119"/>
              <w:ind w:left="102"/>
              <w:rPr>
                <w:rFonts w:ascii="Times New Roman"/>
                <w:b/>
                <w:sz w:val="18"/>
                <w:szCs w:val="18"/>
                <w:u w:val="single"/>
              </w:rPr>
            </w:pPr>
            <w:r>
              <w:rPr>
                <w:rFonts w:ascii="Times New Roman"/>
                <w:b/>
                <w:sz w:val="18"/>
                <w:szCs w:val="18"/>
                <w:u w:val="single"/>
              </w:rPr>
              <w:t>1.</w:t>
            </w:r>
            <w:r w:rsidR="00735E79">
              <w:rPr>
                <w:rFonts w:ascii="Times New Roman"/>
                <w:b/>
                <w:sz w:val="18"/>
                <w:szCs w:val="18"/>
                <w:u w:val="single"/>
              </w:rPr>
              <w:t>1</w:t>
            </w:r>
            <w:r>
              <w:rPr>
                <w:rFonts w:ascii="Times New Roman"/>
                <w:b/>
                <w:sz w:val="18"/>
                <w:szCs w:val="18"/>
                <w:u w:val="single"/>
              </w:rPr>
              <w:t xml:space="preserve"> </w:t>
            </w:r>
            <w:r w:rsidRPr="00451BFE">
              <w:rPr>
                <w:rFonts w:ascii="Times New Roman"/>
                <w:b/>
                <w:sz w:val="18"/>
                <w:szCs w:val="18"/>
                <w:u w:val="single"/>
              </w:rPr>
              <w:t>RSF from central bank assets</w:t>
            </w:r>
          </w:p>
          <w:p w14:paraId="50926A1F" w14:textId="77777777" w:rsidR="00451BFE" w:rsidRPr="00B06F5E" w:rsidRDefault="00451BFE" w:rsidP="00451BFE">
            <w:pPr>
              <w:pStyle w:val="TableParagraph"/>
              <w:ind w:left="102"/>
              <w:rPr>
                <w:rFonts w:ascii="Times New Roman" w:eastAsia="Times New Roman" w:hAnsi="Times New Roman" w:cs="Times New Roman"/>
                <w:sz w:val="18"/>
                <w:szCs w:val="18"/>
              </w:rPr>
            </w:pPr>
          </w:p>
          <w:p w14:paraId="1BFE01C7" w14:textId="737A8903" w:rsidR="00451BFE" w:rsidRPr="00B06F5E" w:rsidRDefault="00451BFE" w:rsidP="00451BFE">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1.1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5B0EADE5" w14:textId="77777777" w:rsidR="00451BFE" w:rsidRDefault="00451BFE" w:rsidP="00336100">
            <w:pPr>
              <w:pStyle w:val="TableParagraph"/>
              <w:ind w:left="102"/>
              <w:rPr>
                <w:rFonts w:ascii="Times New Roman"/>
                <w:b/>
                <w:sz w:val="18"/>
                <w:szCs w:val="18"/>
                <w:u w:val="single"/>
              </w:rPr>
            </w:pPr>
          </w:p>
        </w:tc>
      </w:tr>
      <w:tr w:rsidR="00735E79" w:rsidRPr="00B06F5E" w14:paraId="028016AA" w14:textId="77777777" w:rsidTr="006F31B2">
        <w:trPr>
          <w:trHeight w:val="304"/>
        </w:trPr>
        <w:tc>
          <w:tcPr>
            <w:tcW w:w="1418" w:type="dxa"/>
          </w:tcPr>
          <w:p w14:paraId="3C110B4D" w14:textId="601D07EF"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0030</w:t>
            </w:r>
          </w:p>
        </w:tc>
        <w:tc>
          <w:tcPr>
            <w:tcW w:w="7590" w:type="dxa"/>
          </w:tcPr>
          <w:p w14:paraId="588FD426" w14:textId="029EB79E"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 xml:space="preserve">1.2 </w:t>
            </w:r>
            <w:r w:rsidRPr="00735E79">
              <w:rPr>
                <w:rFonts w:ascii="Times New Roman"/>
                <w:b/>
                <w:sz w:val="18"/>
                <w:szCs w:val="18"/>
                <w:u w:val="single"/>
              </w:rPr>
              <w:t>RSF from liquid assets</w:t>
            </w:r>
          </w:p>
          <w:p w14:paraId="20CA884E"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14DBCB4A" w14:textId="2AFBC00D"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1.2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74EB509A" w14:textId="77777777" w:rsidR="00735E79" w:rsidRDefault="00735E79" w:rsidP="00336100">
            <w:pPr>
              <w:pStyle w:val="TableParagraph"/>
              <w:ind w:left="102"/>
              <w:rPr>
                <w:rFonts w:ascii="Times New Roman"/>
                <w:b/>
                <w:sz w:val="18"/>
                <w:szCs w:val="18"/>
                <w:u w:val="single"/>
              </w:rPr>
            </w:pPr>
          </w:p>
        </w:tc>
      </w:tr>
      <w:tr w:rsidR="00735E79" w:rsidRPr="00B06F5E" w14:paraId="01C2AC25" w14:textId="77777777" w:rsidTr="006F31B2">
        <w:trPr>
          <w:trHeight w:val="304"/>
        </w:trPr>
        <w:tc>
          <w:tcPr>
            <w:tcW w:w="1418" w:type="dxa"/>
          </w:tcPr>
          <w:p w14:paraId="3E1D20E0" w14:textId="16FC5B82" w:rsidR="00735E79" w:rsidRDefault="00735E79">
            <w:pPr>
              <w:pStyle w:val="TableParagraph"/>
              <w:spacing w:before="118"/>
              <w:ind w:left="57" w:right="96"/>
              <w:jc w:val="both"/>
              <w:rPr>
                <w:rFonts w:ascii="Times New Roman"/>
                <w:sz w:val="18"/>
                <w:szCs w:val="18"/>
              </w:rPr>
            </w:pPr>
            <w:r>
              <w:rPr>
                <w:rFonts w:ascii="Times New Roman"/>
                <w:sz w:val="18"/>
                <w:szCs w:val="18"/>
              </w:rPr>
              <w:t>0040</w:t>
            </w:r>
          </w:p>
        </w:tc>
        <w:tc>
          <w:tcPr>
            <w:tcW w:w="7590" w:type="dxa"/>
          </w:tcPr>
          <w:p w14:paraId="4247CF63" w14:textId="4B1FC56D"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 xml:space="preserve">1.3 </w:t>
            </w:r>
            <w:r w:rsidR="00FE4B1F" w:rsidRPr="00FE4B1F">
              <w:rPr>
                <w:rFonts w:ascii="Times New Roman"/>
                <w:b/>
                <w:sz w:val="18"/>
                <w:szCs w:val="18"/>
                <w:u w:val="single"/>
              </w:rPr>
              <w:t>RSF from securities other than liquid assets</w:t>
            </w:r>
          </w:p>
          <w:p w14:paraId="57EBD1DE"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0CDF27BD" w14:textId="35E1FC12"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7E82FA20" w14:textId="77777777" w:rsidR="00735E79" w:rsidRDefault="00735E79" w:rsidP="00336100">
            <w:pPr>
              <w:pStyle w:val="TableParagraph"/>
              <w:ind w:left="102"/>
              <w:rPr>
                <w:rFonts w:ascii="Times New Roman"/>
                <w:b/>
                <w:sz w:val="18"/>
                <w:szCs w:val="18"/>
                <w:u w:val="single"/>
              </w:rPr>
            </w:pPr>
          </w:p>
        </w:tc>
      </w:tr>
      <w:tr w:rsidR="00735E79" w:rsidRPr="00B06F5E" w14:paraId="4280B241" w14:textId="77777777" w:rsidTr="006F31B2">
        <w:trPr>
          <w:trHeight w:val="304"/>
        </w:trPr>
        <w:tc>
          <w:tcPr>
            <w:tcW w:w="1418" w:type="dxa"/>
          </w:tcPr>
          <w:p w14:paraId="2452A723" w14:textId="4007214D"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0050</w:t>
            </w:r>
          </w:p>
        </w:tc>
        <w:tc>
          <w:tcPr>
            <w:tcW w:w="7590" w:type="dxa"/>
          </w:tcPr>
          <w:p w14:paraId="6B09FBBF" w14:textId="39F7CB31"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1.</w:t>
            </w:r>
            <w:r w:rsidR="00FE4B1F">
              <w:rPr>
                <w:rFonts w:ascii="Times New Roman"/>
                <w:b/>
                <w:sz w:val="18"/>
                <w:szCs w:val="18"/>
                <w:u w:val="single"/>
              </w:rPr>
              <w:t>4</w:t>
            </w:r>
            <w:r>
              <w:rPr>
                <w:rFonts w:ascii="Times New Roman"/>
                <w:b/>
                <w:sz w:val="18"/>
                <w:szCs w:val="18"/>
                <w:u w:val="single"/>
              </w:rPr>
              <w:t xml:space="preserve"> </w:t>
            </w:r>
            <w:r w:rsidR="00FE4B1F" w:rsidRPr="00FE4B1F">
              <w:rPr>
                <w:rFonts w:ascii="Times New Roman"/>
                <w:b/>
                <w:sz w:val="18"/>
                <w:szCs w:val="18"/>
                <w:u w:val="single"/>
              </w:rPr>
              <w:t>RSF from loans</w:t>
            </w:r>
          </w:p>
          <w:p w14:paraId="790BD16F"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556E83B0" w14:textId="25B01B58"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11E2BD31" w14:textId="77777777" w:rsidR="00735E79" w:rsidRDefault="00735E79" w:rsidP="00336100">
            <w:pPr>
              <w:pStyle w:val="TableParagraph"/>
              <w:ind w:left="102"/>
              <w:rPr>
                <w:rFonts w:ascii="Times New Roman"/>
                <w:b/>
                <w:sz w:val="18"/>
                <w:szCs w:val="18"/>
                <w:u w:val="single"/>
              </w:rPr>
            </w:pPr>
          </w:p>
        </w:tc>
      </w:tr>
      <w:tr w:rsidR="00735E79" w:rsidRPr="00B06F5E" w14:paraId="4100C383" w14:textId="77777777" w:rsidTr="006F31B2">
        <w:trPr>
          <w:trHeight w:val="304"/>
        </w:trPr>
        <w:tc>
          <w:tcPr>
            <w:tcW w:w="1418" w:type="dxa"/>
          </w:tcPr>
          <w:p w14:paraId="5E433CF5" w14:textId="217651BA"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0060</w:t>
            </w:r>
          </w:p>
        </w:tc>
        <w:tc>
          <w:tcPr>
            <w:tcW w:w="7590" w:type="dxa"/>
          </w:tcPr>
          <w:p w14:paraId="2B6434EE" w14:textId="20F955E5"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1.</w:t>
            </w:r>
            <w:r w:rsidR="00FE4B1F">
              <w:rPr>
                <w:rFonts w:ascii="Times New Roman"/>
                <w:b/>
                <w:sz w:val="18"/>
                <w:szCs w:val="18"/>
                <w:u w:val="single"/>
              </w:rPr>
              <w:t>5</w:t>
            </w:r>
            <w:r>
              <w:rPr>
                <w:rFonts w:ascii="Times New Roman"/>
                <w:b/>
                <w:sz w:val="18"/>
                <w:szCs w:val="18"/>
                <w:u w:val="single"/>
              </w:rPr>
              <w:t xml:space="preserve"> </w:t>
            </w:r>
            <w:r w:rsidR="002A628C" w:rsidRPr="00FE4B1F">
              <w:rPr>
                <w:rFonts w:ascii="Times New Roman"/>
                <w:b/>
                <w:sz w:val="18"/>
                <w:szCs w:val="18"/>
                <w:u w:val="single"/>
              </w:rPr>
              <w:t xml:space="preserve">RSF from </w:t>
            </w:r>
            <w:r w:rsidR="002A628C">
              <w:rPr>
                <w:rFonts w:ascii="Times New Roman"/>
                <w:b/>
                <w:sz w:val="18"/>
                <w:szCs w:val="18"/>
                <w:u w:val="single"/>
              </w:rPr>
              <w:t xml:space="preserve">authorised </w:t>
            </w:r>
            <w:r w:rsidR="002A628C" w:rsidRPr="00FE4B1F">
              <w:rPr>
                <w:rFonts w:ascii="Times New Roman"/>
                <w:b/>
                <w:sz w:val="18"/>
                <w:szCs w:val="18"/>
                <w:u w:val="single"/>
              </w:rPr>
              <w:t>interdependent assets</w:t>
            </w:r>
          </w:p>
          <w:p w14:paraId="3E4F60A8"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063BF0D7" w14:textId="3ECB7166"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5</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E0770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54865892" w14:textId="77777777" w:rsidR="00735E79" w:rsidRDefault="00735E79" w:rsidP="00336100">
            <w:pPr>
              <w:pStyle w:val="TableParagraph"/>
              <w:ind w:left="102"/>
              <w:rPr>
                <w:rFonts w:ascii="Times New Roman"/>
                <w:b/>
                <w:sz w:val="18"/>
                <w:szCs w:val="18"/>
                <w:u w:val="single"/>
              </w:rPr>
            </w:pPr>
          </w:p>
        </w:tc>
      </w:tr>
      <w:tr w:rsidR="00735E79" w:rsidRPr="00B06F5E" w14:paraId="40C255C4" w14:textId="77777777" w:rsidTr="006F31B2">
        <w:trPr>
          <w:trHeight w:val="304"/>
        </w:trPr>
        <w:tc>
          <w:tcPr>
            <w:tcW w:w="1418" w:type="dxa"/>
          </w:tcPr>
          <w:p w14:paraId="27D9CFDA" w14:textId="5793810F"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0070</w:t>
            </w:r>
          </w:p>
        </w:tc>
        <w:tc>
          <w:tcPr>
            <w:tcW w:w="7590" w:type="dxa"/>
          </w:tcPr>
          <w:p w14:paraId="6CB00573" w14:textId="2E85EED3"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1.</w:t>
            </w:r>
            <w:r w:rsidR="00FE4B1F">
              <w:rPr>
                <w:rFonts w:ascii="Times New Roman"/>
                <w:b/>
                <w:sz w:val="18"/>
                <w:szCs w:val="18"/>
                <w:u w:val="single"/>
              </w:rPr>
              <w:t>6</w:t>
            </w:r>
            <w:r>
              <w:rPr>
                <w:rFonts w:ascii="Times New Roman"/>
                <w:b/>
                <w:sz w:val="18"/>
                <w:szCs w:val="18"/>
                <w:u w:val="single"/>
              </w:rPr>
              <w:t xml:space="preserve"> </w:t>
            </w:r>
            <w:r w:rsidR="00FE4B1F" w:rsidRPr="00FE4B1F">
              <w:rPr>
                <w:rFonts w:ascii="Times New Roman"/>
                <w:b/>
                <w:sz w:val="18"/>
                <w:szCs w:val="18"/>
                <w:u w:val="single"/>
              </w:rPr>
              <w:t>RSF from assets within a group or an IPS if subject to preferential treatment</w:t>
            </w:r>
          </w:p>
          <w:p w14:paraId="37CDF6BA"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737F116A" w14:textId="1A4BA31D"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6A079A96" w14:textId="77777777" w:rsidR="00735E79" w:rsidRDefault="00735E79" w:rsidP="00336100">
            <w:pPr>
              <w:pStyle w:val="TableParagraph"/>
              <w:ind w:left="102"/>
              <w:rPr>
                <w:rFonts w:ascii="Times New Roman"/>
                <w:b/>
                <w:sz w:val="18"/>
                <w:szCs w:val="18"/>
                <w:u w:val="single"/>
              </w:rPr>
            </w:pPr>
          </w:p>
        </w:tc>
      </w:tr>
      <w:tr w:rsidR="00735E79" w:rsidRPr="00B06F5E" w14:paraId="7C628D1A" w14:textId="77777777" w:rsidTr="006F31B2">
        <w:trPr>
          <w:trHeight w:val="304"/>
        </w:trPr>
        <w:tc>
          <w:tcPr>
            <w:tcW w:w="1418" w:type="dxa"/>
          </w:tcPr>
          <w:p w14:paraId="7A6121E8" w14:textId="318CA1E9"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0080</w:t>
            </w:r>
          </w:p>
        </w:tc>
        <w:tc>
          <w:tcPr>
            <w:tcW w:w="7590" w:type="dxa"/>
          </w:tcPr>
          <w:p w14:paraId="6ED75370" w14:textId="1845F9C8"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1.</w:t>
            </w:r>
            <w:r w:rsidR="00FE4B1F">
              <w:rPr>
                <w:rFonts w:ascii="Times New Roman"/>
                <w:b/>
                <w:sz w:val="18"/>
                <w:szCs w:val="18"/>
                <w:u w:val="single"/>
              </w:rPr>
              <w:t>7</w:t>
            </w:r>
            <w:r>
              <w:rPr>
                <w:rFonts w:ascii="Times New Roman"/>
                <w:b/>
                <w:sz w:val="18"/>
                <w:szCs w:val="18"/>
                <w:u w:val="single"/>
              </w:rPr>
              <w:t xml:space="preserve"> </w:t>
            </w:r>
            <w:r w:rsidR="00FE4B1F" w:rsidRPr="00FE4B1F">
              <w:rPr>
                <w:rFonts w:ascii="Times New Roman"/>
                <w:b/>
                <w:sz w:val="18"/>
                <w:szCs w:val="18"/>
                <w:u w:val="single"/>
              </w:rPr>
              <w:t>RSF from derivatives</w:t>
            </w:r>
          </w:p>
          <w:p w14:paraId="55A8D5AA"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4919BCD7" w14:textId="2E095E16"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7B5EBC16" w14:textId="77777777" w:rsidR="00735E79" w:rsidRDefault="00735E79" w:rsidP="00336100">
            <w:pPr>
              <w:pStyle w:val="TableParagraph"/>
              <w:ind w:left="102"/>
              <w:rPr>
                <w:rFonts w:ascii="Times New Roman"/>
                <w:b/>
                <w:sz w:val="18"/>
                <w:szCs w:val="18"/>
                <w:u w:val="single"/>
              </w:rPr>
            </w:pPr>
          </w:p>
        </w:tc>
      </w:tr>
      <w:tr w:rsidR="00735E79" w:rsidRPr="00B06F5E" w14:paraId="1A623068" w14:textId="77777777" w:rsidTr="006F31B2">
        <w:trPr>
          <w:trHeight w:val="304"/>
        </w:trPr>
        <w:tc>
          <w:tcPr>
            <w:tcW w:w="1418" w:type="dxa"/>
          </w:tcPr>
          <w:p w14:paraId="6BCC1B0C" w14:textId="2A61E5EC" w:rsidR="00735E79" w:rsidRDefault="00735E79" w:rsidP="00735E79">
            <w:pPr>
              <w:pStyle w:val="TableParagraph"/>
              <w:spacing w:before="118"/>
              <w:ind w:left="57" w:right="96"/>
              <w:jc w:val="both"/>
              <w:rPr>
                <w:rFonts w:ascii="Times New Roman"/>
                <w:sz w:val="18"/>
                <w:szCs w:val="18"/>
              </w:rPr>
            </w:pPr>
            <w:r>
              <w:rPr>
                <w:rFonts w:ascii="Times New Roman"/>
                <w:sz w:val="18"/>
                <w:szCs w:val="18"/>
              </w:rPr>
              <w:t>0090</w:t>
            </w:r>
          </w:p>
        </w:tc>
        <w:tc>
          <w:tcPr>
            <w:tcW w:w="7590" w:type="dxa"/>
          </w:tcPr>
          <w:p w14:paraId="1C070C5A" w14:textId="571D5B49" w:rsidR="00735E79" w:rsidRPr="00B06F5E" w:rsidRDefault="00735E79" w:rsidP="00735E79">
            <w:pPr>
              <w:pStyle w:val="TableParagraph"/>
              <w:spacing w:before="119"/>
              <w:ind w:left="102"/>
              <w:rPr>
                <w:rFonts w:ascii="Times New Roman"/>
                <w:b/>
                <w:sz w:val="18"/>
                <w:szCs w:val="18"/>
                <w:u w:val="single"/>
              </w:rPr>
            </w:pPr>
            <w:r>
              <w:rPr>
                <w:rFonts w:ascii="Times New Roman"/>
                <w:b/>
                <w:sz w:val="18"/>
                <w:szCs w:val="18"/>
                <w:u w:val="single"/>
              </w:rPr>
              <w:t>1.</w:t>
            </w:r>
            <w:r w:rsidR="00FE4B1F">
              <w:rPr>
                <w:rFonts w:ascii="Times New Roman"/>
                <w:b/>
                <w:sz w:val="18"/>
                <w:szCs w:val="18"/>
                <w:u w:val="single"/>
              </w:rPr>
              <w:t>8</w:t>
            </w:r>
            <w:r>
              <w:rPr>
                <w:rFonts w:ascii="Times New Roman"/>
                <w:b/>
                <w:sz w:val="18"/>
                <w:szCs w:val="18"/>
                <w:u w:val="single"/>
              </w:rPr>
              <w:t xml:space="preserve"> </w:t>
            </w:r>
            <w:r w:rsidR="00FE4B1F" w:rsidRPr="00FE4B1F">
              <w:rPr>
                <w:rFonts w:ascii="Times New Roman"/>
                <w:b/>
                <w:sz w:val="18"/>
                <w:szCs w:val="18"/>
                <w:u w:val="single"/>
              </w:rPr>
              <w:t>RSF from contributions to CCP default fund</w:t>
            </w:r>
          </w:p>
          <w:p w14:paraId="557195C3" w14:textId="77777777" w:rsidR="00735E79" w:rsidRPr="00B06F5E" w:rsidRDefault="00735E79" w:rsidP="00735E79">
            <w:pPr>
              <w:pStyle w:val="TableParagraph"/>
              <w:ind w:left="102"/>
              <w:rPr>
                <w:rFonts w:ascii="Times New Roman" w:eastAsia="Times New Roman" w:hAnsi="Times New Roman" w:cs="Times New Roman"/>
                <w:sz w:val="18"/>
                <w:szCs w:val="18"/>
              </w:rPr>
            </w:pPr>
          </w:p>
          <w:p w14:paraId="018B351B" w14:textId="7C6734D9" w:rsidR="00735E79" w:rsidRPr="00B06F5E" w:rsidRDefault="00735E79" w:rsidP="00735E79">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Item 1.</w:t>
            </w:r>
            <w:r w:rsidR="00FE4B1F">
              <w:rPr>
                <w:rFonts w:ascii="Times New Roman" w:eastAsia="Times New Roman" w:hAnsi="Times New Roman" w:cs="Times New Roman"/>
                <w:sz w:val="18"/>
                <w:szCs w:val="18"/>
              </w:rPr>
              <w:t>8</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10369E43" w14:textId="77777777" w:rsidR="00735E79" w:rsidRDefault="00735E79" w:rsidP="00336100">
            <w:pPr>
              <w:pStyle w:val="TableParagraph"/>
              <w:ind w:left="102"/>
              <w:rPr>
                <w:rFonts w:ascii="Times New Roman"/>
                <w:b/>
                <w:sz w:val="18"/>
                <w:szCs w:val="18"/>
                <w:u w:val="single"/>
              </w:rPr>
            </w:pPr>
          </w:p>
        </w:tc>
      </w:tr>
      <w:tr w:rsidR="00FE4B1F" w:rsidRPr="00B06F5E" w14:paraId="059C1DDE" w14:textId="77777777" w:rsidTr="006F31B2">
        <w:trPr>
          <w:trHeight w:val="304"/>
        </w:trPr>
        <w:tc>
          <w:tcPr>
            <w:tcW w:w="1418" w:type="dxa"/>
          </w:tcPr>
          <w:p w14:paraId="2B2E85FE" w14:textId="7A4C1203"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0100</w:t>
            </w:r>
          </w:p>
        </w:tc>
        <w:tc>
          <w:tcPr>
            <w:tcW w:w="7590" w:type="dxa"/>
          </w:tcPr>
          <w:p w14:paraId="5455F409" w14:textId="12C793E6"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1.9 </w:t>
            </w:r>
            <w:r w:rsidRPr="00FE4B1F">
              <w:rPr>
                <w:rFonts w:ascii="Times New Roman"/>
                <w:b/>
                <w:sz w:val="18"/>
                <w:szCs w:val="18"/>
                <w:u w:val="single"/>
              </w:rPr>
              <w:t>RSF from other assets</w:t>
            </w:r>
          </w:p>
          <w:p w14:paraId="007FDC95"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443DF567" w14:textId="3076A1E2"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1.9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32D7386B" w14:textId="77777777" w:rsidR="00FE4B1F" w:rsidRDefault="00FE4B1F" w:rsidP="00336100">
            <w:pPr>
              <w:pStyle w:val="TableParagraph"/>
              <w:ind w:left="102"/>
              <w:rPr>
                <w:rFonts w:ascii="Times New Roman"/>
                <w:b/>
                <w:sz w:val="18"/>
                <w:szCs w:val="18"/>
                <w:u w:val="single"/>
              </w:rPr>
            </w:pPr>
          </w:p>
        </w:tc>
      </w:tr>
      <w:tr w:rsidR="00FE4B1F" w:rsidRPr="00B06F5E" w14:paraId="7655F316" w14:textId="77777777" w:rsidTr="006F31B2">
        <w:trPr>
          <w:trHeight w:val="304"/>
        </w:trPr>
        <w:tc>
          <w:tcPr>
            <w:tcW w:w="1418" w:type="dxa"/>
          </w:tcPr>
          <w:p w14:paraId="51327B94" w14:textId="392988CA" w:rsidR="00FE4B1F" w:rsidRDefault="00FE4B1F">
            <w:pPr>
              <w:pStyle w:val="TableParagraph"/>
              <w:spacing w:before="118"/>
              <w:ind w:left="57" w:right="96"/>
              <w:jc w:val="both"/>
              <w:rPr>
                <w:rFonts w:ascii="Times New Roman"/>
                <w:sz w:val="18"/>
                <w:szCs w:val="18"/>
              </w:rPr>
            </w:pPr>
            <w:r>
              <w:rPr>
                <w:rFonts w:ascii="Times New Roman"/>
                <w:sz w:val="18"/>
                <w:szCs w:val="18"/>
              </w:rPr>
              <w:t>0110</w:t>
            </w:r>
          </w:p>
        </w:tc>
        <w:tc>
          <w:tcPr>
            <w:tcW w:w="7590" w:type="dxa"/>
          </w:tcPr>
          <w:p w14:paraId="4591396A" w14:textId="0A8ECB18"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1.10 </w:t>
            </w:r>
            <w:r w:rsidRPr="00FE4B1F">
              <w:rPr>
                <w:rFonts w:ascii="Times New Roman"/>
                <w:b/>
                <w:sz w:val="18"/>
                <w:szCs w:val="18"/>
                <w:u w:val="single"/>
              </w:rPr>
              <w:t>RSF from OBS items</w:t>
            </w:r>
          </w:p>
          <w:p w14:paraId="6F5466B4"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13F5075F" w14:textId="2478AB6F"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1.10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80.00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82.00.</w:t>
            </w:r>
          </w:p>
          <w:p w14:paraId="18BBC3DF" w14:textId="77777777" w:rsidR="00FE4B1F" w:rsidRDefault="00FE4B1F" w:rsidP="00336100">
            <w:pPr>
              <w:pStyle w:val="TableParagraph"/>
              <w:ind w:left="102"/>
              <w:rPr>
                <w:rFonts w:ascii="Times New Roman"/>
                <w:b/>
                <w:sz w:val="18"/>
                <w:szCs w:val="18"/>
                <w:u w:val="single"/>
              </w:rPr>
            </w:pPr>
          </w:p>
        </w:tc>
      </w:tr>
      <w:tr w:rsidR="00FE4B1F" w:rsidRPr="00B06F5E" w14:paraId="4B2D6D35"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0390CF18" w14:textId="2E640E7F" w:rsidR="00FE4B1F" w:rsidRPr="00FE4B1F" w:rsidRDefault="00FE4B1F" w:rsidP="00FE4B1F">
            <w:pPr>
              <w:pStyle w:val="TableParagraph"/>
              <w:spacing w:before="118"/>
              <w:ind w:left="57" w:right="96"/>
              <w:jc w:val="both"/>
              <w:rPr>
                <w:rFonts w:ascii="Times New Roman"/>
                <w:sz w:val="18"/>
                <w:szCs w:val="18"/>
              </w:rPr>
            </w:pPr>
            <w:r>
              <w:rPr>
                <w:rFonts w:ascii="Times New Roman"/>
                <w:sz w:val="18"/>
                <w:szCs w:val="18"/>
              </w:rPr>
              <w:t>0120</w:t>
            </w:r>
          </w:p>
        </w:tc>
        <w:tc>
          <w:tcPr>
            <w:tcW w:w="7590" w:type="dxa"/>
            <w:tcBorders>
              <w:top w:val="single" w:sz="4" w:space="0" w:color="auto"/>
              <w:left w:val="single" w:sz="4" w:space="0" w:color="auto"/>
              <w:bottom w:val="single" w:sz="4" w:space="0" w:color="auto"/>
              <w:right w:val="single" w:sz="4" w:space="0" w:color="auto"/>
            </w:tcBorders>
          </w:tcPr>
          <w:p w14:paraId="0B48368A" w14:textId="6F768D12"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2. AVAILABLE</w:t>
            </w:r>
            <w:r w:rsidRPr="00B06F5E">
              <w:rPr>
                <w:rFonts w:ascii="Times New Roman"/>
                <w:b/>
                <w:sz w:val="18"/>
                <w:szCs w:val="18"/>
                <w:u w:val="single"/>
              </w:rPr>
              <w:t xml:space="preserve"> STABLE FUNDING</w:t>
            </w:r>
          </w:p>
          <w:p w14:paraId="6C61133D"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632BF375" w14:textId="1A208463"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2A628C">
              <w:rPr>
                <w:rFonts w:ascii="Times New Roman" w:eastAsia="Times New Roman" w:hAnsi="Times New Roman" w:cs="Times New Roman"/>
                <w:sz w:val="18"/>
                <w:szCs w:val="18"/>
              </w:rPr>
              <w:t> </w:t>
            </w:r>
            <w:r>
              <w:rPr>
                <w:rFonts w:ascii="Times New Roman" w:eastAsia="Times New Roman" w:hAnsi="Times New Roman" w:cs="Times New Roman"/>
                <w:sz w:val="18"/>
                <w:szCs w:val="18"/>
              </w:rPr>
              <w:t>81.00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83.00.</w:t>
            </w:r>
          </w:p>
          <w:p w14:paraId="7C61B36E" w14:textId="77777777" w:rsidR="00FE4B1F" w:rsidRPr="00FE4B1F" w:rsidRDefault="00FE4B1F" w:rsidP="00336100">
            <w:pPr>
              <w:pStyle w:val="TableParagraph"/>
              <w:ind w:left="102"/>
              <w:rPr>
                <w:rFonts w:ascii="Times New Roman"/>
                <w:b/>
                <w:sz w:val="18"/>
                <w:szCs w:val="18"/>
                <w:u w:val="single"/>
              </w:rPr>
            </w:pPr>
          </w:p>
        </w:tc>
      </w:tr>
      <w:tr w:rsidR="00FE4B1F" w14:paraId="3AFBF9CC"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28C379F9" w14:textId="36FA6B4D" w:rsidR="00FE4B1F" w:rsidRDefault="00FE4B1F">
            <w:pPr>
              <w:pStyle w:val="TableParagraph"/>
              <w:spacing w:before="118"/>
              <w:ind w:left="57" w:right="96"/>
              <w:jc w:val="both"/>
              <w:rPr>
                <w:rFonts w:ascii="Times New Roman"/>
                <w:sz w:val="18"/>
                <w:szCs w:val="18"/>
              </w:rPr>
            </w:pPr>
            <w:r>
              <w:rPr>
                <w:rFonts w:ascii="Times New Roman"/>
                <w:sz w:val="18"/>
                <w:szCs w:val="18"/>
              </w:rPr>
              <w:t>0130</w:t>
            </w:r>
          </w:p>
        </w:tc>
        <w:tc>
          <w:tcPr>
            <w:tcW w:w="7590" w:type="dxa"/>
            <w:tcBorders>
              <w:top w:val="single" w:sz="4" w:space="0" w:color="auto"/>
              <w:left w:val="single" w:sz="4" w:space="0" w:color="auto"/>
              <w:bottom w:val="single" w:sz="4" w:space="0" w:color="auto"/>
              <w:right w:val="single" w:sz="4" w:space="0" w:color="auto"/>
            </w:tcBorders>
          </w:tcPr>
          <w:p w14:paraId="158C7A96" w14:textId="11F51D8C"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2.1 </w:t>
            </w:r>
            <w:r w:rsidRPr="00FE4B1F">
              <w:rPr>
                <w:rFonts w:ascii="Times New Roman"/>
                <w:b/>
                <w:sz w:val="18"/>
                <w:szCs w:val="18"/>
                <w:u w:val="single"/>
              </w:rPr>
              <w:t>ASF from capital items and instruments</w:t>
            </w:r>
          </w:p>
          <w:p w14:paraId="49478E21"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59246652" w14:textId="6B484628"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2.1 of </w:t>
            </w:r>
            <w:r w:rsidR="006B6363">
              <w:rPr>
                <w:rFonts w:ascii="Times New Roman" w:eastAsia="Times New Roman" w:hAnsi="Times New Roman" w:cs="Times New Roman"/>
                <w:sz w:val="18"/>
                <w:szCs w:val="18"/>
              </w:rPr>
              <w:t xml:space="preserve">reporting templates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81.00 and 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83.00.</w:t>
            </w:r>
          </w:p>
          <w:p w14:paraId="639735E8" w14:textId="77777777" w:rsidR="00FE4B1F" w:rsidRDefault="00FE4B1F" w:rsidP="00336100">
            <w:pPr>
              <w:pStyle w:val="TableParagraph"/>
              <w:ind w:left="102"/>
              <w:rPr>
                <w:rFonts w:ascii="Times New Roman"/>
                <w:b/>
                <w:sz w:val="18"/>
                <w:szCs w:val="18"/>
                <w:u w:val="single"/>
              </w:rPr>
            </w:pPr>
          </w:p>
        </w:tc>
      </w:tr>
      <w:tr w:rsidR="00FE4B1F" w14:paraId="5EF78976"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6FAACBE4" w14:textId="031AEBEF"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0140</w:t>
            </w:r>
          </w:p>
        </w:tc>
        <w:tc>
          <w:tcPr>
            <w:tcW w:w="7590" w:type="dxa"/>
            <w:tcBorders>
              <w:top w:val="single" w:sz="4" w:space="0" w:color="auto"/>
              <w:left w:val="single" w:sz="4" w:space="0" w:color="auto"/>
              <w:bottom w:val="single" w:sz="4" w:space="0" w:color="auto"/>
              <w:right w:val="single" w:sz="4" w:space="0" w:color="auto"/>
            </w:tcBorders>
          </w:tcPr>
          <w:p w14:paraId="62E400DA" w14:textId="21EEDFD2"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2.2 </w:t>
            </w:r>
            <w:r w:rsidRPr="00FE4B1F">
              <w:rPr>
                <w:rFonts w:ascii="Times New Roman"/>
                <w:b/>
                <w:sz w:val="18"/>
                <w:szCs w:val="18"/>
                <w:u w:val="single"/>
              </w:rPr>
              <w:t>ASF from retail deposits</w:t>
            </w:r>
          </w:p>
          <w:p w14:paraId="60018A21"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361CF326" w14:textId="349EC8DB"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2.2 of </w:t>
            </w:r>
            <w:r w:rsidR="006B6363">
              <w:rPr>
                <w:rFonts w:ascii="Times New Roman" w:eastAsia="Times New Roman" w:hAnsi="Times New Roman" w:cs="Times New Roman"/>
                <w:sz w:val="18"/>
                <w:szCs w:val="18"/>
              </w:rPr>
              <w:t xml:space="preserve">reporting templates </w:t>
            </w:r>
            <w:r>
              <w:rPr>
                <w:rFonts w:ascii="Times New Roman" w:eastAsia="Times New Roman" w:hAnsi="Times New Roman" w:cs="Times New Roman"/>
                <w:sz w:val="18"/>
                <w:szCs w:val="18"/>
              </w:rPr>
              <w:t>C</w:t>
            </w:r>
            <w:r w:rsidR="002A628C">
              <w:rPr>
                <w:rFonts w:ascii="Times New Roman" w:eastAsia="Times New Roman" w:hAnsi="Times New Roman" w:cs="Times New Roman"/>
                <w:sz w:val="18"/>
                <w:szCs w:val="18"/>
              </w:rPr>
              <w:t> </w:t>
            </w:r>
            <w:r>
              <w:rPr>
                <w:rFonts w:ascii="Times New Roman" w:eastAsia="Times New Roman" w:hAnsi="Times New Roman" w:cs="Times New Roman"/>
                <w:sz w:val="18"/>
                <w:szCs w:val="18"/>
              </w:rPr>
              <w:t>81.00 and C 83.00.</w:t>
            </w:r>
          </w:p>
          <w:p w14:paraId="12F1BD4A" w14:textId="77777777" w:rsidR="00FE4B1F" w:rsidRDefault="00FE4B1F" w:rsidP="00336100">
            <w:pPr>
              <w:pStyle w:val="TableParagraph"/>
              <w:ind w:left="102"/>
              <w:rPr>
                <w:rFonts w:ascii="Times New Roman"/>
                <w:b/>
                <w:sz w:val="18"/>
                <w:szCs w:val="18"/>
                <w:u w:val="single"/>
              </w:rPr>
            </w:pPr>
          </w:p>
        </w:tc>
      </w:tr>
      <w:tr w:rsidR="00FE4B1F" w14:paraId="136D79CC"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59615BF1" w14:textId="666C7F92"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0150</w:t>
            </w:r>
          </w:p>
        </w:tc>
        <w:tc>
          <w:tcPr>
            <w:tcW w:w="7590" w:type="dxa"/>
            <w:tcBorders>
              <w:top w:val="single" w:sz="4" w:space="0" w:color="auto"/>
              <w:left w:val="single" w:sz="4" w:space="0" w:color="auto"/>
              <w:bottom w:val="single" w:sz="4" w:space="0" w:color="auto"/>
              <w:right w:val="single" w:sz="4" w:space="0" w:color="auto"/>
            </w:tcBorders>
          </w:tcPr>
          <w:p w14:paraId="1C23A8B2" w14:textId="39B47921"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2.3 </w:t>
            </w:r>
            <w:r w:rsidRPr="00FE4B1F">
              <w:rPr>
                <w:rFonts w:ascii="Times New Roman"/>
                <w:b/>
                <w:sz w:val="18"/>
                <w:szCs w:val="18"/>
                <w:u w:val="single"/>
              </w:rPr>
              <w:t>ASF from other non-financial customers (except central banks)</w:t>
            </w:r>
          </w:p>
          <w:p w14:paraId="1F0B6944"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13D21CD0" w14:textId="767C34F8"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2.3 (except 2.3.0.2) of </w:t>
            </w:r>
            <w:r w:rsidR="006B6363">
              <w:rPr>
                <w:rFonts w:ascii="Times New Roman" w:eastAsia="Times New Roman" w:hAnsi="Times New Roman" w:cs="Times New Roman"/>
                <w:sz w:val="18"/>
                <w:szCs w:val="18"/>
              </w:rPr>
              <w:t xml:space="preserve">reporting template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w:t>
            </w:r>
            <w:r w:rsidR="006B6363">
              <w:rPr>
                <w:rFonts w:ascii="Times New Roman" w:eastAsia="Times New Roman" w:hAnsi="Times New Roman" w:cs="Times New Roman"/>
                <w:sz w:val="18"/>
                <w:szCs w:val="18"/>
              </w:rPr>
              <w:t xml:space="preserve">reporting template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83.00.</w:t>
            </w:r>
          </w:p>
          <w:p w14:paraId="33886A94" w14:textId="77777777" w:rsidR="00FE4B1F" w:rsidRDefault="00FE4B1F" w:rsidP="00336100">
            <w:pPr>
              <w:pStyle w:val="TableParagraph"/>
              <w:ind w:left="102"/>
              <w:rPr>
                <w:rFonts w:ascii="Times New Roman"/>
                <w:b/>
                <w:sz w:val="18"/>
                <w:szCs w:val="18"/>
                <w:u w:val="single"/>
              </w:rPr>
            </w:pPr>
          </w:p>
        </w:tc>
      </w:tr>
      <w:tr w:rsidR="00FE4B1F" w14:paraId="20C007CB"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69E64C44" w14:textId="2A186A11"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0160</w:t>
            </w:r>
          </w:p>
        </w:tc>
        <w:tc>
          <w:tcPr>
            <w:tcW w:w="7590" w:type="dxa"/>
            <w:tcBorders>
              <w:top w:val="single" w:sz="4" w:space="0" w:color="auto"/>
              <w:left w:val="single" w:sz="4" w:space="0" w:color="auto"/>
              <w:bottom w:val="single" w:sz="4" w:space="0" w:color="auto"/>
              <w:right w:val="single" w:sz="4" w:space="0" w:color="auto"/>
            </w:tcBorders>
          </w:tcPr>
          <w:p w14:paraId="15BFE482" w14:textId="317F87AC"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2.4 </w:t>
            </w:r>
            <w:r w:rsidRPr="00FE4B1F">
              <w:rPr>
                <w:rFonts w:ascii="Times New Roman"/>
                <w:b/>
                <w:sz w:val="18"/>
                <w:szCs w:val="18"/>
                <w:u w:val="single"/>
              </w:rPr>
              <w:t>ASF from operational deposits</w:t>
            </w:r>
          </w:p>
          <w:p w14:paraId="7DAE058C"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1817C027" w14:textId="725FA368"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Items 2.3.0.2 and 2.5.3.1 of </w:t>
            </w:r>
            <w:r w:rsidR="006B6363">
              <w:rPr>
                <w:rFonts w:ascii="Times New Roman" w:eastAsia="Times New Roman" w:hAnsi="Times New Roman" w:cs="Times New Roman"/>
                <w:sz w:val="18"/>
                <w:szCs w:val="18"/>
              </w:rPr>
              <w:t xml:space="preserve">reporting template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2.4 of </w:t>
            </w:r>
            <w:r w:rsidR="006B6363">
              <w:rPr>
                <w:rFonts w:ascii="Times New Roman" w:eastAsia="Times New Roman" w:hAnsi="Times New Roman" w:cs="Times New Roman"/>
                <w:sz w:val="18"/>
                <w:szCs w:val="18"/>
              </w:rPr>
              <w:t xml:space="preserve">reporting template </w:t>
            </w:r>
            <w:r>
              <w:rPr>
                <w:rFonts w:ascii="Times New Roman" w:eastAsia="Times New Roman" w:hAnsi="Times New Roman" w:cs="Times New Roman"/>
                <w:sz w:val="18"/>
                <w:szCs w:val="18"/>
              </w:rPr>
              <w:t>C</w:t>
            </w:r>
            <w:r w:rsidR="00C41B47">
              <w:rPr>
                <w:rFonts w:ascii="Times New Roman" w:eastAsia="Times New Roman" w:hAnsi="Times New Roman" w:cs="Times New Roman"/>
                <w:sz w:val="18"/>
                <w:szCs w:val="18"/>
              </w:rPr>
              <w:t> </w:t>
            </w:r>
            <w:r>
              <w:rPr>
                <w:rFonts w:ascii="Times New Roman" w:eastAsia="Times New Roman" w:hAnsi="Times New Roman" w:cs="Times New Roman"/>
                <w:sz w:val="18"/>
                <w:szCs w:val="18"/>
              </w:rPr>
              <w:t>83.00.</w:t>
            </w:r>
          </w:p>
          <w:p w14:paraId="00E3083F" w14:textId="77777777" w:rsidR="00FE4B1F" w:rsidRDefault="00FE4B1F" w:rsidP="00336100">
            <w:pPr>
              <w:pStyle w:val="TableParagraph"/>
              <w:ind w:left="102"/>
              <w:rPr>
                <w:rFonts w:ascii="Times New Roman"/>
                <w:b/>
                <w:sz w:val="18"/>
                <w:szCs w:val="18"/>
                <w:u w:val="single"/>
              </w:rPr>
            </w:pPr>
          </w:p>
        </w:tc>
      </w:tr>
      <w:tr w:rsidR="00FE4B1F" w14:paraId="54E2936A"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01F7C55A" w14:textId="78A398C3"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0170</w:t>
            </w:r>
          </w:p>
        </w:tc>
        <w:tc>
          <w:tcPr>
            <w:tcW w:w="7590" w:type="dxa"/>
            <w:tcBorders>
              <w:top w:val="single" w:sz="4" w:space="0" w:color="auto"/>
              <w:left w:val="single" w:sz="4" w:space="0" w:color="auto"/>
              <w:bottom w:val="single" w:sz="4" w:space="0" w:color="auto"/>
              <w:right w:val="single" w:sz="4" w:space="0" w:color="auto"/>
            </w:tcBorders>
          </w:tcPr>
          <w:p w14:paraId="5204B3DF" w14:textId="127CE2D7"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2.5 </w:t>
            </w:r>
            <w:r w:rsidRPr="00FE4B1F">
              <w:rPr>
                <w:rFonts w:ascii="Times New Roman"/>
                <w:b/>
                <w:sz w:val="18"/>
                <w:szCs w:val="18"/>
                <w:u w:val="single"/>
              </w:rPr>
              <w:t>ASF from liabilities within a group or an IPS if subject to preferential treatment</w:t>
            </w:r>
          </w:p>
          <w:p w14:paraId="197562C8"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505870EB" w14:textId="486CD26A" w:rsidR="00FE4B1F" w:rsidRDefault="00FE4B1F" w:rsidP="00336100">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2.4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2.5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83.00.</w:t>
            </w:r>
          </w:p>
          <w:p w14:paraId="39C85145" w14:textId="4AC706B0" w:rsidR="00FE4B1F" w:rsidRDefault="00FE4B1F" w:rsidP="00336100">
            <w:pPr>
              <w:pStyle w:val="TableParagraph"/>
              <w:ind w:left="102"/>
              <w:rPr>
                <w:rFonts w:ascii="Times New Roman"/>
                <w:b/>
                <w:sz w:val="18"/>
                <w:szCs w:val="18"/>
                <w:u w:val="single"/>
              </w:rPr>
            </w:pPr>
          </w:p>
        </w:tc>
      </w:tr>
      <w:tr w:rsidR="00FE4B1F" w14:paraId="306FDE6E"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133E3110" w14:textId="352209F1"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0180</w:t>
            </w:r>
          </w:p>
        </w:tc>
        <w:tc>
          <w:tcPr>
            <w:tcW w:w="7590" w:type="dxa"/>
            <w:tcBorders>
              <w:top w:val="single" w:sz="4" w:space="0" w:color="auto"/>
              <w:left w:val="single" w:sz="4" w:space="0" w:color="auto"/>
              <w:bottom w:val="single" w:sz="4" w:space="0" w:color="auto"/>
              <w:right w:val="single" w:sz="4" w:space="0" w:color="auto"/>
            </w:tcBorders>
          </w:tcPr>
          <w:p w14:paraId="39ED8E91" w14:textId="3333D105" w:rsidR="00FE4B1F" w:rsidRPr="00B06F5E" w:rsidRDefault="00FE4B1F" w:rsidP="00FE4B1F">
            <w:pPr>
              <w:pStyle w:val="TableParagraph"/>
              <w:spacing w:before="119"/>
              <w:ind w:left="102"/>
              <w:rPr>
                <w:rFonts w:ascii="Times New Roman"/>
                <w:b/>
                <w:sz w:val="18"/>
                <w:szCs w:val="18"/>
                <w:u w:val="single"/>
              </w:rPr>
            </w:pPr>
            <w:r>
              <w:rPr>
                <w:rFonts w:ascii="Times New Roman"/>
                <w:b/>
                <w:sz w:val="18"/>
                <w:szCs w:val="18"/>
                <w:u w:val="single"/>
              </w:rPr>
              <w:t xml:space="preserve">2.6 </w:t>
            </w:r>
            <w:r w:rsidRPr="00FE4B1F">
              <w:rPr>
                <w:rFonts w:ascii="Times New Roman"/>
                <w:b/>
                <w:sz w:val="18"/>
                <w:szCs w:val="18"/>
                <w:u w:val="single"/>
              </w:rPr>
              <w:t>ASF from financial customers and central banks</w:t>
            </w:r>
          </w:p>
          <w:p w14:paraId="69832B1D"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6819DA97" w14:textId="3D4EE1A8" w:rsidR="00FE4B1F" w:rsidRPr="00B06F5E" w:rsidRDefault="00A272B0" w:rsidP="00FE4B1F">
            <w:pPr>
              <w:pStyle w:val="TableParagraph"/>
              <w:ind w:left="102"/>
              <w:rPr>
                <w:rFonts w:ascii="Times New Roman" w:eastAsia="Times New Roman" w:hAnsi="Times New Roman" w:cs="Times New Roman"/>
                <w:sz w:val="18"/>
                <w:szCs w:val="18"/>
              </w:rPr>
            </w:pPr>
            <w:r w:rsidRPr="00A272B0">
              <w:rPr>
                <w:rFonts w:ascii="Times New Roman" w:eastAsia="Times New Roman" w:hAnsi="Times New Roman" w:cs="Times New Roman"/>
                <w:sz w:val="18"/>
                <w:szCs w:val="18"/>
              </w:rPr>
              <w:t xml:space="preserve">Item 2.5 (except 2.5.3.1) </w:t>
            </w:r>
            <w:r w:rsidR="00FE4B1F">
              <w:rPr>
                <w:rFonts w:ascii="Times New Roman" w:eastAsia="Times New Roman" w:hAnsi="Times New Roman" w:cs="Times New Roman"/>
                <w:sz w:val="18"/>
                <w:szCs w:val="18"/>
              </w:rPr>
              <w:t xml:space="preserve">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sidR="00FE4B1F">
              <w:rPr>
                <w:rFonts w:ascii="Times New Roman" w:eastAsia="Times New Roman" w:hAnsi="Times New Roman" w:cs="Times New Roman"/>
                <w:sz w:val="18"/>
                <w:szCs w:val="18"/>
              </w:rPr>
              <w:t xml:space="preserve">81.00 and </w:t>
            </w:r>
            <w:r>
              <w:rPr>
                <w:rFonts w:ascii="Times New Roman" w:eastAsia="Times New Roman" w:hAnsi="Times New Roman" w:cs="Times New Roman"/>
                <w:sz w:val="18"/>
                <w:szCs w:val="18"/>
              </w:rPr>
              <w:t xml:space="preserve">2.6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sidR="00FE4B1F">
              <w:rPr>
                <w:rFonts w:ascii="Times New Roman" w:eastAsia="Times New Roman" w:hAnsi="Times New Roman" w:cs="Times New Roman"/>
                <w:sz w:val="18"/>
                <w:szCs w:val="18"/>
              </w:rPr>
              <w:t>83.00.</w:t>
            </w:r>
          </w:p>
          <w:p w14:paraId="02E1EDE3" w14:textId="77777777" w:rsidR="00FE4B1F" w:rsidRDefault="00FE4B1F" w:rsidP="00336100">
            <w:pPr>
              <w:pStyle w:val="TableParagraph"/>
              <w:ind w:left="102"/>
              <w:rPr>
                <w:rFonts w:ascii="Times New Roman"/>
                <w:b/>
                <w:sz w:val="18"/>
                <w:szCs w:val="18"/>
                <w:u w:val="single"/>
              </w:rPr>
            </w:pPr>
          </w:p>
        </w:tc>
      </w:tr>
      <w:tr w:rsidR="00FE4B1F" w14:paraId="5736619B"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4EB4E7F2" w14:textId="7392EDCF" w:rsidR="00FE4B1F" w:rsidRDefault="00FE4B1F" w:rsidP="00FE4B1F">
            <w:pPr>
              <w:pStyle w:val="TableParagraph"/>
              <w:spacing w:before="118"/>
              <w:ind w:left="57" w:right="96"/>
              <w:jc w:val="both"/>
              <w:rPr>
                <w:rFonts w:ascii="Times New Roman"/>
                <w:sz w:val="18"/>
                <w:szCs w:val="18"/>
              </w:rPr>
            </w:pPr>
            <w:r>
              <w:rPr>
                <w:rFonts w:ascii="Times New Roman"/>
                <w:sz w:val="18"/>
                <w:szCs w:val="18"/>
              </w:rPr>
              <w:t>0190</w:t>
            </w:r>
          </w:p>
        </w:tc>
        <w:tc>
          <w:tcPr>
            <w:tcW w:w="7590" w:type="dxa"/>
            <w:tcBorders>
              <w:top w:val="single" w:sz="4" w:space="0" w:color="auto"/>
              <w:left w:val="single" w:sz="4" w:space="0" w:color="auto"/>
              <w:bottom w:val="single" w:sz="4" w:space="0" w:color="auto"/>
              <w:right w:val="single" w:sz="4" w:space="0" w:color="auto"/>
            </w:tcBorders>
          </w:tcPr>
          <w:p w14:paraId="4CEAB62A" w14:textId="17DD633A" w:rsidR="00FE4B1F" w:rsidRPr="00B06F5E" w:rsidRDefault="00A272B0" w:rsidP="00FE4B1F">
            <w:pPr>
              <w:pStyle w:val="TableParagraph"/>
              <w:spacing w:before="119"/>
              <w:ind w:left="102"/>
              <w:rPr>
                <w:rFonts w:ascii="Times New Roman"/>
                <w:b/>
                <w:sz w:val="18"/>
                <w:szCs w:val="18"/>
                <w:u w:val="single"/>
              </w:rPr>
            </w:pPr>
            <w:r>
              <w:rPr>
                <w:rFonts w:ascii="Times New Roman"/>
                <w:b/>
                <w:sz w:val="18"/>
                <w:szCs w:val="18"/>
                <w:u w:val="single"/>
              </w:rPr>
              <w:t>2</w:t>
            </w:r>
            <w:r w:rsidR="00FE4B1F">
              <w:rPr>
                <w:rFonts w:ascii="Times New Roman"/>
                <w:b/>
                <w:sz w:val="18"/>
                <w:szCs w:val="18"/>
                <w:u w:val="single"/>
              </w:rPr>
              <w:t xml:space="preserve">.7 </w:t>
            </w:r>
            <w:r w:rsidRPr="00A272B0">
              <w:rPr>
                <w:rFonts w:ascii="Times New Roman"/>
                <w:b/>
                <w:sz w:val="18"/>
                <w:szCs w:val="18"/>
                <w:u w:val="single"/>
              </w:rPr>
              <w:t>ASF from liabilities provided where the counterparty cannot be determined</w:t>
            </w:r>
          </w:p>
          <w:p w14:paraId="635B40D9"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3ED3ABA2" w14:textId="48CB4562" w:rsidR="00FE4B1F" w:rsidRPr="00B06F5E" w:rsidRDefault="00FE4B1F" w:rsidP="00FE4B1F">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w:t>
            </w:r>
            <w:r w:rsidR="00A272B0">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w:t>
            </w:r>
            <w:r w:rsidR="00A272B0">
              <w:rPr>
                <w:rFonts w:ascii="Times New Roman" w:eastAsia="Times New Roman" w:hAnsi="Times New Roman" w:cs="Times New Roman"/>
                <w:sz w:val="18"/>
                <w:szCs w:val="18"/>
              </w:rPr>
              <w:t xml:space="preserve">2.7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83.00.</w:t>
            </w:r>
          </w:p>
          <w:p w14:paraId="638A99AD" w14:textId="77777777" w:rsidR="00FE4B1F" w:rsidRDefault="00FE4B1F" w:rsidP="00336100">
            <w:pPr>
              <w:pStyle w:val="TableParagraph"/>
              <w:ind w:left="102"/>
              <w:rPr>
                <w:rFonts w:ascii="Times New Roman"/>
                <w:b/>
                <w:sz w:val="18"/>
                <w:szCs w:val="18"/>
                <w:u w:val="single"/>
              </w:rPr>
            </w:pPr>
          </w:p>
        </w:tc>
      </w:tr>
      <w:tr w:rsidR="00FE4B1F" w14:paraId="387848A3" w14:textId="77777777" w:rsidTr="00FE4B1F">
        <w:trPr>
          <w:trHeight w:val="304"/>
        </w:trPr>
        <w:tc>
          <w:tcPr>
            <w:tcW w:w="1418" w:type="dxa"/>
            <w:tcBorders>
              <w:top w:val="single" w:sz="4" w:space="0" w:color="auto"/>
              <w:left w:val="single" w:sz="4" w:space="0" w:color="auto"/>
              <w:bottom w:val="single" w:sz="4" w:space="0" w:color="auto"/>
              <w:right w:val="single" w:sz="4" w:space="0" w:color="auto"/>
            </w:tcBorders>
          </w:tcPr>
          <w:p w14:paraId="5C4B5664" w14:textId="46B83D96" w:rsidR="00FE4B1F" w:rsidRDefault="00FE4B1F" w:rsidP="00FE4B1F">
            <w:pPr>
              <w:pStyle w:val="TableParagraph"/>
              <w:spacing w:before="118"/>
              <w:ind w:left="57" w:right="96"/>
              <w:jc w:val="both"/>
              <w:rPr>
                <w:rFonts w:ascii="Times New Roman"/>
                <w:sz w:val="18"/>
                <w:szCs w:val="18"/>
              </w:rPr>
            </w:pPr>
            <w:r>
              <w:rPr>
                <w:rFonts w:ascii="Times New Roman"/>
                <w:sz w:val="18"/>
                <w:szCs w:val="18"/>
              </w:rPr>
              <w:t>0200</w:t>
            </w:r>
          </w:p>
        </w:tc>
        <w:tc>
          <w:tcPr>
            <w:tcW w:w="7590" w:type="dxa"/>
            <w:tcBorders>
              <w:top w:val="single" w:sz="4" w:space="0" w:color="auto"/>
              <w:left w:val="single" w:sz="4" w:space="0" w:color="auto"/>
              <w:bottom w:val="single" w:sz="4" w:space="0" w:color="auto"/>
              <w:right w:val="single" w:sz="4" w:space="0" w:color="auto"/>
            </w:tcBorders>
          </w:tcPr>
          <w:p w14:paraId="259DFAA9" w14:textId="3D57AD97" w:rsidR="00FE4B1F" w:rsidRPr="00B06F5E" w:rsidRDefault="00A272B0" w:rsidP="00FE4B1F">
            <w:pPr>
              <w:pStyle w:val="TableParagraph"/>
              <w:spacing w:before="119"/>
              <w:ind w:left="102"/>
              <w:rPr>
                <w:rFonts w:ascii="Times New Roman"/>
                <w:b/>
                <w:sz w:val="18"/>
                <w:szCs w:val="18"/>
                <w:u w:val="single"/>
              </w:rPr>
            </w:pPr>
            <w:r>
              <w:rPr>
                <w:rFonts w:ascii="Times New Roman"/>
                <w:b/>
                <w:sz w:val="18"/>
                <w:szCs w:val="18"/>
                <w:u w:val="single"/>
              </w:rPr>
              <w:t>2</w:t>
            </w:r>
            <w:r w:rsidR="00FE4B1F">
              <w:rPr>
                <w:rFonts w:ascii="Times New Roman"/>
                <w:b/>
                <w:sz w:val="18"/>
                <w:szCs w:val="18"/>
                <w:u w:val="single"/>
              </w:rPr>
              <w:t xml:space="preserve">.8 </w:t>
            </w:r>
            <w:r w:rsidR="002A628C" w:rsidRPr="00A272B0">
              <w:rPr>
                <w:rFonts w:ascii="Times New Roman"/>
                <w:b/>
                <w:sz w:val="18"/>
                <w:szCs w:val="18"/>
                <w:u w:val="single"/>
              </w:rPr>
              <w:t>ASF from authorised interdependent liabilities</w:t>
            </w:r>
          </w:p>
          <w:p w14:paraId="38A5FEDC" w14:textId="77777777" w:rsidR="00FE4B1F" w:rsidRPr="00B06F5E" w:rsidRDefault="00FE4B1F" w:rsidP="00FE4B1F">
            <w:pPr>
              <w:pStyle w:val="TableParagraph"/>
              <w:ind w:left="102"/>
              <w:rPr>
                <w:rFonts w:ascii="Times New Roman" w:eastAsia="Times New Roman" w:hAnsi="Times New Roman" w:cs="Times New Roman"/>
                <w:sz w:val="18"/>
                <w:szCs w:val="18"/>
              </w:rPr>
            </w:pPr>
          </w:p>
          <w:p w14:paraId="5D588330" w14:textId="4D957709" w:rsidR="00FE4B1F" w:rsidRDefault="00FE4B1F" w:rsidP="00336100">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w:t>
            </w:r>
            <w:r w:rsidR="00A272B0">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.8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83.00.</w:t>
            </w:r>
          </w:p>
          <w:p w14:paraId="5F32BC8D" w14:textId="5C0F9874" w:rsidR="00FE4B1F" w:rsidRDefault="00FE4B1F" w:rsidP="00336100">
            <w:pPr>
              <w:pStyle w:val="TableParagraph"/>
              <w:ind w:left="102"/>
              <w:rPr>
                <w:rFonts w:ascii="Times New Roman"/>
                <w:b/>
                <w:sz w:val="18"/>
                <w:szCs w:val="18"/>
                <w:u w:val="single"/>
              </w:rPr>
            </w:pPr>
          </w:p>
        </w:tc>
      </w:tr>
      <w:tr w:rsidR="00A272B0" w14:paraId="06E170B0" w14:textId="77777777" w:rsidTr="00A272B0">
        <w:trPr>
          <w:trHeight w:val="304"/>
        </w:trPr>
        <w:tc>
          <w:tcPr>
            <w:tcW w:w="1418" w:type="dxa"/>
            <w:tcBorders>
              <w:top w:val="single" w:sz="4" w:space="0" w:color="auto"/>
              <w:left w:val="single" w:sz="4" w:space="0" w:color="auto"/>
              <w:bottom w:val="single" w:sz="4" w:space="0" w:color="auto"/>
              <w:right w:val="single" w:sz="4" w:space="0" w:color="auto"/>
            </w:tcBorders>
          </w:tcPr>
          <w:p w14:paraId="3BE85298" w14:textId="5DE73ED9" w:rsidR="00A272B0" w:rsidRDefault="00A272B0">
            <w:pPr>
              <w:pStyle w:val="TableParagraph"/>
              <w:spacing w:before="118"/>
              <w:ind w:left="57" w:right="96"/>
              <w:jc w:val="both"/>
              <w:rPr>
                <w:rFonts w:ascii="Times New Roman"/>
                <w:sz w:val="18"/>
                <w:szCs w:val="18"/>
              </w:rPr>
            </w:pPr>
            <w:r>
              <w:rPr>
                <w:rFonts w:ascii="Times New Roman"/>
                <w:sz w:val="18"/>
                <w:szCs w:val="18"/>
              </w:rPr>
              <w:t>0210</w:t>
            </w:r>
          </w:p>
        </w:tc>
        <w:tc>
          <w:tcPr>
            <w:tcW w:w="7590" w:type="dxa"/>
            <w:tcBorders>
              <w:top w:val="single" w:sz="4" w:space="0" w:color="auto"/>
              <w:left w:val="single" w:sz="4" w:space="0" w:color="auto"/>
              <w:bottom w:val="single" w:sz="4" w:space="0" w:color="auto"/>
              <w:right w:val="single" w:sz="4" w:space="0" w:color="auto"/>
            </w:tcBorders>
          </w:tcPr>
          <w:p w14:paraId="617B5D6A" w14:textId="50DF9C28" w:rsidR="00A272B0" w:rsidRPr="00B06F5E" w:rsidRDefault="00A272B0" w:rsidP="00A272B0">
            <w:pPr>
              <w:pStyle w:val="TableParagraph"/>
              <w:spacing w:before="119"/>
              <w:ind w:left="102"/>
              <w:rPr>
                <w:rFonts w:ascii="Times New Roman"/>
                <w:b/>
                <w:sz w:val="18"/>
                <w:szCs w:val="18"/>
                <w:u w:val="single"/>
              </w:rPr>
            </w:pPr>
            <w:r>
              <w:rPr>
                <w:rFonts w:ascii="Times New Roman"/>
                <w:b/>
                <w:sz w:val="18"/>
                <w:szCs w:val="18"/>
                <w:u w:val="single"/>
              </w:rPr>
              <w:t xml:space="preserve">2.9 </w:t>
            </w:r>
            <w:r w:rsidRPr="00A272B0">
              <w:rPr>
                <w:rFonts w:ascii="Times New Roman"/>
                <w:b/>
                <w:sz w:val="18"/>
                <w:szCs w:val="18"/>
                <w:u w:val="single"/>
              </w:rPr>
              <w:t>ASF from other liabilities</w:t>
            </w:r>
          </w:p>
          <w:p w14:paraId="54BBA052" w14:textId="77777777" w:rsidR="00A272B0" w:rsidRPr="00B06F5E" w:rsidRDefault="00A272B0" w:rsidP="00A272B0">
            <w:pPr>
              <w:pStyle w:val="TableParagraph"/>
              <w:ind w:left="102"/>
              <w:rPr>
                <w:rFonts w:ascii="Times New Roman" w:eastAsia="Times New Roman" w:hAnsi="Times New Roman" w:cs="Times New Roman"/>
                <w:sz w:val="18"/>
                <w:szCs w:val="18"/>
              </w:rPr>
            </w:pPr>
          </w:p>
          <w:p w14:paraId="3D024A72" w14:textId="6540A27C" w:rsidR="00A272B0" w:rsidRDefault="00A272B0" w:rsidP="00336100">
            <w:pPr>
              <w:pStyle w:val="TableParagraph"/>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Item 2.7 and 2.9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 xml:space="preserve">81.00 and 2.9 of </w:t>
            </w:r>
            <w:r w:rsidR="006B6363">
              <w:rPr>
                <w:rFonts w:ascii="Times New Roman" w:eastAsia="Times New Roman" w:hAnsi="Times New Roman" w:cs="Times New Roman"/>
                <w:sz w:val="18"/>
                <w:szCs w:val="18"/>
              </w:rPr>
              <w:t>reporting template</w:t>
            </w:r>
            <w:r w:rsidR="002A628C">
              <w:rPr>
                <w:rFonts w:ascii="Times New Roman" w:eastAsia="Times New Roman" w:hAnsi="Times New Roman" w:cs="Times New Roman"/>
                <w:sz w:val="18"/>
                <w:szCs w:val="18"/>
              </w:rPr>
              <w:t xml:space="preserve"> </w:t>
            </w:r>
            <w:r w:rsidR="00C41B47">
              <w:rPr>
                <w:rFonts w:ascii="Times New Roman" w:eastAsia="Times New Roman" w:hAnsi="Times New Roman" w:cs="Times New Roman"/>
                <w:sz w:val="18"/>
                <w:szCs w:val="18"/>
              </w:rPr>
              <w:t>C </w:t>
            </w:r>
            <w:r>
              <w:rPr>
                <w:rFonts w:ascii="Times New Roman" w:eastAsia="Times New Roman" w:hAnsi="Times New Roman" w:cs="Times New Roman"/>
                <w:sz w:val="18"/>
                <w:szCs w:val="18"/>
              </w:rPr>
              <w:t>83.00.</w:t>
            </w:r>
          </w:p>
          <w:p w14:paraId="5188C459" w14:textId="77777777" w:rsidR="00A272B0" w:rsidRDefault="00A272B0" w:rsidP="00336100">
            <w:pPr>
              <w:pStyle w:val="TableParagraph"/>
              <w:ind w:left="102"/>
              <w:rPr>
                <w:rFonts w:ascii="Times New Roman"/>
                <w:b/>
                <w:sz w:val="18"/>
                <w:szCs w:val="18"/>
                <w:u w:val="single"/>
              </w:rPr>
            </w:pPr>
          </w:p>
        </w:tc>
      </w:tr>
      <w:tr w:rsidR="00A272B0" w14:paraId="7BC7D9E1" w14:textId="77777777" w:rsidTr="00A272B0">
        <w:trPr>
          <w:trHeight w:val="304"/>
        </w:trPr>
        <w:tc>
          <w:tcPr>
            <w:tcW w:w="1418" w:type="dxa"/>
            <w:tcBorders>
              <w:top w:val="single" w:sz="4" w:space="0" w:color="auto"/>
              <w:left w:val="single" w:sz="4" w:space="0" w:color="auto"/>
              <w:bottom w:val="single" w:sz="4" w:space="0" w:color="auto"/>
              <w:right w:val="single" w:sz="4" w:space="0" w:color="auto"/>
            </w:tcBorders>
          </w:tcPr>
          <w:p w14:paraId="747820CE" w14:textId="693E5CE9" w:rsidR="00A272B0" w:rsidRDefault="00A272B0" w:rsidP="00A272B0">
            <w:pPr>
              <w:pStyle w:val="TableParagraph"/>
              <w:spacing w:before="118"/>
              <w:ind w:left="57" w:right="96"/>
              <w:jc w:val="both"/>
              <w:rPr>
                <w:rFonts w:ascii="Times New Roman"/>
                <w:sz w:val="18"/>
                <w:szCs w:val="18"/>
              </w:rPr>
            </w:pPr>
            <w:r>
              <w:rPr>
                <w:rFonts w:ascii="Times New Roman"/>
                <w:sz w:val="18"/>
                <w:szCs w:val="18"/>
              </w:rPr>
              <w:t>0220</w:t>
            </w:r>
          </w:p>
        </w:tc>
        <w:tc>
          <w:tcPr>
            <w:tcW w:w="7590" w:type="dxa"/>
            <w:tcBorders>
              <w:top w:val="single" w:sz="4" w:space="0" w:color="auto"/>
              <w:left w:val="single" w:sz="4" w:space="0" w:color="auto"/>
              <w:bottom w:val="single" w:sz="4" w:space="0" w:color="auto"/>
              <w:right w:val="single" w:sz="4" w:space="0" w:color="auto"/>
            </w:tcBorders>
          </w:tcPr>
          <w:p w14:paraId="1FA49AAC" w14:textId="14D4133C" w:rsidR="00A272B0" w:rsidRPr="00B06F5E" w:rsidRDefault="00A272B0">
            <w:pPr>
              <w:pStyle w:val="TableParagraph"/>
              <w:spacing w:before="119"/>
              <w:ind w:left="102"/>
              <w:rPr>
                <w:rFonts w:ascii="Times New Roman"/>
                <w:b/>
                <w:sz w:val="18"/>
                <w:szCs w:val="18"/>
                <w:u w:val="single"/>
              </w:rPr>
            </w:pPr>
            <w:r w:rsidRPr="00A272B0">
              <w:rPr>
                <w:rFonts w:ascii="Times New Roman"/>
                <w:b/>
                <w:sz w:val="18"/>
                <w:szCs w:val="18"/>
                <w:u w:val="single"/>
              </w:rPr>
              <w:t>3.</w:t>
            </w:r>
            <w:r>
              <w:rPr>
                <w:rFonts w:ascii="Times New Roman"/>
                <w:b/>
                <w:sz w:val="18"/>
                <w:szCs w:val="18"/>
                <w:u w:val="single"/>
              </w:rPr>
              <w:t xml:space="preserve"> NSFR</w:t>
            </w:r>
          </w:p>
          <w:p w14:paraId="08CE788D" w14:textId="77777777" w:rsidR="00A272B0" w:rsidRPr="00B06F5E" w:rsidRDefault="00A272B0" w:rsidP="00A272B0">
            <w:pPr>
              <w:pStyle w:val="TableParagraph"/>
              <w:ind w:left="102"/>
              <w:rPr>
                <w:rFonts w:ascii="Times New Roman" w:eastAsia="Times New Roman" w:hAnsi="Times New Roman" w:cs="Times New Roman"/>
                <w:sz w:val="18"/>
                <w:szCs w:val="18"/>
              </w:rPr>
            </w:pPr>
          </w:p>
          <w:p w14:paraId="068406E7" w14:textId="20A77939" w:rsidR="00A272B0" w:rsidRDefault="002A628C" w:rsidP="00336100">
            <w:pPr>
              <w:pStyle w:val="TableParagraph"/>
              <w:ind w:left="102"/>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NSFR calculated in accordance with </w:t>
            </w:r>
            <w:r w:rsidR="00A272B0" w:rsidRPr="00A272B0">
              <w:rPr>
                <w:rFonts w:ascii="Times New Roman" w:eastAsia="Times New Roman" w:hAnsi="Times New Roman" w:cs="Times New Roman"/>
                <w:sz w:val="18"/>
                <w:szCs w:val="18"/>
                <w:lang w:val="en-GB"/>
              </w:rPr>
              <w:t xml:space="preserve">Article </w:t>
            </w:r>
            <w:r w:rsidR="007011DE" w:rsidRPr="00A272B0">
              <w:rPr>
                <w:rFonts w:ascii="Times New Roman" w:eastAsia="Times New Roman" w:hAnsi="Times New Roman" w:cs="Times New Roman"/>
                <w:sz w:val="18"/>
                <w:szCs w:val="18"/>
                <w:lang w:val="en-GB"/>
              </w:rPr>
              <w:t>4</w:t>
            </w:r>
            <w:r w:rsidR="007011DE">
              <w:rPr>
                <w:rFonts w:ascii="Times New Roman" w:eastAsia="Times New Roman" w:hAnsi="Times New Roman" w:cs="Times New Roman"/>
                <w:sz w:val="18"/>
                <w:szCs w:val="18"/>
                <w:lang w:val="en-GB"/>
              </w:rPr>
              <w:t>28b</w:t>
            </w:r>
            <w:r w:rsidR="00A272B0" w:rsidRPr="00A272B0">
              <w:rPr>
                <w:rFonts w:ascii="Times New Roman" w:eastAsia="Times New Roman" w:hAnsi="Times New Roman" w:cs="Times New Roman"/>
                <w:sz w:val="18"/>
                <w:szCs w:val="18"/>
                <w:lang w:val="en-GB"/>
              </w:rPr>
              <w:t>(1) of CRR</w:t>
            </w:r>
            <w:r w:rsidR="00A272B0">
              <w:rPr>
                <w:rFonts w:ascii="Times New Roman" w:eastAsia="Times New Roman" w:hAnsi="Times New Roman" w:cs="Times New Roman"/>
                <w:sz w:val="18"/>
                <w:szCs w:val="18"/>
                <w:lang w:val="en-GB"/>
              </w:rPr>
              <w:t>.</w:t>
            </w:r>
          </w:p>
          <w:p w14:paraId="3F8F694F" w14:textId="2C424CAB" w:rsidR="00A272B0" w:rsidRDefault="00A272B0" w:rsidP="00336100">
            <w:pPr>
              <w:pStyle w:val="TableParagraph"/>
              <w:ind w:left="102"/>
              <w:rPr>
                <w:rFonts w:ascii="Times New Roman"/>
                <w:b/>
                <w:sz w:val="18"/>
                <w:szCs w:val="18"/>
                <w:u w:val="single"/>
              </w:rPr>
            </w:pPr>
          </w:p>
        </w:tc>
      </w:tr>
    </w:tbl>
    <w:p w14:paraId="51A06FC1" w14:textId="77777777" w:rsidR="009629DD" w:rsidRDefault="009629DD" w:rsidP="00A66401">
      <w:pPr>
        <w:pStyle w:val="BodyText1"/>
        <w:outlineLvl w:val="0"/>
        <w:rPr>
          <w:rFonts w:ascii="Times New Roman" w:hAnsi="Times New Roman"/>
          <w:b/>
          <w:sz w:val="24"/>
          <w:szCs w:val="24"/>
        </w:rPr>
      </w:pPr>
    </w:p>
    <w:sectPr w:rsidR="009629DD" w:rsidSect="002149E4">
      <w:headerReference w:type="default" r:id="rId10"/>
      <w:footerReference w:type="default" r:id="rId11"/>
      <w:headerReference w:type="first" r:id="rId12"/>
      <w:footerReference w:type="first" r:id="rId13"/>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B732" w14:textId="77777777" w:rsidR="008D5AD2" w:rsidRDefault="008D5AD2">
      <w:r>
        <w:separator/>
      </w:r>
    </w:p>
  </w:endnote>
  <w:endnote w:type="continuationSeparator" w:id="0">
    <w:p w14:paraId="35D6C65A" w14:textId="77777777" w:rsidR="008D5AD2" w:rsidRDefault="008D5AD2">
      <w:r>
        <w:continuationSeparator/>
      </w:r>
    </w:p>
  </w:endnote>
  <w:endnote w:type="continuationNotice" w:id="1">
    <w:p w14:paraId="6A3AE4FA" w14:textId="77777777" w:rsidR="008D5AD2" w:rsidRDefault="008D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4"/>
      <w:docPartObj>
        <w:docPartGallery w:val="Page Numbers (Bottom of Page)"/>
        <w:docPartUnique/>
      </w:docPartObj>
    </w:sdtPr>
    <w:sdtEndPr>
      <w:rPr>
        <w:rFonts w:ascii="Times New Roman" w:hAnsi="Times New Roman"/>
      </w:rPr>
    </w:sdtEndPr>
    <w:sdtContent>
      <w:p w14:paraId="4B030B2F" w14:textId="3041DF8B" w:rsidR="008D5AD2" w:rsidRPr="00594E47" w:rsidRDefault="008D5AD2" w:rsidP="00594E47">
        <w:pPr>
          <w:pStyle w:val="Footer"/>
          <w:jc w:val="right"/>
          <w:rPr>
            <w:rFonts w:ascii="Times New Roman" w:hAnsi="Times New Roman"/>
          </w:rPr>
        </w:pPr>
        <w:r w:rsidRPr="00594E47">
          <w:rPr>
            <w:rFonts w:ascii="Times New Roman" w:hAnsi="Times New Roman"/>
          </w:rPr>
          <w:fldChar w:fldCharType="begin"/>
        </w:r>
        <w:r w:rsidRPr="00594E47">
          <w:rPr>
            <w:rFonts w:ascii="Times New Roman" w:hAnsi="Times New Roman"/>
          </w:rPr>
          <w:instrText xml:space="preserve"> PAGE   \* MERGEFORMAT </w:instrText>
        </w:r>
        <w:r w:rsidRPr="00594E47">
          <w:rPr>
            <w:rFonts w:ascii="Times New Roman" w:hAnsi="Times New Roman"/>
          </w:rPr>
          <w:fldChar w:fldCharType="separate"/>
        </w:r>
        <w:r w:rsidR="00077AAA">
          <w:rPr>
            <w:rFonts w:ascii="Times New Roman" w:hAnsi="Times New Roman"/>
            <w:noProof/>
          </w:rPr>
          <w:t>2</w:t>
        </w:r>
        <w:r w:rsidRPr="00594E4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EndPr/>
    <w:sdtContent>
      <w:p w14:paraId="1E0C3AB3" w14:textId="77777777" w:rsidR="008D5AD2" w:rsidRDefault="008D5AD2">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5634AEC1" w14:textId="77777777" w:rsidR="008D5AD2" w:rsidRDefault="008D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F4DB" w14:textId="77777777" w:rsidR="008D5AD2" w:rsidRPr="004D223F" w:rsidRDefault="008D5AD2" w:rsidP="00C7701D">
      <w:r>
        <w:continuationSeparator/>
      </w:r>
    </w:p>
  </w:footnote>
  <w:footnote w:type="continuationSeparator" w:id="0">
    <w:p w14:paraId="3AAD6847" w14:textId="77777777" w:rsidR="008D5AD2" w:rsidRDefault="008D5AD2">
      <w:r>
        <w:continuationSeparator/>
      </w:r>
    </w:p>
  </w:footnote>
  <w:footnote w:type="continuationNotice" w:id="1">
    <w:p w14:paraId="20E7B57B" w14:textId="77777777" w:rsidR="008D5AD2" w:rsidRDefault="008D5A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BC20" w14:textId="77777777" w:rsidR="008D5AD2" w:rsidRDefault="008D5AD2">
    <w:pPr>
      <w:pStyle w:val="Header"/>
    </w:pPr>
    <w:r>
      <w:rPr>
        <w:noProof/>
        <w:lang w:eastAsia="en-GB"/>
      </w:rPr>
      <mc:AlternateContent>
        <mc:Choice Requires="wps">
          <w:drawing>
            <wp:anchor distT="4294967294" distB="4294967294" distL="114300" distR="114300" simplePos="0" relativeHeight="251688448" behindDoc="0" locked="0" layoutInCell="1" allowOverlap="1" wp14:anchorId="32DDF18A" wp14:editId="07880F5B">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3B272"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324" w14:textId="77777777" w:rsidR="008D5AD2" w:rsidRDefault="008D5AD2">
    <w:pPr>
      <w:pStyle w:val="Header"/>
      <w:tabs>
        <w:tab w:val="clear" w:pos="8306"/>
        <w:tab w:val="right" w:pos="9072"/>
      </w:tabs>
      <w:jc w:val="right"/>
      <w:rPr>
        <w:noProof/>
        <w:lang w:eastAsia="en-GB"/>
      </w:rPr>
    </w:pPr>
    <w:r>
      <w:rPr>
        <w:noProof/>
        <w:lang w:eastAsia="en-GB"/>
      </w:rPr>
      <mc:AlternateContent>
        <mc:Choice Requires="wps">
          <w:drawing>
            <wp:anchor distT="4294967294" distB="4294967294" distL="114300" distR="114300" simplePos="0" relativeHeight="251695616" behindDoc="1" locked="1" layoutInCell="0" allowOverlap="1" wp14:anchorId="09C1CFD5" wp14:editId="6B4ED39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24F88"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6BA88504" w14:textId="77777777" w:rsidR="008D5AD2" w:rsidRDefault="008D5AD2">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74C9A"/>
    <w:multiLevelType w:val="hybridMultilevel"/>
    <w:tmpl w:val="B11AB5E4"/>
    <w:lvl w:ilvl="0" w:tplc="8DCC409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0E9555F"/>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2FD779C"/>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C14FF"/>
    <w:multiLevelType w:val="hybridMultilevel"/>
    <w:tmpl w:val="28A497A0"/>
    <w:lvl w:ilvl="0" w:tplc="4AD66124">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EB56B7"/>
    <w:multiLevelType w:val="hybridMultilevel"/>
    <w:tmpl w:val="EF02B328"/>
    <w:lvl w:ilvl="0" w:tplc="8B1AC77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02137"/>
    <w:multiLevelType w:val="hybridMultilevel"/>
    <w:tmpl w:val="89AE60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5"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35E38C4"/>
    <w:multiLevelType w:val="hybridMultilevel"/>
    <w:tmpl w:val="BAEA4D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7"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8" w15:restartNumberingAfterBreak="0">
    <w:nsid w:val="48745B54"/>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D5358"/>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3" w15:restartNumberingAfterBreak="0">
    <w:nsid w:val="55915757"/>
    <w:multiLevelType w:val="hybridMultilevel"/>
    <w:tmpl w:val="08AABE1C"/>
    <w:lvl w:ilvl="0" w:tplc="4CB67B3C">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5"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47108CA"/>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70CE5980"/>
    <w:multiLevelType w:val="hybridMultilevel"/>
    <w:tmpl w:val="524EEA1E"/>
    <w:lvl w:ilvl="0" w:tplc="461E6F5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C0150"/>
    <w:multiLevelType w:val="hybridMultilevel"/>
    <w:tmpl w:val="BDB8B162"/>
    <w:lvl w:ilvl="0" w:tplc="721C270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6" w15:restartNumberingAfterBreak="0">
    <w:nsid w:val="7A47578C"/>
    <w:multiLevelType w:val="hybridMultilevel"/>
    <w:tmpl w:val="B61607D8"/>
    <w:lvl w:ilvl="0" w:tplc="51884940">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6"/>
  </w:num>
  <w:num w:numId="5">
    <w:abstractNumId w:val="3"/>
  </w:num>
  <w:num w:numId="6">
    <w:abstractNumId w:val="35"/>
  </w:num>
  <w:num w:numId="7">
    <w:abstractNumId w:val="1"/>
  </w:num>
  <w:num w:numId="8">
    <w:abstractNumId w:val="25"/>
  </w:num>
  <w:num w:numId="9">
    <w:abstractNumId w:val="33"/>
  </w:num>
  <w:num w:numId="10">
    <w:abstractNumId w:val="20"/>
  </w:num>
  <w:num w:numId="11">
    <w:abstractNumId w:val="29"/>
  </w:num>
  <w:num w:numId="12">
    <w:abstractNumId w:val="15"/>
  </w:num>
  <w:num w:numId="13">
    <w:abstractNumId w:val="32"/>
  </w:num>
  <w:num w:numId="14">
    <w:abstractNumId w:val="5"/>
  </w:num>
  <w:num w:numId="15">
    <w:abstractNumId w:val="26"/>
  </w:num>
  <w:num w:numId="16">
    <w:abstractNumId w:val="14"/>
  </w:num>
  <w:num w:numId="17">
    <w:abstractNumId w:val="22"/>
  </w:num>
  <w:num w:numId="18">
    <w:abstractNumId w:val="11"/>
  </w:num>
  <w:num w:numId="19">
    <w:abstractNumId w:val="28"/>
  </w:num>
  <w:num w:numId="20">
    <w:abstractNumId w:val="24"/>
  </w:num>
  <w:num w:numId="21">
    <w:abstractNumId w:val="21"/>
  </w:num>
  <w:num w:numId="22">
    <w:abstractNumId w:val="30"/>
  </w:num>
  <w:num w:numId="23">
    <w:abstractNumId w:val="4"/>
  </w:num>
  <w:num w:numId="24">
    <w:abstractNumId w:val="13"/>
  </w:num>
  <w:num w:numId="25">
    <w:abstractNumId w:val="31"/>
  </w:num>
  <w:num w:numId="26">
    <w:abstractNumId w:val="18"/>
  </w:num>
  <w:num w:numId="27">
    <w:abstractNumId w:val="10"/>
  </w:num>
  <w:num w:numId="28">
    <w:abstractNumId w:val="9"/>
  </w:num>
  <w:num w:numId="29">
    <w:abstractNumId w:val="16"/>
  </w:num>
  <w:num w:numId="30">
    <w:abstractNumId w:val="34"/>
  </w:num>
  <w:num w:numId="31">
    <w:abstractNumId w:val="27"/>
  </w:num>
  <w:num w:numId="32">
    <w:abstractNumId w:val="36"/>
  </w:num>
  <w:num w:numId="33">
    <w:abstractNumId w:val="19"/>
  </w:num>
  <w:num w:numId="34">
    <w:abstractNumId w:val="12"/>
  </w:num>
  <w:num w:numId="35">
    <w:abstractNumId w:val="7"/>
  </w:num>
  <w:num w:numId="36">
    <w:abstractNumId w:val="2"/>
  </w:num>
  <w:num w:numId="3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90"/>
  <w:drawingGridVerticalSpacing w:val="181"/>
  <w:displayHorizontalDrawingGridEvery w:val="2"/>
  <w:noPunctuationKerning/>
  <w:characterSpacingControl w:val="doNotCompress"/>
  <w:hdrShapeDefaults>
    <o:shapedefaults v:ext="edit" spidmax="6145"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7FE"/>
    <w:rsid w:val="000008C5"/>
    <w:rsid w:val="00000970"/>
    <w:rsid w:val="00000F21"/>
    <w:rsid w:val="00001954"/>
    <w:rsid w:val="00002206"/>
    <w:rsid w:val="00002D30"/>
    <w:rsid w:val="0000349C"/>
    <w:rsid w:val="00003BBA"/>
    <w:rsid w:val="00004B38"/>
    <w:rsid w:val="0000611B"/>
    <w:rsid w:val="00006CEB"/>
    <w:rsid w:val="0001009B"/>
    <w:rsid w:val="00011618"/>
    <w:rsid w:val="0001167D"/>
    <w:rsid w:val="000129C7"/>
    <w:rsid w:val="00014A23"/>
    <w:rsid w:val="000163CB"/>
    <w:rsid w:val="00016AFB"/>
    <w:rsid w:val="00016EDA"/>
    <w:rsid w:val="00017C5E"/>
    <w:rsid w:val="000214BE"/>
    <w:rsid w:val="00022762"/>
    <w:rsid w:val="00022D49"/>
    <w:rsid w:val="000236FF"/>
    <w:rsid w:val="00025C2C"/>
    <w:rsid w:val="000277C0"/>
    <w:rsid w:val="00030988"/>
    <w:rsid w:val="00030A95"/>
    <w:rsid w:val="0003163F"/>
    <w:rsid w:val="00031FAA"/>
    <w:rsid w:val="00032348"/>
    <w:rsid w:val="00032DC0"/>
    <w:rsid w:val="000342AB"/>
    <w:rsid w:val="0003569C"/>
    <w:rsid w:val="00036032"/>
    <w:rsid w:val="0003735D"/>
    <w:rsid w:val="00037947"/>
    <w:rsid w:val="00037ED0"/>
    <w:rsid w:val="00044C84"/>
    <w:rsid w:val="000461DC"/>
    <w:rsid w:val="0004746E"/>
    <w:rsid w:val="00047A5F"/>
    <w:rsid w:val="00047F14"/>
    <w:rsid w:val="000508D6"/>
    <w:rsid w:val="000515A8"/>
    <w:rsid w:val="00053DFD"/>
    <w:rsid w:val="00053E27"/>
    <w:rsid w:val="00055923"/>
    <w:rsid w:val="00055ACE"/>
    <w:rsid w:val="0005604C"/>
    <w:rsid w:val="00060AEF"/>
    <w:rsid w:val="00060D86"/>
    <w:rsid w:val="00061696"/>
    <w:rsid w:val="0006176D"/>
    <w:rsid w:val="00061FBE"/>
    <w:rsid w:val="0006345F"/>
    <w:rsid w:val="00064698"/>
    <w:rsid w:val="0006614D"/>
    <w:rsid w:val="00067126"/>
    <w:rsid w:val="000702E9"/>
    <w:rsid w:val="0007729E"/>
    <w:rsid w:val="00077AAA"/>
    <w:rsid w:val="00080A31"/>
    <w:rsid w:val="00080B5B"/>
    <w:rsid w:val="000813CF"/>
    <w:rsid w:val="000817B2"/>
    <w:rsid w:val="00082A5B"/>
    <w:rsid w:val="00086A8A"/>
    <w:rsid w:val="00087C56"/>
    <w:rsid w:val="00090312"/>
    <w:rsid w:val="000920AD"/>
    <w:rsid w:val="00092249"/>
    <w:rsid w:val="00092251"/>
    <w:rsid w:val="00092348"/>
    <w:rsid w:val="000939BC"/>
    <w:rsid w:val="00094120"/>
    <w:rsid w:val="00095E47"/>
    <w:rsid w:val="000A0A57"/>
    <w:rsid w:val="000A14BE"/>
    <w:rsid w:val="000A1DC4"/>
    <w:rsid w:val="000A1E56"/>
    <w:rsid w:val="000A2489"/>
    <w:rsid w:val="000A32B5"/>
    <w:rsid w:val="000A4658"/>
    <w:rsid w:val="000A6437"/>
    <w:rsid w:val="000A6584"/>
    <w:rsid w:val="000A715B"/>
    <w:rsid w:val="000A7286"/>
    <w:rsid w:val="000A78A1"/>
    <w:rsid w:val="000A7B45"/>
    <w:rsid w:val="000B05E2"/>
    <w:rsid w:val="000B108D"/>
    <w:rsid w:val="000B298B"/>
    <w:rsid w:val="000B2DD8"/>
    <w:rsid w:val="000B5761"/>
    <w:rsid w:val="000B60B2"/>
    <w:rsid w:val="000B65E2"/>
    <w:rsid w:val="000B74A7"/>
    <w:rsid w:val="000C04BB"/>
    <w:rsid w:val="000C1D08"/>
    <w:rsid w:val="000C216B"/>
    <w:rsid w:val="000C25FB"/>
    <w:rsid w:val="000C3F11"/>
    <w:rsid w:val="000C57AB"/>
    <w:rsid w:val="000C6761"/>
    <w:rsid w:val="000C6AAC"/>
    <w:rsid w:val="000D128D"/>
    <w:rsid w:val="000D1827"/>
    <w:rsid w:val="000D338D"/>
    <w:rsid w:val="000D3973"/>
    <w:rsid w:val="000D440A"/>
    <w:rsid w:val="000D4EDF"/>
    <w:rsid w:val="000D5823"/>
    <w:rsid w:val="000D6138"/>
    <w:rsid w:val="000D64CA"/>
    <w:rsid w:val="000D6823"/>
    <w:rsid w:val="000D7EA2"/>
    <w:rsid w:val="000E083F"/>
    <w:rsid w:val="000E0A76"/>
    <w:rsid w:val="000E22B5"/>
    <w:rsid w:val="000E2D94"/>
    <w:rsid w:val="000E4A3F"/>
    <w:rsid w:val="000E4B8D"/>
    <w:rsid w:val="000E5AAE"/>
    <w:rsid w:val="000E62A7"/>
    <w:rsid w:val="000E6617"/>
    <w:rsid w:val="000E715A"/>
    <w:rsid w:val="000F26EF"/>
    <w:rsid w:val="000F4B74"/>
    <w:rsid w:val="000F5F49"/>
    <w:rsid w:val="000F74E8"/>
    <w:rsid w:val="000F755B"/>
    <w:rsid w:val="000F7613"/>
    <w:rsid w:val="00100484"/>
    <w:rsid w:val="001005A7"/>
    <w:rsid w:val="00102A1E"/>
    <w:rsid w:val="00103E2D"/>
    <w:rsid w:val="00107B7A"/>
    <w:rsid w:val="00110BC7"/>
    <w:rsid w:val="0011268C"/>
    <w:rsid w:val="00112F94"/>
    <w:rsid w:val="001133CE"/>
    <w:rsid w:val="00114345"/>
    <w:rsid w:val="0011649C"/>
    <w:rsid w:val="00117BDE"/>
    <w:rsid w:val="001216DA"/>
    <w:rsid w:val="00123C25"/>
    <w:rsid w:val="00124715"/>
    <w:rsid w:val="00124C8E"/>
    <w:rsid w:val="00125BAF"/>
    <w:rsid w:val="00125CA1"/>
    <w:rsid w:val="001263D1"/>
    <w:rsid w:val="0012792A"/>
    <w:rsid w:val="00127AC7"/>
    <w:rsid w:val="001305CF"/>
    <w:rsid w:val="00130EEF"/>
    <w:rsid w:val="001313A2"/>
    <w:rsid w:val="00131581"/>
    <w:rsid w:val="00132069"/>
    <w:rsid w:val="00132212"/>
    <w:rsid w:val="00132855"/>
    <w:rsid w:val="00132A0E"/>
    <w:rsid w:val="00132C70"/>
    <w:rsid w:val="00135B92"/>
    <w:rsid w:val="00141FF2"/>
    <w:rsid w:val="00142ED4"/>
    <w:rsid w:val="001458F1"/>
    <w:rsid w:val="00146CA4"/>
    <w:rsid w:val="00151462"/>
    <w:rsid w:val="00151801"/>
    <w:rsid w:val="00151D33"/>
    <w:rsid w:val="00154950"/>
    <w:rsid w:val="00154FCE"/>
    <w:rsid w:val="0015592F"/>
    <w:rsid w:val="00155E56"/>
    <w:rsid w:val="001572C1"/>
    <w:rsid w:val="001615A1"/>
    <w:rsid w:val="00162ABC"/>
    <w:rsid w:val="00164A3E"/>
    <w:rsid w:val="00164B45"/>
    <w:rsid w:val="00166C41"/>
    <w:rsid w:val="00167041"/>
    <w:rsid w:val="00171014"/>
    <w:rsid w:val="00171C3F"/>
    <w:rsid w:val="00171C76"/>
    <w:rsid w:val="001721BF"/>
    <w:rsid w:val="00173D2D"/>
    <w:rsid w:val="00173FAA"/>
    <w:rsid w:val="0017400F"/>
    <w:rsid w:val="0017558C"/>
    <w:rsid w:val="00175A51"/>
    <w:rsid w:val="0017706B"/>
    <w:rsid w:val="00177C4C"/>
    <w:rsid w:val="00180521"/>
    <w:rsid w:val="00180FB9"/>
    <w:rsid w:val="00181A8D"/>
    <w:rsid w:val="001820FB"/>
    <w:rsid w:val="00183BD6"/>
    <w:rsid w:val="0018487A"/>
    <w:rsid w:val="001849BA"/>
    <w:rsid w:val="00184D76"/>
    <w:rsid w:val="00186774"/>
    <w:rsid w:val="001876EC"/>
    <w:rsid w:val="00187E4B"/>
    <w:rsid w:val="00190435"/>
    <w:rsid w:val="001911A4"/>
    <w:rsid w:val="00193908"/>
    <w:rsid w:val="00193A99"/>
    <w:rsid w:val="0019570B"/>
    <w:rsid w:val="00197F19"/>
    <w:rsid w:val="001A257C"/>
    <w:rsid w:val="001A2ABA"/>
    <w:rsid w:val="001A3988"/>
    <w:rsid w:val="001A46E4"/>
    <w:rsid w:val="001A777A"/>
    <w:rsid w:val="001B1458"/>
    <w:rsid w:val="001B2410"/>
    <w:rsid w:val="001B2D84"/>
    <w:rsid w:val="001B34D0"/>
    <w:rsid w:val="001B3BF0"/>
    <w:rsid w:val="001B7C08"/>
    <w:rsid w:val="001C0FC1"/>
    <w:rsid w:val="001C123F"/>
    <w:rsid w:val="001C18C0"/>
    <w:rsid w:val="001C2254"/>
    <w:rsid w:val="001C27BF"/>
    <w:rsid w:val="001C50A4"/>
    <w:rsid w:val="001C597D"/>
    <w:rsid w:val="001C7F46"/>
    <w:rsid w:val="001D1678"/>
    <w:rsid w:val="001D386D"/>
    <w:rsid w:val="001D3BB8"/>
    <w:rsid w:val="001D4850"/>
    <w:rsid w:val="001D4A4A"/>
    <w:rsid w:val="001D4EC2"/>
    <w:rsid w:val="001D5CFB"/>
    <w:rsid w:val="001D629F"/>
    <w:rsid w:val="001D6F2F"/>
    <w:rsid w:val="001E58D0"/>
    <w:rsid w:val="001E5F9C"/>
    <w:rsid w:val="001E7ED7"/>
    <w:rsid w:val="001F0ECD"/>
    <w:rsid w:val="001F1E07"/>
    <w:rsid w:val="001F2731"/>
    <w:rsid w:val="001F28C3"/>
    <w:rsid w:val="001F3810"/>
    <w:rsid w:val="001F4281"/>
    <w:rsid w:val="001F5755"/>
    <w:rsid w:val="001F6F59"/>
    <w:rsid w:val="001F7C68"/>
    <w:rsid w:val="001F7D7C"/>
    <w:rsid w:val="002104F0"/>
    <w:rsid w:val="00210600"/>
    <w:rsid w:val="00210CF6"/>
    <w:rsid w:val="002122E5"/>
    <w:rsid w:val="002143BB"/>
    <w:rsid w:val="00214915"/>
    <w:rsid w:val="002149E4"/>
    <w:rsid w:val="00214D62"/>
    <w:rsid w:val="002161E2"/>
    <w:rsid w:val="00216CD9"/>
    <w:rsid w:val="00217B44"/>
    <w:rsid w:val="00217D1F"/>
    <w:rsid w:val="00222AE7"/>
    <w:rsid w:val="00224702"/>
    <w:rsid w:val="0022597B"/>
    <w:rsid w:val="00225E7A"/>
    <w:rsid w:val="002262E5"/>
    <w:rsid w:val="0022675C"/>
    <w:rsid w:val="00231943"/>
    <w:rsid w:val="002323A0"/>
    <w:rsid w:val="00233A74"/>
    <w:rsid w:val="00235FBA"/>
    <w:rsid w:val="00237BC2"/>
    <w:rsid w:val="00237DD1"/>
    <w:rsid w:val="0024066F"/>
    <w:rsid w:val="0024092A"/>
    <w:rsid w:val="00243337"/>
    <w:rsid w:val="0024434F"/>
    <w:rsid w:val="00244DA1"/>
    <w:rsid w:val="0024511B"/>
    <w:rsid w:val="00245A19"/>
    <w:rsid w:val="00245CB1"/>
    <w:rsid w:val="002509B1"/>
    <w:rsid w:val="002509EB"/>
    <w:rsid w:val="00250AA3"/>
    <w:rsid w:val="0025241B"/>
    <w:rsid w:val="00252F75"/>
    <w:rsid w:val="00253D80"/>
    <w:rsid w:val="00254983"/>
    <w:rsid w:val="00255202"/>
    <w:rsid w:val="002573FC"/>
    <w:rsid w:val="00260D4F"/>
    <w:rsid w:val="00263129"/>
    <w:rsid w:val="0026593F"/>
    <w:rsid w:val="00267345"/>
    <w:rsid w:val="00270DBA"/>
    <w:rsid w:val="002728CF"/>
    <w:rsid w:val="0027305C"/>
    <w:rsid w:val="0027308B"/>
    <w:rsid w:val="002736E3"/>
    <w:rsid w:val="00274AC5"/>
    <w:rsid w:val="00275435"/>
    <w:rsid w:val="0027548E"/>
    <w:rsid w:val="00275D40"/>
    <w:rsid w:val="002769AA"/>
    <w:rsid w:val="0028344B"/>
    <w:rsid w:val="00284832"/>
    <w:rsid w:val="002849D6"/>
    <w:rsid w:val="00284B0C"/>
    <w:rsid w:val="00286279"/>
    <w:rsid w:val="00291B93"/>
    <w:rsid w:val="00292FC3"/>
    <w:rsid w:val="0029415C"/>
    <w:rsid w:val="00294179"/>
    <w:rsid w:val="00294990"/>
    <w:rsid w:val="00294AC8"/>
    <w:rsid w:val="0029520A"/>
    <w:rsid w:val="00296111"/>
    <w:rsid w:val="00297E15"/>
    <w:rsid w:val="002A07A2"/>
    <w:rsid w:val="002A2AAD"/>
    <w:rsid w:val="002A628C"/>
    <w:rsid w:val="002A7540"/>
    <w:rsid w:val="002B0879"/>
    <w:rsid w:val="002B0EB0"/>
    <w:rsid w:val="002B34A4"/>
    <w:rsid w:val="002B3FF4"/>
    <w:rsid w:val="002C0532"/>
    <w:rsid w:val="002C0DF6"/>
    <w:rsid w:val="002C1F24"/>
    <w:rsid w:val="002C47EC"/>
    <w:rsid w:val="002C4B54"/>
    <w:rsid w:val="002C5729"/>
    <w:rsid w:val="002C5782"/>
    <w:rsid w:val="002C6479"/>
    <w:rsid w:val="002D2944"/>
    <w:rsid w:val="002E1083"/>
    <w:rsid w:val="002E1D31"/>
    <w:rsid w:val="002E2241"/>
    <w:rsid w:val="002E26D3"/>
    <w:rsid w:val="002E3728"/>
    <w:rsid w:val="002E3FD6"/>
    <w:rsid w:val="002E6BDF"/>
    <w:rsid w:val="002E6BEF"/>
    <w:rsid w:val="002F0304"/>
    <w:rsid w:val="002F3858"/>
    <w:rsid w:val="002F4F26"/>
    <w:rsid w:val="002F5A05"/>
    <w:rsid w:val="00300E22"/>
    <w:rsid w:val="0030136E"/>
    <w:rsid w:val="003022BA"/>
    <w:rsid w:val="003027B5"/>
    <w:rsid w:val="003027FE"/>
    <w:rsid w:val="00302FB6"/>
    <w:rsid w:val="003032DF"/>
    <w:rsid w:val="0030524E"/>
    <w:rsid w:val="003058EC"/>
    <w:rsid w:val="003113EE"/>
    <w:rsid w:val="00315160"/>
    <w:rsid w:val="00315B26"/>
    <w:rsid w:val="00315B2F"/>
    <w:rsid w:val="00316050"/>
    <w:rsid w:val="003167BD"/>
    <w:rsid w:val="00316905"/>
    <w:rsid w:val="00316D28"/>
    <w:rsid w:val="00317861"/>
    <w:rsid w:val="003231FC"/>
    <w:rsid w:val="00324483"/>
    <w:rsid w:val="00324840"/>
    <w:rsid w:val="003260D7"/>
    <w:rsid w:val="003264FC"/>
    <w:rsid w:val="003335A9"/>
    <w:rsid w:val="0033504B"/>
    <w:rsid w:val="003353A9"/>
    <w:rsid w:val="003355CE"/>
    <w:rsid w:val="003358B6"/>
    <w:rsid w:val="00336100"/>
    <w:rsid w:val="003371AF"/>
    <w:rsid w:val="00337A40"/>
    <w:rsid w:val="003411F8"/>
    <w:rsid w:val="003418AD"/>
    <w:rsid w:val="0034348F"/>
    <w:rsid w:val="00344418"/>
    <w:rsid w:val="0034535A"/>
    <w:rsid w:val="00345499"/>
    <w:rsid w:val="003475AF"/>
    <w:rsid w:val="00347994"/>
    <w:rsid w:val="0035012D"/>
    <w:rsid w:val="003501BB"/>
    <w:rsid w:val="0035095F"/>
    <w:rsid w:val="00352D4B"/>
    <w:rsid w:val="0035435C"/>
    <w:rsid w:val="00356CAC"/>
    <w:rsid w:val="0036007F"/>
    <w:rsid w:val="00360553"/>
    <w:rsid w:val="00361101"/>
    <w:rsid w:val="00361D7E"/>
    <w:rsid w:val="00363567"/>
    <w:rsid w:val="003724C3"/>
    <w:rsid w:val="00373CFA"/>
    <w:rsid w:val="003741C9"/>
    <w:rsid w:val="003754F2"/>
    <w:rsid w:val="0037691F"/>
    <w:rsid w:val="0037735D"/>
    <w:rsid w:val="0037739F"/>
    <w:rsid w:val="00382036"/>
    <w:rsid w:val="003843E9"/>
    <w:rsid w:val="00384D30"/>
    <w:rsid w:val="00385061"/>
    <w:rsid w:val="0038556D"/>
    <w:rsid w:val="00386CDA"/>
    <w:rsid w:val="00387DC5"/>
    <w:rsid w:val="00390B7F"/>
    <w:rsid w:val="00391A7B"/>
    <w:rsid w:val="00391EF9"/>
    <w:rsid w:val="00392036"/>
    <w:rsid w:val="00393D7A"/>
    <w:rsid w:val="00394D11"/>
    <w:rsid w:val="00395FEB"/>
    <w:rsid w:val="0039664C"/>
    <w:rsid w:val="003A3804"/>
    <w:rsid w:val="003A4A78"/>
    <w:rsid w:val="003A5275"/>
    <w:rsid w:val="003A5995"/>
    <w:rsid w:val="003A5B2A"/>
    <w:rsid w:val="003A6DAC"/>
    <w:rsid w:val="003B0909"/>
    <w:rsid w:val="003B09C0"/>
    <w:rsid w:val="003B1279"/>
    <w:rsid w:val="003B2DDA"/>
    <w:rsid w:val="003B3015"/>
    <w:rsid w:val="003B3180"/>
    <w:rsid w:val="003B4192"/>
    <w:rsid w:val="003B472A"/>
    <w:rsid w:val="003B555D"/>
    <w:rsid w:val="003B5CD9"/>
    <w:rsid w:val="003B66BD"/>
    <w:rsid w:val="003B7009"/>
    <w:rsid w:val="003B7703"/>
    <w:rsid w:val="003C017E"/>
    <w:rsid w:val="003C3192"/>
    <w:rsid w:val="003C385A"/>
    <w:rsid w:val="003C4CC8"/>
    <w:rsid w:val="003C6064"/>
    <w:rsid w:val="003C66FA"/>
    <w:rsid w:val="003C7E9B"/>
    <w:rsid w:val="003C7FFC"/>
    <w:rsid w:val="003D0536"/>
    <w:rsid w:val="003D118F"/>
    <w:rsid w:val="003D7727"/>
    <w:rsid w:val="003E12AE"/>
    <w:rsid w:val="003E1D33"/>
    <w:rsid w:val="003E23B1"/>
    <w:rsid w:val="003E2F9E"/>
    <w:rsid w:val="003E3F6A"/>
    <w:rsid w:val="003E3FD3"/>
    <w:rsid w:val="003E4424"/>
    <w:rsid w:val="003E4F6D"/>
    <w:rsid w:val="003E74B4"/>
    <w:rsid w:val="003F1BF6"/>
    <w:rsid w:val="003F1E48"/>
    <w:rsid w:val="003F1FD7"/>
    <w:rsid w:val="003F2D1C"/>
    <w:rsid w:val="003F37CB"/>
    <w:rsid w:val="003F3AEE"/>
    <w:rsid w:val="003F4600"/>
    <w:rsid w:val="003F598C"/>
    <w:rsid w:val="003F6C06"/>
    <w:rsid w:val="00400A05"/>
    <w:rsid w:val="0040192D"/>
    <w:rsid w:val="00401A13"/>
    <w:rsid w:val="00401A21"/>
    <w:rsid w:val="004037D5"/>
    <w:rsid w:val="00404AA3"/>
    <w:rsid w:val="004052F0"/>
    <w:rsid w:val="00406605"/>
    <w:rsid w:val="004067B8"/>
    <w:rsid w:val="00407A0F"/>
    <w:rsid w:val="00410E47"/>
    <w:rsid w:val="00412583"/>
    <w:rsid w:val="004134ED"/>
    <w:rsid w:val="00413A7F"/>
    <w:rsid w:val="00414EB6"/>
    <w:rsid w:val="00415B0D"/>
    <w:rsid w:val="004160B7"/>
    <w:rsid w:val="00416B4D"/>
    <w:rsid w:val="004178C8"/>
    <w:rsid w:val="00417A9F"/>
    <w:rsid w:val="00422C76"/>
    <w:rsid w:val="0042419F"/>
    <w:rsid w:val="00424A0A"/>
    <w:rsid w:val="00424BB8"/>
    <w:rsid w:val="00430743"/>
    <w:rsid w:val="00430CAC"/>
    <w:rsid w:val="00433529"/>
    <w:rsid w:val="004337F5"/>
    <w:rsid w:val="00434439"/>
    <w:rsid w:val="00435C7C"/>
    <w:rsid w:val="00436233"/>
    <w:rsid w:val="00436BCA"/>
    <w:rsid w:val="004379F7"/>
    <w:rsid w:val="00440A35"/>
    <w:rsid w:val="00443651"/>
    <w:rsid w:val="00445372"/>
    <w:rsid w:val="004465B4"/>
    <w:rsid w:val="0044777F"/>
    <w:rsid w:val="00447DA3"/>
    <w:rsid w:val="00451BFE"/>
    <w:rsid w:val="0045208D"/>
    <w:rsid w:val="00452A84"/>
    <w:rsid w:val="0045378E"/>
    <w:rsid w:val="00453BD6"/>
    <w:rsid w:val="004542F1"/>
    <w:rsid w:val="00455CE2"/>
    <w:rsid w:val="004573B6"/>
    <w:rsid w:val="00460502"/>
    <w:rsid w:val="004618EC"/>
    <w:rsid w:val="00462168"/>
    <w:rsid w:val="0046231D"/>
    <w:rsid w:val="00463240"/>
    <w:rsid w:val="00463F57"/>
    <w:rsid w:val="00464840"/>
    <w:rsid w:val="00465521"/>
    <w:rsid w:val="00465863"/>
    <w:rsid w:val="00466991"/>
    <w:rsid w:val="00467C7D"/>
    <w:rsid w:val="00470082"/>
    <w:rsid w:val="00470C9E"/>
    <w:rsid w:val="00471639"/>
    <w:rsid w:val="00472209"/>
    <w:rsid w:val="004727E7"/>
    <w:rsid w:val="00472EC7"/>
    <w:rsid w:val="00473173"/>
    <w:rsid w:val="004776C9"/>
    <w:rsid w:val="004808CC"/>
    <w:rsid w:val="00481854"/>
    <w:rsid w:val="00482670"/>
    <w:rsid w:val="004826B1"/>
    <w:rsid w:val="004835BD"/>
    <w:rsid w:val="00484555"/>
    <w:rsid w:val="0048526F"/>
    <w:rsid w:val="00486CD7"/>
    <w:rsid w:val="00492435"/>
    <w:rsid w:val="00494DBB"/>
    <w:rsid w:val="004968DF"/>
    <w:rsid w:val="0049789E"/>
    <w:rsid w:val="004A0AC9"/>
    <w:rsid w:val="004A15F0"/>
    <w:rsid w:val="004A1A27"/>
    <w:rsid w:val="004A2956"/>
    <w:rsid w:val="004A296A"/>
    <w:rsid w:val="004A3009"/>
    <w:rsid w:val="004A347E"/>
    <w:rsid w:val="004A4633"/>
    <w:rsid w:val="004A4872"/>
    <w:rsid w:val="004A4C19"/>
    <w:rsid w:val="004A5220"/>
    <w:rsid w:val="004A5973"/>
    <w:rsid w:val="004A61B4"/>
    <w:rsid w:val="004B1B05"/>
    <w:rsid w:val="004B331D"/>
    <w:rsid w:val="004B3B4E"/>
    <w:rsid w:val="004B44F1"/>
    <w:rsid w:val="004B5877"/>
    <w:rsid w:val="004B653A"/>
    <w:rsid w:val="004C2BB7"/>
    <w:rsid w:val="004C2CFB"/>
    <w:rsid w:val="004C390B"/>
    <w:rsid w:val="004C587B"/>
    <w:rsid w:val="004C6361"/>
    <w:rsid w:val="004D12DC"/>
    <w:rsid w:val="004D14B5"/>
    <w:rsid w:val="004D223F"/>
    <w:rsid w:val="004D2325"/>
    <w:rsid w:val="004D36F1"/>
    <w:rsid w:val="004D5A28"/>
    <w:rsid w:val="004D6F74"/>
    <w:rsid w:val="004D7C73"/>
    <w:rsid w:val="004E100C"/>
    <w:rsid w:val="004E437E"/>
    <w:rsid w:val="004F0C5D"/>
    <w:rsid w:val="004F2A81"/>
    <w:rsid w:val="004F39F5"/>
    <w:rsid w:val="004F4B70"/>
    <w:rsid w:val="005010CB"/>
    <w:rsid w:val="005018EC"/>
    <w:rsid w:val="0050358B"/>
    <w:rsid w:val="005041C6"/>
    <w:rsid w:val="00505096"/>
    <w:rsid w:val="00505AEE"/>
    <w:rsid w:val="00505D21"/>
    <w:rsid w:val="0050602F"/>
    <w:rsid w:val="005074D1"/>
    <w:rsid w:val="00510FE5"/>
    <w:rsid w:val="00512342"/>
    <w:rsid w:val="00512B5A"/>
    <w:rsid w:val="00513244"/>
    <w:rsid w:val="005141D5"/>
    <w:rsid w:val="005142AC"/>
    <w:rsid w:val="00514EAE"/>
    <w:rsid w:val="005170CA"/>
    <w:rsid w:val="00520804"/>
    <w:rsid w:val="0052081B"/>
    <w:rsid w:val="00523850"/>
    <w:rsid w:val="0052535F"/>
    <w:rsid w:val="005254CB"/>
    <w:rsid w:val="0053018F"/>
    <w:rsid w:val="005301FF"/>
    <w:rsid w:val="00530472"/>
    <w:rsid w:val="00530B7F"/>
    <w:rsid w:val="00531A77"/>
    <w:rsid w:val="0053335C"/>
    <w:rsid w:val="005334AA"/>
    <w:rsid w:val="00534FED"/>
    <w:rsid w:val="00540765"/>
    <w:rsid w:val="00542741"/>
    <w:rsid w:val="00544110"/>
    <w:rsid w:val="005441C9"/>
    <w:rsid w:val="00544664"/>
    <w:rsid w:val="00547F87"/>
    <w:rsid w:val="00553B13"/>
    <w:rsid w:val="0055437F"/>
    <w:rsid w:val="0055482B"/>
    <w:rsid w:val="005550ED"/>
    <w:rsid w:val="005556DC"/>
    <w:rsid w:val="00556145"/>
    <w:rsid w:val="0055675A"/>
    <w:rsid w:val="00556C46"/>
    <w:rsid w:val="005572BE"/>
    <w:rsid w:val="00557776"/>
    <w:rsid w:val="005637C9"/>
    <w:rsid w:val="00564147"/>
    <w:rsid w:val="00564469"/>
    <w:rsid w:val="00565261"/>
    <w:rsid w:val="005706FB"/>
    <w:rsid w:val="005714DF"/>
    <w:rsid w:val="00572698"/>
    <w:rsid w:val="0057423E"/>
    <w:rsid w:val="00574827"/>
    <w:rsid w:val="0057624C"/>
    <w:rsid w:val="0057643F"/>
    <w:rsid w:val="00576B1D"/>
    <w:rsid w:val="00577610"/>
    <w:rsid w:val="00577C79"/>
    <w:rsid w:val="00577F56"/>
    <w:rsid w:val="00580184"/>
    <w:rsid w:val="00580256"/>
    <w:rsid w:val="00581A2F"/>
    <w:rsid w:val="0058245F"/>
    <w:rsid w:val="0058513D"/>
    <w:rsid w:val="00590569"/>
    <w:rsid w:val="00590C6A"/>
    <w:rsid w:val="00590DB3"/>
    <w:rsid w:val="00590FFA"/>
    <w:rsid w:val="00592197"/>
    <w:rsid w:val="005928F6"/>
    <w:rsid w:val="0059457E"/>
    <w:rsid w:val="00594E47"/>
    <w:rsid w:val="005951C0"/>
    <w:rsid w:val="00595A81"/>
    <w:rsid w:val="005A0F42"/>
    <w:rsid w:val="005A0FE7"/>
    <w:rsid w:val="005A1569"/>
    <w:rsid w:val="005A23B9"/>
    <w:rsid w:val="005A28BE"/>
    <w:rsid w:val="005A3E62"/>
    <w:rsid w:val="005A5B50"/>
    <w:rsid w:val="005A6D30"/>
    <w:rsid w:val="005B0070"/>
    <w:rsid w:val="005B1C10"/>
    <w:rsid w:val="005B327F"/>
    <w:rsid w:val="005B3463"/>
    <w:rsid w:val="005B6DDB"/>
    <w:rsid w:val="005C09F7"/>
    <w:rsid w:val="005C1136"/>
    <w:rsid w:val="005C3639"/>
    <w:rsid w:val="005C38A4"/>
    <w:rsid w:val="005C3E5B"/>
    <w:rsid w:val="005C5A30"/>
    <w:rsid w:val="005C5E78"/>
    <w:rsid w:val="005C6F27"/>
    <w:rsid w:val="005D0068"/>
    <w:rsid w:val="005D1E5B"/>
    <w:rsid w:val="005D238F"/>
    <w:rsid w:val="005D5E9E"/>
    <w:rsid w:val="005D7EDA"/>
    <w:rsid w:val="005E0DB7"/>
    <w:rsid w:val="005E11D1"/>
    <w:rsid w:val="005E1C85"/>
    <w:rsid w:val="005E2305"/>
    <w:rsid w:val="005E2F5D"/>
    <w:rsid w:val="005E33BE"/>
    <w:rsid w:val="005E3D27"/>
    <w:rsid w:val="005E5BB9"/>
    <w:rsid w:val="005E73EB"/>
    <w:rsid w:val="005F2603"/>
    <w:rsid w:val="005F35D1"/>
    <w:rsid w:val="005F3AC8"/>
    <w:rsid w:val="005F4317"/>
    <w:rsid w:val="005F557E"/>
    <w:rsid w:val="005F704F"/>
    <w:rsid w:val="00602390"/>
    <w:rsid w:val="006033AB"/>
    <w:rsid w:val="00603F44"/>
    <w:rsid w:val="00603F66"/>
    <w:rsid w:val="00605108"/>
    <w:rsid w:val="00605E0C"/>
    <w:rsid w:val="00606A4D"/>
    <w:rsid w:val="0060766D"/>
    <w:rsid w:val="00607717"/>
    <w:rsid w:val="00607A1B"/>
    <w:rsid w:val="00610246"/>
    <w:rsid w:val="0061104D"/>
    <w:rsid w:val="0061109E"/>
    <w:rsid w:val="00614AE9"/>
    <w:rsid w:val="006162F0"/>
    <w:rsid w:val="006171B4"/>
    <w:rsid w:val="00617F95"/>
    <w:rsid w:val="0062069D"/>
    <w:rsid w:val="00621B0F"/>
    <w:rsid w:val="00623701"/>
    <w:rsid w:val="0062462C"/>
    <w:rsid w:val="00625DC4"/>
    <w:rsid w:val="0062777A"/>
    <w:rsid w:val="00627E07"/>
    <w:rsid w:val="0063076C"/>
    <w:rsid w:val="00632833"/>
    <w:rsid w:val="00633C1E"/>
    <w:rsid w:val="00633D3F"/>
    <w:rsid w:val="00634086"/>
    <w:rsid w:val="00634337"/>
    <w:rsid w:val="006355E6"/>
    <w:rsid w:val="00635F69"/>
    <w:rsid w:val="00637945"/>
    <w:rsid w:val="0064027F"/>
    <w:rsid w:val="00640CFA"/>
    <w:rsid w:val="00641A7C"/>
    <w:rsid w:val="00642217"/>
    <w:rsid w:val="00642285"/>
    <w:rsid w:val="00642654"/>
    <w:rsid w:val="00642C09"/>
    <w:rsid w:val="00642E96"/>
    <w:rsid w:val="006436AE"/>
    <w:rsid w:val="006470A6"/>
    <w:rsid w:val="00647823"/>
    <w:rsid w:val="00650723"/>
    <w:rsid w:val="00652361"/>
    <w:rsid w:val="006537BB"/>
    <w:rsid w:val="00655C0D"/>
    <w:rsid w:val="00657F8D"/>
    <w:rsid w:val="006604D8"/>
    <w:rsid w:val="00660952"/>
    <w:rsid w:val="006615EA"/>
    <w:rsid w:val="00661667"/>
    <w:rsid w:val="006622A7"/>
    <w:rsid w:val="006628F2"/>
    <w:rsid w:val="00662DA3"/>
    <w:rsid w:val="006646F1"/>
    <w:rsid w:val="0067137A"/>
    <w:rsid w:val="00673A97"/>
    <w:rsid w:val="00673B0C"/>
    <w:rsid w:val="00675587"/>
    <w:rsid w:val="00675B54"/>
    <w:rsid w:val="00676422"/>
    <w:rsid w:val="00676811"/>
    <w:rsid w:val="006768EC"/>
    <w:rsid w:val="00676AE2"/>
    <w:rsid w:val="00677250"/>
    <w:rsid w:val="0068073E"/>
    <w:rsid w:val="006813CA"/>
    <w:rsid w:val="0068290B"/>
    <w:rsid w:val="00683CCE"/>
    <w:rsid w:val="00684A92"/>
    <w:rsid w:val="00684CBA"/>
    <w:rsid w:val="00686A29"/>
    <w:rsid w:val="00687851"/>
    <w:rsid w:val="006913AE"/>
    <w:rsid w:val="006914A2"/>
    <w:rsid w:val="00691A5C"/>
    <w:rsid w:val="00691DAA"/>
    <w:rsid w:val="0069203D"/>
    <w:rsid w:val="006944D1"/>
    <w:rsid w:val="0069607E"/>
    <w:rsid w:val="006968C6"/>
    <w:rsid w:val="00697252"/>
    <w:rsid w:val="006A0010"/>
    <w:rsid w:val="006A093C"/>
    <w:rsid w:val="006A0DFB"/>
    <w:rsid w:val="006A1DE1"/>
    <w:rsid w:val="006A2D2A"/>
    <w:rsid w:val="006A32F5"/>
    <w:rsid w:val="006A5A49"/>
    <w:rsid w:val="006A6954"/>
    <w:rsid w:val="006A6DEF"/>
    <w:rsid w:val="006A70F4"/>
    <w:rsid w:val="006A79D4"/>
    <w:rsid w:val="006B0C51"/>
    <w:rsid w:val="006B3B83"/>
    <w:rsid w:val="006B3F16"/>
    <w:rsid w:val="006B5730"/>
    <w:rsid w:val="006B5E42"/>
    <w:rsid w:val="006B5EBA"/>
    <w:rsid w:val="006B61B9"/>
    <w:rsid w:val="006B6363"/>
    <w:rsid w:val="006B6F2D"/>
    <w:rsid w:val="006C030C"/>
    <w:rsid w:val="006C0C0A"/>
    <w:rsid w:val="006C1A7F"/>
    <w:rsid w:val="006C2125"/>
    <w:rsid w:val="006C32B5"/>
    <w:rsid w:val="006C452D"/>
    <w:rsid w:val="006C5A90"/>
    <w:rsid w:val="006C5C43"/>
    <w:rsid w:val="006C622B"/>
    <w:rsid w:val="006C69BD"/>
    <w:rsid w:val="006C6B88"/>
    <w:rsid w:val="006D1BFE"/>
    <w:rsid w:val="006D3F98"/>
    <w:rsid w:val="006D72DC"/>
    <w:rsid w:val="006D755E"/>
    <w:rsid w:val="006D7886"/>
    <w:rsid w:val="006D7B47"/>
    <w:rsid w:val="006E1E69"/>
    <w:rsid w:val="006E2997"/>
    <w:rsid w:val="006E32A6"/>
    <w:rsid w:val="006E39B9"/>
    <w:rsid w:val="006E3C92"/>
    <w:rsid w:val="006E4F3C"/>
    <w:rsid w:val="006E4FA1"/>
    <w:rsid w:val="006E5DC6"/>
    <w:rsid w:val="006E657C"/>
    <w:rsid w:val="006E7944"/>
    <w:rsid w:val="006F0266"/>
    <w:rsid w:val="006F0E58"/>
    <w:rsid w:val="006F112E"/>
    <w:rsid w:val="006F31B2"/>
    <w:rsid w:val="006F3775"/>
    <w:rsid w:val="006F43CE"/>
    <w:rsid w:val="006F4457"/>
    <w:rsid w:val="006F4788"/>
    <w:rsid w:val="006F5063"/>
    <w:rsid w:val="006F6275"/>
    <w:rsid w:val="006F63EA"/>
    <w:rsid w:val="006F6630"/>
    <w:rsid w:val="006F6CC7"/>
    <w:rsid w:val="006F7AAD"/>
    <w:rsid w:val="0070095B"/>
    <w:rsid w:val="00700DA6"/>
    <w:rsid w:val="007011DE"/>
    <w:rsid w:val="007022DC"/>
    <w:rsid w:val="0070279B"/>
    <w:rsid w:val="00703D5A"/>
    <w:rsid w:val="007048CF"/>
    <w:rsid w:val="00704E67"/>
    <w:rsid w:val="00705D17"/>
    <w:rsid w:val="00706750"/>
    <w:rsid w:val="00707DB8"/>
    <w:rsid w:val="007100CC"/>
    <w:rsid w:val="00712354"/>
    <w:rsid w:val="007129B2"/>
    <w:rsid w:val="0071300E"/>
    <w:rsid w:val="007132CD"/>
    <w:rsid w:val="00713998"/>
    <w:rsid w:val="00713ABC"/>
    <w:rsid w:val="00714306"/>
    <w:rsid w:val="007157C8"/>
    <w:rsid w:val="007161DB"/>
    <w:rsid w:val="00716F26"/>
    <w:rsid w:val="00720503"/>
    <w:rsid w:val="00720943"/>
    <w:rsid w:val="00722EFE"/>
    <w:rsid w:val="00723994"/>
    <w:rsid w:val="00731216"/>
    <w:rsid w:val="00731BFB"/>
    <w:rsid w:val="00731C96"/>
    <w:rsid w:val="00732A34"/>
    <w:rsid w:val="00732A8A"/>
    <w:rsid w:val="00732FC0"/>
    <w:rsid w:val="00733C26"/>
    <w:rsid w:val="007348B9"/>
    <w:rsid w:val="00735D76"/>
    <w:rsid w:val="00735E79"/>
    <w:rsid w:val="00740184"/>
    <w:rsid w:val="00744527"/>
    <w:rsid w:val="0074473F"/>
    <w:rsid w:val="007449D7"/>
    <w:rsid w:val="007451B3"/>
    <w:rsid w:val="00746D86"/>
    <w:rsid w:val="00750C66"/>
    <w:rsid w:val="00751DEF"/>
    <w:rsid w:val="00752373"/>
    <w:rsid w:val="007535BD"/>
    <w:rsid w:val="0075371D"/>
    <w:rsid w:val="00754D85"/>
    <w:rsid w:val="0075654E"/>
    <w:rsid w:val="007611CF"/>
    <w:rsid w:val="007625FE"/>
    <w:rsid w:val="00763A6C"/>
    <w:rsid w:val="00763FA8"/>
    <w:rsid w:val="00765E8F"/>
    <w:rsid w:val="0077078C"/>
    <w:rsid w:val="00772B95"/>
    <w:rsid w:val="00772E66"/>
    <w:rsid w:val="007737A3"/>
    <w:rsid w:val="00773BB8"/>
    <w:rsid w:val="007748A3"/>
    <w:rsid w:val="007749D9"/>
    <w:rsid w:val="0077517E"/>
    <w:rsid w:val="0077565E"/>
    <w:rsid w:val="007772F8"/>
    <w:rsid w:val="007772FB"/>
    <w:rsid w:val="0077762D"/>
    <w:rsid w:val="0077771F"/>
    <w:rsid w:val="00777EDA"/>
    <w:rsid w:val="0078115E"/>
    <w:rsid w:val="0078134B"/>
    <w:rsid w:val="00781E1E"/>
    <w:rsid w:val="00782AA0"/>
    <w:rsid w:val="00783CC3"/>
    <w:rsid w:val="00787D9A"/>
    <w:rsid w:val="00790A22"/>
    <w:rsid w:val="00791CBB"/>
    <w:rsid w:val="00791FF9"/>
    <w:rsid w:val="007934F7"/>
    <w:rsid w:val="00793EE3"/>
    <w:rsid w:val="007947A8"/>
    <w:rsid w:val="00794935"/>
    <w:rsid w:val="007A001B"/>
    <w:rsid w:val="007A0B0D"/>
    <w:rsid w:val="007A0E3A"/>
    <w:rsid w:val="007A1271"/>
    <w:rsid w:val="007A166B"/>
    <w:rsid w:val="007A1B49"/>
    <w:rsid w:val="007A4D96"/>
    <w:rsid w:val="007B0654"/>
    <w:rsid w:val="007B3204"/>
    <w:rsid w:val="007B37F0"/>
    <w:rsid w:val="007B3BAA"/>
    <w:rsid w:val="007B3CB7"/>
    <w:rsid w:val="007B55A5"/>
    <w:rsid w:val="007B5CB4"/>
    <w:rsid w:val="007B65AA"/>
    <w:rsid w:val="007B7393"/>
    <w:rsid w:val="007C0838"/>
    <w:rsid w:val="007C09C7"/>
    <w:rsid w:val="007C178B"/>
    <w:rsid w:val="007C1B1C"/>
    <w:rsid w:val="007C27EF"/>
    <w:rsid w:val="007C2D57"/>
    <w:rsid w:val="007C37DD"/>
    <w:rsid w:val="007C3DF7"/>
    <w:rsid w:val="007C5198"/>
    <w:rsid w:val="007C5D94"/>
    <w:rsid w:val="007C68B3"/>
    <w:rsid w:val="007D227C"/>
    <w:rsid w:val="007D264E"/>
    <w:rsid w:val="007D2D5E"/>
    <w:rsid w:val="007D351F"/>
    <w:rsid w:val="007D6824"/>
    <w:rsid w:val="007D69FA"/>
    <w:rsid w:val="007E15B2"/>
    <w:rsid w:val="007E1F46"/>
    <w:rsid w:val="007E265B"/>
    <w:rsid w:val="007E2A41"/>
    <w:rsid w:val="007E3631"/>
    <w:rsid w:val="007E37F1"/>
    <w:rsid w:val="007E49C9"/>
    <w:rsid w:val="007E5258"/>
    <w:rsid w:val="007E52B2"/>
    <w:rsid w:val="007E64C7"/>
    <w:rsid w:val="007E65E8"/>
    <w:rsid w:val="007F0A6E"/>
    <w:rsid w:val="007F2C1A"/>
    <w:rsid w:val="007F3CC5"/>
    <w:rsid w:val="007F448B"/>
    <w:rsid w:val="007F4863"/>
    <w:rsid w:val="007F4D50"/>
    <w:rsid w:val="007F54EB"/>
    <w:rsid w:val="007F58C1"/>
    <w:rsid w:val="007F5C5C"/>
    <w:rsid w:val="007F617B"/>
    <w:rsid w:val="007F737A"/>
    <w:rsid w:val="007F789D"/>
    <w:rsid w:val="007F7E5F"/>
    <w:rsid w:val="0080050A"/>
    <w:rsid w:val="00800FD8"/>
    <w:rsid w:val="00801179"/>
    <w:rsid w:val="008011A3"/>
    <w:rsid w:val="008043B3"/>
    <w:rsid w:val="008044E0"/>
    <w:rsid w:val="00805DD8"/>
    <w:rsid w:val="00806216"/>
    <w:rsid w:val="00806CA5"/>
    <w:rsid w:val="00810EDB"/>
    <w:rsid w:val="00811D20"/>
    <w:rsid w:val="00811FC4"/>
    <w:rsid w:val="00813C47"/>
    <w:rsid w:val="008147D6"/>
    <w:rsid w:val="008153CE"/>
    <w:rsid w:val="00816F68"/>
    <w:rsid w:val="0082289C"/>
    <w:rsid w:val="00823913"/>
    <w:rsid w:val="0082401E"/>
    <w:rsid w:val="0082480F"/>
    <w:rsid w:val="008252BC"/>
    <w:rsid w:val="00825376"/>
    <w:rsid w:val="008265A4"/>
    <w:rsid w:val="00826E34"/>
    <w:rsid w:val="00830E69"/>
    <w:rsid w:val="0083234B"/>
    <w:rsid w:val="008325DA"/>
    <w:rsid w:val="008345C8"/>
    <w:rsid w:val="00834B8F"/>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47F52"/>
    <w:rsid w:val="008501D8"/>
    <w:rsid w:val="0085372E"/>
    <w:rsid w:val="00854D51"/>
    <w:rsid w:val="008551A3"/>
    <w:rsid w:val="008552F5"/>
    <w:rsid w:val="00855566"/>
    <w:rsid w:val="0085587B"/>
    <w:rsid w:val="00855E07"/>
    <w:rsid w:val="00855E28"/>
    <w:rsid w:val="0085646C"/>
    <w:rsid w:val="0085679A"/>
    <w:rsid w:val="00857C68"/>
    <w:rsid w:val="00860FA4"/>
    <w:rsid w:val="008646BB"/>
    <w:rsid w:val="0086471C"/>
    <w:rsid w:val="00865326"/>
    <w:rsid w:val="00871029"/>
    <w:rsid w:val="008717E3"/>
    <w:rsid w:val="00871AA4"/>
    <w:rsid w:val="008725D5"/>
    <w:rsid w:val="00872A08"/>
    <w:rsid w:val="00873845"/>
    <w:rsid w:val="00874C82"/>
    <w:rsid w:val="00877186"/>
    <w:rsid w:val="008817E6"/>
    <w:rsid w:val="008823B8"/>
    <w:rsid w:val="00882BCA"/>
    <w:rsid w:val="00883137"/>
    <w:rsid w:val="008838D5"/>
    <w:rsid w:val="00884D28"/>
    <w:rsid w:val="008851B2"/>
    <w:rsid w:val="00885773"/>
    <w:rsid w:val="00885CFA"/>
    <w:rsid w:val="0088754A"/>
    <w:rsid w:val="00887998"/>
    <w:rsid w:val="00890E95"/>
    <w:rsid w:val="00892385"/>
    <w:rsid w:val="008934D6"/>
    <w:rsid w:val="00895545"/>
    <w:rsid w:val="008955B0"/>
    <w:rsid w:val="00897639"/>
    <w:rsid w:val="00897B7D"/>
    <w:rsid w:val="008A0524"/>
    <w:rsid w:val="008A6888"/>
    <w:rsid w:val="008B35C4"/>
    <w:rsid w:val="008B384D"/>
    <w:rsid w:val="008B54AB"/>
    <w:rsid w:val="008B7815"/>
    <w:rsid w:val="008C07BC"/>
    <w:rsid w:val="008C2320"/>
    <w:rsid w:val="008C27AC"/>
    <w:rsid w:val="008C2EDA"/>
    <w:rsid w:val="008C4E32"/>
    <w:rsid w:val="008C5950"/>
    <w:rsid w:val="008C5D3D"/>
    <w:rsid w:val="008C732E"/>
    <w:rsid w:val="008C7B98"/>
    <w:rsid w:val="008C7E29"/>
    <w:rsid w:val="008D0185"/>
    <w:rsid w:val="008D05FA"/>
    <w:rsid w:val="008D076A"/>
    <w:rsid w:val="008D076B"/>
    <w:rsid w:val="008D1E59"/>
    <w:rsid w:val="008D34E3"/>
    <w:rsid w:val="008D5977"/>
    <w:rsid w:val="008D5AD2"/>
    <w:rsid w:val="008D6BB4"/>
    <w:rsid w:val="008D70E9"/>
    <w:rsid w:val="008E0726"/>
    <w:rsid w:val="008E1A70"/>
    <w:rsid w:val="008E1A9D"/>
    <w:rsid w:val="008E267D"/>
    <w:rsid w:val="008E575A"/>
    <w:rsid w:val="008E57C0"/>
    <w:rsid w:val="008E5E14"/>
    <w:rsid w:val="008E5EFD"/>
    <w:rsid w:val="008F3A96"/>
    <w:rsid w:val="008F4A14"/>
    <w:rsid w:val="008F4F8B"/>
    <w:rsid w:val="008F5AFD"/>
    <w:rsid w:val="008F6658"/>
    <w:rsid w:val="009008C2"/>
    <w:rsid w:val="00901795"/>
    <w:rsid w:val="00902868"/>
    <w:rsid w:val="0090360B"/>
    <w:rsid w:val="00904177"/>
    <w:rsid w:val="00904CD8"/>
    <w:rsid w:val="00907416"/>
    <w:rsid w:val="009112BB"/>
    <w:rsid w:val="00913141"/>
    <w:rsid w:val="009140DC"/>
    <w:rsid w:val="0091485A"/>
    <w:rsid w:val="00916C6C"/>
    <w:rsid w:val="00917E68"/>
    <w:rsid w:val="0092017F"/>
    <w:rsid w:val="009201F5"/>
    <w:rsid w:val="00920B86"/>
    <w:rsid w:val="00922F82"/>
    <w:rsid w:val="009235D8"/>
    <w:rsid w:val="00924DD1"/>
    <w:rsid w:val="009258BF"/>
    <w:rsid w:val="009264ED"/>
    <w:rsid w:val="00926599"/>
    <w:rsid w:val="00926B7C"/>
    <w:rsid w:val="009310D6"/>
    <w:rsid w:val="00931601"/>
    <w:rsid w:val="00932CC4"/>
    <w:rsid w:val="0093325F"/>
    <w:rsid w:val="00935131"/>
    <w:rsid w:val="009370D9"/>
    <w:rsid w:val="00943D4A"/>
    <w:rsid w:val="00943EEE"/>
    <w:rsid w:val="0094402C"/>
    <w:rsid w:val="00945030"/>
    <w:rsid w:val="009479A1"/>
    <w:rsid w:val="0095041F"/>
    <w:rsid w:val="00950BE9"/>
    <w:rsid w:val="00952538"/>
    <w:rsid w:val="00953AE4"/>
    <w:rsid w:val="009543CF"/>
    <w:rsid w:val="00955105"/>
    <w:rsid w:val="009564BF"/>
    <w:rsid w:val="00956D4B"/>
    <w:rsid w:val="00961DA8"/>
    <w:rsid w:val="009622D7"/>
    <w:rsid w:val="009629DD"/>
    <w:rsid w:val="00962BDA"/>
    <w:rsid w:val="00964073"/>
    <w:rsid w:val="00964733"/>
    <w:rsid w:val="009660E9"/>
    <w:rsid w:val="00970990"/>
    <w:rsid w:val="00970A0D"/>
    <w:rsid w:val="009713B7"/>
    <w:rsid w:val="009751DA"/>
    <w:rsid w:val="00976466"/>
    <w:rsid w:val="00976643"/>
    <w:rsid w:val="009832C9"/>
    <w:rsid w:val="009837F5"/>
    <w:rsid w:val="00984DE4"/>
    <w:rsid w:val="0098576E"/>
    <w:rsid w:val="009865E6"/>
    <w:rsid w:val="009902DF"/>
    <w:rsid w:val="0099040F"/>
    <w:rsid w:val="0099064C"/>
    <w:rsid w:val="00991473"/>
    <w:rsid w:val="0099406F"/>
    <w:rsid w:val="009958C0"/>
    <w:rsid w:val="00996AC0"/>
    <w:rsid w:val="00996CC2"/>
    <w:rsid w:val="009A1D61"/>
    <w:rsid w:val="009A298D"/>
    <w:rsid w:val="009A3377"/>
    <w:rsid w:val="009A4315"/>
    <w:rsid w:val="009A6A31"/>
    <w:rsid w:val="009B2324"/>
    <w:rsid w:val="009B77DE"/>
    <w:rsid w:val="009B7D2C"/>
    <w:rsid w:val="009C086F"/>
    <w:rsid w:val="009C4D9B"/>
    <w:rsid w:val="009C4E79"/>
    <w:rsid w:val="009C7E6B"/>
    <w:rsid w:val="009D1E48"/>
    <w:rsid w:val="009D22A7"/>
    <w:rsid w:val="009D24CD"/>
    <w:rsid w:val="009D35C4"/>
    <w:rsid w:val="009D3C0F"/>
    <w:rsid w:val="009D5F9A"/>
    <w:rsid w:val="009D7791"/>
    <w:rsid w:val="009E077F"/>
    <w:rsid w:val="009E245E"/>
    <w:rsid w:val="009E34DC"/>
    <w:rsid w:val="009E3A9F"/>
    <w:rsid w:val="009E4130"/>
    <w:rsid w:val="009E5933"/>
    <w:rsid w:val="009E6353"/>
    <w:rsid w:val="009E6C19"/>
    <w:rsid w:val="009E6F32"/>
    <w:rsid w:val="009E7046"/>
    <w:rsid w:val="009F0358"/>
    <w:rsid w:val="009F16CA"/>
    <w:rsid w:val="009F3A78"/>
    <w:rsid w:val="009F3BFB"/>
    <w:rsid w:val="009F40E2"/>
    <w:rsid w:val="009F54CD"/>
    <w:rsid w:val="009F61AC"/>
    <w:rsid w:val="009F747C"/>
    <w:rsid w:val="009F7E1A"/>
    <w:rsid w:val="00A007CB"/>
    <w:rsid w:val="00A01829"/>
    <w:rsid w:val="00A0201D"/>
    <w:rsid w:val="00A04558"/>
    <w:rsid w:val="00A057A8"/>
    <w:rsid w:val="00A05B9C"/>
    <w:rsid w:val="00A0635A"/>
    <w:rsid w:val="00A06398"/>
    <w:rsid w:val="00A064BC"/>
    <w:rsid w:val="00A0768A"/>
    <w:rsid w:val="00A103D6"/>
    <w:rsid w:val="00A12150"/>
    <w:rsid w:val="00A12BE5"/>
    <w:rsid w:val="00A12EA5"/>
    <w:rsid w:val="00A12EC6"/>
    <w:rsid w:val="00A13791"/>
    <w:rsid w:val="00A13F81"/>
    <w:rsid w:val="00A141DB"/>
    <w:rsid w:val="00A147AA"/>
    <w:rsid w:val="00A14C6C"/>
    <w:rsid w:val="00A15D28"/>
    <w:rsid w:val="00A16AA3"/>
    <w:rsid w:val="00A17240"/>
    <w:rsid w:val="00A177F0"/>
    <w:rsid w:val="00A20324"/>
    <w:rsid w:val="00A206A5"/>
    <w:rsid w:val="00A2149E"/>
    <w:rsid w:val="00A2159A"/>
    <w:rsid w:val="00A2267A"/>
    <w:rsid w:val="00A22B8D"/>
    <w:rsid w:val="00A22E4C"/>
    <w:rsid w:val="00A2403B"/>
    <w:rsid w:val="00A272B0"/>
    <w:rsid w:val="00A276D6"/>
    <w:rsid w:val="00A30899"/>
    <w:rsid w:val="00A32213"/>
    <w:rsid w:val="00A332EF"/>
    <w:rsid w:val="00A33F7C"/>
    <w:rsid w:val="00A340C7"/>
    <w:rsid w:val="00A352C2"/>
    <w:rsid w:val="00A367E4"/>
    <w:rsid w:val="00A40786"/>
    <w:rsid w:val="00A442D0"/>
    <w:rsid w:val="00A446E2"/>
    <w:rsid w:val="00A44D3F"/>
    <w:rsid w:val="00A45762"/>
    <w:rsid w:val="00A45B87"/>
    <w:rsid w:val="00A467EE"/>
    <w:rsid w:val="00A5038E"/>
    <w:rsid w:val="00A50489"/>
    <w:rsid w:val="00A51BD1"/>
    <w:rsid w:val="00A52AE9"/>
    <w:rsid w:val="00A5375E"/>
    <w:rsid w:val="00A53D61"/>
    <w:rsid w:val="00A5467D"/>
    <w:rsid w:val="00A55C01"/>
    <w:rsid w:val="00A57D1B"/>
    <w:rsid w:val="00A60C43"/>
    <w:rsid w:val="00A60C77"/>
    <w:rsid w:val="00A615BA"/>
    <w:rsid w:val="00A63EBD"/>
    <w:rsid w:val="00A64697"/>
    <w:rsid w:val="00A6512A"/>
    <w:rsid w:val="00A663D7"/>
    <w:rsid w:val="00A66401"/>
    <w:rsid w:val="00A67C2D"/>
    <w:rsid w:val="00A743BD"/>
    <w:rsid w:val="00A753F2"/>
    <w:rsid w:val="00A7572B"/>
    <w:rsid w:val="00A759BF"/>
    <w:rsid w:val="00A80007"/>
    <w:rsid w:val="00A81E0A"/>
    <w:rsid w:val="00A8295E"/>
    <w:rsid w:val="00A8348A"/>
    <w:rsid w:val="00A83AF9"/>
    <w:rsid w:val="00A8587C"/>
    <w:rsid w:val="00A860E1"/>
    <w:rsid w:val="00A867EB"/>
    <w:rsid w:val="00A901E0"/>
    <w:rsid w:val="00A930B0"/>
    <w:rsid w:val="00A944B6"/>
    <w:rsid w:val="00A94D06"/>
    <w:rsid w:val="00A97A21"/>
    <w:rsid w:val="00AA005C"/>
    <w:rsid w:val="00AA02CE"/>
    <w:rsid w:val="00AA031A"/>
    <w:rsid w:val="00AA2D36"/>
    <w:rsid w:val="00AA37CF"/>
    <w:rsid w:val="00AA395E"/>
    <w:rsid w:val="00AA4004"/>
    <w:rsid w:val="00AA44E1"/>
    <w:rsid w:val="00AA473C"/>
    <w:rsid w:val="00AA64ED"/>
    <w:rsid w:val="00AA6D35"/>
    <w:rsid w:val="00AA709C"/>
    <w:rsid w:val="00AA7A07"/>
    <w:rsid w:val="00AB1695"/>
    <w:rsid w:val="00AB2BDD"/>
    <w:rsid w:val="00AB30A7"/>
    <w:rsid w:val="00AB4BC0"/>
    <w:rsid w:val="00AB5052"/>
    <w:rsid w:val="00AB52F3"/>
    <w:rsid w:val="00AB69EE"/>
    <w:rsid w:val="00AB6C1E"/>
    <w:rsid w:val="00AC1954"/>
    <w:rsid w:val="00AC1BB8"/>
    <w:rsid w:val="00AC2898"/>
    <w:rsid w:val="00AC2CA3"/>
    <w:rsid w:val="00AC406C"/>
    <w:rsid w:val="00AC7D2C"/>
    <w:rsid w:val="00AD0941"/>
    <w:rsid w:val="00AD319D"/>
    <w:rsid w:val="00AD59E4"/>
    <w:rsid w:val="00AE10DE"/>
    <w:rsid w:val="00AE1706"/>
    <w:rsid w:val="00AE2798"/>
    <w:rsid w:val="00AE3214"/>
    <w:rsid w:val="00AE380B"/>
    <w:rsid w:val="00AE386C"/>
    <w:rsid w:val="00AE424D"/>
    <w:rsid w:val="00AE5491"/>
    <w:rsid w:val="00AE5C08"/>
    <w:rsid w:val="00AE70B4"/>
    <w:rsid w:val="00AF007D"/>
    <w:rsid w:val="00AF0953"/>
    <w:rsid w:val="00AF11F1"/>
    <w:rsid w:val="00AF423D"/>
    <w:rsid w:val="00AF4703"/>
    <w:rsid w:val="00AF649C"/>
    <w:rsid w:val="00AF6C6D"/>
    <w:rsid w:val="00AF70A5"/>
    <w:rsid w:val="00AF752E"/>
    <w:rsid w:val="00AF788A"/>
    <w:rsid w:val="00AF7A0B"/>
    <w:rsid w:val="00B011A0"/>
    <w:rsid w:val="00B02080"/>
    <w:rsid w:val="00B037DD"/>
    <w:rsid w:val="00B04987"/>
    <w:rsid w:val="00B07BF0"/>
    <w:rsid w:val="00B07F02"/>
    <w:rsid w:val="00B11452"/>
    <w:rsid w:val="00B1446B"/>
    <w:rsid w:val="00B14A33"/>
    <w:rsid w:val="00B14E1C"/>
    <w:rsid w:val="00B16CF0"/>
    <w:rsid w:val="00B202D8"/>
    <w:rsid w:val="00B22AC1"/>
    <w:rsid w:val="00B23E12"/>
    <w:rsid w:val="00B25881"/>
    <w:rsid w:val="00B266E8"/>
    <w:rsid w:val="00B26D2F"/>
    <w:rsid w:val="00B339A4"/>
    <w:rsid w:val="00B33C3B"/>
    <w:rsid w:val="00B33D65"/>
    <w:rsid w:val="00B34328"/>
    <w:rsid w:val="00B35CFA"/>
    <w:rsid w:val="00B36FA6"/>
    <w:rsid w:val="00B37861"/>
    <w:rsid w:val="00B4086A"/>
    <w:rsid w:val="00B416F0"/>
    <w:rsid w:val="00B41C2F"/>
    <w:rsid w:val="00B41FD3"/>
    <w:rsid w:val="00B42871"/>
    <w:rsid w:val="00B43466"/>
    <w:rsid w:val="00B46B08"/>
    <w:rsid w:val="00B47F75"/>
    <w:rsid w:val="00B5230B"/>
    <w:rsid w:val="00B53DAE"/>
    <w:rsid w:val="00B54E0F"/>
    <w:rsid w:val="00B55C89"/>
    <w:rsid w:val="00B572B5"/>
    <w:rsid w:val="00B60C30"/>
    <w:rsid w:val="00B60E64"/>
    <w:rsid w:val="00B617F9"/>
    <w:rsid w:val="00B637D8"/>
    <w:rsid w:val="00B64C27"/>
    <w:rsid w:val="00B67345"/>
    <w:rsid w:val="00B711ED"/>
    <w:rsid w:val="00B7207C"/>
    <w:rsid w:val="00B72593"/>
    <w:rsid w:val="00B72819"/>
    <w:rsid w:val="00B73746"/>
    <w:rsid w:val="00B80594"/>
    <w:rsid w:val="00B8217B"/>
    <w:rsid w:val="00B83F3F"/>
    <w:rsid w:val="00B856C9"/>
    <w:rsid w:val="00B857A1"/>
    <w:rsid w:val="00B85A60"/>
    <w:rsid w:val="00B86860"/>
    <w:rsid w:val="00B86FAE"/>
    <w:rsid w:val="00B90346"/>
    <w:rsid w:val="00B90CB5"/>
    <w:rsid w:val="00B9185D"/>
    <w:rsid w:val="00B92777"/>
    <w:rsid w:val="00B92BB0"/>
    <w:rsid w:val="00B92C69"/>
    <w:rsid w:val="00B942AF"/>
    <w:rsid w:val="00B948FE"/>
    <w:rsid w:val="00B95087"/>
    <w:rsid w:val="00B95EEB"/>
    <w:rsid w:val="00B95FE9"/>
    <w:rsid w:val="00B9736E"/>
    <w:rsid w:val="00BA07B2"/>
    <w:rsid w:val="00BA422E"/>
    <w:rsid w:val="00BA462A"/>
    <w:rsid w:val="00BA59EB"/>
    <w:rsid w:val="00BA75BB"/>
    <w:rsid w:val="00BB1C93"/>
    <w:rsid w:val="00BB1D37"/>
    <w:rsid w:val="00BB21A9"/>
    <w:rsid w:val="00BB31BD"/>
    <w:rsid w:val="00BB332B"/>
    <w:rsid w:val="00BB388D"/>
    <w:rsid w:val="00BB3FA1"/>
    <w:rsid w:val="00BB4B8A"/>
    <w:rsid w:val="00BB4F8E"/>
    <w:rsid w:val="00BB5324"/>
    <w:rsid w:val="00BB7193"/>
    <w:rsid w:val="00BB71B3"/>
    <w:rsid w:val="00BB74A0"/>
    <w:rsid w:val="00BC1513"/>
    <w:rsid w:val="00BC2711"/>
    <w:rsid w:val="00BC49E8"/>
    <w:rsid w:val="00BD1CFF"/>
    <w:rsid w:val="00BD24F1"/>
    <w:rsid w:val="00BD55F9"/>
    <w:rsid w:val="00BD608A"/>
    <w:rsid w:val="00BD793A"/>
    <w:rsid w:val="00BD7A36"/>
    <w:rsid w:val="00BE0804"/>
    <w:rsid w:val="00BE2789"/>
    <w:rsid w:val="00BE4771"/>
    <w:rsid w:val="00BE66E8"/>
    <w:rsid w:val="00BE6E00"/>
    <w:rsid w:val="00BF0C32"/>
    <w:rsid w:val="00BF230D"/>
    <w:rsid w:val="00BF2CB9"/>
    <w:rsid w:val="00BF30BD"/>
    <w:rsid w:val="00BF5AE5"/>
    <w:rsid w:val="00BF6F73"/>
    <w:rsid w:val="00C002D1"/>
    <w:rsid w:val="00C0049D"/>
    <w:rsid w:val="00C03080"/>
    <w:rsid w:val="00C0429A"/>
    <w:rsid w:val="00C048A0"/>
    <w:rsid w:val="00C04E9D"/>
    <w:rsid w:val="00C06489"/>
    <w:rsid w:val="00C06D24"/>
    <w:rsid w:val="00C06DCC"/>
    <w:rsid w:val="00C07EA0"/>
    <w:rsid w:val="00C10C7B"/>
    <w:rsid w:val="00C11228"/>
    <w:rsid w:val="00C131D1"/>
    <w:rsid w:val="00C133BB"/>
    <w:rsid w:val="00C13FE9"/>
    <w:rsid w:val="00C14323"/>
    <w:rsid w:val="00C150A9"/>
    <w:rsid w:val="00C151ED"/>
    <w:rsid w:val="00C156F7"/>
    <w:rsid w:val="00C166BD"/>
    <w:rsid w:val="00C16DE8"/>
    <w:rsid w:val="00C1708E"/>
    <w:rsid w:val="00C170A1"/>
    <w:rsid w:val="00C17BEA"/>
    <w:rsid w:val="00C21642"/>
    <w:rsid w:val="00C21DB4"/>
    <w:rsid w:val="00C22792"/>
    <w:rsid w:val="00C23186"/>
    <w:rsid w:val="00C236CD"/>
    <w:rsid w:val="00C23F6D"/>
    <w:rsid w:val="00C24459"/>
    <w:rsid w:val="00C263AA"/>
    <w:rsid w:val="00C30164"/>
    <w:rsid w:val="00C3241C"/>
    <w:rsid w:val="00C33245"/>
    <w:rsid w:val="00C3404B"/>
    <w:rsid w:val="00C34B42"/>
    <w:rsid w:val="00C3542C"/>
    <w:rsid w:val="00C368B6"/>
    <w:rsid w:val="00C368E3"/>
    <w:rsid w:val="00C3722D"/>
    <w:rsid w:val="00C40867"/>
    <w:rsid w:val="00C41835"/>
    <w:rsid w:val="00C41B47"/>
    <w:rsid w:val="00C42B71"/>
    <w:rsid w:val="00C439EB"/>
    <w:rsid w:val="00C441F1"/>
    <w:rsid w:val="00C44420"/>
    <w:rsid w:val="00C44497"/>
    <w:rsid w:val="00C47327"/>
    <w:rsid w:val="00C50BEC"/>
    <w:rsid w:val="00C51C1B"/>
    <w:rsid w:val="00C53D72"/>
    <w:rsid w:val="00C54069"/>
    <w:rsid w:val="00C54FC2"/>
    <w:rsid w:val="00C555F0"/>
    <w:rsid w:val="00C55952"/>
    <w:rsid w:val="00C57803"/>
    <w:rsid w:val="00C57A31"/>
    <w:rsid w:val="00C60D60"/>
    <w:rsid w:val="00C613F3"/>
    <w:rsid w:val="00C61779"/>
    <w:rsid w:val="00C62E9A"/>
    <w:rsid w:val="00C700A2"/>
    <w:rsid w:val="00C702BB"/>
    <w:rsid w:val="00C71C58"/>
    <w:rsid w:val="00C7325D"/>
    <w:rsid w:val="00C7343B"/>
    <w:rsid w:val="00C75155"/>
    <w:rsid w:val="00C7701D"/>
    <w:rsid w:val="00C77EB8"/>
    <w:rsid w:val="00C80164"/>
    <w:rsid w:val="00C801EF"/>
    <w:rsid w:val="00C80D86"/>
    <w:rsid w:val="00C81710"/>
    <w:rsid w:val="00C817CB"/>
    <w:rsid w:val="00C81AB6"/>
    <w:rsid w:val="00C8493C"/>
    <w:rsid w:val="00C86D33"/>
    <w:rsid w:val="00C90B14"/>
    <w:rsid w:val="00C910B4"/>
    <w:rsid w:val="00C93E53"/>
    <w:rsid w:val="00C954E8"/>
    <w:rsid w:val="00C97698"/>
    <w:rsid w:val="00CA14AA"/>
    <w:rsid w:val="00CA1693"/>
    <w:rsid w:val="00CA3196"/>
    <w:rsid w:val="00CA341E"/>
    <w:rsid w:val="00CA3F4F"/>
    <w:rsid w:val="00CA4FE7"/>
    <w:rsid w:val="00CA50C7"/>
    <w:rsid w:val="00CA5142"/>
    <w:rsid w:val="00CA5546"/>
    <w:rsid w:val="00CA5EF7"/>
    <w:rsid w:val="00CA6BB3"/>
    <w:rsid w:val="00CA7F6F"/>
    <w:rsid w:val="00CB0C52"/>
    <w:rsid w:val="00CB1B74"/>
    <w:rsid w:val="00CB2F77"/>
    <w:rsid w:val="00CB32B5"/>
    <w:rsid w:val="00CB35C1"/>
    <w:rsid w:val="00CB7EB1"/>
    <w:rsid w:val="00CC02D6"/>
    <w:rsid w:val="00CC11CA"/>
    <w:rsid w:val="00CC1CDF"/>
    <w:rsid w:val="00CC2331"/>
    <w:rsid w:val="00CC39E9"/>
    <w:rsid w:val="00CC4C32"/>
    <w:rsid w:val="00CC60E6"/>
    <w:rsid w:val="00CC6A9F"/>
    <w:rsid w:val="00CC73FC"/>
    <w:rsid w:val="00CC7A9A"/>
    <w:rsid w:val="00CD0735"/>
    <w:rsid w:val="00CD0CA5"/>
    <w:rsid w:val="00CD183A"/>
    <w:rsid w:val="00CD1DA1"/>
    <w:rsid w:val="00CD3444"/>
    <w:rsid w:val="00CD3AB2"/>
    <w:rsid w:val="00CD3CAD"/>
    <w:rsid w:val="00CD6982"/>
    <w:rsid w:val="00CD6B31"/>
    <w:rsid w:val="00CD7880"/>
    <w:rsid w:val="00CD7A03"/>
    <w:rsid w:val="00CD7C54"/>
    <w:rsid w:val="00CE112B"/>
    <w:rsid w:val="00CE2E03"/>
    <w:rsid w:val="00CE32D9"/>
    <w:rsid w:val="00CE3FB5"/>
    <w:rsid w:val="00CE4259"/>
    <w:rsid w:val="00CE4DFD"/>
    <w:rsid w:val="00CE6A66"/>
    <w:rsid w:val="00CF100D"/>
    <w:rsid w:val="00CF19DA"/>
    <w:rsid w:val="00CF306A"/>
    <w:rsid w:val="00CF3C75"/>
    <w:rsid w:val="00CF4798"/>
    <w:rsid w:val="00CF4BD1"/>
    <w:rsid w:val="00CF4E2F"/>
    <w:rsid w:val="00D00B5A"/>
    <w:rsid w:val="00D00EA3"/>
    <w:rsid w:val="00D01084"/>
    <w:rsid w:val="00D01712"/>
    <w:rsid w:val="00D02FE9"/>
    <w:rsid w:val="00D030C4"/>
    <w:rsid w:val="00D0399E"/>
    <w:rsid w:val="00D057CB"/>
    <w:rsid w:val="00D06A7C"/>
    <w:rsid w:val="00D07E43"/>
    <w:rsid w:val="00D07F77"/>
    <w:rsid w:val="00D10BEC"/>
    <w:rsid w:val="00D10D55"/>
    <w:rsid w:val="00D121CF"/>
    <w:rsid w:val="00D12AD3"/>
    <w:rsid w:val="00D12DAF"/>
    <w:rsid w:val="00D1314A"/>
    <w:rsid w:val="00D15CF3"/>
    <w:rsid w:val="00D162AB"/>
    <w:rsid w:val="00D16359"/>
    <w:rsid w:val="00D168C0"/>
    <w:rsid w:val="00D20690"/>
    <w:rsid w:val="00D2098D"/>
    <w:rsid w:val="00D20D4C"/>
    <w:rsid w:val="00D23658"/>
    <w:rsid w:val="00D2394C"/>
    <w:rsid w:val="00D24E67"/>
    <w:rsid w:val="00D2510F"/>
    <w:rsid w:val="00D2558A"/>
    <w:rsid w:val="00D25821"/>
    <w:rsid w:val="00D25AB2"/>
    <w:rsid w:val="00D26C77"/>
    <w:rsid w:val="00D27261"/>
    <w:rsid w:val="00D27375"/>
    <w:rsid w:val="00D27F91"/>
    <w:rsid w:val="00D30E0F"/>
    <w:rsid w:val="00D314C7"/>
    <w:rsid w:val="00D32471"/>
    <w:rsid w:val="00D34938"/>
    <w:rsid w:val="00D34DD6"/>
    <w:rsid w:val="00D34E3B"/>
    <w:rsid w:val="00D37876"/>
    <w:rsid w:val="00D37F32"/>
    <w:rsid w:val="00D41D29"/>
    <w:rsid w:val="00D43C67"/>
    <w:rsid w:val="00D44F6F"/>
    <w:rsid w:val="00D453EB"/>
    <w:rsid w:val="00D45BB6"/>
    <w:rsid w:val="00D4622E"/>
    <w:rsid w:val="00D469BB"/>
    <w:rsid w:val="00D50683"/>
    <w:rsid w:val="00D50BF9"/>
    <w:rsid w:val="00D52702"/>
    <w:rsid w:val="00D53A53"/>
    <w:rsid w:val="00D54BD4"/>
    <w:rsid w:val="00D54D82"/>
    <w:rsid w:val="00D55DF4"/>
    <w:rsid w:val="00D6096D"/>
    <w:rsid w:val="00D63B0D"/>
    <w:rsid w:val="00D6423A"/>
    <w:rsid w:val="00D643AE"/>
    <w:rsid w:val="00D648F5"/>
    <w:rsid w:val="00D64B99"/>
    <w:rsid w:val="00D65415"/>
    <w:rsid w:val="00D656B5"/>
    <w:rsid w:val="00D6607E"/>
    <w:rsid w:val="00D66A5D"/>
    <w:rsid w:val="00D66B22"/>
    <w:rsid w:val="00D67184"/>
    <w:rsid w:val="00D67527"/>
    <w:rsid w:val="00D700FC"/>
    <w:rsid w:val="00D70263"/>
    <w:rsid w:val="00D71A88"/>
    <w:rsid w:val="00D73DD9"/>
    <w:rsid w:val="00D8468F"/>
    <w:rsid w:val="00D84B96"/>
    <w:rsid w:val="00D85101"/>
    <w:rsid w:val="00D855A1"/>
    <w:rsid w:val="00D85B72"/>
    <w:rsid w:val="00D86A70"/>
    <w:rsid w:val="00D878CB"/>
    <w:rsid w:val="00D87D44"/>
    <w:rsid w:val="00D87F26"/>
    <w:rsid w:val="00D87FBB"/>
    <w:rsid w:val="00D905E0"/>
    <w:rsid w:val="00D91BC3"/>
    <w:rsid w:val="00D92095"/>
    <w:rsid w:val="00D92A0F"/>
    <w:rsid w:val="00D92E6E"/>
    <w:rsid w:val="00D94D86"/>
    <w:rsid w:val="00D967E5"/>
    <w:rsid w:val="00D97C06"/>
    <w:rsid w:val="00DA0480"/>
    <w:rsid w:val="00DA2D19"/>
    <w:rsid w:val="00DA34AA"/>
    <w:rsid w:val="00DB01EC"/>
    <w:rsid w:val="00DB033A"/>
    <w:rsid w:val="00DB38A5"/>
    <w:rsid w:val="00DB45B6"/>
    <w:rsid w:val="00DB566E"/>
    <w:rsid w:val="00DB61A5"/>
    <w:rsid w:val="00DB68B1"/>
    <w:rsid w:val="00DB7DDB"/>
    <w:rsid w:val="00DC1097"/>
    <w:rsid w:val="00DC18E1"/>
    <w:rsid w:val="00DC235A"/>
    <w:rsid w:val="00DC423C"/>
    <w:rsid w:val="00DC5A11"/>
    <w:rsid w:val="00DC6E93"/>
    <w:rsid w:val="00DD0B71"/>
    <w:rsid w:val="00DD0B97"/>
    <w:rsid w:val="00DD3125"/>
    <w:rsid w:val="00DD3D3D"/>
    <w:rsid w:val="00DD6759"/>
    <w:rsid w:val="00DD6D69"/>
    <w:rsid w:val="00DD79AC"/>
    <w:rsid w:val="00DD7A4A"/>
    <w:rsid w:val="00DD7BD4"/>
    <w:rsid w:val="00DE0D29"/>
    <w:rsid w:val="00DE0F90"/>
    <w:rsid w:val="00DE1538"/>
    <w:rsid w:val="00DE182E"/>
    <w:rsid w:val="00DE1CC9"/>
    <w:rsid w:val="00DE1EB5"/>
    <w:rsid w:val="00DE20BF"/>
    <w:rsid w:val="00DE2AF0"/>
    <w:rsid w:val="00DE3017"/>
    <w:rsid w:val="00DE3B51"/>
    <w:rsid w:val="00DE4426"/>
    <w:rsid w:val="00DE522A"/>
    <w:rsid w:val="00DE586C"/>
    <w:rsid w:val="00DE60C3"/>
    <w:rsid w:val="00DE64B2"/>
    <w:rsid w:val="00DE7D0C"/>
    <w:rsid w:val="00DF08E7"/>
    <w:rsid w:val="00DF0923"/>
    <w:rsid w:val="00DF0DF3"/>
    <w:rsid w:val="00DF20D1"/>
    <w:rsid w:val="00DF35B4"/>
    <w:rsid w:val="00DF58DD"/>
    <w:rsid w:val="00DF5A86"/>
    <w:rsid w:val="00DF6379"/>
    <w:rsid w:val="00DF6990"/>
    <w:rsid w:val="00DF79F6"/>
    <w:rsid w:val="00DF7A39"/>
    <w:rsid w:val="00E01821"/>
    <w:rsid w:val="00E03538"/>
    <w:rsid w:val="00E03C20"/>
    <w:rsid w:val="00E03E55"/>
    <w:rsid w:val="00E0409F"/>
    <w:rsid w:val="00E04821"/>
    <w:rsid w:val="00E06921"/>
    <w:rsid w:val="00E0770F"/>
    <w:rsid w:val="00E101A9"/>
    <w:rsid w:val="00E10A87"/>
    <w:rsid w:val="00E10F1A"/>
    <w:rsid w:val="00E153DB"/>
    <w:rsid w:val="00E202A5"/>
    <w:rsid w:val="00E227A1"/>
    <w:rsid w:val="00E22856"/>
    <w:rsid w:val="00E2335C"/>
    <w:rsid w:val="00E234C7"/>
    <w:rsid w:val="00E24E43"/>
    <w:rsid w:val="00E2648D"/>
    <w:rsid w:val="00E31D0D"/>
    <w:rsid w:val="00E32E4A"/>
    <w:rsid w:val="00E3401D"/>
    <w:rsid w:val="00E3420D"/>
    <w:rsid w:val="00E34524"/>
    <w:rsid w:val="00E34F87"/>
    <w:rsid w:val="00E3727B"/>
    <w:rsid w:val="00E37A54"/>
    <w:rsid w:val="00E40843"/>
    <w:rsid w:val="00E41AD3"/>
    <w:rsid w:val="00E41CDC"/>
    <w:rsid w:val="00E43085"/>
    <w:rsid w:val="00E44ED7"/>
    <w:rsid w:val="00E46E7D"/>
    <w:rsid w:val="00E47748"/>
    <w:rsid w:val="00E522B4"/>
    <w:rsid w:val="00E5248C"/>
    <w:rsid w:val="00E53091"/>
    <w:rsid w:val="00E536E5"/>
    <w:rsid w:val="00E54430"/>
    <w:rsid w:val="00E5591F"/>
    <w:rsid w:val="00E56D4B"/>
    <w:rsid w:val="00E611A7"/>
    <w:rsid w:val="00E61562"/>
    <w:rsid w:val="00E61718"/>
    <w:rsid w:val="00E62134"/>
    <w:rsid w:val="00E66F02"/>
    <w:rsid w:val="00E677C7"/>
    <w:rsid w:val="00E679E9"/>
    <w:rsid w:val="00E70A56"/>
    <w:rsid w:val="00E70B8B"/>
    <w:rsid w:val="00E72B30"/>
    <w:rsid w:val="00E73899"/>
    <w:rsid w:val="00E761A1"/>
    <w:rsid w:val="00E7638A"/>
    <w:rsid w:val="00E77D62"/>
    <w:rsid w:val="00E80DEB"/>
    <w:rsid w:val="00E81856"/>
    <w:rsid w:val="00E818E9"/>
    <w:rsid w:val="00E8206D"/>
    <w:rsid w:val="00E82218"/>
    <w:rsid w:val="00E830A3"/>
    <w:rsid w:val="00E830AC"/>
    <w:rsid w:val="00E83B9B"/>
    <w:rsid w:val="00E85CFA"/>
    <w:rsid w:val="00E86315"/>
    <w:rsid w:val="00E86340"/>
    <w:rsid w:val="00E863A4"/>
    <w:rsid w:val="00E86F77"/>
    <w:rsid w:val="00E9143E"/>
    <w:rsid w:val="00E915A2"/>
    <w:rsid w:val="00E92BA4"/>
    <w:rsid w:val="00E92F39"/>
    <w:rsid w:val="00E94D31"/>
    <w:rsid w:val="00E95D73"/>
    <w:rsid w:val="00EA2EE1"/>
    <w:rsid w:val="00EA3F88"/>
    <w:rsid w:val="00EA630C"/>
    <w:rsid w:val="00EA6568"/>
    <w:rsid w:val="00EB0A83"/>
    <w:rsid w:val="00EB0C28"/>
    <w:rsid w:val="00EB1240"/>
    <w:rsid w:val="00EB481E"/>
    <w:rsid w:val="00EB4BBA"/>
    <w:rsid w:val="00EB6A20"/>
    <w:rsid w:val="00EB7F64"/>
    <w:rsid w:val="00EC1DC7"/>
    <w:rsid w:val="00EC1FDE"/>
    <w:rsid w:val="00EC2827"/>
    <w:rsid w:val="00EC2C14"/>
    <w:rsid w:val="00EC37DC"/>
    <w:rsid w:val="00EC3AAD"/>
    <w:rsid w:val="00EC3C35"/>
    <w:rsid w:val="00EC4D93"/>
    <w:rsid w:val="00EC4E6F"/>
    <w:rsid w:val="00EC6042"/>
    <w:rsid w:val="00EC6544"/>
    <w:rsid w:val="00ED09F6"/>
    <w:rsid w:val="00ED6FE2"/>
    <w:rsid w:val="00ED7412"/>
    <w:rsid w:val="00ED76D2"/>
    <w:rsid w:val="00EE00B8"/>
    <w:rsid w:val="00EE164B"/>
    <w:rsid w:val="00EE6CA0"/>
    <w:rsid w:val="00EE771E"/>
    <w:rsid w:val="00EF2098"/>
    <w:rsid w:val="00EF2CD7"/>
    <w:rsid w:val="00EF468A"/>
    <w:rsid w:val="00EF7B4B"/>
    <w:rsid w:val="00F04A91"/>
    <w:rsid w:val="00F0541D"/>
    <w:rsid w:val="00F065B1"/>
    <w:rsid w:val="00F07579"/>
    <w:rsid w:val="00F124B4"/>
    <w:rsid w:val="00F12D29"/>
    <w:rsid w:val="00F1460A"/>
    <w:rsid w:val="00F1797F"/>
    <w:rsid w:val="00F206D3"/>
    <w:rsid w:val="00F20C47"/>
    <w:rsid w:val="00F21015"/>
    <w:rsid w:val="00F22889"/>
    <w:rsid w:val="00F2319A"/>
    <w:rsid w:val="00F2347A"/>
    <w:rsid w:val="00F2424E"/>
    <w:rsid w:val="00F245CC"/>
    <w:rsid w:val="00F25D8A"/>
    <w:rsid w:val="00F269EB"/>
    <w:rsid w:val="00F27448"/>
    <w:rsid w:val="00F350C0"/>
    <w:rsid w:val="00F3555C"/>
    <w:rsid w:val="00F35FA2"/>
    <w:rsid w:val="00F36D5B"/>
    <w:rsid w:val="00F374D1"/>
    <w:rsid w:val="00F413E1"/>
    <w:rsid w:val="00F41674"/>
    <w:rsid w:val="00F44B55"/>
    <w:rsid w:val="00F45773"/>
    <w:rsid w:val="00F45CD9"/>
    <w:rsid w:val="00F46A1B"/>
    <w:rsid w:val="00F4754B"/>
    <w:rsid w:val="00F50AD6"/>
    <w:rsid w:val="00F50B7A"/>
    <w:rsid w:val="00F51324"/>
    <w:rsid w:val="00F57807"/>
    <w:rsid w:val="00F624B0"/>
    <w:rsid w:val="00F624BF"/>
    <w:rsid w:val="00F62568"/>
    <w:rsid w:val="00F625FF"/>
    <w:rsid w:val="00F63446"/>
    <w:rsid w:val="00F67941"/>
    <w:rsid w:val="00F67A47"/>
    <w:rsid w:val="00F70A83"/>
    <w:rsid w:val="00F71081"/>
    <w:rsid w:val="00F71479"/>
    <w:rsid w:val="00F717CF"/>
    <w:rsid w:val="00F71FE3"/>
    <w:rsid w:val="00F7589C"/>
    <w:rsid w:val="00F76116"/>
    <w:rsid w:val="00F76A8E"/>
    <w:rsid w:val="00F82D6D"/>
    <w:rsid w:val="00F830FA"/>
    <w:rsid w:val="00F874F9"/>
    <w:rsid w:val="00F878FF"/>
    <w:rsid w:val="00F90BC8"/>
    <w:rsid w:val="00F927F9"/>
    <w:rsid w:val="00F92D19"/>
    <w:rsid w:val="00F93012"/>
    <w:rsid w:val="00F96F22"/>
    <w:rsid w:val="00FA034F"/>
    <w:rsid w:val="00FA1A9C"/>
    <w:rsid w:val="00FA2520"/>
    <w:rsid w:val="00FA578F"/>
    <w:rsid w:val="00FA6571"/>
    <w:rsid w:val="00FA71DB"/>
    <w:rsid w:val="00FB0537"/>
    <w:rsid w:val="00FB1E6E"/>
    <w:rsid w:val="00FB2849"/>
    <w:rsid w:val="00FB38C2"/>
    <w:rsid w:val="00FB45D7"/>
    <w:rsid w:val="00FC11C1"/>
    <w:rsid w:val="00FC1BAA"/>
    <w:rsid w:val="00FC2664"/>
    <w:rsid w:val="00FC2BDD"/>
    <w:rsid w:val="00FC2E96"/>
    <w:rsid w:val="00FC35B5"/>
    <w:rsid w:val="00FC43EA"/>
    <w:rsid w:val="00FC5FB0"/>
    <w:rsid w:val="00FC7AB0"/>
    <w:rsid w:val="00FD16FC"/>
    <w:rsid w:val="00FD1C7A"/>
    <w:rsid w:val="00FD2A09"/>
    <w:rsid w:val="00FD2C06"/>
    <w:rsid w:val="00FD350F"/>
    <w:rsid w:val="00FD5C02"/>
    <w:rsid w:val="00FD5DE9"/>
    <w:rsid w:val="00FE002E"/>
    <w:rsid w:val="00FE04FF"/>
    <w:rsid w:val="00FE0FF1"/>
    <w:rsid w:val="00FE476F"/>
    <w:rsid w:val="00FE4B1F"/>
    <w:rsid w:val="00FE72FD"/>
    <w:rsid w:val="00FF01D7"/>
    <w:rsid w:val="00FF1A17"/>
    <w:rsid w:val="00FF2091"/>
    <w:rsid w:val="00FF27C2"/>
    <w:rsid w:val="00FF3AC1"/>
    <w:rsid w:val="00FF3D86"/>
    <w:rsid w:val="00FF40EF"/>
    <w:rsid w:val="00FF5788"/>
    <w:rsid w:val="00FF64DD"/>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0,0,0,0"/>
    </o:shapedefaults>
    <o:shapelayout v:ext="edit">
      <o:idmap v:ext="edit" data="1"/>
    </o:shapelayout>
  </w:shapeDefaults>
  <w:decimalSymbol w:val="."/>
  <w:listSeparator w:val=";"/>
  <w14:docId w14:val="562CBEB6"/>
  <w15:docId w15:val="{8D0F4C2E-881B-4E5D-9482-D0E5664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qFormat/>
    <w:rsid w:val="009310D6"/>
    <w:rPr>
      <w:rFonts w:ascii="Arial" w:hAnsi="Arial"/>
      <w:color w:val="auto"/>
      <w:sz w:val="16"/>
      <w:vertAlign w:val="superscript"/>
    </w:rPr>
  </w:style>
  <w:style w:type="paragraph" w:styleId="FootnoteText">
    <w:name w:val="footnote text"/>
    <w:aliases w:val="Fußnote, Char"/>
    <w:basedOn w:val="Normal"/>
    <w:link w:val="FootnoteTextChar"/>
    <w:uiPriority w:val="99"/>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val="0"/>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1"/>
      </w:numPr>
    </w:pPr>
  </w:style>
  <w:style w:type="numbering" w:customStyle="1" w:styleId="Formatvorlage4">
    <w:name w:val="Formatvorlage4"/>
    <w:uiPriority w:val="99"/>
    <w:rsid w:val="00F4754B"/>
    <w:pPr>
      <w:numPr>
        <w:numId w:val="22"/>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3"/>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964045836">
      <w:bodyDiv w:val="1"/>
      <w:marLeft w:val="0"/>
      <w:marRight w:val="0"/>
      <w:marTop w:val="0"/>
      <w:marBottom w:val="0"/>
      <w:divBdr>
        <w:top w:val="none" w:sz="0" w:space="0" w:color="auto"/>
        <w:left w:val="none" w:sz="0" w:space="0" w:color="auto"/>
        <w:bottom w:val="none" w:sz="0" w:space="0" w:color="auto"/>
        <w:right w:val="none" w:sz="0" w:space="0" w:color="auto"/>
      </w:divBdr>
    </w:div>
    <w:div w:id="1661080407">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75F78-636F-48FB-BB5C-2B4CE4B00C8D}">
  <ds:schemaRefs>
    <ds:schemaRef ds:uri="http://schemas.openxmlformats.org/officeDocument/2006/bibliography"/>
  </ds:schemaRefs>
</ds:datastoreItem>
</file>

<file path=customXml/itemProps2.xml><?xml version="1.0" encoding="utf-8"?>
<ds:datastoreItem xmlns:ds="http://schemas.openxmlformats.org/officeDocument/2006/customXml" ds:itemID="{D7C08510-9AB6-4A9C-9A8F-59CBF5E59662}">
  <ds:schemaRefs>
    <ds:schemaRef ds:uri="http://schemas.openxmlformats.org/officeDocument/2006/bibliography"/>
  </ds:schemaRefs>
</ds:datastoreItem>
</file>

<file path=customXml/itemProps3.xml><?xml version="1.0" encoding="utf-8"?>
<ds:datastoreItem xmlns:ds="http://schemas.openxmlformats.org/officeDocument/2006/customXml" ds:itemID="{088D6201-257E-4746-B918-FC02330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15761</Words>
  <Characters>82401</Characters>
  <Application>Microsoft Office Word</Application>
  <DocSecurity>0</DocSecurity>
  <Lines>686</Lines>
  <Paragraphs>195</Paragraphs>
  <ScaleCrop>false</ScaleCrop>
  <HeadingPairs>
    <vt:vector size="10" baseType="variant">
      <vt:variant>
        <vt:lpstr>Title</vt:lpstr>
      </vt:variant>
      <vt:variant>
        <vt:i4>1</vt:i4>
      </vt:variant>
      <vt:variant>
        <vt:lpstr>Název</vt:lpstr>
      </vt:variant>
      <vt:variant>
        <vt:i4>1</vt:i4>
      </vt:variant>
      <vt:variant>
        <vt:lpstr>Tittel</vt:lpstr>
      </vt:variant>
      <vt:variant>
        <vt:i4>1</vt:i4>
      </vt:variant>
      <vt:variant>
        <vt:lpstr>Titel</vt:lpstr>
      </vt:variant>
      <vt:variant>
        <vt:i4>1</vt:i4>
      </vt:variant>
      <vt:variant>
        <vt:lpstr>Titre</vt:lpstr>
      </vt:variant>
      <vt:variant>
        <vt:i4>1</vt:i4>
      </vt:variant>
    </vt:vector>
  </HeadingPairs>
  <TitlesOfParts>
    <vt:vector size="5" baseType="lpstr">
      <vt:lpstr>EBA Short Report</vt:lpstr>
      <vt:lpstr>EBA Short Report</vt:lpstr>
      <vt:lpstr>EBA Short Report</vt:lpstr>
      <vt:lpstr>EBA Short Report</vt:lpstr>
      <vt:lpstr>EBA Short Report</vt:lpstr>
    </vt:vector>
  </TitlesOfParts>
  <Company>Microsoft</Company>
  <LinksUpToDate>false</LinksUpToDate>
  <CharactersWithSpaces>97967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EBA staff</cp:lastModifiedBy>
  <cp:revision>2</cp:revision>
  <cp:lastPrinted>2015-04-10T08:05:00Z</cp:lastPrinted>
  <dcterms:created xsi:type="dcterms:W3CDTF">2019-10-01T08:14:00Z</dcterms:created>
  <dcterms:modified xsi:type="dcterms:W3CDTF">2019-10-01T08:14:00Z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