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EE" w:rsidRPr="005B6F8B" w:rsidRDefault="009F0F81" w:rsidP="00D64B66">
      <w:pPr>
        <w:pStyle w:val="Titrearticle"/>
        <w:keepNext w:val="0"/>
        <w:outlineLvl w:val="0"/>
        <w:rPr>
          <w:lang w:val="en-US"/>
        </w:rPr>
      </w:pPr>
      <w:bookmarkStart w:id="0" w:name="_Toc262568021"/>
      <w:bookmarkStart w:id="1" w:name="_Toc295829847"/>
      <w:r w:rsidRPr="005B6F8B">
        <w:rPr>
          <w:lang w:val="en-US"/>
        </w:rPr>
        <w:t xml:space="preserve">ANNEX </w:t>
      </w:r>
      <w:r w:rsidR="00713F52" w:rsidRPr="005B6F8B">
        <w:rPr>
          <w:lang w:val="en-US"/>
        </w:rPr>
        <w:t>V</w:t>
      </w:r>
      <w:r w:rsidRPr="005B6F8B">
        <w:rPr>
          <w:lang w:val="en-US"/>
        </w:rPr>
        <w:t>II</w:t>
      </w:r>
    </w:p>
    <w:p w:rsidR="00C87CEE" w:rsidRDefault="00713F52" w:rsidP="00C87CEE">
      <w:pPr>
        <w:jc w:val="center"/>
        <w:rPr>
          <w:rFonts w:ascii="Times New Roman" w:hAnsi="Times New Roman"/>
          <w:b/>
          <w:sz w:val="24"/>
          <w:lang w:eastAsia="de-DE"/>
        </w:rPr>
      </w:pPr>
      <w:r w:rsidRPr="005B6F8B">
        <w:rPr>
          <w:rFonts w:ascii="Times New Roman" w:hAnsi="Times New Roman"/>
          <w:b/>
          <w:sz w:val="24"/>
          <w:lang w:eastAsia="de-DE"/>
        </w:rPr>
        <w:t xml:space="preserve">INSTRUCTIONS FOR THE </w:t>
      </w:r>
      <w:r w:rsidR="009F0F81" w:rsidRPr="005B6F8B">
        <w:rPr>
          <w:rFonts w:ascii="Times New Roman" w:hAnsi="Times New Roman"/>
          <w:b/>
          <w:sz w:val="24"/>
          <w:lang w:eastAsia="de-DE"/>
        </w:rPr>
        <w:t xml:space="preserve">REPORTING ON </w:t>
      </w:r>
      <w:r w:rsidRPr="005B6F8B">
        <w:rPr>
          <w:rFonts w:ascii="Times New Roman" w:hAnsi="Times New Roman"/>
          <w:b/>
          <w:sz w:val="24"/>
          <w:lang w:eastAsia="de-DE"/>
        </w:rPr>
        <w:t>LOSSES STEMMING FROM LEN</w:t>
      </w:r>
      <w:r w:rsidRPr="005B6F8B">
        <w:rPr>
          <w:rFonts w:ascii="Times New Roman" w:hAnsi="Times New Roman"/>
          <w:b/>
          <w:sz w:val="24"/>
          <w:lang w:eastAsia="de-DE"/>
        </w:rPr>
        <w:t>D</w:t>
      </w:r>
      <w:r w:rsidRPr="005B6F8B">
        <w:rPr>
          <w:rFonts w:ascii="Times New Roman" w:hAnsi="Times New Roman"/>
          <w:b/>
          <w:sz w:val="24"/>
          <w:lang w:eastAsia="de-DE"/>
        </w:rPr>
        <w:t>ING COLLATERALISED BY IMMOVABLE PROPERTY</w:t>
      </w:r>
    </w:p>
    <w:p w:rsidR="00502390" w:rsidRDefault="00502390" w:rsidP="00C87CEE">
      <w:pPr>
        <w:jc w:val="center"/>
        <w:rPr>
          <w:rFonts w:ascii="Times New Roman" w:hAnsi="Times New Roman"/>
          <w:b/>
          <w:sz w:val="24"/>
          <w:lang w:eastAsia="de-DE"/>
        </w:rPr>
        <w:sectPr w:rsidR="00502390" w:rsidSect="00B51F42">
          <w:footerReference w:type="even" r:id="rId8"/>
          <w:footerReference w:type="default" r:id="rId9"/>
          <w:endnotePr>
            <w:numFmt w:val="decimal"/>
          </w:endnotePr>
          <w:pgSz w:w="11906" w:h="16838"/>
          <w:pgMar w:top="1417" w:right="1417" w:bottom="1134" w:left="1417" w:header="708" w:footer="708" w:gutter="0"/>
          <w:cols w:space="708"/>
          <w:docGrid w:linePitch="360"/>
        </w:sectPr>
      </w:pPr>
    </w:p>
    <w:p w:rsidR="00C87CEE" w:rsidRPr="005B6F8B" w:rsidRDefault="009F0F81"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lastRenderedPageBreak/>
        <w:t xml:space="preserve">This Annex contains additional instructions </w:t>
      </w:r>
      <w:r w:rsidR="00713F52" w:rsidRPr="005B6F8B">
        <w:rPr>
          <w:rFonts w:ascii="Times New Roman" w:hAnsi="Times New Roman" w:cs="Times New Roman"/>
          <w:u w:val="none"/>
        </w:rPr>
        <w:t>in relation to</w:t>
      </w:r>
      <w:r w:rsidRPr="005B6F8B">
        <w:rPr>
          <w:rFonts w:ascii="Times New Roman" w:hAnsi="Times New Roman" w:cs="Times New Roman"/>
          <w:u w:val="none"/>
        </w:rPr>
        <w:t xml:space="preserve"> the tables included in Annex </w:t>
      </w:r>
      <w:r w:rsidR="00713F52" w:rsidRPr="005B6F8B">
        <w:rPr>
          <w:rFonts w:ascii="Times New Roman" w:hAnsi="Times New Roman" w:cs="Times New Roman"/>
          <w:u w:val="none"/>
        </w:rPr>
        <w:t>V</w:t>
      </w:r>
      <w:r w:rsidRPr="005B6F8B">
        <w:rPr>
          <w:rFonts w:ascii="Times New Roman" w:hAnsi="Times New Roman" w:cs="Times New Roman"/>
          <w:u w:val="none"/>
        </w:rPr>
        <w:t>I of this Reg</w:t>
      </w:r>
      <w:r w:rsidRPr="005B6F8B">
        <w:rPr>
          <w:rFonts w:ascii="Times New Roman" w:hAnsi="Times New Roman" w:cs="Times New Roman"/>
          <w:u w:val="none"/>
        </w:rPr>
        <w:t>u</w:t>
      </w:r>
      <w:r w:rsidRPr="005B6F8B">
        <w:rPr>
          <w:rFonts w:ascii="Times New Roman" w:hAnsi="Times New Roman" w:cs="Times New Roman"/>
          <w:u w:val="none"/>
        </w:rPr>
        <w:t xml:space="preserve">lation. This Annex complements the instructions in format of references included in the tables in Annex </w:t>
      </w:r>
      <w:r w:rsidR="00713F52" w:rsidRPr="005B6F8B">
        <w:rPr>
          <w:rFonts w:ascii="Times New Roman" w:hAnsi="Times New Roman" w:cs="Times New Roman"/>
          <w:u w:val="none"/>
        </w:rPr>
        <w:t>V</w:t>
      </w:r>
      <w:r w:rsidRPr="005B6F8B">
        <w:rPr>
          <w:rFonts w:ascii="Times New Roman" w:hAnsi="Times New Roman" w:cs="Times New Roman"/>
          <w:u w:val="none"/>
        </w:rPr>
        <w:t>I.</w:t>
      </w:r>
    </w:p>
    <w:p w:rsidR="00013EF3" w:rsidRDefault="00713F52"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t>All the general instructions included in Part I of Annex II of this regulation shall also apply.</w:t>
      </w:r>
    </w:p>
    <w:p w:rsidR="00325A59" w:rsidRPr="00325A59" w:rsidRDefault="00325A59" w:rsidP="005C453E">
      <w:pPr>
        <w:pStyle w:val="Instructionsberschrift2"/>
        <w:numPr>
          <w:ilvl w:val="0"/>
          <w:numId w:val="21"/>
        </w:numPr>
        <w:rPr>
          <w:rFonts w:ascii="Times New Roman" w:hAnsi="Times New Roman" w:cs="Times New Roman"/>
        </w:rPr>
      </w:pPr>
      <w:r w:rsidRPr="00325A59">
        <w:rPr>
          <w:rFonts w:ascii="Times New Roman" w:hAnsi="Times New Roman" w:cs="Times New Roman"/>
        </w:rPr>
        <w:t>Reporting scope</w:t>
      </w:r>
    </w:p>
    <w:p w:rsidR="00FB175F" w:rsidRDefault="0057435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Data specified in Article </w:t>
      </w:r>
      <w:r w:rsidR="00422064">
        <w:rPr>
          <w:rFonts w:ascii="Times New Roman" w:hAnsi="Times New Roman" w:cs="Times New Roman"/>
          <w:u w:val="none"/>
        </w:rPr>
        <w:t xml:space="preserve">101 </w:t>
      </w:r>
      <w:r w:rsidR="00B00AEB">
        <w:rPr>
          <w:rFonts w:ascii="Times New Roman" w:hAnsi="Times New Roman" w:cs="Times New Roman"/>
          <w:u w:val="none"/>
        </w:rPr>
        <w:t xml:space="preserve">(1) </w:t>
      </w:r>
      <w:r>
        <w:rPr>
          <w:rFonts w:ascii="Times New Roman" w:hAnsi="Times New Roman" w:cs="Times New Roman"/>
          <w:u w:val="none"/>
        </w:rPr>
        <w:t>of CRR is subject to reporting by a</w:t>
      </w:r>
      <w:r w:rsidR="00FB175F">
        <w:rPr>
          <w:rFonts w:ascii="Times New Roman" w:hAnsi="Times New Roman" w:cs="Times New Roman"/>
          <w:u w:val="none"/>
        </w:rPr>
        <w:t xml:space="preserve">ll institutions using immovable property for the purposes of Part Three, Title II </w:t>
      </w:r>
      <w:r>
        <w:rPr>
          <w:rFonts w:ascii="Times New Roman" w:hAnsi="Times New Roman" w:cs="Times New Roman"/>
          <w:u w:val="none"/>
        </w:rPr>
        <w:t xml:space="preserve">of CRR. </w:t>
      </w:r>
    </w:p>
    <w:p w:rsidR="00FA5CA1" w:rsidRDefault="00A35584" w:rsidP="005C453E">
      <w:pPr>
        <w:pStyle w:val="Instructionsberschrift2"/>
        <w:numPr>
          <w:ilvl w:val="0"/>
          <w:numId w:val="15"/>
        </w:numPr>
        <w:rPr>
          <w:rFonts w:ascii="Times New Roman" w:hAnsi="Times New Roman" w:cs="Times New Roman"/>
          <w:u w:val="none"/>
        </w:rPr>
      </w:pPr>
      <w:r w:rsidRPr="00A35584">
        <w:rPr>
          <w:rFonts w:ascii="Times New Roman" w:hAnsi="Times New Roman" w:cs="Times New Roman"/>
          <w:u w:val="none"/>
        </w:rPr>
        <w:t xml:space="preserve">The </w:t>
      </w:r>
      <w:r>
        <w:rPr>
          <w:rFonts w:ascii="Times New Roman" w:hAnsi="Times New Roman" w:cs="Times New Roman"/>
          <w:u w:val="none"/>
        </w:rPr>
        <w:t>template</w:t>
      </w:r>
      <w:r w:rsidRPr="00A35584">
        <w:rPr>
          <w:rFonts w:ascii="Times New Roman" w:hAnsi="Times New Roman" w:cs="Times New Roman"/>
          <w:u w:val="none"/>
        </w:rPr>
        <w:t xml:space="preserve"> cover</w:t>
      </w:r>
      <w:r w:rsidR="00B5171B">
        <w:rPr>
          <w:rFonts w:ascii="Times New Roman" w:hAnsi="Times New Roman" w:cs="Times New Roman"/>
          <w:u w:val="none"/>
        </w:rPr>
        <w:t>s</w:t>
      </w:r>
      <w:r w:rsidRPr="00A35584">
        <w:rPr>
          <w:rFonts w:ascii="Times New Roman" w:hAnsi="Times New Roman" w:cs="Times New Roman"/>
          <w:u w:val="none"/>
        </w:rPr>
        <w:t xml:space="preserve"> all national markets an institution/group of institution is exposed to</w:t>
      </w:r>
      <w:r w:rsidR="00FA5CA1">
        <w:rPr>
          <w:rFonts w:ascii="Times New Roman" w:hAnsi="Times New Roman" w:cs="Times New Roman"/>
          <w:u w:val="none"/>
        </w:rPr>
        <w:t xml:space="preserve"> (see Article </w:t>
      </w:r>
      <w:r w:rsidR="00422064">
        <w:rPr>
          <w:rFonts w:ascii="Times New Roman" w:hAnsi="Times New Roman" w:cs="Times New Roman"/>
          <w:u w:val="none"/>
        </w:rPr>
        <w:t>101</w:t>
      </w:r>
      <w:r w:rsidR="00FA5CA1">
        <w:rPr>
          <w:rFonts w:ascii="Times New Roman" w:hAnsi="Times New Roman" w:cs="Times New Roman"/>
          <w:u w:val="none"/>
        </w:rPr>
        <w:t xml:space="preserve"> (1) CRR)</w:t>
      </w:r>
      <w:r w:rsidRPr="00A35584">
        <w:rPr>
          <w:rFonts w:ascii="Times New Roman" w:hAnsi="Times New Roman" w:cs="Times New Roman"/>
          <w:u w:val="none"/>
        </w:rPr>
        <w:t xml:space="preserve">. According to Article </w:t>
      </w:r>
      <w:r w:rsidR="00422064">
        <w:rPr>
          <w:rFonts w:ascii="Times New Roman" w:hAnsi="Times New Roman" w:cs="Times New Roman"/>
          <w:u w:val="none"/>
        </w:rPr>
        <w:t>101</w:t>
      </w:r>
      <w:r w:rsidR="00422064" w:rsidRPr="00A35584">
        <w:rPr>
          <w:rFonts w:ascii="Times New Roman" w:hAnsi="Times New Roman" w:cs="Times New Roman"/>
          <w:u w:val="none"/>
        </w:rPr>
        <w:t xml:space="preserve"> </w:t>
      </w:r>
      <w:r w:rsidR="00422064">
        <w:rPr>
          <w:rFonts w:ascii="Times New Roman" w:hAnsi="Times New Roman" w:cs="Times New Roman"/>
          <w:u w:val="none"/>
        </w:rPr>
        <w:t>(</w:t>
      </w:r>
      <w:r w:rsidRPr="00A35584">
        <w:rPr>
          <w:rFonts w:ascii="Times New Roman" w:hAnsi="Times New Roman" w:cs="Times New Roman"/>
          <w:u w:val="none"/>
        </w:rPr>
        <w:t>2</w:t>
      </w:r>
      <w:r w:rsidR="00422064">
        <w:rPr>
          <w:rFonts w:ascii="Times New Roman" w:hAnsi="Times New Roman" w:cs="Times New Roman"/>
          <w:u w:val="none"/>
        </w:rPr>
        <w:t>)</w:t>
      </w:r>
      <w:r w:rsidRPr="00A35584">
        <w:rPr>
          <w:rFonts w:ascii="Times New Roman" w:hAnsi="Times New Roman" w:cs="Times New Roman"/>
          <w:u w:val="none"/>
        </w:rPr>
        <w:t xml:space="preserve"> </w:t>
      </w:r>
      <w:r w:rsidR="00422064">
        <w:rPr>
          <w:rFonts w:ascii="Times New Roman" w:hAnsi="Times New Roman" w:cs="Times New Roman"/>
          <w:u w:val="none"/>
        </w:rPr>
        <w:t>sentence 3</w:t>
      </w:r>
      <w:r w:rsidRPr="00A35584">
        <w:rPr>
          <w:rFonts w:ascii="Times New Roman" w:hAnsi="Times New Roman" w:cs="Times New Roman"/>
          <w:u w:val="none"/>
        </w:rPr>
        <w:t xml:space="preserve"> the data should be reported for each property market </w:t>
      </w:r>
      <w:r w:rsidR="00FA5CA1">
        <w:rPr>
          <w:rFonts w:ascii="Times New Roman" w:hAnsi="Times New Roman" w:cs="Times New Roman"/>
          <w:u w:val="none"/>
        </w:rPr>
        <w:t xml:space="preserve">within the </w:t>
      </w:r>
      <w:r w:rsidR="00C62E09">
        <w:rPr>
          <w:rFonts w:ascii="Times New Roman" w:hAnsi="Times New Roman" w:cs="Times New Roman"/>
          <w:u w:val="none"/>
        </w:rPr>
        <w:t xml:space="preserve">Union </w:t>
      </w:r>
      <w:r w:rsidRPr="00A35584">
        <w:rPr>
          <w:rFonts w:ascii="Times New Roman" w:hAnsi="Times New Roman" w:cs="Times New Roman"/>
          <w:u w:val="none"/>
        </w:rPr>
        <w:t>separately.</w:t>
      </w:r>
      <w:r w:rsidR="00FA5CA1">
        <w:rPr>
          <w:rFonts w:ascii="Times New Roman" w:hAnsi="Times New Roman" w:cs="Times New Roman"/>
          <w:u w:val="none"/>
        </w:rPr>
        <w:t xml:space="preserve"> </w:t>
      </w:r>
    </w:p>
    <w:p w:rsid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Definitions</w:t>
      </w:r>
    </w:p>
    <w:p w:rsidR="00373A71"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Definition of loss: </w:t>
      </w:r>
      <w:r w:rsidR="00920D63">
        <w:rPr>
          <w:rFonts w:ascii="Times New Roman" w:hAnsi="Times New Roman" w:cs="Times New Roman"/>
          <w:u w:val="none"/>
        </w:rPr>
        <w:t xml:space="preserve">‘Loss’ means ‘economic loss’ as defined in Article </w:t>
      </w:r>
      <w:r w:rsidR="00422064">
        <w:rPr>
          <w:rFonts w:ascii="Times New Roman" w:hAnsi="Times New Roman" w:cs="Times New Roman"/>
          <w:u w:val="none"/>
        </w:rPr>
        <w:t xml:space="preserve">5 </w:t>
      </w:r>
      <w:r w:rsidR="00920D63">
        <w:rPr>
          <w:rFonts w:ascii="Times New Roman" w:hAnsi="Times New Roman" w:cs="Times New Roman"/>
          <w:u w:val="none"/>
        </w:rPr>
        <w:t>(</w:t>
      </w:r>
      <w:r w:rsidR="00422064">
        <w:rPr>
          <w:rFonts w:ascii="Times New Roman" w:hAnsi="Times New Roman" w:cs="Times New Roman"/>
          <w:u w:val="none"/>
        </w:rPr>
        <w:t>2</w:t>
      </w:r>
      <w:r w:rsidR="00920D63">
        <w:rPr>
          <w:rFonts w:ascii="Times New Roman" w:hAnsi="Times New Roman" w:cs="Times New Roman"/>
          <w:u w:val="none"/>
        </w:rPr>
        <w:t>) CRR, including losses stemming from leased propert</w:t>
      </w:r>
      <w:r w:rsidR="00920D63" w:rsidRPr="009F4E0B">
        <w:rPr>
          <w:rFonts w:ascii="Times New Roman" w:hAnsi="Times New Roman" w:cs="Times New Roman"/>
          <w:u w:val="none"/>
        </w:rPr>
        <w:t xml:space="preserve">y. </w:t>
      </w:r>
      <w:r w:rsidR="00920D63" w:rsidRPr="009F4E0B">
        <w:rPr>
          <w:rStyle w:val="InstructionsTabelleText"/>
          <w:rFonts w:ascii="Times New Roman" w:hAnsi="Times New Roman"/>
          <w:u w:val="none"/>
        </w:rPr>
        <w:t>The recovery flows stemming from other sources (e.g. bank guarantees, li</w:t>
      </w:r>
      <w:r w:rsidR="00E133A7">
        <w:rPr>
          <w:rStyle w:val="InstructionsTabelleText"/>
          <w:rFonts w:ascii="Times New Roman" w:hAnsi="Times New Roman"/>
          <w:u w:val="none"/>
        </w:rPr>
        <w:t>f</w:t>
      </w:r>
      <w:r w:rsidR="00920D63" w:rsidRPr="009F4E0B">
        <w:rPr>
          <w:rStyle w:val="InstructionsTabelleText"/>
          <w:rFonts w:ascii="Times New Roman" w:hAnsi="Times New Roman"/>
          <w:u w:val="none"/>
        </w:rPr>
        <w:t xml:space="preserve">e insurance, etc) </w:t>
      </w:r>
      <w:r w:rsidR="00DD2656" w:rsidRPr="009F4E0B">
        <w:rPr>
          <w:rStyle w:val="InstructionsTabelleText"/>
          <w:rFonts w:ascii="Times New Roman" w:hAnsi="Times New Roman"/>
          <w:u w:val="none"/>
        </w:rPr>
        <w:t>shall</w:t>
      </w:r>
      <w:r w:rsidR="00920D63" w:rsidRPr="009F4E0B">
        <w:rPr>
          <w:rStyle w:val="InstructionsTabelleText"/>
          <w:rFonts w:ascii="Times New Roman" w:hAnsi="Times New Roman"/>
          <w:u w:val="none"/>
        </w:rPr>
        <w:t xml:space="preserve"> not be recognised when calculating losses stemming from immovable property.</w:t>
      </w:r>
      <w:r w:rsidR="00E048CD" w:rsidRPr="009F4E0B">
        <w:rPr>
          <w:rStyle w:val="InstructionsTabelleText"/>
          <w:rFonts w:ascii="Times New Roman" w:hAnsi="Times New Roman"/>
          <w:u w:val="none"/>
        </w:rPr>
        <w:t xml:space="preserve"> </w:t>
      </w:r>
      <w:r w:rsidR="00E048CD">
        <w:rPr>
          <w:rFonts w:ascii="Times New Roman" w:hAnsi="Times New Roman" w:cs="Times New Roman"/>
          <w:u w:val="none"/>
        </w:rPr>
        <w:t xml:space="preserve">Losses of one position shall not be </w:t>
      </w:r>
      <w:r w:rsidR="00E048CD" w:rsidRPr="006C22E7">
        <w:rPr>
          <w:rFonts w:ascii="Times New Roman" w:hAnsi="Times New Roman" w:cs="Times New Roman"/>
          <w:u w:val="none"/>
        </w:rPr>
        <w:t>netted</w:t>
      </w:r>
      <w:r w:rsidR="00E048CD">
        <w:rPr>
          <w:rFonts w:ascii="Times New Roman" w:hAnsi="Times New Roman" w:cs="Times New Roman"/>
          <w:u w:val="none"/>
        </w:rPr>
        <w:t xml:space="preserve"> with the profit of a successful recovery of another position.</w:t>
      </w:r>
    </w:p>
    <w:p w:rsidR="00920D63" w:rsidRPr="00920D63" w:rsidRDefault="00373A71" w:rsidP="005C453E">
      <w:pPr>
        <w:pStyle w:val="Instructionsberschrift2"/>
        <w:numPr>
          <w:ilvl w:val="0"/>
          <w:numId w:val="15"/>
        </w:numPr>
        <w:rPr>
          <w:rFonts w:ascii="Times New Roman" w:hAnsi="Times New Roman" w:cs="Times New Roman"/>
          <w:u w:val="none"/>
        </w:rPr>
      </w:pPr>
      <w:r w:rsidRPr="00373A71">
        <w:rPr>
          <w:rFonts w:ascii="Times New Roman" w:hAnsi="Times New Roman" w:cs="Times New Roman"/>
          <w:u w:val="none"/>
        </w:rPr>
        <w:t xml:space="preserve">According to the definition of Article </w:t>
      </w:r>
      <w:r w:rsidR="00422064">
        <w:rPr>
          <w:rFonts w:ascii="Times New Roman" w:hAnsi="Times New Roman" w:cs="Times New Roman"/>
          <w:u w:val="none"/>
        </w:rPr>
        <w:t>5</w:t>
      </w:r>
      <w:r w:rsidRPr="00373A71">
        <w:rPr>
          <w:rFonts w:ascii="Times New Roman" w:hAnsi="Times New Roman" w:cs="Times New Roman"/>
          <w:u w:val="none"/>
        </w:rPr>
        <w:t>(</w:t>
      </w:r>
      <w:r w:rsidR="00422064">
        <w:rPr>
          <w:rFonts w:ascii="Times New Roman" w:hAnsi="Times New Roman" w:cs="Times New Roman"/>
          <w:u w:val="none"/>
        </w:rPr>
        <w:t>2</w:t>
      </w:r>
      <w:r w:rsidRPr="00373A71">
        <w:rPr>
          <w:rFonts w:ascii="Times New Roman" w:hAnsi="Times New Roman" w:cs="Times New Roman"/>
          <w:u w:val="none"/>
        </w:rPr>
        <w:t>) CRR, for exposures secured by residential and commercial property the calculation of economic loss should start from outstanding exposure value at reporting date and should include at least: (i) proceeds from collateral realisation; (ii) direct costs (including interest rates payments and workouts costs linked to the liquidation of the collateral); and (iii) indirect costs (i</w:t>
      </w:r>
      <w:r w:rsidRPr="00373A71">
        <w:rPr>
          <w:rFonts w:ascii="Times New Roman" w:hAnsi="Times New Roman" w:cs="Times New Roman"/>
          <w:u w:val="none"/>
        </w:rPr>
        <w:t>n</w:t>
      </w:r>
      <w:r w:rsidRPr="00373A71">
        <w:rPr>
          <w:rFonts w:ascii="Times New Roman" w:hAnsi="Times New Roman" w:cs="Times New Roman"/>
          <w:u w:val="none"/>
        </w:rPr>
        <w:t>cluding operating costs of the workout unit)</w:t>
      </w:r>
      <w:r>
        <w:rPr>
          <w:rFonts w:ascii="Times New Roman" w:hAnsi="Times New Roman" w:cs="Times New Roman"/>
          <w:u w:val="none"/>
        </w:rPr>
        <w:t>. A</w:t>
      </w:r>
      <w:r w:rsidRPr="00373A71">
        <w:rPr>
          <w:rFonts w:ascii="Times New Roman" w:hAnsi="Times New Roman" w:cs="Times New Roman"/>
          <w:u w:val="none"/>
        </w:rPr>
        <w:t>ll components need to be discounted to the reporting re</w:t>
      </w:r>
      <w:r w:rsidRPr="00373A71">
        <w:rPr>
          <w:rFonts w:ascii="Times New Roman" w:hAnsi="Times New Roman" w:cs="Times New Roman"/>
          <w:u w:val="none"/>
        </w:rPr>
        <w:t>f</w:t>
      </w:r>
      <w:r w:rsidRPr="00373A71">
        <w:rPr>
          <w:rFonts w:ascii="Times New Roman" w:hAnsi="Times New Roman" w:cs="Times New Roman"/>
          <w:u w:val="none"/>
        </w:rPr>
        <w:t>erence date.</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Exposure value: The exposure value follows the rules stipulated in Part Three, Title II of CRR </w:t>
      </w:r>
      <w:r w:rsidRPr="004345C2">
        <w:rPr>
          <w:rFonts w:ascii="Times New Roman" w:hAnsi="Times New Roman" w:cs="Times New Roman"/>
          <w:u w:val="none"/>
        </w:rPr>
        <w:t>(see Chapter 2 for institutions using the standardised approach, and Chapter 3 for institutions using the IRB approach).</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Property value: </w:t>
      </w:r>
      <w:r w:rsidRPr="004345C2">
        <w:rPr>
          <w:rFonts w:ascii="Times New Roman" w:hAnsi="Times New Roman" w:cs="Times New Roman"/>
          <w:u w:val="none"/>
        </w:rPr>
        <w:t>The property value follows the rules stipulated in Part Three, Title II of CRR</w:t>
      </w:r>
    </w:p>
    <w:p w:rsidR="00840FC0" w:rsidRPr="004345C2" w:rsidRDefault="00840FC0" w:rsidP="005C453E">
      <w:pPr>
        <w:pStyle w:val="Instructionsberschrift2"/>
        <w:numPr>
          <w:ilvl w:val="0"/>
          <w:numId w:val="15"/>
        </w:numPr>
        <w:rPr>
          <w:rFonts w:ascii="Times New Roman" w:hAnsi="Times New Roman" w:cs="Times New Roman"/>
          <w:u w:val="none"/>
        </w:rPr>
      </w:pPr>
      <w:r w:rsidRPr="005B1BC6">
        <w:rPr>
          <w:rFonts w:ascii="Times New Roman" w:hAnsi="Times New Roman" w:cs="Times New Roman"/>
          <w:u w:val="none"/>
        </w:rPr>
        <w:t>F/X effect: The reporting currency shall be used with the exchange rate at the reporting date.</w:t>
      </w:r>
      <w:r w:rsidR="00BE16D7">
        <w:rPr>
          <w:rFonts w:ascii="Times New Roman" w:hAnsi="Times New Roman" w:cs="Times New Roman"/>
          <w:u w:val="none"/>
        </w:rPr>
        <w:t xml:space="preserve"> </w:t>
      </w:r>
      <w:r w:rsidR="00BE16D7" w:rsidRPr="00BE16D7">
        <w:rPr>
          <w:rFonts w:ascii="Times New Roman" w:hAnsi="Times New Roman" w:cs="Times New Roman"/>
          <w:u w:val="none"/>
        </w:rPr>
        <w:t>The r</w:t>
      </w:r>
      <w:r w:rsidR="00BE16D7" w:rsidRPr="00BE16D7">
        <w:rPr>
          <w:rFonts w:ascii="Times New Roman" w:hAnsi="Times New Roman" w:cs="Times New Roman"/>
          <w:u w:val="none"/>
        </w:rPr>
        <w:t>e</w:t>
      </w:r>
      <w:r w:rsidR="00BE16D7" w:rsidRPr="00BE16D7">
        <w:rPr>
          <w:rFonts w:ascii="Times New Roman" w:hAnsi="Times New Roman" w:cs="Times New Roman"/>
          <w:u w:val="none"/>
        </w:rPr>
        <w:t>porting currency shall be the exchange rate at the reporting date. Moreover, the estimates of the ec</w:t>
      </w:r>
      <w:r w:rsidR="00BE16D7" w:rsidRPr="00BE16D7">
        <w:rPr>
          <w:rFonts w:ascii="Times New Roman" w:hAnsi="Times New Roman" w:cs="Times New Roman"/>
          <w:u w:val="none"/>
        </w:rPr>
        <w:t>o</w:t>
      </w:r>
      <w:r w:rsidR="00BE16D7" w:rsidRPr="00BE16D7">
        <w:rPr>
          <w:rFonts w:ascii="Times New Roman" w:hAnsi="Times New Roman" w:cs="Times New Roman"/>
          <w:u w:val="none"/>
        </w:rPr>
        <w:t>nomic losses should consider the F/X effect if the exposure or collateral is denominated in different cu</w:t>
      </w:r>
      <w:r w:rsidR="00BE16D7" w:rsidRPr="00BE16D7">
        <w:rPr>
          <w:rFonts w:ascii="Times New Roman" w:hAnsi="Times New Roman" w:cs="Times New Roman"/>
          <w:u w:val="none"/>
        </w:rPr>
        <w:t>r</w:t>
      </w:r>
      <w:r w:rsidR="00BE16D7" w:rsidRPr="00BE16D7">
        <w:rPr>
          <w:rFonts w:ascii="Times New Roman" w:hAnsi="Times New Roman" w:cs="Times New Roman"/>
          <w:u w:val="none"/>
        </w:rPr>
        <w:t>rency.</w:t>
      </w:r>
    </w:p>
    <w:p w:rsidR="00363FCE" w:rsidRPr="00363FCE" w:rsidRDefault="00363FCE" w:rsidP="005C453E">
      <w:pPr>
        <w:pStyle w:val="Instructionsberschrift2"/>
        <w:numPr>
          <w:ilvl w:val="0"/>
          <w:numId w:val="21"/>
        </w:numPr>
        <w:rPr>
          <w:rFonts w:ascii="Times New Roman" w:hAnsi="Times New Roman" w:cs="Times New Roman"/>
        </w:rPr>
      </w:pPr>
      <w:r>
        <w:rPr>
          <w:rFonts w:ascii="Times New Roman" w:hAnsi="Times New Roman" w:cs="Times New Roman"/>
        </w:rPr>
        <w:t>Geographical breakdown</w:t>
      </w:r>
    </w:p>
    <w:p w:rsidR="002779CE" w:rsidRDefault="002779C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Following the reporting scope, the CR IP Losses reporting shall consist of the following templates:</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one total template</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 xml:space="preserve">one template for each national market in the </w:t>
      </w:r>
      <w:r w:rsidR="00770527">
        <w:rPr>
          <w:rFonts w:ascii="Times New Roman" w:hAnsi="Times New Roman" w:cs="Times New Roman"/>
          <w:u w:val="none"/>
        </w:rPr>
        <w:t xml:space="preserve">Union </w:t>
      </w:r>
      <w:r>
        <w:rPr>
          <w:rFonts w:ascii="Times New Roman" w:hAnsi="Times New Roman" w:cs="Times New Roman"/>
          <w:u w:val="none"/>
        </w:rPr>
        <w:t>where the institution is exposed to, and</w:t>
      </w:r>
    </w:p>
    <w:p w:rsidR="002779CE" w:rsidRDefault="002779CE" w:rsidP="005C453E">
      <w:pPr>
        <w:pStyle w:val="Instructionsberschrift2"/>
        <w:numPr>
          <w:ilvl w:val="2"/>
          <w:numId w:val="23"/>
        </w:numPr>
        <w:rPr>
          <w:rFonts w:ascii="Times New Roman" w:hAnsi="Times New Roman" w:cs="Times New Roman"/>
          <w:u w:val="none"/>
        </w:rPr>
      </w:pPr>
      <w:proofErr w:type="gramStart"/>
      <w:r>
        <w:rPr>
          <w:rFonts w:ascii="Times New Roman" w:hAnsi="Times New Roman" w:cs="Times New Roman"/>
          <w:u w:val="none"/>
        </w:rPr>
        <w:t>one</w:t>
      </w:r>
      <w:proofErr w:type="gramEnd"/>
      <w:r>
        <w:rPr>
          <w:rFonts w:ascii="Times New Roman" w:hAnsi="Times New Roman" w:cs="Times New Roman"/>
          <w:u w:val="none"/>
        </w:rPr>
        <w:t xml:space="preserve"> template aggregating the data for all national markets outside the </w:t>
      </w:r>
      <w:r w:rsidR="00770527">
        <w:rPr>
          <w:rFonts w:ascii="Times New Roman" w:hAnsi="Times New Roman" w:cs="Times New Roman"/>
          <w:u w:val="none"/>
        </w:rPr>
        <w:t xml:space="preserve">Union </w:t>
      </w:r>
      <w:r>
        <w:rPr>
          <w:rFonts w:ascii="Times New Roman" w:hAnsi="Times New Roman" w:cs="Times New Roman"/>
          <w:u w:val="none"/>
        </w:rPr>
        <w:t>where the institution is e</w:t>
      </w:r>
      <w:r>
        <w:rPr>
          <w:rFonts w:ascii="Times New Roman" w:hAnsi="Times New Roman" w:cs="Times New Roman"/>
          <w:u w:val="none"/>
        </w:rPr>
        <w:t>x</w:t>
      </w:r>
      <w:r>
        <w:rPr>
          <w:rFonts w:ascii="Times New Roman" w:hAnsi="Times New Roman" w:cs="Times New Roman"/>
          <w:u w:val="none"/>
        </w:rPr>
        <w:t xml:space="preserve">posed to. </w:t>
      </w:r>
    </w:p>
    <w:p w:rsidR="00363FCE" w:rsidRP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 xml:space="preserve">Reporting of </w:t>
      </w:r>
      <w:r w:rsidR="00DD2656">
        <w:rPr>
          <w:rFonts w:ascii="Times New Roman" w:hAnsi="Times New Roman" w:cs="Times New Roman"/>
        </w:rPr>
        <w:t xml:space="preserve">exposures and </w:t>
      </w:r>
      <w:r w:rsidRPr="00363FCE">
        <w:rPr>
          <w:rFonts w:ascii="Times New Roman" w:hAnsi="Times New Roman" w:cs="Times New Roman"/>
        </w:rPr>
        <w:t>losses</w:t>
      </w:r>
    </w:p>
    <w:p w:rsidR="000471B0" w:rsidRDefault="009F4E0B"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Exposures: </w:t>
      </w:r>
      <w:r w:rsidR="00DD2656" w:rsidRPr="00BE16D7">
        <w:rPr>
          <w:rFonts w:ascii="Times New Roman" w:hAnsi="Times New Roman" w:cs="Times New Roman"/>
          <w:u w:val="none"/>
        </w:rPr>
        <w:t xml:space="preserve">All exposures that are treated according to Part Three, Title II of CRR </w:t>
      </w:r>
      <w:r w:rsidR="00B31A22" w:rsidRPr="00BE16D7">
        <w:rPr>
          <w:rFonts w:ascii="Times New Roman" w:hAnsi="Times New Roman" w:cs="Times New Roman"/>
          <w:u w:val="none"/>
        </w:rPr>
        <w:t>and where the colla</w:t>
      </w:r>
      <w:r w:rsidR="00B31A22" w:rsidRPr="00BE16D7">
        <w:rPr>
          <w:rFonts w:ascii="Times New Roman" w:hAnsi="Times New Roman" w:cs="Times New Roman"/>
          <w:u w:val="none"/>
        </w:rPr>
        <w:t>t</w:t>
      </w:r>
      <w:r w:rsidR="00B31A22" w:rsidRPr="00BE16D7">
        <w:rPr>
          <w:rFonts w:ascii="Times New Roman" w:hAnsi="Times New Roman" w:cs="Times New Roman"/>
          <w:u w:val="none"/>
        </w:rPr>
        <w:t xml:space="preserve">eral is used to reduce own funds requirements, </w:t>
      </w:r>
      <w:r w:rsidR="00DD2656" w:rsidRPr="00BE16D7">
        <w:rPr>
          <w:rFonts w:ascii="Times New Roman" w:hAnsi="Times New Roman" w:cs="Times New Roman"/>
          <w:u w:val="none"/>
        </w:rPr>
        <w:t xml:space="preserve">are reported in CR IP Losses. </w:t>
      </w:r>
      <w:r w:rsidR="00B31A22" w:rsidRPr="00BE16D7">
        <w:rPr>
          <w:rFonts w:ascii="Times New Roman" w:hAnsi="Times New Roman" w:cs="Times New Roman"/>
          <w:u w:val="none"/>
        </w:rPr>
        <w:t>This also means that i</w:t>
      </w:r>
      <w:r w:rsidR="00DD2656" w:rsidRPr="00BE16D7">
        <w:rPr>
          <w:rFonts w:ascii="Times New Roman" w:hAnsi="Times New Roman" w:cs="Times New Roman"/>
          <w:u w:val="none"/>
        </w:rPr>
        <w:t>n case the</w:t>
      </w:r>
      <w:r w:rsidR="00E17F31" w:rsidRPr="00BE16D7">
        <w:rPr>
          <w:rFonts w:ascii="Times New Roman" w:hAnsi="Times New Roman" w:cs="Times New Roman"/>
          <w:u w:val="none"/>
        </w:rPr>
        <w:t xml:space="preserve"> risk mitigation effect of immovable property is only used for internal purposes (i.e. under Pillar 2) or for large exposures (see Part Four CRR), the exposures and losses concerned must not reported.</w:t>
      </w:r>
    </w:p>
    <w:p w:rsidR="000471B0" w:rsidRDefault="009F4E0B"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Losses: </w:t>
      </w:r>
      <w:r w:rsidR="00B31A22" w:rsidRPr="00BE16D7">
        <w:rPr>
          <w:rFonts w:ascii="Times New Roman" w:hAnsi="Times New Roman" w:cs="Times New Roman"/>
          <w:u w:val="none"/>
        </w:rPr>
        <w:t xml:space="preserve">The institution which has the exposure by the end of the reporting period shall report the losses. </w:t>
      </w:r>
      <w:r w:rsidR="00E17F31" w:rsidRPr="00BE16D7">
        <w:rPr>
          <w:rFonts w:ascii="Times New Roman" w:hAnsi="Times New Roman" w:cs="Times New Roman"/>
          <w:u w:val="none"/>
        </w:rPr>
        <w:t xml:space="preserve">Losses </w:t>
      </w:r>
      <w:r w:rsidR="00B00AEB" w:rsidRPr="00BE16D7">
        <w:rPr>
          <w:rFonts w:ascii="Times New Roman" w:hAnsi="Times New Roman" w:cs="Times New Roman"/>
          <w:u w:val="none"/>
        </w:rPr>
        <w:t>shall</w:t>
      </w:r>
      <w:r w:rsidR="00E17F31" w:rsidRPr="00BE16D7">
        <w:rPr>
          <w:rFonts w:ascii="Times New Roman" w:hAnsi="Times New Roman" w:cs="Times New Roman"/>
          <w:u w:val="none"/>
        </w:rPr>
        <w:t xml:space="preserve"> be reported as soon as provisions are to be booked according to accounting rules.</w:t>
      </w:r>
      <w:r w:rsidRPr="00BE16D7">
        <w:rPr>
          <w:rFonts w:ascii="Times New Roman" w:hAnsi="Times New Roman" w:cs="Times New Roman"/>
          <w:u w:val="none"/>
        </w:rPr>
        <w:t xml:space="preserve"> </w:t>
      </w:r>
      <w:r w:rsidR="00E1378D" w:rsidRPr="00BE16D7">
        <w:rPr>
          <w:rFonts w:ascii="Times New Roman" w:hAnsi="Times New Roman" w:cs="Times New Roman"/>
          <w:u w:val="none"/>
        </w:rPr>
        <w:t>Also e</w:t>
      </w:r>
      <w:r w:rsidR="00E1378D" w:rsidRPr="00BE16D7">
        <w:rPr>
          <w:rFonts w:ascii="Times New Roman" w:hAnsi="Times New Roman" w:cs="Times New Roman"/>
          <w:u w:val="none"/>
        </w:rPr>
        <w:t>s</w:t>
      </w:r>
      <w:r w:rsidR="00E1378D" w:rsidRPr="00BE16D7">
        <w:rPr>
          <w:rFonts w:ascii="Times New Roman" w:hAnsi="Times New Roman" w:cs="Times New Roman"/>
          <w:u w:val="none"/>
        </w:rPr>
        <w:lastRenderedPageBreak/>
        <w:t>timated losses should be reported.</w:t>
      </w:r>
      <w:r w:rsidRPr="00BE16D7">
        <w:rPr>
          <w:rFonts w:ascii="Times New Roman" w:hAnsi="Times New Roman" w:cs="Times New Roman"/>
          <w:u w:val="none"/>
        </w:rPr>
        <w:t xml:space="preserve"> </w:t>
      </w:r>
      <w:r w:rsidR="00A64C0C" w:rsidRPr="00BE16D7">
        <w:rPr>
          <w:rFonts w:ascii="Times New Roman" w:hAnsi="Times New Roman" w:cs="Times New Roman"/>
          <w:u w:val="none"/>
        </w:rPr>
        <w:t>Loss d</w:t>
      </w:r>
      <w:r w:rsidR="00CB70A8" w:rsidRPr="00BE16D7">
        <w:rPr>
          <w:rFonts w:ascii="Times New Roman" w:hAnsi="Times New Roman" w:cs="Times New Roman"/>
          <w:u w:val="none"/>
        </w:rPr>
        <w:t xml:space="preserve">ata </w:t>
      </w:r>
      <w:r w:rsidR="00A64C0C" w:rsidRPr="00BE16D7">
        <w:rPr>
          <w:rFonts w:ascii="Times New Roman" w:hAnsi="Times New Roman" w:cs="Times New Roman"/>
          <w:u w:val="none"/>
        </w:rPr>
        <w:t>shall</w:t>
      </w:r>
      <w:r w:rsidR="00CB70A8" w:rsidRPr="00BE16D7">
        <w:rPr>
          <w:rFonts w:ascii="Times New Roman" w:hAnsi="Times New Roman" w:cs="Times New Roman"/>
          <w:u w:val="none"/>
        </w:rPr>
        <w:t xml:space="preserve"> be collected on a loan-by-loan basis, i.e. aggr</w:t>
      </w:r>
      <w:r w:rsidR="00B00AEB" w:rsidRPr="00BE16D7">
        <w:rPr>
          <w:rFonts w:ascii="Times New Roman" w:hAnsi="Times New Roman" w:cs="Times New Roman"/>
          <w:u w:val="none"/>
        </w:rPr>
        <w:t>egation of individual loss data stemming from exposures collateralised by immovable property.</w:t>
      </w:r>
    </w:p>
    <w:p w:rsidR="000471B0" w:rsidRDefault="008D7ACC"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Reference date: </w:t>
      </w:r>
      <w:r w:rsidRPr="004345C2">
        <w:rPr>
          <w:rFonts w:ascii="Times New Roman" w:hAnsi="Times New Roman" w:cs="Times New Roman"/>
          <w:u w:val="none"/>
        </w:rPr>
        <w:t xml:space="preserve">The exposure value from the date of default should be used for reporting of losses. </w:t>
      </w:r>
    </w:p>
    <w:p w:rsidR="008D7ACC" w:rsidRPr="005C453E" w:rsidRDefault="008D7AC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Losses should be reported for all defaults on loans secured by real estate property that occur during the respective reporting period (i.e. irrespective of whether the work out is completed during the period or not). Since there may be a long time lag between default and loss realisation, loss estimates (which i</w:t>
      </w:r>
      <w:r w:rsidRPr="005C453E">
        <w:rPr>
          <w:rFonts w:ascii="Times New Roman" w:hAnsi="Times New Roman"/>
          <w:bCs/>
          <w:szCs w:val="20"/>
          <w:u w:val="none"/>
        </w:rPr>
        <w:t>n</w:t>
      </w:r>
      <w:r w:rsidRPr="005C453E">
        <w:rPr>
          <w:rFonts w:ascii="Times New Roman" w:hAnsi="Times New Roman"/>
          <w:bCs/>
          <w:szCs w:val="20"/>
          <w:u w:val="none"/>
        </w:rPr>
        <w:t>cludes incomplete workout process) shall be reported in cases where the workout has not been co</w:t>
      </w:r>
      <w:r w:rsidRPr="005C453E">
        <w:rPr>
          <w:rFonts w:ascii="Times New Roman" w:hAnsi="Times New Roman"/>
          <w:bCs/>
          <w:szCs w:val="20"/>
          <w:u w:val="none"/>
        </w:rPr>
        <w:t>m</w:t>
      </w:r>
      <w:r w:rsidRPr="005C453E">
        <w:rPr>
          <w:rFonts w:ascii="Times New Roman" w:hAnsi="Times New Roman"/>
          <w:bCs/>
          <w:szCs w:val="20"/>
          <w:u w:val="none"/>
        </w:rPr>
        <w:t>pleted within the reporting period.</w:t>
      </w:r>
    </w:p>
    <w:p w:rsidR="008D7ACC" w:rsidRPr="005C453E" w:rsidRDefault="008D7AC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For all defaults observed within the reporting period, there are three scenarios: (i.) defaulted loan can be restructured so that it is no longer treated as in default (no loss observed); (ii.) realization of all colla</w:t>
      </w:r>
      <w:r w:rsidRPr="005C453E">
        <w:rPr>
          <w:rFonts w:ascii="Times New Roman" w:hAnsi="Times New Roman"/>
          <w:bCs/>
          <w:szCs w:val="20"/>
          <w:u w:val="none"/>
        </w:rPr>
        <w:t>t</w:t>
      </w:r>
      <w:r w:rsidRPr="005C453E">
        <w:rPr>
          <w:rFonts w:ascii="Times New Roman" w:hAnsi="Times New Roman"/>
          <w:bCs/>
          <w:szCs w:val="20"/>
          <w:u w:val="none"/>
        </w:rPr>
        <w:t>eral is completed (completed workout, actual loss known); or (iii.) incomplete workout (loss estimates to be used). Loss reporting shall include only losses stemming from scenario (ii.) realisation of colla</w:t>
      </w:r>
      <w:r w:rsidRPr="005C453E">
        <w:rPr>
          <w:rFonts w:ascii="Times New Roman" w:hAnsi="Times New Roman"/>
          <w:bCs/>
          <w:szCs w:val="20"/>
          <w:u w:val="none"/>
        </w:rPr>
        <w:t>t</w:t>
      </w:r>
      <w:r w:rsidRPr="005C453E">
        <w:rPr>
          <w:rFonts w:ascii="Times New Roman" w:hAnsi="Times New Roman"/>
          <w:bCs/>
          <w:szCs w:val="20"/>
          <w:u w:val="none"/>
        </w:rPr>
        <w:t>eral (observed losses) and scenario (iii.) incomplete workout (estimates of losses).</w:t>
      </w:r>
    </w:p>
    <w:p w:rsidR="008D7ACC" w:rsidRPr="005C453E" w:rsidRDefault="00302E9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As losses shall be reported only for exposures having defaulted during the reporting period, changes to losses of exposures having defaulted during previous reporting periods will not be reflected in the r</w:t>
      </w:r>
      <w:r w:rsidRPr="005C453E">
        <w:rPr>
          <w:rFonts w:ascii="Times New Roman" w:hAnsi="Times New Roman"/>
          <w:bCs/>
          <w:szCs w:val="20"/>
          <w:u w:val="none"/>
        </w:rPr>
        <w:t>e</w:t>
      </w:r>
      <w:r w:rsidRPr="005C453E">
        <w:rPr>
          <w:rFonts w:ascii="Times New Roman" w:hAnsi="Times New Roman"/>
          <w:bCs/>
          <w:szCs w:val="20"/>
          <w:u w:val="none"/>
        </w:rPr>
        <w:t>ported data. I.e. proceeds from the realisation of the collateral at a later reporting period or lower rea</w:t>
      </w:r>
      <w:r w:rsidRPr="005C453E">
        <w:rPr>
          <w:rFonts w:ascii="Times New Roman" w:hAnsi="Times New Roman"/>
          <w:bCs/>
          <w:szCs w:val="20"/>
          <w:u w:val="none"/>
        </w:rPr>
        <w:t>l</w:t>
      </w:r>
      <w:r w:rsidRPr="005C453E">
        <w:rPr>
          <w:rFonts w:ascii="Times New Roman" w:hAnsi="Times New Roman"/>
          <w:bCs/>
          <w:szCs w:val="20"/>
          <w:u w:val="none"/>
        </w:rPr>
        <w:t>ised costs than previously estimated shall not be reported.</w:t>
      </w:r>
    </w:p>
    <w:p w:rsidR="000471B0" w:rsidRDefault="0041775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Role of the valuation of the property: T</w:t>
      </w:r>
      <w:r w:rsidRPr="00417752">
        <w:rPr>
          <w:rFonts w:ascii="Times New Roman" w:hAnsi="Times New Roman" w:cs="Times New Roman"/>
          <w:u w:val="none"/>
        </w:rPr>
        <w:t>he latest valuation of the property before the default date of the exposure is needed as reference date for reporting the part of exposure secured by mortgages on i</w:t>
      </w:r>
      <w:r w:rsidRPr="00417752">
        <w:rPr>
          <w:rFonts w:ascii="Times New Roman" w:hAnsi="Times New Roman" w:cs="Times New Roman"/>
          <w:u w:val="none"/>
        </w:rPr>
        <w:t>m</w:t>
      </w:r>
      <w:r w:rsidRPr="00417752">
        <w:rPr>
          <w:rFonts w:ascii="Times New Roman" w:hAnsi="Times New Roman" w:cs="Times New Roman"/>
          <w:u w:val="none"/>
        </w:rPr>
        <w:t>movable property. After default, the property might be re-valued. This new value should however not be relevant for identifying the part of the exposure which was originally fully (and completely) secured by the mortgages on immovable property. However the new value of the property shall be considered in economic loss reporting (a reduced property value is part of economic costs). In other words, the latest valuation of the property before the default date shall be used to determine which part of the loss shall be reported in cell 010 (identification of exposure values which is fully and completely secured) and the re-valued property value for the amount to be reported (estimation a possible workout from collateral) in cells 010 and 0</w:t>
      </w:r>
      <w:r w:rsidR="008774F3">
        <w:rPr>
          <w:rFonts w:ascii="Times New Roman" w:hAnsi="Times New Roman" w:cs="Times New Roman"/>
          <w:u w:val="none"/>
        </w:rPr>
        <w:t>3</w:t>
      </w:r>
      <w:r w:rsidRPr="00417752">
        <w:rPr>
          <w:rFonts w:ascii="Times New Roman" w:hAnsi="Times New Roman" w:cs="Times New Roman"/>
          <w:u w:val="none"/>
        </w:rPr>
        <w:t>0.</w:t>
      </w:r>
    </w:p>
    <w:p w:rsidR="000471B0" w:rsidRDefault="00840FC0"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Treatment of loan sales during the reporting period: The institution which has the exposure by the end of the reporting period shall report losses, but only if a default for that exposure was identified.</w:t>
      </w:r>
    </w:p>
    <w:p w:rsidR="00713F52" w:rsidRPr="00291779" w:rsidRDefault="00713F52" w:rsidP="005C453E">
      <w:pPr>
        <w:pStyle w:val="Instructionsberschrift2"/>
        <w:numPr>
          <w:ilvl w:val="0"/>
          <w:numId w:val="21"/>
        </w:numPr>
        <w:rPr>
          <w:rFonts w:ascii="Times New Roman" w:hAnsi="Times New Roman" w:cs="Times New Roman"/>
        </w:rPr>
      </w:pPr>
      <w:bookmarkStart w:id="2" w:name="_Toc310008820"/>
      <w:r w:rsidRPr="00291779">
        <w:rPr>
          <w:rFonts w:ascii="Times New Roman" w:hAnsi="Times New Roman" w:cs="Times New Roman"/>
        </w:rPr>
        <w:t>Instructions concerning specific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004"/>
      </w:tblGrid>
      <w:tr w:rsidR="00713F52" w:rsidRPr="005B6F8B" w:rsidTr="00165232">
        <w:tc>
          <w:tcPr>
            <w:tcW w:w="8856" w:type="dxa"/>
            <w:gridSpan w:val="2"/>
            <w:shd w:val="clear" w:color="auto" w:fill="CCCCCC"/>
          </w:tcPr>
          <w:p w:rsidR="00713F52" w:rsidRPr="005B6F8B" w:rsidRDefault="00713F52" w:rsidP="009C1367">
            <w:pPr>
              <w:spacing w:beforeLines="60" w:afterLines="60"/>
              <w:rPr>
                <w:rFonts w:ascii="Times New Roman" w:hAnsi="Times New Roman"/>
                <w:b/>
              </w:rPr>
            </w:pPr>
            <w:r w:rsidRPr="005B6F8B">
              <w:rPr>
                <w:rFonts w:ascii="Times New Roman" w:hAnsi="Times New Roman"/>
                <w:b/>
              </w:rPr>
              <w:t>Columns</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010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Sum of losses stemming from lending up to the reference percentages</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points a) and point </w:t>
            </w:r>
            <w:r w:rsidR="00DD5371">
              <w:rPr>
                <w:rStyle w:val="InstructionsTabelleText"/>
                <w:rFonts w:ascii="Times New Roman" w:hAnsi="Times New Roman"/>
              </w:rPr>
              <w:t>d</w:t>
            </w:r>
            <w:r w:rsidRPr="005B6F8B">
              <w:rPr>
                <w:rStyle w:val="InstructionsTabelleText"/>
                <w:rFonts w:ascii="Times New Roman" w:hAnsi="Times New Roman"/>
              </w:rPr>
              <w:t xml:space="preserve">) of CRR respectively, </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00000" w:rsidRDefault="00D87924" w:rsidP="009C1367">
            <w:pPr>
              <w:spacing w:beforeLines="60" w:afterLines="60"/>
              <w:rPr>
                <w:rFonts w:ascii="Times New Roman" w:hAnsi="Times New Roman"/>
              </w:rPr>
            </w:pPr>
            <w:r w:rsidRPr="005B6F8B">
              <w:rPr>
                <w:rStyle w:val="InstructionsTabelleText"/>
                <w:rFonts w:ascii="Times New Roman" w:hAnsi="Times New Roman"/>
              </w:rPr>
              <w:t xml:space="preserve">This column collects all losses stemming from lending collateralised by residential property or by commercial immovable property </w:t>
            </w:r>
            <w:r>
              <w:rPr>
                <w:rStyle w:val="InstructionsTabelleText"/>
                <w:rFonts w:ascii="Times New Roman" w:hAnsi="Times New Roman"/>
              </w:rPr>
              <w:t xml:space="preserve">up to the part of exposure treated as fully and completely secured according to Article </w:t>
            </w:r>
            <w:r w:rsidR="00422064">
              <w:rPr>
                <w:rStyle w:val="InstructionsTabelleText"/>
                <w:rFonts w:ascii="Times New Roman" w:hAnsi="Times New Roman"/>
              </w:rPr>
              <w:t xml:space="preserve">124 </w:t>
            </w:r>
            <w:r>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020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0</w:t>
            </w:r>
            <w:r w:rsidR="008774F3">
              <w:rPr>
                <w:rFonts w:ascii="Times New Roman" w:hAnsi="Times New Roman"/>
              </w:rPr>
              <w:t>3</w:t>
            </w:r>
            <w:r w:rsidRPr="005B6F8B">
              <w:rPr>
                <w:rFonts w:ascii="Times New Roman" w:hAnsi="Times New Roman"/>
              </w:rPr>
              <w:t>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Sum of overall losses</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b) and point </w:t>
            </w:r>
            <w:r w:rsidR="00DD5371">
              <w:rPr>
                <w:rStyle w:val="InstructionsTabelleText"/>
                <w:rFonts w:ascii="Times New Roman" w:hAnsi="Times New Roman"/>
              </w:rPr>
              <w:t>e</w:t>
            </w:r>
            <w:r w:rsidRPr="005B6F8B">
              <w:rPr>
                <w:rStyle w:val="InstructionsTabelleText"/>
                <w:rFonts w:ascii="Times New Roman" w:hAnsi="Times New Roman"/>
              </w:rPr>
              <w:t>) CRR respectively</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00000" w:rsidRDefault="00713F52" w:rsidP="009C1367">
            <w:pPr>
              <w:spacing w:beforeLines="60" w:afterLines="60"/>
              <w:rPr>
                <w:rFonts w:ascii="Times New Roman" w:hAnsi="Times New Roman"/>
              </w:rPr>
            </w:pPr>
            <w:r w:rsidRPr="005B6F8B">
              <w:rPr>
                <w:rStyle w:val="InstructionsTabelleText"/>
                <w:rFonts w:ascii="Times New Roman" w:hAnsi="Times New Roman"/>
              </w:rPr>
              <w:t xml:space="preserve">This column collects all losses stemming from lending collateralised by residential property or </w:t>
            </w:r>
            <w:r w:rsidRPr="005B6F8B">
              <w:rPr>
                <w:rStyle w:val="InstructionsTabelleText"/>
                <w:rFonts w:ascii="Times New Roman" w:hAnsi="Times New Roman"/>
              </w:rPr>
              <w:lastRenderedPageBreak/>
              <w:t xml:space="preserve">by commercial immovable property </w:t>
            </w:r>
            <w:r w:rsidR="000E20F0">
              <w:rPr>
                <w:rStyle w:val="InstructionsTabelleText"/>
                <w:rFonts w:ascii="Times New Roman" w:hAnsi="Times New Roman"/>
              </w:rPr>
              <w:t xml:space="preserve">up to the part of exposure treated as fully secured according to Article </w:t>
            </w:r>
            <w:r w:rsidR="00422064">
              <w:rPr>
                <w:rStyle w:val="InstructionsTabelleText"/>
                <w:rFonts w:ascii="Times New Roman" w:hAnsi="Times New Roman"/>
              </w:rPr>
              <w:t xml:space="preserve">124 </w:t>
            </w:r>
            <w:r w:rsidR="000E20F0">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lastRenderedPageBreak/>
              <w:t>0</w:t>
            </w:r>
            <w:r w:rsidR="008774F3">
              <w:rPr>
                <w:rFonts w:ascii="Times New Roman" w:hAnsi="Times New Roman"/>
              </w:rPr>
              <w:t>4</w:t>
            </w:r>
            <w:r w:rsidRPr="005B6F8B">
              <w:rPr>
                <w:rFonts w:ascii="Times New Roman" w:hAnsi="Times New Roman"/>
              </w:rPr>
              <w:t>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00000" w:rsidRDefault="00713F52"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r w:rsidRPr="005B6F8B">
              <w:rPr>
                <w:rStyle w:val="InstructionsTabelleText"/>
                <w:rFonts w:ascii="Times New Roman" w:hAnsi="Times New Roman"/>
              </w:rPr>
              <w:tab/>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0</w:t>
            </w:r>
            <w:r w:rsidR="008774F3">
              <w:rPr>
                <w:rFonts w:ascii="Times New Roman" w:hAnsi="Times New Roman"/>
              </w:rPr>
              <w:t>5</w:t>
            </w:r>
            <w:r w:rsidRPr="005B6F8B">
              <w:rPr>
                <w:rFonts w:ascii="Times New Roman" w:hAnsi="Times New Roman"/>
              </w:rPr>
              <w:t>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Sum of the exposures</w:t>
            </w:r>
          </w:p>
          <w:p w:rsidR="00000000" w:rsidRDefault="0046092C" w:rsidP="009C1367">
            <w:pPr>
              <w:spacing w:beforeLines="60" w:afterLines="60"/>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w:t>
            </w:r>
            <w:r w:rsidR="00DD5371">
              <w:rPr>
                <w:rStyle w:val="InstructionsTabelleText"/>
                <w:rFonts w:ascii="Times New Roman" w:hAnsi="Times New Roman"/>
              </w:rPr>
              <w:t>c</w:t>
            </w:r>
            <w:r>
              <w:rPr>
                <w:rStyle w:val="InstructionsTabelleText"/>
                <w:rFonts w:ascii="Times New Roman" w:hAnsi="Times New Roman"/>
              </w:rPr>
              <w:t xml:space="preserve">) and point </w:t>
            </w:r>
            <w:r w:rsidR="00DD5371">
              <w:rPr>
                <w:rStyle w:val="InstructionsTabelleText"/>
                <w:rFonts w:ascii="Times New Roman" w:hAnsi="Times New Roman"/>
              </w:rPr>
              <w:t>f</w:t>
            </w:r>
            <w:r w:rsidRPr="005B6F8B">
              <w:rPr>
                <w:rStyle w:val="InstructionsTabelleText"/>
                <w:rFonts w:ascii="Times New Roman" w:hAnsi="Times New Roman"/>
              </w:rPr>
              <w:t>) CRR respectively</w:t>
            </w:r>
          </w:p>
          <w:p w:rsidR="00000000" w:rsidRDefault="00E66FEA" w:rsidP="009C1367">
            <w:pPr>
              <w:spacing w:beforeLines="60" w:afterLines="60"/>
              <w:jc w:val="left"/>
              <w:rPr>
                <w:rStyle w:val="InstructionsTabelleberschrift"/>
                <w:rFonts w:ascii="Times New Roman" w:hAnsi="Times New Roman"/>
                <w:b w:val="0"/>
                <w:bCs w:val="0"/>
                <w:u w:val="none"/>
              </w:rPr>
            </w:pPr>
            <w:r>
              <w:rPr>
                <w:rStyle w:val="InstructionsTabelleberschrift"/>
                <w:rFonts w:ascii="Times New Roman" w:hAnsi="Times New Roman"/>
                <w:b w:val="0"/>
                <w:bCs w:val="0"/>
                <w:u w:val="none"/>
              </w:rPr>
              <w:t>The value to be reported is only that part of the exposure value which is treated as fully secured by immovable property</w:t>
            </w:r>
            <w:r w:rsidR="00D70C93">
              <w:rPr>
                <w:rStyle w:val="InstructionsTabelleberschrift"/>
                <w:rFonts w:ascii="Times New Roman" w:hAnsi="Times New Roman"/>
                <w:b w:val="0"/>
                <w:bCs w:val="0"/>
                <w:u w:val="none"/>
              </w:rPr>
              <w:t>, i.e. t</w:t>
            </w:r>
            <w:r w:rsidR="00D70C93" w:rsidRPr="00D70C93">
              <w:rPr>
                <w:rStyle w:val="InstructionsTabelleberschrift"/>
                <w:rFonts w:ascii="Times New Roman" w:hAnsi="Times New Roman"/>
                <w:b w:val="0"/>
                <w:bCs w:val="0"/>
                <w:u w:val="none"/>
              </w:rPr>
              <w:t>he part that is treated as unsecured is not relevant for the loss r</w:t>
            </w:r>
            <w:r w:rsidR="00D70C93" w:rsidRPr="00D70C93">
              <w:rPr>
                <w:rStyle w:val="InstructionsTabelleberschrift"/>
                <w:rFonts w:ascii="Times New Roman" w:hAnsi="Times New Roman"/>
                <w:b w:val="0"/>
                <w:bCs w:val="0"/>
                <w:u w:val="none"/>
              </w:rPr>
              <w:t>e</w:t>
            </w:r>
            <w:r w:rsidR="00D70C93" w:rsidRPr="00D70C93">
              <w:rPr>
                <w:rStyle w:val="InstructionsTabelleberschrift"/>
                <w:rFonts w:ascii="Times New Roman" w:hAnsi="Times New Roman"/>
                <w:b w:val="0"/>
                <w:bCs w:val="0"/>
                <w:u w:val="none"/>
              </w:rPr>
              <w:t>porting</w:t>
            </w:r>
            <w:r w:rsidR="00D70C93">
              <w:rPr>
                <w:rStyle w:val="InstructionsTabelleberschrift"/>
                <w:rFonts w:ascii="Times New Roman" w:hAnsi="Times New Roman"/>
                <w:b w:val="0"/>
                <w:bCs w:val="0"/>
                <w:u w:val="none"/>
              </w:rPr>
              <w:t>.</w:t>
            </w:r>
          </w:p>
        </w:tc>
      </w:tr>
    </w:tbl>
    <w:p w:rsidR="00713F52" w:rsidRPr="005B6F8B" w:rsidRDefault="00713F52" w:rsidP="00713F52">
      <w:pPr>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004"/>
      </w:tblGrid>
      <w:tr w:rsidR="00713F52" w:rsidRPr="005B6F8B" w:rsidTr="00165232">
        <w:tc>
          <w:tcPr>
            <w:tcW w:w="8856" w:type="dxa"/>
            <w:gridSpan w:val="2"/>
            <w:shd w:val="clear" w:color="auto" w:fill="CCCCCC"/>
          </w:tcPr>
          <w:p w:rsidR="00713F52" w:rsidRPr="005B6F8B" w:rsidRDefault="00713F52" w:rsidP="009C1367">
            <w:pPr>
              <w:spacing w:beforeLines="60" w:afterLines="60"/>
              <w:rPr>
                <w:rFonts w:ascii="Times New Roman" w:hAnsi="Times New Roman"/>
                <w:b/>
              </w:rPr>
            </w:pPr>
            <w:r w:rsidRPr="005B6F8B">
              <w:rPr>
                <w:rFonts w:ascii="Times New Roman" w:hAnsi="Times New Roman"/>
                <w:b/>
              </w:rPr>
              <w:t>Rows</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010</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Commercial immovable property</w:t>
            </w:r>
          </w:p>
        </w:tc>
      </w:tr>
      <w:tr w:rsidR="00713F52" w:rsidRPr="005B6F8B" w:rsidTr="00165232">
        <w:tc>
          <w:tcPr>
            <w:tcW w:w="852" w:type="dxa"/>
          </w:tcPr>
          <w:p w:rsidR="00713F52" w:rsidRPr="005B6F8B" w:rsidRDefault="00713F52" w:rsidP="009C1367">
            <w:pPr>
              <w:spacing w:beforeLines="60" w:afterLines="60"/>
              <w:rPr>
                <w:rFonts w:ascii="Times New Roman" w:hAnsi="Times New Roman"/>
              </w:rPr>
            </w:pPr>
            <w:r w:rsidRPr="005B6F8B">
              <w:rPr>
                <w:rFonts w:ascii="Times New Roman" w:hAnsi="Times New Roman"/>
              </w:rPr>
              <w:t xml:space="preserve">020 </w:t>
            </w:r>
          </w:p>
        </w:tc>
        <w:tc>
          <w:tcPr>
            <w:tcW w:w="8004" w:type="dxa"/>
          </w:tcPr>
          <w:p w:rsidR="00000000" w:rsidRDefault="00713F52" w:rsidP="009C1367">
            <w:pPr>
              <w:spacing w:beforeLines="60" w:afterLines="60"/>
              <w:rPr>
                <w:rStyle w:val="InstructionsTabelleberschrift"/>
                <w:rFonts w:ascii="Times New Roman" w:hAnsi="Times New Roman"/>
              </w:rPr>
            </w:pPr>
            <w:r w:rsidRPr="005B6F8B">
              <w:rPr>
                <w:rStyle w:val="InstructionsTabelleberschrift"/>
                <w:rFonts w:ascii="Times New Roman" w:hAnsi="Times New Roman"/>
              </w:rPr>
              <w:t>Residential property</w:t>
            </w:r>
          </w:p>
        </w:tc>
      </w:tr>
      <w:bookmarkEnd w:id="0"/>
      <w:bookmarkEnd w:id="1"/>
      <w:bookmarkEnd w:id="2"/>
    </w:tbl>
    <w:p w:rsidR="00D92396" w:rsidRPr="005B6F8B" w:rsidRDefault="00D92396" w:rsidP="00713F52">
      <w:pPr>
        <w:pStyle w:val="Instructionsberschrift2"/>
        <w:numPr>
          <w:ilvl w:val="0"/>
          <w:numId w:val="0"/>
        </w:numPr>
        <w:rPr>
          <w:rFonts w:ascii="Times New Roman" w:hAnsi="Times New Roman" w:cs="Times New Roman"/>
        </w:rPr>
      </w:pPr>
    </w:p>
    <w:sectPr w:rsidR="00D92396" w:rsidRPr="005B6F8B" w:rsidSect="00B51F4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64" w:rsidRDefault="00422064" w:rsidP="00D946DB">
      <w:pPr>
        <w:spacing w:before="0" w:after="0"/>
      </w:pPr>
      <w:r>
        <w:separator/>
      </w:r>
    </w:p>
  </w:endnote>
  <w:endnote w:type="continuationSeparator" w:id="0">
    <w:p w:rsidR="00422064" w:rsidRDefault="00422064" w:rsidP="00D946D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064" w:rsidRDefault="004E44B9">
    <w:pPr>
      <w:pStyle w:val="Footer"/>
      <w:framePr w:wrap="auto" w:vAnchor="text" w:hAnchor="margin" w:xAlign="right" w:y="1"/>
      <w:rPr>
        <w:rStyle w:val="PageNumber"/>
      </w:rPr>
    </w:pPr>
    <w:r>
      <w:rPr>
        <w:rStyle w:val="PageNumber"/>
      </w:rPr>
      <w:fldChar w:fldCharType="begin"/>
    </w:r>
    <w:r w:rsidR="00422064">
      <w:rPr>
        <w:rStyle w:val="PageNumber"/>
      </w:rPr>
      <w:instrText xml:space="preserve">PAGE  </w:instrText>
    </w:r>
    <w:r>
      <w:rPr>
        <w:rStyle w:val="PageNumber"/>
      </w:rPr>
      <w:fldChar w:fldCharType="end"/>
    </w:r>
  </w:p>
  <w:p w:rsidR="00422064" w:rsidRDefault="004220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064" w:rsidRDefault="004E44B9">
    <w:pPr>
      <w:pStyle w:val="Footer"/>
      <w:tabs>
        <w:tab w:val="left" w:pos="8640"/>
      </w:tabs>
      <w:ind w:right="6"/>
      <w:jc w:val="right"/>
    </w:pPr>
    <w:r>
      <w:rPr>
        <w:rStyle w:val="PageNumber"/>
        <w:rFonts w:cs="Verdana"/>
        <w:szCs w:val="20"/>
      </w:rPr>
      <w:fldChar w:fldCharType="begin"/>
    </w:r>
    <w:r w:rsidR="00422064">
      <w:rPr>
        <w:rStyle w:val="PageNumber"/>
        <w:rFonts w:cs="Verdana"/>
        <w:szCs w:val="20"/>
      </w:rPr>
      <w:instrText xml:space="preserve">PAGE  </w:instrText>
    </w:r>
    <w:r>
      <w:rPr>
        <w:rStyle w:val="PageNumber"/>
        <w:rFonts w:cs="Verdana"/>
        <w:szCs w:val="20"/>
      </w:rPr>
      <w:fldChar w:fldCharType="separate"/>
    </w:r>
    <w:r w:rsidR="009C1367">
      <w:rPr>
        <w:rStyle w:val="PageNumber"/>
        <w:rFonts w:cs="Verdana"/>
        <w:noProof/>
        <w:szCs w:val="20"/>
      </w:rPr>
      <w:t>2</w:t>
    </w:r>
    <w:r>
      <w:rPr>
        <w:rStyle w:val="PageNumber"/>
        <w:rFonts w:cs="Verdana"/>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64" w:rsidRDefault="00422064" w:rsidP="00D946DB">
      <w:pPr>
        <w:spacing w:before="0" w:after="0"/>
      </w:pPr>
      <w:r>
        <w:separator/>
      </w:r>
    </w:p>
  </w:footnote>
  <w:footnote w:type="continuationSeparator" w:id="0">
    <w:p w:rsidR="00422064" w:rsidRDefault="00422064" w:rsidP="00D946D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nsid w:val="19B7337E"/>
    <w:multiLevelType w:val="hybridMultilevel"/>
    <w:tmpl w:val="65CCD6C0"/>
    <w:lvl w:ilvl="0" w:tplc="08090017">
      <w:start w:val="1"/>
      <w:numFmt w:val="lowerLetter"/>
      <w:lvlText w:val="%1)"/>
      <w:lvlJc w:val="left"/>
      <w:pPr>
        <w:tabs>
          <w:tab w:val="num" w:pos="720"/>
        </w:tabs>
        <w:ind w:left="720" w:hanging="360"/>
      </w:pPr>
      <w:rPr>
        <w:rFonts w:hint="default"/>
      </w:rPr>
    </w:lvl>
    <w:lvl w:ilvl="1" w:tplc="72D82CB2" w:tentative="1">
      <w:start w:val="1"/>
      <w:numFmt w:val="bullet"/>
      <w:lvlText w:val="o"/>
      <w:lvlJc w:val="left"/>
      <w:pPr>
        <w:tabs>
          <w:tab w:val="num" w:pos="1440"/>
        </w:tabs>
        <w:ind w:left="1440" w:hanging="360"/>
      </w:pPr>
      <w:rPr>
        <w:rFonts w:ascii="Courier New" w:hAnsi="Courier New" w:hint="default"/>
      </w:rPr>
    </w:lvl>
    <w:lvl w:ilvl="2" w:tplc="F3D860D8" w:tentative="1">
      <w:start w:val="1"/>
      <w:numFmt w:val="bullet"/>
      <w:lvlText w:val=""/>
      <w:lvlJc w:val="left"/>
      <w:pPr>
        <w:tabs>
          <w:tab w:val="num" w:pos="2160"/>
        </w:tabs>
        <w:ind w:left="2160" w:hanging="360"/>
      </w:pPr>
      <w:rPr>
        <w:rFonts w:ascii="Wingdings" w:hAnsi="Wingdings" w:hint="default"/>
      </w:rPr>
    </w:lvl>
    <w:lvl w:ilvl="3" w:tplc="B8088B2A" w:tentative="1">
      <w:start w:val="1"/>
      <w:numFmt w:val="bullet"/>
      <w:lvlText w:val=""/>
      <w:lvlJc w:val="left"/>
      <w:pPr>
        <w:tabs>
          <w:tab w:val="num" w:pos="2880"/>
        </w:tabs>
        <w:ind w:left="2880" w:hanging="360"/>
      </w:pPr>
      <w:rPr>
        <w:rFonts w:ascii="Symbol" w:hAnsi="Symbol" w:hint="default"/>
      </w:rPr>
    </w:lvl>
    <w:lvl w:ilvl="4" w:tplc="71845B34" w:tentative="1">
      <w:start w:val="1"/>
      <w:numFmt w:val="bullet"/>
      <w:lvlText w:val="o"/>
      <w:lvlJc w:val="left"/>
      <w:pPr>
        <w:tabs>
          <w:tab w:val="num" w:pos="3600"/>
        </w:tabs>
        <w:ind w:left="3600" w:hanging="360"/>
      </w:pPr>
      <w:rPr>
        <w:rFonts w:ascii="Courier New" w:hAnsi="Courier New" w:hint="default"/>
      </w:rPr>
    </w:lvl>
    <w:lvl w:ilvl="5" w:tplc="490A9836" w:tentative="1">
      <w:start w:val="1"/>
      <w:numFmt w:val="bullet"/>
      <w:lvlText w:val=""/>
      <w:lvlJc w:val="left"/>
      <w:pPr>
        <w:tabs>
          <w:tab w:val="num" w:pos="4320"/>
        </w:tabs>
        <w:ind w:left="4320" w:hanging="360"/>
      </w:pPr>
      <w:rPr>
        <w:rFonts w:ascii="Wingdings" w:hAnsi="Wingdings" w:hint="default"/>
      </w:rPr>
    </w:lvl>
    <w:lvl w:ilvl="6" w:tplc="E8D84DA6" w:tentative="1">
      <w:start w:val="1"/>
      <w:numFmt w:val="bullet"/>
      <w:lvlText w:val=""/>
      <w:lvlJc w:val="left"/>
      <w:pPr>
        <w:tabs>
          <w:tab w:val="num" w:pos="5040"/>
        </w:tabs>
        <w:ind w:left="5040" w:hanging="360"/>
      </w:pPr>
      <w:rPr>
        <w:rFonts w:ascii="Symbol" w:hAnsi="Symbol" w:hint="default"/>
      </w:rPr>
    </w:lvl>
    <w:lvl w:ilvl="7" w:tplc="2D5EB902" w:tentative="1">
      <w:start w:val="1"/>
      <w:numFmt w:val="bullet"/>
      <w:lvlText w:val="o"/>
      <w:lvlJc w:val="left"/>
      <w:pPr>
        <w:tabs>
          <w:tab w:val="num" w:pos="5760"/>
        </w:tabs>
        <w:ind w:left="5760" w:hanging="360"/>
      </w:pPr>
      <w:rPr>
        <w:rFonts w:ascii="Courier New" w:hAnsi="Courier New" w:hint="default"/>
      </w:rPr>
    </w:lvl>
    <w:lvl w:ilvl="8" w:tplc="29147270" w:tentative="1">
      <w:start w:val="1"/>
      <w:numFmt w:val="bullet"/>
      <w:lvlText w:val=""/>
      <w:lvlJc w:val="left"/>
      <w:pPr>
        <w:tabs>
          <w:tab w:val="num" w:pos="6480"/>
        </w:tabs>
        <w:ind w:left="6480" w:hanging="360"/>
      </w:pPr>
      <w:rPr>
        <w:rFonts w:ascii="Wingdings" w:hAnsi="Wingdings" w:hint="default"/>
      </w:rPr>
    </w:lvl>
  </w:abstractNum>
  <w:abstractNum w:abstractNumId="3">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8824E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F7D7F02"/>
    <w:multiLevelType w:val="multilevel"/>
    <w:tmpl w:val="0407001D"/>
    <w:numStyleLink w:val="Formatvorlage3"/>
  </w:abstractNum>
  <w:abstractNum w:abstractNumId="7">
    <w:nsid w:val="33057CB8"/>
    <w:multiLevelType w:val="hybridMultilevel"/>
    <w:tmpl w:val="EA70702C"/>
    <w:lvl w:ilvl="0" w:tplc="236EA62C">
      <w:start w:val="1"/>
      <w:numFmt w:val="decimal"/>
      <w:pStyle w:val="InstructionsText2"/>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7226525"/>
    <w:multiLevelType w:val="hybridMultilevel"/>
    <w:tmpl w:val="9872E646"/>
    <w:lvl w:ilvl="0" w:tplc="0C0A0001">
      <w:start w:val="1"/>
      <w:numFmt w:val="decimal"/>
      <w:pStyle w:val="Nummerierungsart2"/>
      <w:lvlText w:val="%1)"/>
      <w:lvlJc w:val="left"/>
      <w:pPr>
        <w:tabs>
          <w:tab w:val="num" w:pos="360"/>
        </w:tabs>
        <w:ind w:left="360" w:hanging="36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9">
    <w:nsid w:val="39BB79FB"/>
    <w:multiLevelType w:val="multilevel"/>
    <w:tmpl w:val="AB961BA2"/>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szCs w:val="28"/>
      </w:rPr>
    </w:lvl>
    <w:lvl w:ilvl="1" w:tplc="78D02204">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nsid w:val="4EB95802"/>
    <w:multiLevelType w:val="multilevel"/>
    <w:tmpl w:val="0407001D"/>
    <w:styleLink w:val="Formatvorlage3"/>
    <w:lvl w:ilvl="0">
      <w:start w:val="1"/>
      <w:numFmt w:val="none"/>
      <w:pStyle w:val="Heading4"/>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5BA1738F"/>
    <w:multiLevelType w:val="hybridMultilevel"/>
    <w:tmpl w:val="2FE2799E"/>
    <w:lvl w:ilvl="0" w:tplc="04090003">
      <w:start w:val="1"/>
      <w:numFmt w:val="decimal"/>
      <w:pStyle w:val="Instructionsberschrift3"/>
      <w:lvlText w:val="%1.1.1"/>
      <w:lvlJc w:val="left"/>
      <w:pPr>
        <w:ind w:left="720" w:hanging="360"/>
      </w:pPr>
      <w:rPr>
        <w:rFonts w:hint="default"/>
      </w:rPr>
    </w:lvl>
    <w:lvl w:ilvl="1" w:tplc="04090005"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6">
    <w:nsid w:val="647057A3"/>
    <w:multiLevelType w:val="hybridMultilevel"/>
    <w:tmpl w:val="13420D26"/>
    <w:lvl w:ilvl="0" w:tplc="91F28F2A">
      <w:start w:val="1"/>
      <w:numFmt w:val="decimal"/>
      <w:pStyle w:val="Nummerierungsart1"/>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6C1A6AB9"/>
    <w:multiLevelType w:val="multilevel"/>
    <w:tmpl w:val="B4A6BEF8"/>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1">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szCs w:val="22"/>
      </w:rPr>
    </w:lvl>
    <w:lvl w:ilvl="1" w:tplc="3FFC2FA6" w:tentative="1">
      <w:start w:val="1"/>
      <w:numFmt w:val="bullet"/>
      <w:lvlText w:val="o"/>
      <w:lvlJc w:val="left"/>
      <w:pPr>
        <w:tabs>
          <w:tab w:val="num" w:pos="1440"/>
        </w:tabs>
        <w:ind w:left="1440" w:hanging="360"/>
      </w:pPr>
      <w:rPr>
        <w:rFonts w:ascii="Courier New" w:hAnsi="Courier New" w:cs="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cs="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cs="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2"/>
  </w:num>
  <w:num w:numId="4">
    <w:abstractNumId w:val="11"/>
  </w:num>
  <w:num w:numId="5">
    <w:abstractNumId w:val="18"/>
  </w:num>
  <w:num w:numId="6">
    <w:abstractNumId w:val="10"/>
  </w:num>
  <w:num w:numId="7">
    <w:abstractNumId w:val="21"/>
  </w:num>
  <w:num w:numId="8">
    <w:abstractNumId w:val="3"/>
  </w:num>
  <w:num w:numId="9">
    <w:abstractNumId w:val="16"/>
  </w:num>
  <w:num w:numId="10">
    <w:abstractNumId w:val="8"/>
  </w:num>
  <w:num w:numId="11">
    <w:abstractNumId w:val="13"/>
  </w:num>
  <w:num w:numId="12">
    <w:abstractNumId w:val="5"/>
  </w:num>
  <w:num w:numId="13">
    <w:abstractNumId w:val="17"/>
  </w:num>
  <w:num w:numId="14">
    <w:abstractNumId w:val="14"/>
  </w:num>
  <w:num w:numId="15">
    <w:abstractNumId w:val="20"/>
  </w:num>
  <w:num w:numId="16">
    <w:abstractNumId w:val="7"/>
  </w:num>
  <w:num w:numId="17">
    <w:abstractNumId w:val="12"/>
  </w:num>
  <w:num w:numId="18">
    <w:abstractNumId w:val="6"/>
  </w:num>
  <w:num w:numId="19">
    <w:abstractNumId w:val="19"/>
  </w:num>
  <w:num w:numId="20">
    <w:abstractNumId w:val="1"/>
  </w:num>
  <w:num w:numId="21">
    <w:abstractNumId w:val="4"/>
  </w:num>
  <w:num w:numId="22">
    <w:abstractNumId w:val="2"/>
  </w:num>
  <w:num w:numId="23">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5004"/>
  <w:trackRevisions/>
  <w:defaultTabStop w:val="708"/>
  <w:autoHyphenation/>
  <w:hyphenationZone w:val="170"/>
  <w:characterSpacingControl w:val="doNotCompress"/>
  <w:footnotePr>
    <w:footnote w:id="-1"/>
    <w:footnote w:id="0"/>
  </w:footnotePr>
  <w:endnotePr>
    <w:numFmt w:val="decimal"/>
    <w:endnote w:id="-1"/>
    <w:endnote w:id="0"/>
  </w:endnotePr>
  <w:compat/>
  <w:rsids>
    <w:rsidRoot w:val="00884FEB"/>
    <w:rsid w:val="000020E5"/>
    <w:rsid w:val="00004FE8"/>
    <w:rsid w:val="00005765"/>
    <w:rsid w:val="00005FFC"/>
    <w:rsid w:val="000078BB"/>
    <w:rsid w:val="00007D0D"/>
    <w:rsid w:val="00011BD0"/>
    <w:rsid w:val="00013EF3"/>
    <w:rsid w:val="00014890"/>
    <w:rsid w:val="00020A6B"/>
    <w:rsid w:val="000232E2"/>
    <w:rsid w:val="000243CE"/>
    <w:rsid w:val="0002657F"/>
    <w:rsid w:val="000326C1"/>
    <w:rsid w:val="00037093"/>
    <w:rsid w:val="000471B0"/>
    <w:rsid w:val="0005400A"/>
    <w:rsid w:val="0005609F"/>
    <w:rsid w:val="00057362"/>
    <w:rsid w:val="00061E48"/>
    <w:rsid w:val="00063085"/>
    <w:rsid w:val="00072201"/>
    <w:rsid w:val="00076091"/>
    <w:rsid w:val="00076880"/>
    <w:rsid w:val="000828C6"/>
    <w:rsid w:val="000858A9"/>
    <w:rsid w:val="00097D02"/>
    <w:rsid w:val="000A1640"/>
    <w:rsid w:val="000B0EBE"/>
    <w:rsid w:val="000D220D"/>
    <w:rsid w:val="000E1572"/>
    <w:rsid w:val="000E20F0"/>
    <w:rsid w:val="000E29C9"/>
    <w:rsid w:val="000E7BA8"/>
    <w:rsid w:val="000F2F09"/>
    <w:rsid w:val="000F4702"/>
    <w:rsid w:val="000F6A80"/>
    <w:rsid w:val="000F6B25"/>
    <w:rsid w:val="00102A42"/>
    <w:rsid w:val="0012049B"/>
    <w:rsid w:val="00124B85"/>
    <w:rsid w:val="001273B5"/>
    <w:rsid w:val="00133AC1"/>
    <w:rsid w:val="00136316"/>
    <w:rsid w:val="001402DB"/>
    <w:rsid w:val="001432EE"/>
    <w:rsid w:val="00153D11"/>
    <w:rsid w:val="001570C4"/>
    <w:rsid w:val="00163DBA"/>
    <w:rsid w:val="00165232"/>
    <w:rsid w:val="001721BD"/>
    <w:rsid w:val="00175957"/>
    <w:rsid w:val="00183B7A"/>
    <w:rsid w:val="00184E8A"/>
    <w:rsid w:val="001854F6"/>
    <w:rsid w:val="00185877"/>
    <w:rsid w:val="001919E9"/>
    <w:rsid w:val="001A44B3"/>
    <w:rsid w:val="001B416C"/>
    <w:rsid w:val="001B4EA5"/>
    <w:rsid w:val="001C05DD"/>
    <w:rsid w:val="001C1392"/>
    <w:rsid w:val="001E01BA"/>
    <w:rsid w:val="001E0A00"/>
    <w:rsid w:val="001E5A75"/>
    <w:rsid w:val="001E6B9D"/>
    <w:rsid w:val="001F2920"/>
    <w:rsid w:val="001F5AC3"/>
    <w:rsid w:val="0021389C"/>
    <w:rsid w:val="00213DC3"/>
    <w:rsid w:val="0021767A"/>
    <w:rsid w:val="00221103"/>
    <w:rsid w:val="00221BC8"/>
    <w:rsid w:val="00222AC6"/>
    <w:rsid w:val="00225D42"/>
    <w:rsid w:val="0023488F"/>
    <w:rsid w:val="002357EA"/>
    <w:rsid w:val="00245325"/>
    <w:rsid w:val="00250176"/>
    <w:rsid w:val="002506A3"/>
    <w:rsid w:val="00253022"/>
    <w:rsid w:val="00254DF6"/>
    <w:rsid w:val="00262C1B"/>
    <w:rsid w:val="002664C7"/>
    <w:rsid w:val="00271C8B"/>
    <w:rsid w:val="002779CE"/>
    <w:rsid w:val="00285E2F"/>
    <w:rsid w:val="00291779"/>
    <w:rsid w:val="002920FF"/>
    <w:rsid w:val="002A04D3"/>
    <w:rsid w:val="002B264F"/>
    <w:rsid w:val="002C41F1"/>
    <w:rsid w:val="002C6263"/>
    <w:rsid w:val="002D4E10"/>
    <w:rsid w:val="002D6B9E"/>
    <w:rsid w:val="002E053A"/>
    <w:rsid w:val="002E2061"/>
    <w:rsid w:val="002E3720"/>
    <w:rsid w:val="002E4EB7"/>
    <w:rsid w:val="002E587F"/>
    <w:rsid w:val="002F170E"/>
    <w:rsid w:val="00300224"/>
    <w:rsid w:val="00302E9C"/>
    <w:rsid w:val="00306AD1"/>
    <w:rsid w:val="00306F71"/>
    <w:rsid w:val="00310F05"/>
    <w:rsid w:val="00311B2D"/>
    <w:rsid w:val="003137B9"/>
    <w:rsid w:val="00325A59"/>
    <w:rsid w:val="003261B0"/>
    <w:rsid w:val="00331FE6"/>
    <w:rsid w:val="00333A44"/>
    <w:rsid w:val="00345E53"/>
    <w:rsid w:val="00347FF9"/>
    <w:rsid w:val="00357F63"/>
    <w:rsid w:val="003616A1"/>
    <w:rsid w:val="00363FCE"/>
    <w:rsid w:val="00371593"/>
    <w:rsid w:val="00373A71"/>
    <w:rsid w:val="00387E40"/>
    <w:rsid w:val="00390DDA"/>
    <w:rsid w:val="00393539"/>
    <w:rsid w:val="003A0C05"/>
    <w:rsid w:val="003A200A"/>
    <w:rsid w:val="003A449C"/>
    <w:rsid w:val="003B3DBB"/>
    <w:rsid w:val="003C2566"/>
    <w:rsid w:val="003C60B9"/>
    <w:rsid w:val="003D10E9"/>
    <w:rsid w:val="003D431C"/>
    <w:rsid w:val="003D56DE"/>
    <w:rsid w:val="003E0595"/>
    <w:rsid w:val="003E2A3B"/>
    <w:rsid w:val="003F15BB"/>
    <w:rsid w:val="003F4BA1"/>
    <w:rsid w:val="00401111"/>
    <w:rsid w:val="00412D44"/>
    <w:rsid w:val="00415627"/>
    <w:rsid w:val="00415A1B"/>
    <w:rsid w:val="00417752"/>
    <w:rsid w:val="00422064"/>
    <w:rsid w:val="0043001B"/>
    <w:rsid w:val="004345C2"/>
    <w:rsid w:val="004377DA"/>
    <w:rsid w:val="004377E2"/>
    <w:rsid w:val="00443003"/>
    <w:rsid w:val="00445E06"/>
    <w:rsid w:val="00446C32"/>
    <w:rsid w:val="00452FEF"/>
    <w:rsid w:val="00455364"/>
    <w:rsid w:val="0046092C"/>
    <w:rsid w:val="00461A5A"/>
    <w:rsid w:val="0047503C"/>
    <w:rsid w:val="0048116C"/>
    <w:rsid w:val="00484DDA"/>
    <w:rsid w:val="004901BE"/>
    <w:rsid w:val="004965AF"/>
    <w:rsid w:val="00496F5D"/>
    <w:rsid w:val="004A23BC"/>
    <w:rsid w:val="004A5880"/>
    <w:rsid w:val="004A6C52"/>
    <w:rsid w:val="004B2302"/>
    <w:rsid w:val="004B2A17"/>
    <w:rsid w:val="004B3DB3"/>
    <w:rsid w:val="004E04BF"/>
    <w:rsid w:val="004E44B9"/>
    <w:rsid w:val="00502390"/>
    <w:rsid w:val="00502FC6"/>
    <w:rsid w:val="0050399F"/>
    <w:rsid w:val="005067A1"/>
    <w:rsid w:val="005135D6"/>
    <w:rsid w:val="00530FC7"/>
    <w:rsid w:val="005324B7"/>
    <w:rsid w:val="0053327A"/>
    <w:rsid w:val="00533D6A"/>
    <w:rsid w:val="00536020"/>
    <w:rsid w:val="00541F3E"/>
    <w:rsid w:val="005429A0"/>
    <w:rsid w:val="005511AD"/>
    <w:rsid w:val="00552E3E"/>
    <w:rsid w:val="0055791B"/>
    <w:rsid w:val="00563313"/>
    <w:rsid w:val="00563728"/>
    <w:rsid w:val="00564A89"/>
    <w:rsid w:val="00565031"/>
    <w:rsid w:val="0057435E"/>
    <w:rsid w:val="00585466"/>
    <w:rsid w:val="005911AC"/>
    <w:rsid w:val="00593E1F"/>
    <w:rsid w:val="005A18FB"/>
    <w:rsid w:val="005A2363"/>
    <w:rsid w:val="005A6305"/>
    <w:rsid w:val="005B02DE"/>
    <w:rsid w:val="005B0C8D"/>
    <w:rsid w:val="005B13A0"/>
    <w:rsid w:val="005B1BC6"/>
    <w:rsid w:val="005B1CE2"/>
    <w:rsid w:val="005B6F8B"/>
    <w:rsid w:val="005C1BC9"/>
    <w:rsid w:val="005C287F"/>
    <w:rsid w:val="005C453E"/>
    <w:rsid w:val="005C7A91"/>
    <w:rsid w:val="005D254B"/>
    <w:rsid w:val="005F5B6B"/>
    <w:rsid w:val="005F6FDF"/>
    <w:rsid w:val="00601450"/>
    <w:rsid w:val="006108B8"/>
    <w:rsid w:val="00611073"/>
    <w:rsid w:val="006128D7"/>
    <w:rsid w:val="006145C7"/>
    <w:rsid w:val="0061482E"/>
    <w:rsid w:val="0061552A"/>
    <w:rsid w:val="00616264"/>
    <w:rsid w:val="00616690"/>
    <w:rsid w:val="006167E0"/>
    <w:rsid w:val="00616E90"/>
    <w:rsid w:val="006177FE"/>
    <w:rsid w:val="00627143"/>
    <w:rsid w:val="006317A9"/>
    <w:rsid w:val="00643011"/>
    <w:rsid w:val="00646CBA"/>
    <w:rsid w:val="00650DB8"/>
    <w:rsid w:val="00651C18"/>
    <w:rsid w:val="00652DF7"/>
    <w:rsid w:val="00652F11"/>
    <w:rsid w:val="0066173C"/>
    <w:rsid w:val="006746DB"/>
    <w:rsid w:val="006771CE"/>
    <w:rsid w:val="006778A2"/>
    <w:rsid w:val="006916DC"/>
    <w:rsid w:val="00696F12"/>
    <w:rsid w:val="006A01F5"/>
    <w:rsid w:val="006A5CCF"/>
    <w:rsid w:val="006B19A0"/>
    <w:rsid w:val="006B2A31"/>
    <w:rsid w:val="006B55D6"/>
    <w:rsid w:val="006B5BA8"/>
    <w:rsid w:val="006B7228"/>
    <w:rsid w:val="006C0915"/>
    <w:rsid w:val="006C11BB"/>
    <w:rsid w:val="006C22E7"/>
    <w:rsid w:val="006C3FF9"/>
    <w:rsid w:val="006C4174"/>
    <w:rsid w:val="006C45C6"/>
    <w:rsid w:val="006D49F3"/>
    <w:rsid w:val="006E52E7"/>
    <w:rsid w:val="006F11C3"/>
    <w:rsid w:val="00711F3A"/>
    <w:rsid w:val="00712B6C"/>
    <w:rsid w:val="00713F52"/>
    <w:rsid w:val="00721A22"/>
    <w:rsid w:val="00721CEA"/>
    <w:rsid w:val="007247ED"/>
    <w:rsid w:val="007260B2"/>
    <w:rsid w:val="0073581C"/>
    <w:rsid w:val="00736AD5"/>
    <w:rsid w:val="00736D27"/>
    <w:rsid w:val="007420C6"/>
    <w:rsid w:val="007434D0"/>
    <w:rsid w:val="007503D4"/>
    <w:rsid w:val="0075517F"/>
    <w:rsid w:val="0076257F"/>
    <w:rsid w:val="00763A4B"/>
    <w:rsid w:val="00764E61"/>
    <w:rsid w:val="0076755A"/>
    <w:rsid w:val="00770527"/>
    <w:rsid w:val="0078015D"/>
    <w:rsid w:val="00781160"/>
    <w:rsid w:val="007827A3"/>
    <w:rsid w:val="00785E60"/>
    <w:rsid w:val="007864CA"/>
    <w:rsid w:val="00787CDE"/>
    <w:rsid w:val="007A1D61"/>
    <w:rsid w:val="007B0068"/>
    <w:rsid w:val="007B0AC3"/>
    <w:rsid w:val="007B5523"/>
    <w:rsid w:val="007C4C33"/>
    <w:rsid w:val="007D2AEF"/>
    <w:rsid w:val="007E18BB"/>
    <w:rsid w:val="007E33D4"/>
    <w:rsid w:val="007E475F"/>
    <w:rsid w:val="007F0442"/>
    <w:rsid w:val="007F6890"/>
    <w:rsid w:val="007F7A60"/>
    <w:rsid w:val="008024B2"/>
    <w:rsid w:val="00816B32"/>
    <w:rsid w:val="00820E23"/>
    <w:rsid w:val="0083444D"/>
    <w:rsid w:val="00835434"/>
    <w:rsid w:val="00840FC0"/>
    <w:rsid w:val="008420D9"/>
    <w:rsid w:val="008427C5"/>
    <w:rsid w:val="00845545"/>
    <w:rsid w:val="00856854"/>
    <w:rsid w:val="00861241"/>
    <w:rsid w:val="0087489F"/>
    <w:rsid w:val="00875044"/>
    <w:rsid w:val="008774F3"/>
    <w:rsid w:val="008815DE"/>
    <w:rsid w:val="0088172D"/>
    <w:rsid w:val="00884FEB"/>
    <w:rsid w:val="0088630E"/>
    <w:rsid w:val="008A7A5D"/>
    <w:rsid w:val="008B2F5E"/>
    <w:rsid w:val="008B6066"/>
    <w:rsid w:val="008B622E"/>
    <w:rsid w:val="008B7267"/>
    <w:rsid w:val="008C122C"/>
    <w:rsid w:val="008C6E0B"/>
    <w:rsid w:val="008D2210"/>
    <w:rsid w:val="008D7ACC"/>
    <w:rsid w:val="008E0E86"/>
    <w:rsid w:val="008E0F08"/>
    <w:rsid w:val="008E3CA9"/>
    <w:rsid w:val="008E47D2"/>
    <w:rsid w:val="008F1D51"/>
    <w:rsid w:val="00900C1D"/>
    <w:rsid w:val="00906126"/>
    <w:rsid w:val="00920D63"/>
    <w:rsid w:val="00924EEF"/>
    <w:rsid w:val="00942368"/>
    <w:rsid w:val="00943222"/>
    <w:rsid w:val="00950950"/>
    <w:rsid w:val="00955F25"/>
    <w:rsid w:val="00965272"/>
    <w:rsid w:val="00971A2C"/>
    <w:rsid w:val="0098245F"/>
    <w:rsid w:val="00985397"/>
    <w:rsid w:val="0098778D"/>
    <w:rsid w:val="00991C37"/>
    <w:rsid w:val="0099694B"/>
    <w:rsid w:val="009A1317"/>
    <w:rsid w:val="009A2E43"/>
    <w:rsid w:val="009A4B3E"/>
    <w:rsid w:val="009A6E08"/>
    <w:rsid w:val="009B389F"/>
    <w:rsid w:val="009B5A09"/>
    <w:rsid w:val="009C001E"/>
    <w:rsid w:val="009C1367"/>
    <w:rsid w:val="009C2C58"/>
    <w:rsid w:val="009C3801"/>
    <w:rsid w:val="009C4291"/>
    <w:rsid w:val="009C7D6A"/>
    <w:rsid w:val="009D3244"/>
    <w:rsid w:val="009F0F81"/>
    <w:rsid w:val="009F3AD0"/>
    <w:rsid w:val="009F4E0B"/>
    <w:rsid w:val="00A01C72"/>
    <w:rsid w:val="00A02850"/>
    <w:rsid w:val="00A03C89"/>
    <w:rsid w:val="00A03DC9"/>
    <w:rsid w:val="00A047BA"/>
    <w:rsid w:val="00A0483F"/>
    <w:rsid w:val="00A136CD"/>
    <w:rsid w:val="00A24751"/>
    <w:rsid w:val="00A320B1"/>
    <w:rsid w:val="00A35584"/>
    <w:rsid w:val="00A4309F"/>
    <w:rsid w:val="00A64421"/>
    <w:rsid w:val="00A64C0C"/>
    <w:rsid w:val="00A72DF3"/>
    <w:rsid w:val="00A801A9"/>
    <w:rsid w:val="00A80A02"/>
    <w:rsid w:val="00A85CE0"/>
    <w:rsid w:val="00A90BDF"/>
    <w:rsid w:val="00AA38AA"/>
    <w:rsid w:val="00AB2F46"/>
    <w:rsid w:val="00AB4E51"/>
    <w:rsid w:val="00AC13D0"/>
    <w:rsid w:val="00AC14E2"/>
    <w:rsid w:val="00AC5975"/>
    <w:rsid w:val="00AC5F45"/>
    <w:rsid w:val="00AD061B"/>
    <w:rsid w:val="00AD4571"/>
    <w:rsid w:val="00AE1CD7"/>
    <w:rsid w:val="00AF51F7"/>
    <w:rsid w:val="00AF62BC"/>
    <w:rsid w:val="00AF672F"/>
    <w:rsid w:val="00B00AEB"/>
    <w:rsid w:val="00B01163"/>
    <w:rsid w:val="00B057CA"/>
    <w:rsid w:val="00B12EA6"/>
    <w:rsid w:val="00B15280"/>
    <w:rsid w:val="00B17100"/>
    <w:rsid w:val="00B31A22"/>
    <w:rsid w:val="00B36BA6"/>
    <w:rsid w:val="00B439B1"/>
    <w:rsid w:val="00B5171B"/>
    <w:rsid w:val="00B51F42"/>
    <w:rsid w:val="00B53022"/>
    <w:rsid w:val="00B822A4"/>
    <w:rsid w:val="00BA6E03"/>
    <w:rsid w:val="00BB50BB"/>
    <w:rsid w:val="00BC068F"/>
    <w:rsid w:val="00BD0C03"/>
    <w:rsid w:val="00BE1311"/>
    <w:rsid w:val="00BE16D7"/>
    <w:rsid w:val="00BE358B"/>
    <w:rsid w:val="00C029BC"/>
    <w:rsid w:val="00C04D37"/>
    <w:rsid w:val="00C074C4"/>
    <w:rsid w:val="00C12FEB"/>
    <w:rsid w:val="00C25670"/>
    <w:rsid w:val="00C2636B"/>
    <w:rsid w:val="00C2758E"/>
    <w:rsid w:val="00C277FB"/>
    <w:rsid w:val="00C3194E"/>
    <w:rsid w:val="00C356C8"/>
    <w:rsid w:val="00C367B4"/>
    <w:rsid w:val="00C36B2D"/>
    <w:rsid w:val="00C40D60"/>
    <w:rsid w:val="00C43A7D"/>
    <w:rsid w:val="00C46DB1"/>
    <w:rsid w:val="00C47BD3"/>
    <w:rsid w:val="00C54763"/>
    <w:rsid w:val="00C563A1"/>
    <w:rsid w:val="00C62E09"/>
    <w:rsid w:val="00C635CF"/>
    <w:rsid w:val="00C707EE"/>
    <w:rsid w:val="00C84BAF"/>
    <w:rsid w:val="00C87CEE"/>
    <w:rsid w:val="00C941FF"/>
    <w:rsid w:val="00C960CE"/>
    <w:rsid w:val="00C973FB"/>
    <w:rsid w:val="00CB484B"/>
    <w:rsid w:val="00CB70A8"/>
    <w:rsid w:val="00CC6811"/>
    <w:rsid w:val="00CD7ED8"/>
    <w:rsid w:val="00CE5ACF"/>
    <w:rsid w:val="00D02770"/>
    <w:rsid w:val="00D02EE5"/>
    <w:rsid w:val="00D054C0"/>
    <w:rsid w:val="00D06F70"/>
    <w:rsid w:val="00D14A32"/>
    <w:rsid w:val="00D2018B"/>
    <w:rsid w:val="00D20C67"/>
    <w:rsid w:val="00D2506C"/>
    <w:rsid w:val="00D27F99"/>
    <w:rsid w:val="00D30BE6"/>
    <w:rsid w:val="00D31C7A"/>
    <w:rsid w:val="00D35C30"/>
    <w:rsid w:val="00D36501"/>
    <w:rsid w:val="00D52FEA"/>
    <w:rsid w:val="00D56AF5"/>
    <w:rsid w:val="00D60795"/>
    <w:rsid w:val="00D60F96"/>
    <w:rsid w:val="00D6494A"/>
    <w:rsid w:val="00D64B66"/>
    <w:rsid w:val="00D70C93"/>
    <w:rsid w:val="00D8369E"/>
    <w:rsid w:val="00D84EB7"/>
    <w:rsid w:val="00D87924"/>
    <w:rsid w:val="00D87BAB"/>
    <w:rsid w:val="00D92396"/>
    <w:rsid w:val="00D938B7"/>
    <w:rsid w:val="00D946DB"/>
    <w:rsid w:val="00DA3B36"/>
    <w:rsid w:val="00DA77E1"/>
    <w:rsid w:val="00DB0F07"/>
    <w:rsid w:val="00DC2D05"/>
    <w:rsid w:val="00DC40DA"/>
    <w:rsid w:val="00DD2656"/>
    <w:rsid w:val="00DD5371"/>
    <w:rsid w:val="00DD72AA"/>
    <w:rsid w:val="00DE0962"/>
    <w:rsid w:val="00DE4EF2"/>
    <w:rsid w:val="00E019D7"/>
    <w:rsid w:val="00E02641"/>
    <w:rsid w:val="00E048CD"/>
    <w:rsid w:val="00E052A9"/>
    <w:rsid w:val="00E07C8E"/>
    <w:rsid w:val="00E11F7B"/>
    <w:rsid w:val="00E133A7"/>
    <w:rsid w:val="00E1378D"/>
    <w:rsid w:val="00E143FD"/>
    <w:rsid w:val="00E1696D"/>
    <w:rsid w:val="00E1750A"/>
    <w:rsid w:val="00E17F31"/>
    <w:rsid w:val="00E27969"/>
    <w:rsid w:val="00E32DA2"/>
    <w:rsid w:val="00E41A58"/>
    <w:rsid w:val="00E46936"/>
    <w:rsid w:val="00E47CCD"/>
    <w:rsid w:val="00E54B05"/>
    <w:rsid w:val="00E66FEA"/>
    <w:rsid w:val="00E75993"/>
    <w:rsid w:val="00E804CC"/>
    <w:rsid w:val="00E82ECC"/>
    <w:rsid w:val="00EA3FEF"/>
    <w:rsid w:val="00EA419C"/>
    <w:rsid w:val="00EB154B"/>
    <w:rsid w:val="00EB5804"/>
    <w:rsid w:val="00EB6F18"/>
    <w:rsid w:val="00EC35BA"/>
    <w:rsid w:val="00EC5046"/>
    <w:rsid w:val="00ED55F7"/>
    <w:rsid w:val="00ED7C8E"/>
    <w:rsid w:val="00EE2205"/>
    <w:rsid w:val="00EF0DA4"/>
    <w:rsid w:val="00EF68B1"/>
    <w:rsid w:val="00F015E6"/>
    <w:rsid w:val="00F0322C"/>
    <w:rsid w:val="00F12EA3"/>
    <w:rsid w:val="00F1455C"/>
    <w:rsid w:val="00F16ACE"/>
    <w:rsid w:val="00F30076"/>
    <w:rsid w:val="00F325B9"/>
    <w:rsid w:val="00F356CE"/>
    <w:rsid w:val="00F423F0"/>
    <w:rsid w:val="00F463F5"/>
    <w:rsid w:val="00F5381F"/>
    <w:rsid w:val="00F5524C"/>
    <w:rsid w:val="00F60EC7"/>
    <w:rsid w:val="00F60F37"/>
    <w:rsid w:val="00F61095"/>
    <w:rsid w:val="00F620A2"/>
    <w:rsid w:val="00F63BA7"/>
    <w:rsid w:val="00F7072C"/>
    <w:rsid w:val="00F777C7"/>
    <w:rsid w:val="00F875F5"/>
    <w:rsid w:val="00F93B5F"/>
    <w:rsid w:val="00FA1268"/>
    <w:rsid w:val="00FA5CA1"/>
    <w:rsid w:val="00FB175F"/>
    <w:rsid w:val="00FB199D"/>
    <w:rsid w:val="00FB1C26"/>
    <w:rsid w:val="00FB1D44"/>
    <w:rsid w:val="00FB2B2F"/>
    <w:rsid w:val="00FB4960"/>
    <w:rsid w:val="00FB5258"/>
    <w:rsid w:val="00FC371D"/>
    <w:rsid w:val="00FC4D06"/>
    <w:rsid w:val="00FD7524"/>
    <w:rsid w:val="00FE4AE0"/>
    <w:rsid w:val="00FE4D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1"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table of figures" w:uiPriority="0"/>
    <w:lsdException w:name="footnote reference" w:uiPriority="0"/>
    <w:lsdException w:name="endnote reference" w:semiHidden="0" w:uiPriority="1" w:unhideWhenUsed="0"/>
    <w:lsdException w:name="endnote text" w:semiHidden="0" w:uiPriority="1" w:unhideWhenUsed="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4FEB"/>
    <w:pPr>
      <w:spacing w:before="120" w:after="120"/>
      <w:jc w:val="both"/>
    </w:pPr>
    <w:rPr>
      <w:rFonts w:ascii="Verdana" w:eastAsia="Times New Roman" w:hAnsi="Verdana"/>
      <w:szCs w:val="24"/>
      <w:lang w:val="en-GB"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rPr>
  </w:style>
  <w:style w:type="paragraph" w:styleId="Heading2">
    <w:name w:val="heading 2"/>
    <w:basedOn w:val="Normal"/>
    <w:next w:val="Normal"/>
    <w:link w:val="Heading2Char"/>
    <w:autoRedefine/>
    <w:uiPriority w:val="99"/>
    <w:qFormat/>
    <w:rsid w:val="001E5A75"/>
    <w:pPr>
      <w:keepNext/>
      <w:spacing w:before="240"/>
      <w:outlineLvl w:val="1"/>
    </w:pPr>
    <w:rPr>
      <w:b/>
      <w:sz w:val="24"/>
    </w:rPr>
  </w:style>
  <w:style w:type="paragraph" w:styleId="Heading3">
    <w:name w:val="heading 3"/>
    <w:basedOn w:val="Normal"/>
    <w:next w:val="Normal"/>
    <w:link w:val="Heading3Char1"/>
    <w:autoRedefine/>
    <w:uiPriority w:val="99"/>
    <w:qFormat/>
    <w:rsid w:val="001E5A75"/>
    <w:pPr>
      <w:keepNext/>
      <w:spacing w:before="180"/>
      <w:outlineLvl w:val="2"/>
    </w:pPr>
    <w:rPr>
      <w:b/>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b/>
      <w:i/>
    </w:rPr>
  </w:style>
  <w:style w:type="paragraph" w:styleId="Heading6">
    <w:name w:val="heading 6"/>
    <w:basedOn w:val="Normal"/>
    <w:next w:val="Normal"/>
    <w:link w:val="Heading6Char"/>
    <w:semiHidden/>
    <w:unhideWhenUsed/>
    <w:rsid w:val="001E5A75"/>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rsid w:val="001E5A75"/>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rsid w:val="001E5A75"/>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rsid w:val="001E5A7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sz w:val="16"/>
      <w:szCs w:val="16"/>
    </w:rPr>
  </w:style>
  <w:style w:type="character" w:customStyle="1" w:styleId="FootnoteTextChar">
    <w:name w:val="Footnote Text Char"/>
    <w:basedOn w:val="DefaultParagraphFont"/>
    <w:link w:val="FootnoteText"/>
    <w:rsid w:val="00C2636B"/>
    <w:rPr>
      <w:rFonts w:ascii="Arial" w:hAnsi="Arial"/>
      <w:sz w:val="16"/>
      <w:szCs w:val="16"/>
      <w:lang w:eastAsia="de-DE"/>
    </w:rPr>
  </w:style>
  <w:style w:type="character" w:styleId="FootnoteReference">
    <w:name w:val="footnote reference"/>
    <w:basedOn w:val="DefaultParagraphFont"/>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szCs w:val="14"/>
    </w:rPr>
  </w:style>
  <w:style w:type="character" w:customStyle="1" w:styleId="FooterChar">
    <w:name w:val="Footer Char"/>
    <w:basedOn w:val="DefaultParagraphFont"/>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basedOn w:val="DefaultParagraphFont"/>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style>
  <w:style w:type="character" w:customStyle="1" w:styleId="HeaderChar">
    <w:name w:val="Header Char"/>
    <w:basedOn w:val="DefaultParagraphFont"/>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basedOn w:val="DefaultParagraphFont"/>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basedOn w:val="DefaultParagraphFont"/>
    <w:link w:val="Heading3"/>
    <w:uiPriority w:val="99"/>
    <w:rsid w:val="001E5A75"/>
    <w:rPr>
      <w:rFonts w:ascii="Arial" w:hAnsi="Arial"/>
      <w:b/>
      <w:szCs w:val="20"/>
      <w:lang w:eastAsia="de-DE"/>
    </w:rPr>
  </w:style>
  <w:style w:type="character" w:customStyle="1" w:styleId="Heading4Char">
    <w:name w:val="Heading 4 Char"/>
    <w:basedOn w:val="DefaultParagraphFont"/>
    <w:link w:val="Heading4"/>
    <w:uiPriority w:val="99"/>
    <w:rsid w:val="00DE0962"/>
    <w:rPr>
      <w:rFonts w:ascii="Verdana" w:eastAsia="Times New Roman" w:hAnsi="Verdana"/>
      <w:b/>
      <w:szCs w:val="24"/>
      <w:u w:val="single"/>
      <w:lang w:val="en-GB" w:eastAsia="en-US"/>
    </w:rPr>
  </w:style>
  <w:style w:type="character" w:customStyle="1" w:styleId="Heading5Char">
    <w:name w:val="Heading 5 Char"/>
    <w:basedOn w:val="DefaultParagraphFont"/>
    <w:link w:val="Heading5"/>
    <w:uiPriority w:val="1"/>
    <w:rsid w:val="001E5A75"/>
    <w:rPr>
      <w:rFonts w:ascii="Arial" w:hAnsi="Arial"/>
      <w:b/>
      <w:i/>
      <w:szCs w:val="20"/>
      <w:lang w:eastAsia="de-DE"/>
    </w:rPr>
  </w:style>
  <w:style w:type="character" w:customStyle="1" w:styleId="Heading6Char">
    <w:name w:val="Heading 6 Char"/>
    <w:basedOn w:val="DefaultParagraphFont"/>
    <w:link w:val="Heading6"/>
    <w:semiHidden/>
    <w:rsid w:val="001E5A75"/>
    <w:rPr>
      <w:rFonts w:ascii="Times New Roman" w:hAnsi="Times New Roman"/>
      <w:b/>
      <w:bCs/>
      <w:lang w:eastAsia="de-DE"/>
    </w:rPr>
  </w:style>
  <w:style w:type="character" w:customStyle="1" w:styleId="Heading7Char">
    <w:name w:val="Heading 7 Char"/>
    <w:basedOn w:val="DefaultParagraphFont"/>
    <w:link w:val="Heading7"/>
    <w:semiHidden/>
    <w:rsid w:val="001E5A75"/>
    <w:rPr>
      <w:rFonts w:ascii="Times New Roman" w:hAnsi="Times New Roman"/>
      <w:sz w:val="24"/>
      <w:szCs w:val="20"/>
      <w:lang w:eastAsia="de-DE"/>
    </w:rPr>
  </w:style>
  <w:style w:type="character" w:customStyle="1" w:styleId="Heading8Char">
    <w:name w:val="Heading 8 Char"/>
    <w:basedOn w:val="DefaultParagraphFont"/>
    <w:link w:val="Heading8"/>
    <w:semiHidden/>
    <w:rsid w:val="001E5A75"/>
    <w:rPr>
      <w:rFonts w:ascii="Times New Roman" w:hAnsi="Times New Roman"/>
      <w:i/>
      <w:iCs/>
      <w:sz w:val="24"/>
      <w:szCs w:val="20"/>
      <w:lang w:eastAsia="de-DE"/>
    </w:rPr>
  </w:style>
  <w:style w:type="character" w:customStyle="1" w:styleId="Heading9Char">
    <w:name w:val="Heading 9 Char"/>
    <w:basedOn w:val="DefaultParagraphFont"/>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semiHidden/>
    <w:rsid w:val="001E5A75"/>
    <w:rPr>
      <w:i/>
      <w:iCs/>
      <w:color w:val="000000"/>
    </w:rPr>
  </w:style>
  <w:style w:type="character" w:customStyle="1" w:styleId="QuoteChar">
    <w:name w:val="Quote Char"/>
    <w:basedOn w:val="DefaultParagraphFont"/>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semiHidden/>
    <w:unhideWhenUsed/>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sz w:val="16"/>
    </w:rPr>
  </w:style>
  <w:style w:type="character" w:customStyle="1" w:styleId="EndnoteTextChar">
    <w:name w:val="Endnote Text Char"/>
    <w:basedOn w:val="DefaultParagraphFont"/>
    <w:link w:val="EndnoteText"/>
    <w:uiPriority w:val="1"/>
    <w:rsid w:val="001E5A75"/>
    <w:rPr>
      <w:rFonts w:ascii="Arial" w:hAnsi="Arial"/>
      <w:sz w:val="16"/>
      <w:szCs w:val="20"/>
      <w:lang w:eastAsia="de-DE"/>
    </w:rPr>
  </w:style>
  <w:style w:type="character" w:styleId="EndnoteReference">
    <w:name w:val="endnote reference"/>
    <w:basedOn w:val="DefaultParagraphFont"/>
    <w:uiPriority w:val="1"/>
    <w:rsid w:val="001E5A75"/>
    <w:rPr>
      <w:rFonts w:ascii="Arial" w:hAnsi="Arial"/>
      <w:color w:val="auto"/>
      <w:position w:val="4"/>
      <w:sz w:val="12"/>
      <w:vertAlign w:val="baseline"/>
    </w:rPr>
  </w:style>
  <w:style w:type="character" w:customStyle="1" w:styleId="Heading3Char">
    <w:name w:val="Heading 3 Char"/>
    <w:basedOn w:val="DefaultParagraphFont"/>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basedOn w:val="DefaultParagraphFont"/>
    <w:uiPriority w:val="99"/>
    <w:rsid w:val="00884FEB"/>
    <w:rPr>
      <w:rFonts w:cs="Times New Roman"/>
      <w:sz w:val="16"/>
      <w:szCs w:val="16"/>
    </w:rPr>
  </w:style>
  <w:style w:type="paragraph" w:styleId="CommentText">
    <w:name w:val="annotation text"/>
    <w:basedOn w:val="Normal"/>
    <w:link w:val="CommentTextChar"/>
    <w:uiPriority w:val="99"/>
    <w:rsid w:val="00884FEB"/>
    <w:rPr>
      <w:szCs w:val="20"/>
    </w:rPr>
  </w:style>
  <w:style w:type="character" w:customStyle="1" w:styleId="CommentTextChar">
    <w:name w:val="Comment Text Char"/>
    <w:basedOn w:val="DefaultParagraphFont"/>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basedOn w:val="DefaultParagraphFont"/>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cs="Tahoma"/>
      <w:sz w:val="16"/>
      <w:szCs w:val="16"/>
    </w:rPr>
  </w:style>
  <w:style w:type="character" w:customStyle="1" w:styleId="BalloonTextChar">
    <w:name w:val="Balloon Text Char"/>
    <w:basedOn w:val="DefaultParagraphFont"/>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basedOn w:val="CommentTextChar"/>
    <w:link w:val="CommentSubject"/>
    <w:uiPriority w:val="99"/>
    <w:rsid w:val="00884FEB"/>
    <w:rPr>
      <w:b/>
      <w:bCs/>
    </w:rPr>
  </w:style>
  <w:style w:type="table" w:styleId="TableGrid">
    <w:name w:val="Table Grid"/>
    <w:aliases w:val="Tabla CUADROS"/>
    <w:basedOn w:val="TableNormal"/>
    <w:uiPriority w:val="59"/>
    <w:rsid w:val="00884FE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basedOn w:val="Heading4Char"/>
    <w:link w:val="Formatvorlageberschrift4"/>
    <w:uiPriority w:val="99"/>
    <w:locked/>
    <w:rsid w:val="00884FEB"/>
    <w:rPr>
      <w:iCs/>
      <w:szCs w:val="28"/>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u w:val="single"/>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cs="Arial"/>
      <w:b w:val="0"/>
      <w:szCs w:val="26"/>
      <w:u w:val="single"/>
    </w:rPr>
  </w:style>
  <w:style w:type="character" w:customStyle="1" w:styleId="Instructionsberschrift3Zchn">
    <w:name w:val="Instructions Überschrift 3 Zchn"/>
    <w:basedOn w:val="Heading3Char1"/>
    <w:link w:val="Instructionsberschrift3"/>
    <w:locked/>
    <w:rsid w:val="006746DB"/>
    <w:rPr>
      <w:rFonts w:ascii="Verdana" w:eastAsia="Times New Roman" w:hAnsi="Verdana" w:cs="Arial"/>
      <w:szCs w:val="26"/>
      <w:u w:val="single"/>
      <w:lang w:val="en-GB"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AE1CD7"/>
    <w:pPr>
      <w:spacing w:before="0" w:after="0"/>
      <w:ind w:left="33"/>
    </w:pPr>
    <w:rPr>
      <w:szCs w:val="17"/>
      <w:u w:val="single"/>
      <w:lang w:eastAsia="de-DE"/>
    </w:rPr>
  </w:style>
  <w:style w:type="character" w:customStyle="1" w:styleId="Instructionsberschrift4Char">
    <w:name w:val="Instructions Überschrift 4 Char"/>
    <w:basedOn w:val="Heading4Char"/>
    <w:link w:val="Instructionsberschrift4"/>
    <w:uiPriority w:val="99"/>
    <w:locked/>
    <w:rsid w:val="00884FEB"/>
    <w:rPr>
      <w:bCs/>
    </w:rPr>
  </w:style>
  <w:style w:type="character" w:customStyle="1" w:styleId="InstructionsTabelleberschrift">
    <w:name w:val="Instructions Tabelle Überschrift"/>
    <w:basedOn w:val="DefaultParagraphFont"/>
    <w:qFormat/>
    <w:rsid w:val="00884FEB"/>
    <w:rPr>
      <w:rFonts w:ascii="Verdana" w:hAnsi="Verdana" w:cs="Times New Roman"/>
      <w:b/>
      <w:bCs/>
      <w:sz w:val="20"/>
      <w:u w:val="single"/>
    </w:rPr>
  </w:style>
  <w:style w:type="character" w:customStyle="1" w:styleId="InstructionsTabelleText">
    <w:name w:val="Instructions Tabelle Text"/>
    <w:basedOn w:val="DefaultParagraphFont"/>
    <w:rsid w:val="00884FE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rFonts w:cs="Times New Roman"/>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basedOn w:val="DefaultParagraphFont"/>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basedOn w:val="DefaultParagraphFont"/>
    <w:link w:val="InstructionsText"/>
    <w:locked/>
    <w:rsid w:val="00AE1CD7"/>
    <w:rPr>
      <w:rFonts w:ascii="Verdana" w:eastAsia="Times New Roman" w:hAnsi="Verdana" w:cs="Times New Roman"/>
      <w:sz w:val="20"/>
      <w:szCs w:val="17"/>
      <w:u w:val="single"/>
      <w:lang w:val="en-GB"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99"/>
    <w:qFormat/>
    <w:rsid w:val="00884FEB"/>
    <w:pPr>
      <w:ind w:left="708"/>
    </w:pPr>
  </w:style>
  <w:style w:type="character" w:styleId="PlaceholderText">
    <w:name w:val="Placeholder Text"/>
    <w:basedOn w:val="DefaultParagraphFont"/>
    <w:uiPriority w:val="99"/>
    <w:semiHidden/>
    <w:rsid w:val="00D946DB"/>
    <w:rPr>
      <w:color w:val="808080"/>
    </w:rPr>
  </w:style>
  <w:style w:type="paragraph" w:customStyle="1" w:styleId="InstructionsText2">
    <w:name w:val="Instructions Text 2"/>
    <w:basedOn w:val="InstructionsText"/>
    <w:qFormat/>
    <w:rsid w:val="00F620A2"/>
    <w:pPr>
      <w:numPr>
        <w:numId w:val="16"/>
      </w:numPr>
      <w:spacing w:after="240"/>
    </w:pPr>
  </w:style>
  <w:style w:type="character" w:customStyle="1" w:styleId="Instructionsberschrift3Char">
    <w:name w:val="Instructions Überschrift 3 Char"/>
    <w:basedOn w:val="Heading3Char1"/>
    <w:locked/>
    <w:rsid w:val="003B3DBB"/>
    <w:rPr>
      <w:rFonts w:ascii="Verdana" w:hAnsi="Verdana" w:cs="Arial"/>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7"/>
      </w:numPr>
    </w:pPr>
  </w:style>
  <w:style w:type="paragraph" w:styleId="DocumentMap">
    <w:name w:val="Document Map"/>
    <w:basedOn w:val="Normal"/>
    <w:link w:val="DocumentMapChar"/>
    <w:uiPriority w:val="99"/>
    <w:semiHidden/>
    <w:unhideWhenUsed/>
    <w:rsid w:val="0088630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9"/>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0"/>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197353452">
      <w:bodyDiv w:val="1"/>
      <w:marLeft w:val="0"/>
      <w:marRight w:val="0"/>
      <w:marTop w:val="0"/>
      <w:marBottom w:val="0"/>
      <w:divBdr>
        <w:top w:val="none" w:sz="0" w:space="0" w:color="auto"/>
        <w:left w:val="none" w:sz="0" w:space="0" w:color="auto"/>
        <w:bottom w:val="none" w:sz="0" w:space="0" w:color="auto"/>
        <w:right w:val="none" w:sz="0" w:space="0" w:color="auto"/>
      </w:divBdr>
    </w:div>
    <w:div w:id="19131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84CA-0F0D-4038-AC6D-E31B4E0A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1166</Words>
  <Characters>6652</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Deutsche Bundesbank</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c:creator>
  <cp:lastModifiedBy>wstrohbach</cp:lastModifiedBy>
  <cp:revision>5</cp:revision>
  <cp:lastPrinted>2011-11-25T16:26:00Z</cp:lastPrinted>
  <dcterms:created xsi:type="dcterms:W3CDTF">2013-09-09T16:53:00Z</dcterms:created>
  <dcterms:modified xsi:type="dcterms:W3CDTF">2013-09-17T16:23:00Z</dcterms:modified>
</cp:coreProperties>
</file>