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F8D" w:rsidRPr="007C0838" w:rsidRDefault="00443CA3" w:rsidP="007C0838">
      <w:pPr>
        <w:pStyle w:val="ReferenceText"/>
        <w:framePr w:w="3975" w:h="1383" w:hRule="exact" w:wrap="notBeside" w:x="6527" w:y="948"/>
        <w:rPr>
          <w:rFonts w:cstheme="minorHAnsi"/>
        </w:rPr>
      </w:pPr>
      <w:r>
        <w:rPr>
          <w:rFonts w:cstheme="minorHAnsi"/>
        </w:rPr>
        <w:fldChar w:fldCharType="begin">
          <w:ffData>
            <w:name w:val="Text1"/>
            <w:enabled/>
            <w:calcOnExit w:val="0"/>
            <w:textInput>
              <w:default w:val="EBA/ITS/2013/06"/>
            </w:textInput>
          </w:ffData>
        </w:fldChar>
      </w:r>
      <w:bookmarkStart w:id="0" w:name="Text1"/>
      <w:r>
        <w:rPr>
          <w:rFonts w:cstheme="minorHAnsi"/>
        </w:rPr>
        <w:instrText xml:space="preserve"> FORMTEXT </w:instrText>
      </w:r>
      <w:r>
        <w:rPr>
          <w:rFonts w:cstheme="minorHAnsi"/>
        </w:rPr>
      </w:r>
      <w:r>
        <w:rPr>
          <w:rFonts w:cstheme="minorHAnsi"/>
        </w:rPr>
        <w:fldChar w:fldCharType="separate"/>
      </w:r>
      <w:r>
        <w:rPr>
          <w:rFonts w:cstheme="minorHAnsi"/>
          <w:noProof/>
        </w:rPr>
        <w:t>EBA/ITS/2013/06</w:t>
      </w:r>
      <w:r>
        <w:rPr>
          <w:rFonts w:cstheme="minorHAnsi"/>
        </w:rPr>
        <w:fldChar w:fldCharType="end"/>
      </w:r>
      <w:bookmarkEnd w:id="0"/>
    </w:p>
    <w:p w:rsidR="00A442D0" w:rsidRDefault="00443CA3" w:rsidP="00DD0B97">
      <w:pPr>
        <w:pStyle w:val="ReferenceText"/>
        <w:framePr w:w="3975" w:h="1383" w:hRule="exact" w:wrap="notBeside" w:x="6527" w:y="948"/>
        <w:rPr>
          <w:rFonts w:cstheme="minorHAnsi"/>
        </w:rPr>
      </w:pPr>
      <w:r>
        <w:rPr>
          <w:rFonts w:cstheme="minorHAnsi"/>
        </w:rPr>
        <w:fldChar w:fldCharType="begin">
          <w:ffData>
            <w:name w:val=""/>
            <w:enabled/>
            <w:calcOnExit w:val="0"/>
            <w:textInput>
              <w:default w:val="13 December 2013"/>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13 December 2013</w:t>
      </w:r>
      <w:r>
        <w:rPr>
          <w:rFonts w:cstheme="minorHAnsi"/>
        </w:rPr>
        <w:fldChar w:fldCharType="end"/>
      </w:r>
    </w:p>
    <w:p w:rsidR="00DD0B97" w:rsidRPr="00DD0B97" w:rsidRDefault="00DD0B97" w:rsidP="00DD0B97">
      <w:pPr>
        <w:pStyle w:val="ReferenceText"/>
        <w:framePr w:w="3975" w:h="1383" w:hRule="exact" w:wrap="notBeside" w:x="6527" w:y="948"/>
        <w:rPr>
          <w:rFonts w:cstheme="minorHAnsi"/>
        </w:rPr>
      </w:pPr>
    </w:p>
    <w:p w:rsidR="00DD0B97" w:rsidRPr="00DD0B97" w:rsidRDefault="00DD0B97" w:rsidP="00DD0B97">
      <w:pPr>
        <w:pStyle w:val="ReferenceText"/>
        <w:framePr w:w="3975" w:h="1383" w:hRule="exact" w:wrap="notBeside" w:x="6527" w:y="948"/>
        <w:rPr>
          <w:rFonts w:cstheme="minorHAnsi"/>
        </w:rPr>
      </w:pPr>
    </w:p>
    <w:p w:rsidR="007C0838" w:rsidRPr="008333B2" w:rsidRDefault="007C0838" w:rsidP="007C0838">
      <w:pPr>
        <w:framePr w:w="3975" w:h="1383" w:hRule="exact" w:wrap="notBeside" w:vAnchor="page" w:hAnchor="page" w:x="6527" w:y="948" w:anchorLock="1"/>
        <w:tabs>
          <w:tab w:val="center" w:pos="4153"/>
          <w:tab w:val="right" w:pos="9072"/>
        </w:tabs>
        <w:jc w:val="right"/>
        <w:rPr>
          <w:rFonts w:asciiTheme="minorHAnsi" w:hAnsiTheme="minorHAnsi"/>
          <w:color w:val="807F83" w:themeColor="accent2"/>
          <w:sz w:val="20"/>
        </w:rPr>
      </w:pPr>
    </w:p>
    <w:tbl>
      <w:tblPr>
        <w:tblW w:w="0" w:type="auto"/>
        <w:tblLook w:val="04A0"/>
      </w:tblPr>
      <w:tblGrid>
        <w:gridCol w:w="9180"/>
      </w:tblGrid>
      <w:tr w:rsidR="00C13FE9" w:rsidRPr="009310D6" w:rsidTr="00C13FE9">
        <w:tc>
          <w:tcPr>
            <w:tcW w:w="9180" w:type="dxa"/>
          </w:tcPr>
          <w:p w:rsidR="00C13FE9" w:rsidRPr="009310D6" w:rsidRDefault="00443CA3" w:rsidP="00A62840">
            <w:pPr>
              <w:pStyle w:val="Heading1"/>
              <w:jc w:val="center"/>
            </w:pPr>
            <w:r>
              <w:t xml:space="preserve">Annex 3 - </w:t>
            </w:r>
            <w:r w:rsidR="00A62840">
              <w:t>Group risk assessment report template</w:t>
            </w:r>
          </w:p>
        </w:tc>
      </w:tr>
    </w:tbl>
    <w:p w:rsidR="00A62840" w:rsidRPr="007F3EEC" w:rsidRDefault="00A62840" w:rsidP="00A62840">
      <w:pPr>
        <w:tabs>
          <w:tab w:val="left" w:pos="0"/>
        </w:tabs>
        <w:spacing w:line="300" w:lineRule="exact"/>
        <w:rPr>
          <w:rFonts w:cs="Arial"/>
          <w:sz w:val="20"/>
        </w:rPr>
      </w:pPr>
      <w:r w:rsidRPr="007F3EEC">
        <w:rPr>
          <w:rFonts w:cs="Arial"/>
          <w:sz w:val="20"/>
        </w:rPr>
        <w:t>The Group risk assessment report shall include as annexes all SREP reports submitted by the relevant competent authorities. The group risk assessment report shall be supplemented with summaries of scores (Table 1) and the capital adequacy assessment (Table 2).</w:t>
      </w:r>
    </w:p>
    <w:p w:rsidR="00A62840" w:rsidRPr="007F3EEC" w:rsidRDefault="00A62840" w:rsidP="00A62840">
      <w:pPr>
        <w:tabs>
          <w:tab w:val="left" w:pos="0"/>
        </w:tabs>
        <w:spacing w:line="300" w:lineRule="exact"/>
        <w:rPr>
          <w:rFonts w:cs="Arial"/>
          <w:sz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536"/>
      </w:tblGrid>
      <w:tr w:rsidR="00A62840" w:rsidRPr="007F3EEC" w:rsidTr="0055128D">
        <w:tc>
          <w:tcPr>
            <w:tcW w:w="4786" w:type="dxa"/>
            <w:tcBorders>
              <w:top w:val="single" w:sz="4" w:space="0" w:color="auto"/>
              <w:left w:val="single" w:sz="4" w:space="0" w:color="auto"/>
              <w:bottom w:val="single" w:sz="4" w:space="0" w:color="auto"/>
              <w:right w:val="single" w:sz="4" w:space="0" w:color="auto"/>
            </w:tcBorders>
            <w:hideMark/>
          </w:tcPr>
          <w:p w:rsidR="00A62840" w:rsidRPr="007F3EEC" w:rsidRDefault="00A62840" w:rsidP="0055128D">
            <w:pPr>
              <w:tabs>
                <w:tab w:val="center" w:pos="4535"/>
                <w:tab w:val="right" w:pos="9071"/>
                <w:tab w:val="right" w:pos="9921"/>
              </w:tabs>
              <w:ind w:right="-850"/>
              <w:rPr>
                <w:rFonts w:cs="Arial"/>
                <w:b/>
                <w:sz w:val="20"/>
              </w:rPr>
            </w:pPr>
            <w:r w:rsidRPr="007F3EEC">
              <w:rPr>
                <w:rFonts w:cs="Arial"/>
                <w:b/>
                <w:sz w:val="20"/>
              </w:rPr>
              <w:t>Group:</w:t>
            </w:r>
          </w:p>
        </w:tc>
        <w:tc>
          <w:tcPr>
            <w:tcW w:w="4536" w:type="dxa"/>
            <w:tcBorders>
              <w:top w:val="single" w:sz="4" w:space="0" w:color="auto"/>
              <w:left w:val="single" w:sz="4" w:space="0" w:color="auto"/>
              <w:bottom w:val="single" w:sz="4" w:space="0" w:color="auto"/>
              <w:right w:val="single" w:sz="4" w:space="0" w:color="auto"/>
            </w:tcBorders>
          </w:tcPr>
          <w:p w:rsidR="00A62840" w:rsidRPr="007F3EEC" w:rsidRDefault="00A62840" w:rsidP="0055128D">
            <w:pPr>
              <w:tabs>
                <w:tab w:val="center" w:pos="4178"/>
                <w:tab w:val="right" w:pos="9071"/>
                <w:tab w:val="right" w:pos="9921"/>
              </w:tabs>
              <w:ind w:left="34"/>
              <w:rPr>
                <w:rFonts w:cs="Arial"/>
                <w:sz w:val="20"/>
              </w:rPr>
            </w:pPr>
          </w:p>
        </w:tc>
      </w:tr>
      <w:tr w:rsidR="00A62840" w:rsidRPr="007F3EEC" w:rsidTr="0055128D">
        <w:tc>
          <w:tcPr>
            <w:tcW w:w="4786" w:type="dxa"/>
            <w:tcBorders>
              <w:top w:val="single" w:sz="4" w:space="0" w:color="auto"/>
              <w:left w:val="single" w:sz="4" w:space="0" w:color="auto"/>
              <w:bottom w:val="single" w:sz="4" w:space="0" w:color="auto"/>
              <w:right w:val="single" w:sz="4" w:space="0" w:color="auto"/>
            </w:tcBorders>
            <w:hideMark/>
          </w:tcPr>
          <w:p w:rsidR="00A62840" w:rsidRPr="007F3EEC" w:rsidRDefault="00A62840" w:rsidP="0055128D">
            <w:pPr>
              <w:tabs>
                <w:tab w:val="center" w:pos="4535"/>
                <w:tab w:val="right" w:pos="9071"/>
                <w:tab w:val="right" w:pos="9921"/>
              </w:tabs>
              <w:ind w:right="-850"/>
              <w:rPr>
                <w:rFonts w:cs="Arial"/>
                <w:b/>
                <w:sz w:val="20"/>
              </w:rPr>
            </w:pPr>
            <w:r w:rsidRPr="007F3EEC">
              <w:rPr>
                <w:rFonts w:cs="Arial"/>
                <w:b/>
                <w:sz w:val="20"/>
              </w:rPr>
              <w:t>Category of the group:</w:t>
            </w:r>
          </w:p>
        </w:tc>
        <w:tc>
          <w:tcPr>
            <w:tcW w:w="4536" w:type="dxa"/>
            <w:tcBorders>
              <w:top w:val="single" w:sz="4" w:space="0" w:color="auto"/>
              <w:left w:val="single" w:sz="4" w:space="0" w:color="auto"/>
              <w:bottom w:val="single" w:sz="4" w:space="0" w:color="auto"/>
              <w:right w:val="single" w:sz="4" w:space="0" w:color="auto"/>
            </w:tcBorders>
            <w:hideMark/>
          </w:tcPr>
          <w:p w:rsidR="00A62840" w:rsidRPr="007F3EEC" w:rsidRDefault="00A62840" w:rsidP="0055128D">
            <w:pPr>
              <w:tabs>
                <w:tab w:val="center" w:pos="4286"/>
                <w:tab w:val="right" w:pos="9071"/>
                <w:tab w:val="right" w:pos="9921"/>
              </w:tabs>
              <w:ind w:left="34"/>
              <w:rPr>
                <w:rFonts w:cs="Arial"/>
                <w:sz w:val="20"/>
              </w:rPr>
            </w:pPr>
            <w:r w:rsidRPr="007F3EEC">
              <w:rPr>
                <w:rFonts w:cs="Arial"/>
                <w:sz w:val="20"/>
              </w:rPr>
              <w:t>[based on national classification until common categorisation approach is in place as per EBA Guidelines for common SREP methodologies and procedures; the category to which the institution is assigned shall reflect also its systemic importance]</w:t>
            </w:r>
          </w:p>
        </w:tc>
      </w:tr>
      <w:tr w:rsidR="00A62840" w:rsidRPr="007F3EEC" w:rsidTr="0055128D">
        <w:tc>
          <w:tcPr>
            <w:tcW w:w="4786" w:type="dxa"/>
            <w:tcBorders>
              <w:top w:val="single" w:sz="4" w:space="0" w:color="auto"/>
              <w:left w:val="single" w:sz="4" w:space="0" w:color="auto"/>
              <w:bottom w:val="single" w:sz="4" w:space="0" w:color="auto"/>
              <w:right w:val="single" w:sz="4" w:space="0" w:color="auto"/>
            </w:tcBorders>
            <w:hideMark/>
          </w:tcPr>
          <w:p w:rsidR="00A62840" w:rsidRPr="007F3EEC" w:rsidRDefault="00A62840" w:rsidP="0055128D">
            <w:pPr>
              <w:tabs>
                <w:tab w:val="center" w:pos="4535"/>
                <w:tab w:val="right" w:pos="9071"/>
                <w:tab w:val="right" w:pos="9921"/>
              </w:tabs>
              <w:ind w:right="-850"/>
              <w:rPr>
                <w:rFonts w:cs="Arial"/>
                <w:b/>
                <w:sz w:val="20"/>
              </w:rPr>
            </w:pPr>
            <w:r w:rsidRPr="007F3EEC">
              <w:rPr>
                <w:rFonts w:cs="Arial"/>
                <w:b/>
                <w:sz w:val="20"/>
              </w:rPr>
              <w:t>Reference date:</w:t>
            </w:r>
          </w:p>
        </w:tc>
        <w:tc>
          <w:tcPr>
            <w:tcW w:w="4536" w:type="dxa"/>
            <w:tcBorders>
              <w:top w:val="single" w:sz="4" w:space="0" w:color="auto"/>
              <w:left w:val="single" w:sz="4" w:space="0" w:color="auto"/>
              <w:bottom w:val="single" w:sz="4" w:space="0" w:color="auto"/>
              <w:right w:val="single" w:sz="4" w:space="0" w:color="auto"/>
            </w:tcBorders>
          </w:tcPr>
          <w:p w:rsidR="00A62840" w:rsidRPr="007F3EEC" w:rsidRDefault="00A62840" w:rsidP="0055128D">
            <w:pPr>
              <w:tabs>
                <w:tab w:val="center" w:pos="4429"/>
                <w:tab w:val="right" w:pos="9071"/>
                <w:tab w:val="right" w:pos="9921"/>
              </w:tabs>
              <w:ind w:left="34"/>
              <w:rPr>
                <w:rFonts w:cs="Arial"/>
                <w:sz w:val="20"/>
              </w:rPr>
            </w:pPr>
          </w:p>
        </w:tc>
      </w:tr>
      <w:tr w:rsidR="00A62840" w:rsidRPr="007F3EEC" w:rsidTr="0055128D">
        <w:tc>
          <w:tcPr>
            <w:tcW w:w="4786" w:type="dxa"/>
            <w:tcBorders>
              <w:top w:val="single" w:sz="4" w:space="0" w:color="auto"/>
              <w:left w:val="single" w:sz="4" w:space="0" w:color="auto"/>
              <w:bottom w:val="single" w:sz="4" w:space="0" w:color="auto"/>
              <w:right w:val="single" w:sz="4" w:space="0" w:color="auto"/>
            </w:tcBorders>
            <w:hideMark/>
          </w:tcPr>
          <w:p w:rsidR="00A62840" w:rsidRPr="007F3EEC" w:rsidRDefault="00A62840" w:rsidP="0055128D">
            <w:pPr>
              <w:tabs>
                <w:tab w:val="center" w:pos="4395"/>
                <w:tab w:val="right" w:pos="9071"/>
                <w:tab w:val="right" w:pos="9921"/>
              </w:tabs>
              <w:ind w:right="-850"/>
              <w:rPr>
                <w:rFonts w:cs="Arial"/>
                <w:b/>
                <w:sz w:val="20"/>
              </w:rPr>
            </w:pPr>
            <w:r w:rsidRPr="007F3EEC">
              <w:rPr>
                <w:rFonts w:cs="Arial"/>
                <w:b/>
                <w:sz w:val="20"/>
              </w:rPr>
              <w:t>Total assets (million EUR) at reference date:</w:t>
            </w:r>
          </w:p>
        </w:tc>
        <w:tc>
          <w:tcPr>
            <w:tcW w:w="4536" w:type="dxa"/>
            <w:tcBorders>
              <w:top w:val="single" w:sz="4" w:space="0" w:color="auto"/>
              <w:left w:val="single" w:sz="4" w:space="0" w:color="auto"/>
              <w:bottom w:val="single" w:sz="4" w:space="0" w:color="auto"/>
              <w:right w:val="single" w:sz="4" w:space="0" w:color="auto"/>
            </w:tcBorders>
          </w:tcPr>
          <w:p w:rsidR="00A62840" w:rsidRPr="007F3EEC" w:rsidRDefault="00A62840" w:rsidP="0055128D">
            <w:pPr>
              <w:tabs>
                <w:tab w:val="center" w:pos="4429"/>
                <w:tab w:val="right" w:pos="9071"/>
                <w:tab w:val="right" w:pos="9921"/>
              </w:tabs>
              <w:ind w:left="34"/>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A62840" w:rsidRPr="007F3EEC" w:rsidTr="0055128D">
        <w:tc>
          <w:tcPr>
            <w:tcW w:w="6771"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Overall SREP assessment of the Group </w:t>
            </w:r>
          </w:p>
        </w:tc>
        <w:tc>
          <w:tcPr>
            <w:tcW w:w="2515"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Overall SREP score </w:t>
            </w:r>
            <w:r w:rsidRPr="007F3EEC">
              <w:rPr>
                <w:rFonts w:cs="Arial"/>
                <w:sz w:val="20"/>
              </w:rPr>
              <w:t xml:space="preserve">(following the capital and liquidity adequacy assessment):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This section should contain a summary of the assessments made in the sections below,</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Capital adequacy assessment</w:t>
            </w:r>
          </w:p>
        </w:tc>
      </w:tr>
      <w:tr w:rsidR="00A62840" w:rsidRPr="007F3EEC" w:rsidTr="0055128D">
        <w:trPr>
          <w:trHeight w:val="918"/>
        </w:trPr>
        <w:tc>
          <w:tcPr>
            <w:tcW w:w="9286" w:type="dxa"/>
            <w:shd w:val="clear" w:color="auto" w:fill="auto"/>
          </w:tcPr>
          <w:p w:rsidR="00A62840" w:rsidRPr="007F3EEC" w:rsidRDefault="00A62840" w:rsidP="0055128D">
            <w:pPr>
              <w:tabs>
                <w:tab w:val="left" w:pos="284"/>
              </w:tabs>
              <w:spacing w:line="300" w:lineRule="exact"/>
              <w:rPr>
                <w:rFonts w:cs="Arial"/>
                <w:i/>
                <w:sz w:val="20"/>
              </w:rPr>
            </w:pPr>
            <w:r w:rsidRPr="007F3EEC">
              <w:rPr>
                <w:rFonts w:cs="Arial"/>
                <w:i/>
                <w:sz w:val="20"/>
              </w:rPr>
              <w:t>Within this section please provide: (1) a summary of the assessment of the capital adequacy; (2) the proposal for the joint decision, including a statement on the adequacy of own funds at the group level and any required level of own funds in excess of the requirements set out in Chapter Four of Title VII of Directive 2013/36/EU (CRD) and in Regulation (EU) No 575/2013 (CRR); (3) the outlook for the next assessment period; and, (3) a description of any other capital-related supervisory measures</w:t>
            </w:r>
            <w:r w:rsidRPr="007F3EEC">
              <w:rPr>
                <w:rStyle w:val="FootnoteReference"/>
                <w:rFonts w:cs="Arial"/>
                <w:sz w:val="20"/>
              </w:rPr>
              <w:footnoteReference w:id="1"/>
            </w:r>
            <w:r w:rsidRPr="007F3EEC">
              <w:rPr>
                <w:rFonts w:cs="Arial"/>
                <w:i/>
                <w:sz w:val="20"/>
              </w:rPr>
              <w:t>.</w:t>
            </w:r>
          </w:p>
          <w:p w:rsidR="00A62840" w:rsidRPr="007F3EEC" w:rsidRDefault="00A62840" w:rsidP="0055128D">
            <w:pPr>
              <w:tabs>
                <w:tab w:val="left" w:pos="284"/>
              </w:tabs>
              <w:spacing w:line="300" w:lineRule="exact"/>
              <w:rPr>
                <w:rFonts w:cs="Arial"/>
                <w:sz w:val="20"/>
              </w:rPr>
            </w:pPr>
            <w:r w:rsidRPr="007F3EEC">
              <w:rPr>
                <w:rFonts w:cs="Arial"/>
                <w:i/>
                <w:sz w:val="20"/>
              </w:rPr>
              <w:t>Within this section please also describe how SREP capital estimates have been derived and how ICAAP capital estimates have been taken into account, if assessed as reliable.</w:t>
            </w:r>
          </w:p>
        </w:tc>
      </w:tr>
      <w:tr w:rsidR="00A62840" w:rsidRPr="007F3EEC" w:rsidTr="0055128D">
        <w:trPr>
          <w:trHeight w:val="802"/>
        </w:trPr>
        <w:tc>
          <w:tcPr>
            <w:tcW w:w="9286" w:type="dxa"/>
            <w:shd w:val="clear" w:color="auto" w:fill="auto"/>
          </w:tcPr>
          <w:p w:rsidR="00A62840" w:rsidRPr="007F3EEC" w:rsidRDefault="00A62840" w:rsidP="0055128D">
            <w:pPr>
              <w:tabs>
                <w:tab w:val="left" w:pos="0"/>
              </w:tabs>
              <w:spacing w:line="300" w:lineRule="exact"/>
              <w:rPr>
                <w:rFonts w:cs="Arial"/>
                <w:sz w:val="20"/>
                <w:highlight w:val="yellow"/>
              </w:rPr>
            </w:pPr>
          </w:p>
          <w:p w:rsidR="00A62840" w:rsidRPr="007F3EEC" w:rsidRDefault="00A62840" w:rsidP="0055128D">
            <w:pPr>
              <w:tabs>
                <w:tab w:val="left" w:pos="0"/>
              </w:tabs>
              <w:spacing w:line="300" w:lineRule="exact"/>
              <w:rPr>
                <w:rFonts w:cs="Arial"/>
                <w:sz w:val="20"/>
                <w:highlight w:val="yellow"/>
              </w:rPr>
            </w:pPr>
          </w:p>
          <w:p w:rsidR="00A62840" w:rsidRPr="007F3EEC" w:rsidRDefault="00A62840" w:rsidP="0055128D">
            <w:pPr>
              <w:tabs>
                <w:tab w:val="left" w:pos="0"/>
              </w:tabs>
              <w:spacing w:line="300" w:lineRule="exact"/>
              <w:rPr>
                <w:rFonts w:cs="Arial"/>
                <w:sz w:val="20"/>
                <w:highlight w:val="yellow"/>
              </w:rPr>
            </w:pPr>
          </w:p>
          <w:p w:rsidR="00A62840" w:rsidRPr="007F3EEC" w:rsidRDefault="00A62840" w:rsidP="0055128D">
            <w:pPr>
              <w:tabs>
                <w:tab w:val="left" w:pos="0"/>
              </w:tabs>
              <w:spacing w:line="300" w:lineRule="exact"/>
              <w:rPr>
                <w:rFonts w:cs="Arial"/>
                <w:sz w:val="20"/>
                <w:highlight w:val="yellow"/>
              </w:rPr>
            </w:pPr>
          </w:p>
        </w:tc>
      </w:tr>
    </w:tbl>
    <w:p w:rsidR="00A62840" w:rsidRDefault="00A62840" w:rsidP="00A62840">
      <w:pPr>
        <w:tabs>
          <w:tab w:val="left" w:pos="0"/>
        </w:tabs>
        <w:spacing w:line="300" w:lineRule="exact"/>
        <w:rPr>
          <w:rFonts w:cs="Arial"/>
          <w:sz w:val="20"/>
          <w:highlight w:val="yellow"/>
        </w:rPr>
      </w:pPr>
    </w:p>
    <w:p w:rsidR="00A62840" w:rsidRDefault="00A62840" w:rsidP="00A62840">
      <w:pPr>
        <w:tabs>
          <w:tab w:val="left" w:pos="0"/>
        </w:tabs>
        <w:spacing w:line="300" w:lineRule="exact"/>
        <w:rPr>
          <w:rFonts w:cs="Arial"/>
          <w:sz w:val="20"/>
          <w:highlight w:val="yellow"/>
        </w:rPr>
      </w:pPr>
    </w:p>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Liquidity Adequacy Assessment</w:t>
            </w:r>
          </w:p>
        </w:tc>
      </w:tr>
      <w:tr w:rsidR="00A62840" w:rsidRPr="007F3EEC" w:rsidTr="0055128D">
        <w:trPr>
          <w:trHeight w:val="918"/>
        </w:trPr>
        <w:tc>
          <w:tcPr>
            <w:tcW w:w="9286" w:type="dxa"/>
            <w:shd w:val="clear" w:color="auto" w:fill="auto"/>
          </w:tcPr>
          <w:p w:rsidR="00A62840" w:rsidRPr="007F3EEC" w:rsidRDefault="00A62840" w:rsidP="0055128D">
            <w:pPr>
              <w:tabs>
                <w:tab w:val="left" w:pos="284"/>
              </w:tabs>
              <w:spacing w:line="300" w:lineRule="exact"/>
              <w:rPr>
                <w:rFonts w:cs="Arial"/>
                <w:i/>
                <w:sz w:val="20"/>
              </w:rPr>
            </w:pPr>
            <w:r w:rsidRPr="007F3EEC">
              <w:rPr>
                <w:rFonts w:cs="Arial"/>
                <w:i/>
                <w:sz w:val="20"/>
              </w:rPr>
              <w:t>Within this section please provide: (1) a summary of the assessment of the liquidity adequacy; (2) the proposal for the joint decision, including a statement on the adequacy of liquidity at the group level and any required supervisory measures, where applicable; (3) the outlook for the next assessment period; and, (4) a description of any other supervisory measures to address the deficiencies identified, where applicable.</w:t>
            </w:r>
          </w:p>
          <w:p w:rsidR="00A62840" w:rsidRPr="007F3EEC" w:rsidRDefault="00A62840" w:rsidP="0055128D">
            <w:pPr>
              <w:tabs>
                <w:tab w:val="left" w:pos="284"/>
              </w:tabs>
              <w:spacing w:line="300" w:lineRule="exact"/>
              <w:rPr>
                <w:rFonts w:cs="Arial"/>
                <w:sz w:val="20"/>
              </w:rPr>
            </w:pPr>
            <w:r w:rsidRPr="007F3EEC">
              <w:rPr>
                <w:rFonts w:cs="Arial"/>
                <w:i/>
                <w:sz w:val="20"/>
              </w:rPr>
              <w:t>Depending on the timing of the joint decision on liquidity, this assessment should either mirror the findings summarised in the Group liquidity risk assessment report (see template in Annex 7), or provide an updated assessment.</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A62840" w:rsidRPr="007F3EEC" w:rsidTr="0055128D">
        <w:tc>
          <w:tcPr>
            <w:tcW w:w="6771" w:type="dxa"/>
            <w:shd w:val="clear" w:color="auto" w:fill="auto"/>
          </w:tcPr>
          <w:p w:rsidR="00A62840" w:rsidRPr="007F3EEC" w:rsidRDefault="00A62840" w:rsidP="00A62840">
            <w:pPr>
              <w:numPr>
                <w:ilvl w:val="0"/>
                <w:numId w:val="29"/>
              </w:numPr>
              <w:tabs>
                <w:tab w:val="left" w:pos="0"/>
              </w:tabs>
              <w:spacing w:line="300" w:lineRule="exact"/>
              <w:ind w:left="284" w:hanging="284"/>
              <w:rPr>
                <w:rFonts w:cs="Arial"/>
                <w:sz w:val="20"/>
              </w:rPr>
            </w:pPr>
            <w:r w:rsidRPr="007F3EEC">
              <w:rPr>
                <w:rFonts w:cs="Arial"/>
                <w:b/>
                <w:sz w:val="20"/>
              </w:rPr>
              <w:t>Business model analysis (viability and sustainability)</w:t>
            </w:r>
          </w:p>
        </w:tc>
        <w:tc>
          <w:tcPr>
            <w:tcW w:w="2515"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business model, strategy and financial position within the observed period; (2) the supervisory assessment of the viability of the current business model and sustainability of the strategy; and, (3) any relevant supervisory measures, including capital and non-capital supervisory measures.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A62840" w:rsidRPr="007F3EEC" w:rsidTr="0055128D">
        <w:tc>
          <w:tcPr>
            <w:tcW w:w="6771" w:type="dxa"/>
            <w:shd w:val="clear" w:color="auto" w:fill="auto"/>
          </w:tcPr>
          <w:p w:rsidR="00A62840" w:rsidRPr="007F3EEC" w:rsidRDefault="00A62840" w:rsidP="00A62840">
            <w:pPr>
              <w:numPr>
                <w:ilvl w:val="0"/>
                <w:numId w:val="29"/>
              </w:numPr>
              <w:tabs>
                <w:tab w:val="left" w:pos="0"/>
              </w:tabs>
              <w:spacing w:line="300" w:lineRule="exact"/>
              <w:ind w:left="284" w:hanging="284"/>
              <w:rPr>
                <w:rFonts w:cs="Arial"/>
                <w:sz w:val="20"/>
              </w:rPr>
            </w:pPr>
            <w:r w:rsidRPr="007F3EEC">
              <w:rPr>
                <w:rFonts w:cs="Arial"/>
                <w:b/>
                <w:sz w:val="20"/>
              </w:rPr>
              <w:t>Internal governance arrangements</w:t>
            </w:r>
          </w:p>
        </w:tc>
        <w:tc>
          <w:tcPr>
            <w:tcW w:w="2515"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internal governance framework within the observed period; (2) deficiencies identified; (3) issues of non-compliance with the CRR and the CRD in relation to internal governance requirements; (4) the outlook for the next assessment period; (5)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9286" w:type="dxa"/>
            <w:gridSpan w:val="2"/>
            <w:shd w:val="clear" w:color="auto" w:fill="auto"/>
          </w:tcPr>
          <w:p w:rsidR="00A62840" w:rsidRPr="007F3EEC" w:rsidRDefault="00A62840" w:rsidP="00A62840">
            <w:pPr>
              <w:numPr>
                <w:ilvl w:val="0"/>
                <w:numId w:val="29"/>
              </w:numPr>
              <w:tabs>
                <w:tab w:val="left" w:pos="0"/>
              </w:tabs>
              <w:spacing w:line="300" w:lineRule="exact"/>
              <w:ind w:left="426" w:hanging="426"/>
              <w:rPr>
                <w:rFonts w:cs="Arial"/>
                <w:sz w:val="20"/>
              </w:rPr>
            </w:pPr>
            <w:r w:rsidRPr="007F3EEC">
              <w:rPr>
                <w:rFonts w:cs="Arial"/>
                <w:b/>
                <w:sz w:val="20"/>
              </w:rPr>
              <w:t>Risks to solvency</w:t>
            </w:r>
          </w:p>
        </w:tc>
      </w:tr>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C.1 Credit and counterparty risk</w:t>
            </w:r>
          </w:p>
        </w:tc>
        <w:tc>
          <w:tcPr>
            <w:tcW w:w="2232"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 xml:space="preserve">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w:t>
            </w:r>
            <w:r w:rsidRPr="007F3EEC">
              <w:rPr>
                <w:rFonts w:cs="Arial"/>
                <w:i/>
                <w:sz w:val="20"/>
              </w:rPr>
              <w:lastRenderedPageBreak/>
              <w:t>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C.2 Settlement / delivery risk</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C.3 Inter-concentration risk</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C.4 Market risk</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C.5 IRRBB</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 xml:space="preserve">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w:t>
            </w:r>
            <w:r w:rsidRPr="007F3EEC">
              <w:rPr>
                <w:rFonts w:cs="Arial"/>
                <w:i/>
                <w:sz w:val="20"/>
              </w:rPr>
              <w:lastRenderedPageBreak/>
              <w:t>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C.6 Operational risk</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Score:</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C.7 Risk of excessive leverage</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4"/>
        <w:gridCol w:w="2232"/>
      </w:tblGrid>
      <w:tr w:rsidR="00A62840" w:rsidRPr="007F3EEC" w:rsidTr="0055128D">
        <w:tc>
          <w:tcPr>
            <w:tcW w:w="7054"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C.8 Other risks material to the institution, as applicable </w:t>
            </w:r>
            <w:r w:rsidRPr="007F3EEC">
              <w:rPr>
                <w:rFonts w:cs="Arial"/>
                <w:sz w:val="20"/>
              </w:rPr>
              <w:t>(please specify)</w:t>
            </w:r>
          </w:p>
        </w:tc>
        <w:tc>
          <w:tcPr>
            <w:tcW w:w="2232"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other identified risks to solvency in the observed period; (2) control deficiencies identified; (3) issues of non-compliance with the CRR and the CRD in relation to risk; (4) the outlook for the next assessment period; (5) risk mitigating actions to be taken by the institution; and, (6) any relevant supervisory measures including, capital and non-capital supervisory measures to address the deficiencies and non-compliance issues.</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2515"/>
      </w:tblGrid>
      <w:tr w:rsidR="00A62840" w:rsidRPr="007F3EEC" w:rsidTr="0055128D">
        <w:tc>
          <w:tcPr>
            <w:tcW w:w="6771" w:type="dxa"/>
            <w:shd w:val="clear" w:color="auto" w:fill="auto"/>
          </w:tcPr>
          <w:p w:rsidR="00A62840" w:rsidRPr="007F3EEC" w:rsidRDefault="00A62840" w:rsidP="00A62840">
            <w:pPr>
              <w:numPr>
                <w:ilvl w:val="0"/>
                <w:numId w:val="29"/>
              </w:numPr>
              <w:tabs>
                <w:tab w:val="left" w:pos="0"/>
              </w:tabs>
              <w:spacing w:line="300" w:lineRule="exact"/>
              <w:ind w:left="426" w:hanging="426"/>
              <w:rPr>
                <w:rFonts w:cs="Arial"/>
                <w:sz w:val="20"/>
              </w:rPr>
            </w:pPr>
            <w:r w:rsidRPr="007F3EEC">
              <w:rPr>
                <w:rFonts w:cs="Arial"/>
                <w:b/>
                <w:sz w:val="20"/>
              </w:rPr>
              <w:t xml:space="preserve">Risks to liquidity </w:t>
            </w:r>
          </w:p>
        </w:tc>
        <w:tc>
          <w:tcPr>
            <w:tcW w:w="2515"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Overall liquidity risk score: </w:t>
            </w:r>
          </w:p>
        </w:tc>
      </w:tr>
      <w:tr w:rsidR="00A62840" w:rsidRPr="007F3EEC" w:rsidTr="0055128D">
        <w:tc>
          <w:tcPr>
            <w:tcW w:w="9286" w:type="dxa"/>
            <w:gridSpan w:val="2"/>
            <w:shd w:val="clear" w:color="auto" w:fill="auto"/>
          </w:tcPr>
          <w:p w:rsidR="00A62840" w:rsidRPr="007F3EEC" w:rsidRDefault="00A62840" w:rsidP="0055128D">
            <w:pPr>
              <w:tabs>
                <w:tab w:val="left" w:pos="0"/>
              </w:tabs>
              <w:spacing w:line="300" w:lineRule="exact"/>
              <w:rPr>
                <w:rFonts w:cs="Arial"/>
                <w:i/>
                <w:sz w:val="20"/>
              </w:rPr>
            </w:pPr>
            <w:r w:rsidRPr="007F3EEC">
              <w:rPr>
                <w:rFonts w:cs="Arial"/>
                <w:i/>
                <w:sz w:val="20"/>
              </w:rPr>
              <w:t xml:space="preserve">Within this section please provide: (1) a description of the evolution of liquidity and funding risks in the observed period; (2) control deficiencies identified; (3) issues of non-compliance with the CRR and the CRD in relation to risk; (4) the outlook for the next assessment period; (5) risk mitigating actions to be </w:t>
            </w:r>
            <w:r w:rsidRPr="007F3EEC">
              <w:rPr>
                <w:rFonts w:cs="Arial"/>
                <w:i/>
                <w:sz w:val="20"/>
              </w:rPr>
              <w:lastRenderedPageBreak/>
              <w:t>taken by the institution; and, (6) any relevant supervisory measures including, capital and non-capital supervisory measures to address the deficiencies and non-compliance issues.</w:t>
            </w:r>
          </w:p>
          <w:p w:rsidR="00A62840" w:rsidRPr="007F3EEC" w:rsidRDefault="00A62840" w:rsidP="0055128D">
            <w:pPr>
              <w:tabs>
                <w:tab w:val="left" w:pos="0"/>
              </w:tabs>
              <w:spacing w:line="300" w:lineRule="exact"/>
              <w:rPr>
                <w:rFonts w:cs="Arial"/>
                <w:sz w:val="20"/>
              </w:rPr>
            </w:pPr>
            <w:r w:rsidRPr="007F3EEC">
              <w:rPr>
                <w:rFonts w:cs="Arial"/>
                <w:i/>
                <w:sz w:val="20"/>
              </w:rPr>
              <w:t>Depending on the timing of the joint decision on liquidity, this assessment should either mirror the findings summarised in the Group liquidity risk assessment report (see template in Annex 7), or provide an updated assessment.</w:t>
            </w:r>
          </w:p>
        </w:tc>
      </w:tr>
      <w:tr w:rsidR="00A62840" w:rsidRPr="007F3EEC" w:rsidTr="0055128D">
        <w:trPr>
          <w:trHeight w:val="354"/>
        </w:trPr>
        <w:tc>
          <w:tcPr>
            <w:tcW w:w="9286" w:type="dxa"/>
            <w:gridSpan w:val="2"/>
            <w:shd w:val="clear" w:color="auto" w:fill="auto"/>
          </w:tcPr>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tc>
      </w:tr>
      <w:tr w:rsidR="00A62840" w:rsidRPr="007F3EEC" w:rsidTr="0055128D">
        <w:trPr>
          <w:trHeight w:val="1127"/>
        </w:trPr>
        <w:tc>
          <w:tcPr>
            <w:tcW w:w="9286" w:type="dxa"/>
            <w:gridSpan w:val="2"/>
            <w:shd w:val="clear" w:color="auto" w:fill="auto"/>
          </w:tcPr>
          <w:p w:rsidR="00A62840" w:rsidRPr="007F3EEC" w:rsidRDefault="00A62840" w:rsidP="0055128D">
            <w:pPr>
              <w:tabs>
                <w:tab w:val="left" w:pos="0"/>
              </w:tabs>
              <w:spacing w:line="300" w:lineRule="exact"/>
              <w:rPr>
                <w:rFonts w:cs="Arial"/>
                <w:i/>
                <w:sz w:val="20"/>
              </w:rPr>
            </w:pPr>
            <w:r w:rsidRPr="007F3EEC">
              <w:rPr>
                <w:rFonts w:cs="Arial"/>
                <w:i/>
                <w:sz w:val="20"/>
              </w:rPr>
              <w:t>Should the assessment of liquidity and funding risks highlight significant issues in relation to funding risk requiring the allocation of capital to mitigate impacts from an increased cost of funding, please describe how it is reflected in the additional own funds requirements, if relevant.</w:t>
            </w:r>
          </w:p>
        </w:tc>
      </w:tr>
      <w:tr w:rsidR="00A62840" w:rsidRPr="007F3EEC" w:rsidTr="0055128D">
        <w:trPr>
          <w:trHeight w:val="557"/>
        </w:trPr>
        <w:tc>
          <w:tcPr>
            <w:tcW w:w="9286" w:type="dxa"/>
            <w:gridSpan w:val="2"/>
            <w:shd w:val="clear" w:color="auto" w:fill="auto"/>
          </w:tcPr>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 xml:space="preserve">E. Systemic risk </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provide: (1) a description of the evolution of the risk in the observed period; (2) the outlook for the next assessment period; and, (3) any supervisory measures, including capital and non-capital supervisory measures.</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F. ICAAP review</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i/>
                <w:sz w:val="20"/>
              </w:rPr>
            </w:pPr>
            <w:r w:rsidRPr="007F3EEC">
              <w:rPr>
                <w:rFonts w:cs="Arial"/>
                <w:i/>
                <w:sz w:val="20"/>
              </w:rPr>
              <w:t>Within this section please provide: (1) a summary of the findings of the assessment of the reliability of the ICAAP framework and institution’s own quantification of risks and the consequent allocation of appropriate internal capital; (2) a description of the evolution of ICAAP framework in the observed period; (3) deficiencies identified; (4) issues of non-compliance with the CRR and the CRD in relation to the ICAAP; (5) mitigating actions to be taken by the institution; and (6) any relevant supervisory measures, including capital and non-capital supervisory measures to address the deficiencies and non-compliance issues.</w:t>
            </w:r>
          </w:p>
          <w:p w:rsidR="00A62840" w:rsidRPr="007F3EEC" w:rsidRDefault="00A62840" w:rsidP="0055128D">
            <w:pPr>
              <w:tabs>
                <w:tab w:val="left" w:pos="0"/>
              </w:tabs>
              <w:spacing w:line="300" w:lineRule="exact"/>
              <w:rPr>
                <w:rFonts w:cs="Arial"/>
                <w:sz w:val="20"/>
              </w:rPr>
            </w:pPr>
            <w:r w:rsidRPr="007F3EEC">
              <w:rPr>
                <w:rFonts w:cs="Arial"/>
                <w:i/>
                <w:sz w:val="20"/>
              </w:rPr>
              <w:t>The section should also have a statement on whether ICAAP estimates are considered reliable and could serve as an input into the assessment of capital adequacy.</w:t>
            </w:r>
          </w:p>
        </w:tc>
      </w:tr>
      <w:tr w:rsidR="00A62840" w:rsidRPr="007F3EEC" w:rsidTr="0055128D">
        <w:trPr>
          <w:trHeight w:val="207"/>
        </w:trPr>
        <w:tc>
          <w:tcPr>
            <w:tcW w:w="9286" w:type="dxa"/>
            <w:shd w:val="clear" w:color="auto" w:fill="auto"/>
          </w:tcPr>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tc>
      </w:tr>
    </w:tbl>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G. Inter-risk diversification effects</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 xml:space="preserve">Taking into account the outcome of the ICAAP assessments and internal capital estimates, and only in case diversification effects are recognised, please provide within this section a description of the </w:t>
            </w:r>
            <w:r w:rsidRPr="007F3EEC">
              <w:rPr>
                <w:rFonts w:cs="Arial"/>
                <w:i/>
                <w:sz w:val="20"/>
              </w:rPr>
              <w:lastRenderedPageBreak/>
              <w:t>impact of diversification effects and define the extent to which benefits from the diversification effects can be taken into account in the determination of capital adequacy.</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p w:rsidR="00A62840" w:rsidRPr="007F3EEC" w:rsidRDefault="00A62840" w:rsidP="0055128D">
            <w:pPr>
              <w:tabs>
                <w:tab w:val="left" w:pos="0"/>
              </w:tabs>
              <w:spacing w:line="300" w:lineRule="exact"/>
              <w:rPr>
                <w:rFonts w:cs="Arial"/>
                <w:sz w:val="20"/>
              </w:rPr>
            </w:pPr>
          </w:p>
        </w:tc>
      </w:tr>
    </w:tbl>
    <w:p w:rsidR="00A62840" w:rsidRDefault="00A62840" w:rsidP="00A62840">
      <w:pPr>
        <w:tabs>
          <w:tab w:val="left" w:pos="0"/>
        </w:tabs>
        <w:spacing w:line="300" w:lineRule="exact"/>
        <w:rPr>
          <w:rFonts w:cs="Arial"/>
          <w:sz w:val="20"/>
        </w:rPr>
      </w:pPr>
    </w:p>
    <w:p w:rsidR="00A62840" w:rsidRDefault="00A62840" w:rsidP="00A62840">
      <w:pPr>
        <w:tabs>
          <w:tab w:val="left" w:pos="0"/>
        </w:tabs>
        <w:spacing w:line="300" w:lineRule="exact"/>
        <w:rPr>
          <w:rFonts w:cs="Arial"/>
          <w:sz w:val="20"/>
        </w:rPr>
      </w:pPr>
    </w:p>
    <w:p w:rsidR="00A62840" w:rsidRPr="007F3EEC" w:rsidRDefault="00A62840" w:rsidP="00A62840">
      <w:pPr>
        <w:tabs>
          <w:tab w:val="left" w:pos="0"/>
        </w:tabs>
        <w:spacing w:line="300" w:lineRule="exact"/>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b/>
                <w:sz w:val="20"/>
              </w:rPr>
              <w:t>H. Stress test outcomes</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r w:rsidRPr="007F3EEC">
              <w:rPr>
                <w:rFonts w:cs="Arial"/>
                <w:i/>
                <w:sz w:val="20"/>
              </w:rPr>
              <w:t>Within this section please summarise the results and their impact on capital adequacy of institutions own stress tests and their reconciliation with supervisory stress tests, including the explanation of how the stress testing buffer was derived, where applicable.</w:t>
            </w:r>
          </w:p>
        </w:tc>
      </w:tr>
      <w:tr w:rsidR="00A62840" w:rsidRPr="007F3EEC" w:rsidTr="0055128D">
        <w:trPr>
          <w:trHeight w:val="70"/>
        </w:trPr>
        <w:tc>
          <w:tcPr>
            <w:tcW w:w="9286" w:type="dxa"/>
            <w:shd w:val="clear" w:color="auto" w:fill="auto"/>
          </w:tcPr>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p w:rsidR="00A62840" w:rsidRPr="007F3EEC" w:rsidRDefault="00A62840" w:rsidP="0055128D">
            <w:pPr>
              <w:tabs>
                <w:tab w:val="left" w:pos="0"/>
              </w:tabs>
              <w:spacing w:line="300" w:lineRule="exact"/>
              <w:rPr>
                <w:rFonts w:cs="Arial"/>
                <w:i/>
                <w:sz w:val="20"/>
              </w:rPr>
            </w:pPr>
          </w:p>
        </w:tc>
      </w:tr>
    </w:tbl>
    <w:p w:rsidR="00A62840"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D334FD" w:rsidTr="0055128D">
        <w:tc>
          <w:tcPr>
            <w:tcW w:w="9289" w:type="dxa"/>
            <w:tcBorders>
              <w:top w:val="single" w:sz="4" w:space="0" w:color="auto"/>
              <w:left w:val="single" w:sz="4" w:space="0" w:color="auto"/>
              <w:bottom w:val="single" w:sz="4" w:space="0" w:color="auto"/>
              <w:right w:val="single" w:sz="4" w:space="0" w:color="auto"/>
            </w:tcBorders>
            <w:hideMark/>
          </w:tcPr>
          <w:p w:rsidR="00A62840" w:rsidRPr="00D334FD" w:rsidRDefault="00A62840" w:rsidP="0055128D">
            <w:pPr>
              <w:tabs>
                <w:tab w:val="center" w:pos="4535"/>
                <w:tab w:val="right" w:pos="9071"/>
                <w:tab w:val="right" w:pos="9921"/>
              </w:tabs>
              <w:ind w:right="-850"/>
              <w:rPr>
                <w:rFonts w:cs="Arial"/>
                <w:b/>
                <w:sz w:val="20"/>
              </w:rPr>
            </w:pPr>
            <w:r w:rsidRPr="00D334FD">
              <w:rPr>
                <w:rFonts w:cs="Arial"/>
                <w:b/>
                <w:sz w:val="20"/>
              </w:rPr>
              <w:t>Other relevant information</w:t>
            </w:r>
          </w:p>
        </w:tc>
      </w:tr>
      <w:tr w:rsidR="00A62840" w:rsidRPr="00D334FD" w:rsidTr="0055128D">
        <w:tc>
          <w:tcPr>
            <w:tcW w:w="9289" w:type="dxa"/>
            <w:tcBorders>
              <w:top w:val="single" w:sz="4" w:space="0" w:color="auto"/>
              <w:left w:val="single" w:sz="4" w:space="0" w:color="auto"/>
              <w:bottom w:val="single" w:sz="4" w:space="0" w:color="auto"/>
              <w:right w:val="single" w:sz="4" w:space="0" w:color="auto"/>
            </w:tcBorders>
            <w:hideMark/>
          </w:tcPr>
          <w:p w:rsidR="00A62840" w:rsidRPr="00D334FD" w:rsidRDefault="00A62840" w:rsidP="0055128D">
            <w:pPr>
              <w:tabs>
                <w:tab w:val="center" w:pos="4535"/>
                <w:tab w:val="right" w:pos="9073"/>
              </w:tabs>
              <w:rPr>
                <w:rFonts w:cs="Arial"/>
                <w:i/>
                <w:sz w:val="20"/>
              </w:rPr>
            </w:pPr>
            <w:r w:rsidRPr="00D334FD">
              <w:rPr>
                <w:rFonts w:cs="Arial"/>
                <w:i/>
                <w:sz w:val="20"/>
              </w:rPr>
              <w:t>Within this section please provide other information deemed relevant by the competent authorit</w:t>
            </w:r>
            <w:r>
              <w:rPr>
                <w:rFonts w:cs="Arial"/>
                <w:i/>
                <w:sz w:val="20"/>
              </w:rPr>
              <w:t>ies</w:t>
            </w:r>
            <w:r w:rsidRPr="00D334FD">
              <w:rPr>
                <w:rFonts w:cs="Arial"/>
                <w:i/>
                <w:sz w:val="20"/>
              </w:rPr>
              <w:t xml:space="preserve"> for the purposes of the group risk assessment and not provided above</w:t>
            </w:r>
            <w:r>
              <w:rPr>
                <w:rFonts w:cs="Arial"/>
                <w:i/>
                <w:sz w:val="20"/>
              </w:rPr>
              <w:t xml:space="preserve"> (e.g. information needed to meet requirements of Article 6(5) of the </w:t>
            </w:r>
            <w:proofErr w:type="gramStart"/>
            <w:r>
              <w:rPr>
                <w:rFonts w:cs="Arial"/>
                <w:i/>
                <w:sz w:val="20"/>
              </w:rPr>
              <w:t>ITS</w:t>
            </w:r>
            <w:proofErr w:type="gramEnd"/>
            <w:r>
              <w:rPr>
                <w:rFonts w:cs="Arial"/>
                <w:i/>
                <w:sz w:val="20"/>
              </w:rPr>
              <w:t>)</w:t>
            </w:r>
            <w:r w:rsidRPr="00D334FD">
              <w:rPr>
                <w:rFonts w:cs="Arial"/>
                <w:i/>
                <w:sz w:val="20"/>
              </w:rPr>
              <w:t>.</w:t>
            </w:r>
          </w:p>
        </w:tc>
      </w:tr>
      <w:tr w:rsidR="00A62840" w:rsidRPr="00D334FD" w:rsidTr="0055128D">
        <w:tc>
          <w:tcPr>
            <w:tcW w:w="9289" w:type="dxa"/>
            <w:tcBorders>
              <w:top w:val="single" w:sz="4" w:space="0" w:color="auto"/>
              <w:left w:val="single" w:sz="4" w:space="0" w:color="auto"/>
              <w:bottom w:val="single" w:sz="4" w:space="0" w:color="auto"/>
              <w:right w:val="single" w:sz="4" w:space="0" w:color="auto"/>
            </w:tcBorders>
          </w:tcPr>
          <w:p w:rsidR="00A62840" w:rsidRPr="00D334FD" w:rsidRDefault="00A62840" w:rsidP="0055128D">
            <w:pPr>
              <w:tabs>
                <w:tab w:val="center" w:pos="4535"/>
                <w:tab w:val="right" w:pos="9071"/>
                <w:tab w:val="right" w:pos="9921"/>
              </w:tabs>
              <w:ind w:left="-850" w:right="-850"/>
              <w:rPr>
                <w:rFonts w:cs="Arial"/>
                <w:sz w:val="20"/>
              </w:rPr>
            </w:pPr>
          </w:p>
        </w:tc>
      </w:tr>
    </w:tbl>
    <w:p w:rsidR="00A62840" w:rsidRPr="007F3EEC" w:rsidRDefault="00A62840" w:rsidP="00A62840">
      <w:pPr>
        <w:tabs>
          <w:tab w:val="left" w:pos="0"/>
        </w:tabs>
        <w:spacing w:line="300" w:lineRule="exact"/>
        <w:rPr>
          <w:rFonts w:cs="Arial"/>
          <w:sz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b/>
                <w:sz w:val="20"/>
              </w:rPr>
            </w:pPr>
            <w:r w:rsidRPr="007F3EEC">
              <w:rPr>
                <w:rFonts w:cs="Arial"/>
                <w:b/>
                <w:sz w:val="20"/>
              </w:rPr>
              <w:t>Quantitative Indicators agreed by the consolidating supervisor and the host EEA competent authorities (pursuant to RTS/ITS on colleges of supervisors)</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i/>
                <w:sz w:val="20"/>
              </w:rPr>
            </w:pPr>
            <w:r w:rsidRPr="007F3EEC">
              <w:rPr>
                <w:rFonts w:cs="Arial"/>
                <w:i/>
                <w:sz w:val="20"/>
              </w:rPr>
              <w:t>Please list any quantitative indicators agreed to be shared while developing the joint risk assessment report for the purposes of reaching a joint decision.</w:t>
            </w: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tc>
      </w:tr>
      <w:tr w:rsidR="00A62840" w:rsidRPr="007F3EEC" w:rsidTr="0055128D">
        <w:tc>
          <w:tcPr>
            <w:tcW w:w="9286" w:type="dxa"/>
            <w:shd w:val="clear" w:color="auto" w:fill="auto"/>
          </w:tcPr>
          <w:p w:rsidR="00A62840" w:rsidRPr="007F3EEC" w:rsidRDefault="00A62840" w:rsidP="0055128D">
            <w:pPr>
              <w:tabs>
                <w:tab w:val="left" w:pos="0"/>
              </w:tabs>
              <w:spacing w:line="300" w:lineRule="exact"/>
              <w:rPr>
                <w:rFonts w:cs="Arial"/>
                <w:sz w:val="20"/>
              </w:rPr>
            </w:pPr>
          </w:p>
        </w:tc>
      </w:tr>
    </w:tbl>
    <w:p w:rsidR="00A62840" w:rsidRPr="007F3EEC" w:rsidRDefault="00A62840" w:rsidP="00A62840">
      <w:pPr>
        <w:rPr>
          <w:rFonts w:cs="Arial"/>
          <w:sz w:val="20"/>
        </w:rPr>
      </w:pPr>
    </w:p>
    <w:sectPr w:rsidR="00A62840" w:rsidRPr="007F3EEC" w:rsidSect="006F7AAD">
      <w:headerReference w:type="default" r:id="rId8"/>
      <w:footerReference w:type="default" r:id="rId9"/>
      <w:headerReference w:type="first" r:id="rId10"/>
      <w:footerReference w:type="first" r:id="rId11"/>
      <w:pgSz w:w="11906" w:h="16838" w:code="9"/>
      <w:pgMar w:top="1522" w:right="1418" w:bottom="1560" w:left="1418" w:header="851" w:footer="14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2840" w:rsidRDefault="00A62840">
      <w:r>
        <w:separator/>
      </w:r>
    </w:p>
  </w:endnote>
  <w:endnote w:type="continuationSeparator" w:id="0">
    <w:p w:rsidR="00A62840" w:rsidRDefault="00A62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AC406C">
    <w:pPr>
      <w:pStyle w:val="Footer"/>
    </w:pPr>
    <w:r w:rsidRPr="00AC406C">
      <w:rPr>
        <w:noProof/>
        <w:lang w:eastAsia="en-GB"/>
      </w:rPr>
      <w:drawing>
        <wp:anchor distT="0" distB="0" distL="114300" distR="114300" simplePos="0" relativeHeight="251699712" behindDoc="1" locked="0" layoutInCell="1" allowOverlap="1">
          <wp:simplePos x="0" y="0"/>
          <wp:positionH relativeFrom="column">
            <wp:posOffset>-10795</wp:posOffset>
          </wp:positionH>
          <wp:positionV relativeFrom="paragraph">
            <wp:posOffset>337185</wp:posOffset>
          </wp:positionV>
          <wp:extent cx="1161415" cy="377190"/>
          <wp:effectExtent l="19050" t="0" r="635" b="0"/>
          <wp:wrapTight wrapText="bothSides">
            <wp:wrapPolygon edited="0">
              <wp:start x="-354" y="0"/>
              <wp:lineTo x="-354" y="20727"/>
              <wp:lineTo x="21612" y="20727"/>
              <wp:lineTo x="21612" y="0"/>
              <wp:lineTo x="-354" y="0"/>
            </wp:wrapPolygon>
          </wp:wrapTight>
          <wp:docPr id="23" name="Picture 2" descr="\\svreba01\userdata\rsadet\Desktop\EBA_logo_colour foot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vreba01\userdata\rsadet\Desktop\EBA_logo_colour footer final.bmp"/>
                  <pic:cNvPicPr>
                    <a:picLocks noChangeAspect="1" noChangeArrowheads="1"/>
                  </pic:cNvPicPr>
                </pic:nvPicPr>
                <pic:blipFill>
                  <a:blip r:embed="rId1"/>
                  <a:srcRect/>
                  <a:stretch>
                    <a:fillRect/>
                  </a:stretch>
                </pic:blipFill>
                <pic:spPr bwMode="auto">
                  <a:xfrm>
                    <a:off x="0" y="0"/>
                    <a:ext cx="1161415" cy="377190"/>
                  </a:xfrm>
                  <a:prstGeom prst="rect">
                    <a:avLst/>
                  </a:prstGeom>
                  <a:noFill/>
                  <a:ln w="9525">
                    <a:noFill/>
                    <a:miter lim="800000"/>
                    <a:headEnd/>
                    <a:tailEnd/>
                  </a:ln>
                </pic:spPr>
              </pic:pic>
            </a:graphicData>
          </a:graphic>
        </wp:anchor>
      </w:drawing>
    </w:r>
    <w:r w:rsidR="00356BE3">
      <w:rPr>
        <w:noProof/>
        <w:lang w:eastAsia="en-GB"/>
      </w:rPr>
      <w:pict>
        <v:shapetype id="_x0000_t202" coordsize="21600,21600" o:spt="202" path="m,l,21600r21600,l21600,xe">
          <v:stroke joinstyle="miter"/>
          <v:path gradientshapeok="t" o:connecttype="rect"/>
        </v:shapetype>
        <v:shape id="_x0000_s2065" type="#_x0000_t202" style="position:absolute;left:0;text-align:left;margin-left:334.4pt;margin-top:30.5pt;width:118pt;height:13pt;z-index:251673088;mso-position-horizontal-relative:text;mso-position-vertical-relative:text" filled="f" stroked="f">
          <v:textbox style="mso-next-textbox:#_x0000_s2065" inset="0,0,0,0">
            <w:txbxContent>
              <w:p w:rsidR="00825376" w:rsidRPr="006F7AAD" w:rsidRDefault="00825376" w:rsidP="00245CB1">
                <w:pPr>
                  <w:jc w:val="right"/>
                </w:pPr>
                <w:r>
                  <w:t xml:space="preserve">Page </w:t>
                </w:r>
                <w:fldSimple w:instr=" PAGE ">
                  <w:r w:rsidR="00443CA3">
                    <w:rPr>
                      <w:noProof/>
                    </w:rPr>
                    <w:t>6</w:t>
                  </w:r>
                </w:fldSimple>
                <w:r>
                  <w:t xml:space="preserve"> of </w:t>
                </w:r>
                <w:fldSimple w:instr=" NUMPAGES ">
                  <w:r w:rsidR="00443CA3">
                    <w:rPr>
                      <w:noProof/>
                    </w:rPr>
                    <w:t>6</w:t>
                  </w:r>
                </w:fldSimple>
              </w:p>
              <w:p w:rsidR="00825376" w:rsidRPr="006F7AAD" w:rsidRDefault="00825376" w:rsidP="00E32E4A">
                <w:pPr>
                  <w:jc w:val="right"/>
                  <w:rPr>
                    <w:color w:val="807F83" w:themeColor="accent2"/>
                    <w:sz w:val="16"/>
                  </w:rPr>
                </w:pPr>
              </w:p>
            </w:txbxContent>
          </v:textbox>
        </v:shape>
      </w:pict>
    </w:r>
    <w:r w:rsidR="00356BE3">
      <w:rPr>
        <w:noProof/>
        <w:lang w:eastAsia="en-GB"/>
      </w:rPr>
      <w:pict>
        <v:shapetype id="_x0000_t32" coordsize="21600,21600" o:spt="32" o:oned="t" path="m,l21600,21600e" filled="f">
          <v:path arrowok="t" fillok="f" o:connecttype="none"/>
          <o:lock v:ext="edit" shapetype="t"/>
        </v:shapetype>
        <v:shape id="_x0000_s2072" type="#_x0000_t32" style="position:absolute;left:0;text-align:left;margin-left:70.5pt;margin-top:782.95pt;width:453.55pt;height:0;flip:x;z-index:-251627008;mso-position-horizontal-relative:page;mso-position-vertical-relative:page" o:connectortype="straight" strokecolor="#48748f [3204]">
          <w10:wrap anchorx="page" anchory="page"/>
          <w10:anchorlock/>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56BE3">
    <w:pPr>
      <w:pStyle w:val="Footer"/>
    </w:pPr>
    <w:r>
      <w:rPr>
        <w:noProof/>
        <w:lang w:eastAsia="en-GB"/>
      </w:rPr>
      <w:pict>
        <v:shapetype id="_x0000_t32" coordsize="21600,21600" o:spt="32" o:oned="t" path="m,l21600,21600e" filled="f">
          <v:path arrowok="t" fillok="f" o:connecttype="none"/>
          <o:lock v:ext="edit" shapetype="t"/>
        </v:shapetype>
        <v:shape id="_x0000_s2075" type="#_x0000_t32" style="position:absolute;left:0;text-align:left;margin-left:70.6pt;margin-top:783.05pt;width:453.55pt;height:0;flip:x;z-index:251692544;mso-position-horizontal-relative:page;mso-position-vertical-relative:page" o:connectortype="straight" o:allowincell="f" strokecolor="#48748f [3204]">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2840" w:rsidRPr="004D223F" w:rsidRDefault="00A62840" w:rsidP="00C7701D">
      <w:r>
        <w:continuationSeparator/>
      </w:r>
    </w:p>
  </w:footnote>
  <w:footnote w:type="continuationSeparator" w:id="0">
    <w:p w:rsidR="00A62840" w:rsidRDefault="00A62840">
      <w:r>
        <w:continuationSeparator/>
      </w:r>
    </w:p>
  </w:footnote>
  <w:footnote w:id="1">
    <w:p w:rsidR="00A62840" w:rsidRDefault="00A62840" w:rsidP="00A62840">
      <w:pPr>
        <w:pStyle w:val="FootnoteText"/>
      </w:pPr>
      <w:r w:rsidRPr="004B7DE6">
        <w:rPr>
          <w:rStyle w:val="FootnoteReference"/>
        </w:rPr>
        <w:footnoteRef/>
      </w:r>
      <w:r>
        <w:tab/>
      </w:r>
      <w:proofErr w:type="gramStart"/>
      <w:r>
        <w:t>e.g</w:t>
      </w:r>
      <w:proofErr w:type="gramEnd"/>
      <w:r>
        <w:t>. dividend restrictions.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56BE3">
    <w:pPr>
      <w:pStyle w:val="Header"/>
    </w:pPr>
    <w:r>
      <w:rPr>
        <w:noProof/>
        <w:lang w:eastAsia="en-GB"/>
      </w:rPr>
      <w:pict>
        <v:shapetype id="_x0000_t32" coordsize="21600,21600" o:spt="32" o:oned="t" path="m,l21600,21600e" filled="f">
          <v:path arrowok="t" fillok="f" o:connecttype="none"/>
          <o:lock v:ext="edit" shapetype="t"/>
        </v:shapetype>
        <v:shape id="_x0000_s2071" type="#_x0000_t32" style="position:absolute;left:0;text-align:left;margin-left:-1.15pt;margin-top:.2pt;width:453.55pt;height:0;flip:x;z-index:251688448" o:connectortype="straight" strokecolor="#48748f [3204]"/>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5376" w:rsidRDefault="00356BE3">
    <w:pPr>
      <w:pStyle w:val="Header"/>
      <w:tabs>
        <w:tab w:val="clear" w:pos="8306"/>
        <w:tab w:val="right" w:pos="9072"/>
      </w:tabs>
      <w:jc w:val="right"/>
      <w:rPr>
        <w:noProof/>
        <w:lang w:eastAsia="en-GB"/>
      </w:rPr>
    </w:pPr>
    <w:r>
      <w:rPr>
        <w:noProof/>
        <w:lang w:eastAsia="en-GB"/>
      </w:rPr>
      <w:pict>
        <v:shapetype id="_x0000_t32" coordsize="21600,21600" o:spt="32" o:oned="t" path="m,l21600,21600e" filled="f">
          <v:path arrowok="t" fillok="f" o:connecttype="none"/>
          <o:lock v:ext="edit" shapetype="t"/>
        </v:shapetype>
        <v:shape id="_x0000_s2077" type="#_x0000_t32" style="position:absolute;left:0;text-align:left;margin-left:70.6pt;margin-top:42.7pt;width:453.55pt;height:0;flip:x;z-index:-251620864;mso-position-horizontal-relative:page;mso-position-vertical-relative:page" o:connectortype="straight" o:allowincell="f" strokecolor="#48748f [3204]">
          <w10:wrap anchorx="page" anchory="page"/>
          <w10:anchorlock/>
        </v:shape>
      </w:pict>
    </w:r>
    <w:r w:rsidR="00AC406C" w:rsidRPr="00AC406C">
      <w:rPr>
        <w:noProof/>
        <w:lang w:eastAsia="en-GB"/>
      </w:rPr>
      <w:drawing>
        <wp:anchor distT="0" distB="0" distL="114300" distR="114300" simplePos="0" relativeHeight="251697664" behindDoc="1" locked="0" layoutInCell="1" allowOverlap="1">
          <wp:simplePos x="0" y="0"/>
          <wp:positionH relativeFrom="column">
            <wp:posOffset>-8890</wp:posOffset>
          </wp:positionH>
          <wp:positionV relativeFrom="paragraph">
            <wp:posOffset>-5080</wp:posOffset>
          </wp:positionV>
          <wp:extent cx="1978025" cy="922020"/>
          <wp:effectExtent l="19050" t="0" r="3175" b="0"/>
          <wp:wrapTight wrapText="bothSides">
            <wp:wrapPolygon edited="0">
              <wp:start x="-208" y="0"/>
              <wp:lineTo x="-208" y="21319"/>
              <wp:lineTo x="21635" y="21319"/>
              <wp:lineTo x="21635" y="0"/>
              <wp:lineTo x="-208" y="0"/>
            </wp:wrapPolygon>
          </wp:wrapTight>
          <wp:docPr id="22" name="Picture 1" descr="\\svreba01\userdata\rsadet\Desktop\EBA_logo_colour header fin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eba01\userdata\rsadet\Desktop\EBA_logo_colour header final.bmp"/>
                  <pic:cNvPicPr>
                    <a:picLocks noChangeAspect="1" noChangeArrowheads="1"/>
                  </pic:cNvPicPr>
                </pic:nvPicPr>
                <pic:blipFill>
                  <a:blip r:embed="rId1"/>
                  <a:srcRect/>
                  <a:stretch>
                    <a:fillRect/>
                  </a:stretch>
                </pic:blipFill>
                <pic:spPr bwMode="auto">
                  <a:xfrm>
                    <a:off x="0" y="0"/>
                    <a:ext cx="1978025" cy="926465"/>
                  </a:xfrm>
                  <a:prstGeom prst="rect">
                    <a:avLst/>
                  </a:prstGeom>
                  <a:noFill/>
                  <a:ln w="9525">
                    <a:noFill/>
                    <a:miter lim="800000"/>
                    <a:headEnd/>
                    <a:tailEnd/>
                  </a:ln>
                </pic:spPr>
              </pic:pic>
            </a:graphicData>
          </a:graphic>
        </wp:anchor>
      </w:drawing>
    </w:r>
  </w:p>
  <w:p w:rsidR="00825376" w:rsidRDefault="00825376">
    <w:pPr>
      <w:pStyle w:val="Header"/>
      <w:tabs>
        <w:tab w:val="clear" w:pos="8306"/>
        <w:tab w:val="right" w:pos="9072"/>
      </w:tabs>
      <w:jc w:val="right"/>
      <w:rPr>
        <w:rFonts w:ascii="Verdana" w:hAnsi="Verdana"/>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8AB853BC"/>
    <w:lvl w:ilvl="0">
      <w:start w:val="1"/>
      <w:numFmt w:val="bullet"/>
      <w:lvlText w:val=""/>
      <w:lvlJc w:val="left"/>
      <w:pPr>
        <w:tabs>
          <w:tab w:val="num" w:pos="360"/>
        </w:tabs>
        <w:ind w:left="360" w:hanging="360"/>
      </w:pPr>
      <w:rPr>
        <w:rFonts w:ascii="Symbol" w:hAnsi="Symbol" w:hint="default"/>
      </w:rPr>
    </w:lvl>
  </w:abstractNum>
  <w:abstractNum w:abstractNumId="1">
    <w:nsid w:val="02052CE6"/>
    <w:multiLevelType w:val="hybridMultilevel"/>
    <w:tmpl w:val="3CFA92B4"/>
    <w:lvl w:ilvl="0" w:tplc="98C2D1E8">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FA148C"/>
    <w:multiLevelType w:val="hybridMultilevel"/>
    <w:tmpl w:val="471C8442"/>
    <w:lvl w:ilvl="0" w:tplc="5B788052">
      <w:start w:val="1"/>
      <w:numFmt w:val="bullet"/>
      <w:pStyle w:val="ListBullet"/>
      <w:lvlText w:val=""/>
      <w:lvlJc w:val="left"/>
      <w:pPr>
        <w:ind w:left="490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8819"/>
        </w:tabs>
        <w:ind w:left="8771" w:hanging="312"/>
      </w:pPr>
      <w:rPr>
        <w:rFonts w:hint="default"/>
      </w:rPr>
    </w:lvl>
    <w:lvl w:ilvl="2" w:tplc="993055DA">
      <w:start w:val="1"/>
      <w:numFmt w:val="bullet"/>
      <w:lvlText w:val=""/>
      <w:lvlJc w:val="left"/>
      <w:pPr>
        <w:tabs>
          <w:tab w:val="num" w:pos="9539"/>
        </w:tabs>
        <w:ind w:left="9539" w:hanging="360"/>
      </w:pPr>
      <w:rPr>
        <w:rFonts w:ascii="Wingdings" w:hAnsi="Wingdings" w:hint="default"/>
      </w:rPr>
    </w:lvl>
    <w:lvl w:ilvl="3" w:tplc="22C2BE88">
      <w:start w:val="1"/>
      <w:numFmt w:val="bullet"/>
      <w:lvlText w:val=""/>
      <w:lvlJc w:val="left"/>
      <w:pPr>
        <w:tabs>
          <w:tab w:val="num" w:pos="10259"/>
        </w:tabs>
        <w:ind w:left="10259" w:hanging="360"/>
      </w:pPr>
      <w:rPr>
        <w:rFonts w:ascii="Symbol" w:hAnsi="Symbol" w:hint="default"/>
      </w:rPr>
    </w:lvl>
    <w:lvl w:ilvl="4" w:tplc="FD0073C0">
      <w:start w:val="1"/>
      <w:numFmt w:val="bullet"/>
      <w:lvlText w:val="o"/>
      <w:lvlJc w:val="left"/>
      <w:pPr>
        <w:tabs>
          <w:tab w:val="num" w:pos="10979"/>
        </w:tabs>
        <w:ind w:left="10979" w:hanging="360"/>
      </w:pPr>
      <w:rPr>
        <w:rFonts w:ascii="Courier New" w:hAnsi="Courier New" w:hint="default"/>
      </w:rPr>
    </w:lvl>
    <w:lvl w:ilvl="5" w:tplc="FBD6D0BE">
      <w:start w:val="1"/>
      <w:numFmt w:val="bullet"/>
      <w:lvlText w:val=""/>
      <w:lvlJc w:val="left"/>
      <w:pPr>
        <w:tabs>
          <w:tab w:val="num" w:pos="11699"/>
        </w:tabs>
        <w:ind w:left="11699" w:hanging="360"/>
      </w:pPr>
      <w:rPr>
        <w:rFonts w:ascii="Wingdings" w:hAnsi="Wingdings" w:hint="default"/>
      </w:rPr>
    </w:lvl>
    <w:lvl w:ilvl="6" w:tplc="C00E4D52">
      <w:start w:val="1"/>
      <w:numFmt w:val="bullet"/>
      <w:lvlText w:val=""/>
      <w:lvlJc w:val="left"/>
      <w:pPr>
        <w:tabs>
          <w:tab w:val="num" w:pos="12419"/>
        </w:tabs>
        <w:ind w:left="12419" w:hanging="360"/>
      </w:pPr>
      <w:rPr>
        <w:rFonts w:ascii="Symbol" w:hAnsi="Symbol" w:hint="default"/>
      </w:rPr>
    </w:lvl>
    <w:lvl w:ilvl="7" w:tplc="CE60E00E">
      <w:start w:val="1"/>
      <w:numFmt w:val="bullet"/>
      <w:lvlText w:val="o"/>
      <w:lvlJc w:val="left"/>
      <w:pPr>
        <w:tabs>
          <w:tab w:val="num" w:pos="13139"/>
        </w:tabs>
        <w:ind w:left="13139" w:hanging="360"/>
      </w:pPr>
      <w:rPr>
        <w:rFonts w:ascii="Courier New" w:hAnsi="Courier New" w:hint="default"/>
      </w:rPr>
    </w:lvl>
    <w:lvl w:ilvl="8" w:tplc="FA3C6548" w:tentative="1">
      <w:start w:val="1"/>
      <w:numFmt w:val="bullet"/>
      <w:lvlText w:val=""/>
      <w:lvlJc w:val="left"/>
      <w:pPr>
        <w:tabs>
          <w:tab w:val="num" w:pos="13859"/>
        </w:tabs>
        <w:ind w:left="13859" w:hanging="360"/>
      </w:pPr>
      <w:rPr>
        <w:rFonts w:ascii="Wingdings" w:hAnsi="Wingdings" w:hint="default"/>
      </w:rPr>
    </w:lvl>
  </w:abstractNum>
  <w:abstractNum w:abstractNumId="3">
    <w:nsid w:val="0FAB3E21"/>
    <w:multiLevelType w:val="hybridMultilevel"/>
    <w:tmpl w:val="9A74DA18"/>
    <w:lvl w:ilvl="0" w:tplc="86B6867C">
      <w:start w:val="1"/>
      <w:numFmt w:val="bullet"/>
      <w:lvlText w:val=""/>
      <w:lvlJc w:val="left"/>
      <w:pPr>
        <w:ind w:left="360" w:hanging="360"/>
      </w:pPr>
      <w:rPr>
        <w:rFonts w:ascii="Wingdings" w:hAnsi="Wingdings" w:hint="default"/>
        <w:b w:val="0"/>
        <w:i w:val="0"/>
        <w:caps w:val="0"/>
        <w:strike w:val="0"/>
        <w:dstrike w:val="0"/>
        <w:outline w:val="0"/>
        <w:shadow w:val="0"/>
        <w:emboss w:val="0"/>
        <w:imprint w:val="0"/>
        <w:vanish w:val="0"/>
        <w:color w:val="48748F" w:themeColor="accent1"/>
        <w:sz w:val="26"/>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outline w:val="0"/>
        <w:shadow w:val="0"/>
        <w:emboss w:val="0"/>
        <w:imprint w:val="0"/>
        <w:vanish w:val="0"/>
        <w:color w:val="48748F"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outline w:val="0"/>
        <w:shadow w:val="0"/>
        <w:emboss w:val="0"/>
        <w:imprint w:val="0"/>
        <w:vanish w:val="0"/>
        <w:color w:val="48748F"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1E507AF"/>
    <w:multiLevelType w:val="hybridMultilevel"/>
    <w:tmpl w:val="A4CA4E0C"/>
    <w:lvl w:ilvl="0" w:tplc="8DD6C53E">
      <w:start w:val="1"/>
      <w:numFmt w:val="bullet"/>
      <w:pStyle w:val="Bullet2"/>
      <w:lvlText w:val="■"/>
      <w:lvlJc w:val="left"/>
      <w:pPr>
        <w:ind w:left="947" w:hanging="360"/>
      </w:pPr>
      <w:rPr>
        <w:rFonts w:ascii="Arial" w:hAnsi="Aria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6">
    <w:nsid w:val="23E23F60"/>
    <w:multiLevelType w:val="hybridMultilevel"/>
    <w:tmpl w:val="4204FF4C"/>
    <w:lvl w:ilvl="0" w:tplc="93DABDBA">
      <w:start w:val="1"/>
      <w:numFmt w:val="bullet"/>
      <w:lvlText w:val="■"/>
      <w:lvlJc w:val="left"/>
      <w:pPr>
        <w:tabs>
          <w:tab w:val="num" w:pos="3555"/>
        </w:tabs>
        <w:ind w:left="3555" w:hanging="360"/>
      </w:pPr>
      <w:rPr>
        <w:rFonts w:ascii="Arial" w:hAnsi="Arial" w:hint="default"/>
        <w:b w:val="0"/>
        <w:i w:val="0"/>
        <w:caps w:val="0"/>
        <w:strike w:val="0"/>
        <w:dstrike w:val="0"/>
        <w:outline w:val="0"/>
        <w:shadow w:val="0"/>
        <w:emboss w:val="0"/>
        <w:imprint w:val="0"/>
        <w:vanish w:val="0"/>
        <w:color w:val="48748F" w:themeColor="accent1"/>
        <w:sz w:val="24"/>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7">
    <w:nsid w:val="3FD04F78"/>
    <w:multiLevelType w:val="hybridMultilevel"/>
    <w:tmpl w:val="E766B4F6"/>
    <w:lvl w:ilvl="0" w:tplc="13C852F8">
      <w:start w:val="1"/>
      <w:numFmt w:val="bullet"/>
      <w:lvlText w:val="–"/>
      <w:lvlJc w:val="left"/>
      <w:pPr>
        <w:tabs>
          <w:tab w:val="num" w:pos="3686"/>
        </w:tabs>
        <w:ind w:left="3686" w:hanging="397"/>
      </w:pPr>
      <w:rPr>
        <w:rFonts w:hint="default"/>
      </w:rPr>
    </w:lvl>
    <w:lvl w:ilvl="1" w:tplc="88025A62" w:tentative="1">
      <w:start w:val="1"/>
      <w:numFmt w:val="bullet"/>
      <w:lvlText w:val="o"/>
      <w:lvlJc w:val="left"/>
      <w:pPr>
        <w:tabs>
          <w:tab w:val="num" w:pos="4729"/>
        </w:tabs>
        <w:ind w:left="4729" w:hanging="360"/>
      </w:pPr>
      <w:rPr>
        <w:rFonts w:ascii="Courier New" w:hAnsi="Courier New" w:hint="default"/>
      </w:rPr>
    </w:lvl>
    <w:lvl w:ilvl="2" w:tplc="C5DABC22" w:tentative="1">
      <w:start w:val="1"/>
      <w:numFmt w:val="bullet"/>
      <w:lvlText w:val=""/>
      <w:lvlJc w:val="left"/>
      <w:pPr>
        <w:tabs>
          <w:tab w:val="num" w:pos="5449"/>
        </w:tabs>
        <w:ind w:left="5449" w:hanging="360"/>
      </w:pPr>
      <w:rPr>
        <w:rFonts w:ascii="Wingdings" w:hAnsi="Wingdings" w:hint="default"/>
      </w:rPr>
    </w:lvl>
    <w:lvl w:ilvl="3" w:tplc="0D56E730" w:tentative="1">
      <w:start w:val="1"/>
      <w:numFmt w:val="bullet"/>
      <w:lvlText w:val=""/>
      <w:lvlJc w:val="left"/>
      <w:pPr>
        <w:tabs>
          <w:tab w:val="num" w:pos="6169"/>
        </w:tabs>
        <w:ind w:left="6169" w:hanging="360"/>
      </w:pPr>
      <w:rPr>
        <w:rFonts w:ascii="Symbol" w:hAnsi="Symbol" w:hint="default"/>
      </w:rPr>
    </w:lvl>
    <w:lvl w:ilvl="4" w:tplc="A970B672" w:tentative="1">
      <w:start w:val="1"/>
      <w:numFmt w:val="bullet"/>
      <w:lvlText w:val="o"/>
      <w:lvlJc w:val="left"/>
      <w:pPr>
        <w:tabs>
          <w:tab w:val="num" w:pos="6889"/>
        </w:tabs>
        <w:ind w:left="6889" w:hanging="360"/>
      </w:pPr>
      <w:rPr>
        <w:rFonts w:ascii="Courier New" w:hAnsi="Courier New" w:hint="default"/>
      </w:rPr>
    </w:lvl>
    <w:lvl w:ilvl="5" w:tplc="B6D459CC" w:tentative="1">
      <w:start w:val="1"/>
      <w:numFmt w:val="bullet"/>
      <w:lvlText w:val=""/>
      <w:lvlJc w:val="left"/>
      <w:pPr>
        <w:tabs>
          <w:tab w:val="num" w:pos="7609"/>
        </w:tabs>
        <w:ind w:left="7609" w:hanging="360"/>
      </w:pPr>
      <w:rPr>
        <w:rFonts w:ascii="Wingdings" w:hAnsi="Wingdings" w:hint="default"/>
      </w:rPr>
    </w:lvl>
    <w:lvl w:ilvl="6" w:tplc="837C8C1A" w:tentative="1">
      <w:start w:val="1"/>
      <w:numFmt w:val="bullet"/>
      <w:lvlText w:val=""/>
      <w:lvlJc w:val="left"/>
      <w:pPr>
        <w:tabs>
          <w:tab w:val="num" w:pos="8329"/>
        </w:tabs>
        <w:ind w:left="8329" w:hanging="360"/>
      </w:pPr>
      <w:rPr>
        <w:rFonts w:ascii="Symbol" w:hAnsi="Symbol" w:hint="default"/>
      </w:rPr>
    </w:lvl>
    <w:lvl w:ilvl="7" w:tplc="474802D2" w:tentative="1">
      <w:start w:val="1"/>
      <w:numFmt w:val="bullet"/>
      <w:lvlText w:val="o"/>
      <w:lvlJc w:val="left"/>
      <w:pPr>
        <w:tabs>
          <w:tab w:val="num" w:pos="9049"/>
        </w:tabs>
        <w:ind w:left="9049" w:hanging="360"/>
      </w:pPr>
      <w:rPr>
        <w:rFonts w:ascii="Courier New" w:hAnsi="Courier New" w:hint="default"/>
      </w:rPr>
    </w:lvl>
    <w:lvl w:ilvl="8" w:tplc="B38C7C80" w:tentative="1">
      <w:start w:val="1"/>
      <w:numFmt w:val="bullet"/>
      <w:lvlText w:val=""/>
      <w:lvlJc w:val="left"/>
      <w:pPr>
        <w:tabs>
          <w:tab w:val="num" w:pos="9769"/>
        </w:tabs>
        <w:ind w:left="9769" w:hanging="360"/>
      </w:pPr>
      <w:rPr>
        <w:rFonts w:ascii="Wingdings" w:hAnsi="Wingdings" w:hint="default"/>
      </w:rPr>
    </w:lvl>
  </w:abstractNum>
  <w:abstractNum w:abstractNumId="8">
    <w:nsid w:val="43AE248D"/>
    <w:multiLevelType w:val="hybridMultilevel"/>
    <w:tmpl w:val="5A70F4BE"/>
    <w:lvl w:ilvl="0" w:tplc="C10A2D7C">
      <w:start w:val="1"/>
      <w:numFmt w:val="bullet"/>
      <w:pStyle w:val="Bullet3"/>
      <w:lvlText w:val="►"/>
      <w:lvlJc w:val="left"/>
      <w:pPr>
        <w:ind w:left="814"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9">
    <w:nsid w:val="499179A8"/>
    <w:multiLevelType w:val="hybridMultilevel"/>
    <w:tmpl w:val="2B84E1B6"/>
    <w:lvl w:ilvl="0" w:tplc="B114D232">
      <w:start w:val="1"/>
      <w:numFmt w:val="bullet"/>
      <w:lvlText w:val=""/>
      <w:lvlJc w:val="left"/>
      <w:pPr>
        <w:tabs>
          <w:tab w:val="num" w:pos="3555"/>
        </w:tabs>
        <w:ind w:left="3555" w:hanging="360"/>
      </w:pPr>
      <w:rPr>
        <w:rFonts w:ascii="Wingdings" w:hAnsi="Wingdings" w:hint="default"/>
        <w:caps w:val="0"/>
        <w:strike w:val="0"/>
        <w:dstrike w:val="0"/>
        <w:outline w:val="0"/>
        <w:shadow w:val="0"/>
        <w:emboss w:val="0"/>
        <w:imprint w:val="0"/>
        <w:vanish w:val="0"/>
        <w:color w:val="48748F" w:themeColor="accent1"/>
        <w:vertAlign w:val="baseline"/>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0">
    <w:nsid w:val="50A47CDE"/>
    <w:multiLevelType w:val="hybridMultilevel"/>
    <w:tmpl w:val="6FCA12DE"/>
    <w:lvl w:ilvl="0" w:tplc="137862B8">
      <w:start w:val="1"/>
      <w:numFmt w:val="upperLetter"/>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5CE46555"/>
    <w:multiLevelType w:val="hybridMultilevel"/>
    <w:tmpl w:val="E766B4F6"/>
    <w:lvl w:ilvl="0" w:tplc="4F2A7EA4">
      <w:start w:val="1"/>
      <w:numFmt w:val="bullet"/>
      <w:lvlText w:val="–"/>
      <w:lvlJc w:val="left"/>
      <w:pPr>
        <w:tabs>
          <w:tab w:val="num" w:pos="3686"/>
        </w:tabs>
        <w:ind w:left="3686" w:hanging="397"/>
      </w:pPr>
      <w:rPr>
        <w:rFonts w:hint="default"/>
      </w:rPr>
    </w:lvl>
    <w:lvl w:ilvl="1" w:tplc="FCE44E2C" w:tentative="1">
      <w:start w:val="1"/>
      <w:numFmt w:val="bullet"/>
      <w:lvlText w:val="o"/>
      <w:lvlJc w:val="left"/>
      <w:pPr>
        <w:tabs>
          <w:tab w:val="num" w:pos="4729"/>
        </w:tabs>
        <w:ind w:left="4729" w:hanging="360"/>
      </w:pPr>
      <w:rPr>
        <w:rFonts w:ascii="Courier New" w:hAnsi="Courier New" w:hint="default"/>
      </w:rPr>
    </w:lvl>
    <w:lvl w:ilvl="2" w:tplc="5C9C2960" w:tentative="1">
      <w:start w:val="1"/>
      <w:numFmt w:val="bullet"/>
      <w:lvlText w:val=""/>
      <w:lvlJc w:val="left"/>
      <w:pPr>
        <w:tabs>
          <w:tab w:val="num" w:pos="5449"/>
        </w:tabs>
        <w:ind w:left="5449" w:hanging="360"/>
      </w:pPr>
      <w:rPr>
        <w:rFonts w:ascii="Wingdings" w:hAnsi="Wingdings" w:hint="default"/>
      </w:rPr>
    </w:lvl>
    <w:lvl w:ilvl="3" w:tplc="B13E3C3A" w:tentative="1">
      <w:start w:val="1"/>
      <w:numFmt w:val="bullet"/>
      <w:lvlText w:val=""/>
      <w:lvlJc w:val="left"/>
      <w:pPr>
        <w:tabs>
          <w:tab w:val="num" w:pos="6169"/>
        </w:tabs>
        <w:ind w:left="6169" w:hanging="360"/>
      </w:pPr>
      <w:rPr>
        <w:rFonts w:ascii="Symbol" w:hAnsi="Symbol" w:hint="default"/>
      </w:rPr>
    </w:lvl>
    <w:lvl w:ilvl="4" w:tplc="D15C3108" w:tentative="1">
      <w:start w:val="1"/>
      <w:numFmt w:val="bullet"/>
      <w:lvlText w:val="o"/>
      <w:lvlJc w:val="left"/>
      <w:pPr>
        <w:tabs>
          <w:tab w:val="num" w:pos="6889"/>
        </w:tabs>
        <w:ind w:left="6889" w:hanging="360"/>
      </w:pPr>
      <w:rPr>
        <w:rFonts w:ascii="Courier New" w:hAnsi="Courier New" w:hint="default"/>
      </w:rPr>
    </w:lvl>
    <w:lvl w:ilvl="5" w:tplc="755CAB76" w:tentative="1">
      <w:start w:val="1"/>
      <w:numFmt w:val="bullet"/>
      <w:lvlText w:val=""/>
      <w:lvlJc w:val="left"/>
      <w:pPr>
        <w:tabs>
          <w:tab w:val="num" w:pos="7609"/>
        </w:tabs>
        <w:ind w:left="7609" w:hanging="360"/>
      </w:pPr>
      <w:rPr>
        <w:rFonts w:ascii="Wingdings" w:hAnsi="Wingdings" w:hint="default"/>
      </w:rPr>
    </w:lvl>
    <w:lvl w:ilvl="6" w:tplc="67C433E6" w:tentative="1">
      <w:start w:val="1"/>
      <w:numFmt w:val="bullet"/>
      <w:lvlText w:val=""/>
      <w:lvlJc w:val="left"/>
      <w:pPr>
        <w:tabs>
          <w:tab w:val="num" w:pos="8329"/>
        </w:tabs>
        <w:ind w:left="8329" w:hanging="360"/>
      </w:pPr>
      <w:rPr>
        <w:rFonts w:ascii="Symbol" w:hAnsi="Symbol" w:hint="default"/>
      </w:rPr>
    </w:lvl>
    <w:lvl w:ilvl="7" w:tplc="881E876C" w:tentative="1">
      <w:start w:val="1"/>
      <w:numFmt w:val="bullet"/>
      <w:lvlText w:val="o"/>
      <w:lvlJc w:val="left"/>
      <w:pPr>
        <w:tabs>
          <w:tab w:val="num" w:pos="9049"/>
        </w:tabs>
        <w:ind w:left="9049" w:hanging="360"/>
      </w:pPr>
      <w:rPr>
        <w:rFonts w:ascii="Courier New" w:hAnsi="Courier New" w:hint="default"/>
      </w:rPr>
    </w:lvl>
    <w:lvl w:ilvl="8" w:tplc="A308E062" w:tentative="1">
      <w:start w:val="1"/>
      <w:numFmt w:val="bullet"/>
      <w:lvlText w:val=""/>
      <w:lvlJc w:val="left"/>
      <w:pPr>
        <w:tabs>
          <w:tab w:val="num" w:pos="9769"/>
        </w:tabs>
        <w:ind w:left="9769" w:hanging="360"/>
      </w:pPr>
      <w:rPr>
        <w:rFonts w:ascii="Wingdings" w:hAnsi="Wingdings" w:hint="default"/>
      </w:rPr>
    </w:lvl>
  </w:abstractNum>
  <w:abstractNum w:abstractNumId="12">
    <w:nsid w:val="63AD273D"/>
    <w:multiLevelType w:val="hybridMultilevel"/>
    <w:tmpl w:val="D390BA8E"/>
    <w:lvl w:ilvl="0" w:tplc="754A118C">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3">
    <w:nsid w:val="6D75022A"/>
    <w:multiLevelType w:val="hybridMultilevel"/>
    <w:tmpl w:val="B3B84AC8"/>
    <w:lvl w:ilvl="0" w:tplc="5832CF92">
      <w:start w:val="1"/>
      <w:numFmt w:val="bullet"/>
      <w:lvlText w:val=""/>
      <w:lvlJc w:val="left"/>
      <w:pPr>
        <w:tabs>
          <w:tab w:val="num" w:pos="3555"/>
        </w:tabs>
        <w:ind w:left="3555" w:hanging="360"/>
      </w:pPr>
      <w:rPr>
        <w:rFonts w:ascii="Wingdings" w:hAnsi="Wingdings" w:hint="default"/>
      </w:rPr>
    </w:lvl>
    <w:lvl w:ilvl="1" w:tplc="CDC80024">
      <w:start w:val="1"/>
      <w:numFmt w:val="bullet"/>
      <w:lvlText w:val="►"/>
      <w:lvlJc w:val="left"/>
      <w:pPr>
        <w:tabs>
          <w:tab w:val="num" w:pos="4275"/>
        </w:tabs>
        <w:ind w:left="4227" w:hanging="312"/>
      </w:pPr>
      <w:rPr>
        <w:rFonts w:ascii="Arial" w:hAnsi="Arial" w:hint="default"/>
        <w:b w:val="0"/>
        <w:i w:val="0"/>
        <w:caps w:val="0"/>
        <w:strike w:val="0"/>
        <w:dstrike w:val="0"/>
        <w:outline w:val="0"/>
        <w:shadow w:val="0"/>
        <w:emboss w:val="0"/>
        <w:imprint w:val="0"/>
        <w:vanish w:val="0"/>
        <w:color w:val="48748F" w:themeColor="accent1"/>
        <w:sz w:val="16"/>
        <w:vertAlign w:val="baseline"/>
      </w:rPr>
    </w:lvl>
    <w:lvl w:ilvl="2" w:tplc="754A118C">
      <w:start w:val="1"/>
      <w:numFmt w:val="bullet"/>
      <w:lvlText w:val="•"/>
      <w:lvlJc w:val="left"/>
      <w:pPr>
        <w:tabs>
          <w:tab w:val="num" w:pos="4995"/>
        </w:tabs>
        <w:ind w:left="4995"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4">
    <w:nsid w:val="6F4338EA"/>
    <w:multiLevelType w:val="hybridMultilevel"/>
    <w:tmpl w:val="EDEC0FCC"/>
    <w:lvl w:ilvl="0" w:tplc="763EBCD0">
      <w:start w:val="1"/>
      <w:numFmt w:val="bullet"/>
      <w:lvlText w:val="•"/>
      <w:lvlJc w:val="left"/>
      <w:pPr>
        <w:ind w:left="1401" w:hanging="360"/>
      </w:pPr>
      <w:rPr>
        <w:rFonts w:ascii="Arial" w:hAnsi="Arial" w:hint="default"/>
        <w:b w:val="0"/>
        <w:i w:val="0"/>
        <w:caps w:val="0"/>
        <w:strike w:val="0"/>
        <w:dstrike w:val="0"/>
        <w:outline w:val="0"/>
        <w:shadow w:val="0"/>
        <w:emboss w:val="0"/>
        <w:imprint w:val="0"/>
        <w:vanish w:val="0"/>
        <w:color w:val="48748F" w:themeColor="accent1"/>
        <w:sz w:val="16"/>
        <w:vertAlign w:val="baseline"/>
      </w:rPr>
    </w:lvl>
    <w:lvl w:ilvl="1" w:tplc="08090003" w:tentative="1">
      <w:start w:val="1"/>
      <w:numFmt w:val="bullet"/>
      <w:lvlText w:val="o"/>
      <w:lvlJc w:val="left"/>
      <w:pPr>
        <w:ind w:left="2121" w:hanging="360"/>
      </w:pPr>
      <w:rPr>
        <w:rFonts w:ascii="Courier New" w:hAnsi="Courier New" w:cs="Courier New" w:hint="default"/>
      </w:rPr>
    </w:lvl>
    <w:lvl w:ilvl="2" w:tplc="08090005" w:tentative="1">
      <w:start w:val="1"/>
      <w:numFmt w:val="bullet"/>
      <w:lvlText w:val=""/>
      <w:lvlJc w:val="left"/>
      <w:pPr>
        <w:ind w:left="2841" w:hanging="360"/>
      </w:pPr>
      <w:rPr>
        <w:rFonts w:ascii="Wingdings" w:hAnsi="Wingdings" w:hint="default"/>
      </w:rPr>
    </w:lvl>
    <w:lvl w:ilvl="3" w:tplc="08090001" w:tentative="1">
      <w:start w:val="1"/>
      <w:numFmt w:val="bullet"/>
      <w:lvlText w:val=""/>
      <w:lvlJc w:val="left"/>
      <w:pPr>
        <w:ind w:left="3561" w:hanging="360"/>
      </w:pPr>
      <w:rPr>
        <w:rFonts w:ascii="Symbol" w:hAnsi="Symbol" w:hint="default"/>
      </w:rPr>
    </w:lvl>
    <w:lvl w:ilvl="4" w:tplc="08090003" w:tentative="1">
      <w:start w:val="1"/>
      <w:numFmt w:val="bullet"/>
      <w:lvlText w:val="o"/>
      <w:lvlJc w:val="left"/>
      <w:pPr>
        <w:ind w:left="4281" w:hanging="360"/>
      </w:pPr>
      <w:rPr>
        <w:rFonts w:ascii="Courier New" w:hAnsi="Courier New" w:cs="Courier New" w:hint="default"/>
      </w:rPr>
    </w:lvl>
    <w:lvl w:ilvl="5" w:tplc="08090005" w:tentative="1">
      <w:start w:val="1"/>
      <w:numFmt w:val="bullet"/>
      <w:lvlText w:val=""/>
      <w:lvlJc w:val="left"/>
      <w:pPr>
        <w:ind w:left="5001" w:hanging="360"/>
      </w:pPr>
      <w:rPr>
        <w:rFonts w:ascii="Wingdings" w:hAnsi="Wingdings" w:hint="default"/>
      </w:rPr>
    </w:lvl>
    <w:lvl w:ilvl="6" w:tplc="08090001" w:tentative="1">
      <w:start w:val="1"/>
      <w:numFmt w:val="bullet"/>
      <w:lvlText w:val=""/>
      <w:lvlJc w:val="left"/>
      <w:pPr>
        <w:ind w:left="5721" w:hanging="360"/>
      </w:pPr>
      <w:rPr>
        <w:rFonts w:ascii="Symbol" w:hAnsi="Symbol" w:hint="default"/>
      </w:rPr>
    </w:lvl>
    <w:lvl w:ilvl="7" w:tplc="08090003" w:tentative="1">
      <w:start w:val="1"/>
      <w:numFmt w:val="bullet"/>
      <w:lvlText w:val="o"/>
      <w:lvlJc w:val="left"/>
      <w:pPr>
        <w:ind w:left="6441" w:hanging="360"/>
      </w:pPr>
      <w:rPr>
        <w:rFonts w:ascii="Courier New" w:hAnsi="Courier New" w:cs="Courier New" w:hint="default"/>
      </w:rPr>
    </w:lvl>
    <w:lvl w:ilvl="8" w:tplc="08090005" w:tentative="1">
      <w:start w:val="1"/>
      <w:numFmt w:val="bullet"/>
      <w:lvlText w:val=""/>
      <w:lvlJc w:val="left"/>
      <w:pPr>
        <w:ind w:left="7161" w:hanging="360"/>
      </w:pPr>
      <w:rPr>
        <w:rFonts w:ascii="Wingdings" w:hAnsi="Wingdings" w:hint="default"/>
      </w:rPr>
    </w:lvl>
  </w:abstractNum>
  <w:abstractNum w:abstractNumId="15">
    <w:nsid w:val="705E1E6B"/>
    <w:multiLevelType w:val="hybridMultilevel"/>
    <w:tmpl w:val="9948F454"/>
    <w:lvl w:ilvl="0" w:tplc="5832CF92">
      <w:start w:val="1"/>
      <w:numFmt w:val="bullet"/>
      <w:lvlText w:val=""/>
      <w:lvlJc w:val="left"/>
      <w:pPr>
        <w:tabs>
          <w:tab w:val="num" w:pos="3555"/>
        </w:tabs>
        <w:ind w:left="3555" w:hanging="360"/>
      </w:pPr>
      <w:rPr>
        <w:rFonts w:ascii="Wingdings" w:hAnsi="Wingdings" w:hint="default"/>
      </w:rPr>
    </w:lvl>
    <w:lvl w:ilvl="1" w:tplc="A6848682">
      <w:start w:val="1"/>
      <w:numFmt w:val="bullet"/>
      <w:lvlText w:val="–"/>
      <w:lvlJc w:val="left"/>
      <w:pPr>
        <w:tabs>
          <w:tab w:val="num" w:pos="4275"/>
        </w:tabs>
        <w:ind w:left="4227" w:hanging="312"/>
      </w:pPr>
      <w:rPr>
        <w:rFonts w:hint="default"/>
      </w:rPr>
    </w:lvl>
    <w:lvl w:ilvl="2" w:tplc="993055DA">
      <w:start w:val="1"/>
      <w:numFmt w:val="bullet"/>
      <w:lvlText w:val=""/>
      <w:lvlJc w:val="left"/>
      <w:pPr>
        <w:tabs>
          <w:tab w:val="num" w:pos="4995"/>
        </w:tabs>
        <w:ind w:left="4995" w:hanging="360"/>
      </w:pPr>
      <w:rPr>
        <w:rFonts w:ascii="Wingdings" w:hAnsi="Wingdings" w:hint="default"/>
      </w:rPr>
    </w:lvl>
    <w:lvl w:ilvl="3" w:tplc="22C2BE88" w:tentative="1">
      <w:start w:val="1"/>
      <w:numFmt w:val="bullet"/>
      <w:lvlText w:val=""/>
      <w:lvlJc w:val="left"/>
      <w:pPr>
        <w:tabs>
          <w:tab w:val="num" w:pos="5715"/>
        </w:tabs>
        <w:ind w:left="5715" w:hanging="360"/>
      </w:pPr>
      <w:rPr>
        <w:rFonts w:ascii="Symbol" w:hAnsi="Symbol" w:hint="default"/>
      </w:rPr>
    </w:lvl>
    <w:lvl w:ilvl="4" w:tplc="FD0073C0" w:tentative="1">
      <w:start w:val="1"/>
      <w:numFmt w:val="bullet"/>
      <w:lvlText w:val="o"/>
      <w:lvlJc w:val="left"/>
      <w:pPr>
        <w:tabs>
          <w:tab w:val="num" w:pos="6435"/>
        </w:tabs>
        <w:ind w:left="6435" w:hanging="360"/>
      </w:pPr>
      <w:rPr>
        <w:rFonts w:ascii="Courier New" w:hAnsi="Courier New" w:hint="default"/>
      </w:rPr>
    </w:lvl>
    <w:lvl w:ilvl="5" w:tplc="FBD6D0BE" w:tentative="1">
      <w:start w:val="1"/>
      <w:numFmt w:val="bullet"/>
      <w:lvlText w:val=""/>
      <w:lvlJc w:val="left"/>
      <w:pPr>
        <w:tabs>
          <w:tab w:val="num" w:pos="7155"/>
        </w:tabs>
        <w:ind w:left="7155" w:hanging="360"/>
      </w:pPr>
      <w:rPr>
        <w:rFonts w:ascii="Wingdings" w:hAnsi="Wingdings" w:hint="default"/>
      </w:rPr>
    </w:lvl>
    <w:lvl w:ilvl="6" w:tplc="C00E4D52" w:tentative="1">
      <w:start w:val="1"/>
      <w:numFmt w:val="bullet"/>
      <w:lvlText w:val=""/>
      <w:lvlJc w:val="left"/>
      <w:pPr>
        <w:tabs>
          <w:tab w:val="num" w:pos="7875"/>
        </w:tabs>
        <w:ind w:left="7875" w:hanging="360"/>
      </w:pPr>
      <w:rPr>
        <w:rFonts w:ascii="Symbol" w:hAnsi="Symbol" w:hint="default"/>
      </w:rPr>
    </w:lvl>
    <w:lvl w:ilvl="7" w:tplc="CE60E00E" w:tentative="1">
      <w:start w:val="1"/>
      <w:numFmt w:val="bullet"/>
      <w:lvlText w:val="o"/>
      <w:lvlJc w:val="left"/>
      <w:pPr>
        <w:tabs>
          <w:tab w:val="num" w:pos="8595"/>
        </w:tabs>
        <w:ind w:left="8595" w:hanging="360"/>
      </w:pPr>
      <w:rPr>
        <w:rFonts w:ascii="Courier New" w:hAnsi="Courier New" w:hint="default"/>
      </w:rPr>
    </w:lvl>
    <w:lvl w:ilvl="8" w:tplc="FA3C6548" w:tentative="1">
      <w:start w:val="1"/>
      <w:numFmt w:val="bullet"/>
      <w:lvlText w:val=""/>
      <w:lvlJc w:val="left"/>
      <w:pPr>
        <w:tabs>
          <w:tab w:val="num" w:pos="9315"/>
        </w:tabs>
        <w:ind w:left="9315" w:hanging="360"/>
      </w:pPr>
      <w:rPr>
        <w:rFonts w:ascii="Wingdings" w:hAnsi="Wingdings" w:hint="default"/>
      </w:rPr>
    </w:lvl>
  </w:abstractNum>
  <w:abstractNum w:abstractNumId="16">
    <w:nsid w:val="79B32577"/>
    <w:multiLevelType w:val="hybridMultilevel"/>
    <w:tmpl w:val="D8B63E3E"/>
    <w:lvl w:ilvl="0" w:tplc="3D44C5C8">
      <w:start w:val="1"/>
      <w:numFmt w:val="bullet"/>
      <w:pStyle w:val="Bullet1"/>
      <w:lvlText w:val=""/>
      <w:lvlJc w:val="left"/>
      <w:pPr>
        <w:ind w:left="5264" w:hanging="360"/>
      </w:pPr>
      <w:rPr>
        <w:rFonts w:ascii="Symbol" w:hAnsi="Symbol" w:hint="default"/>
        <w:b w:val="0"/>
        <w:i w:val="0"/>
        <w:caps w:val="0"/>
        <w:strike w:val="0"/>
        <w:dstrike w:val="0"/>
        <w:outline w:val="0"/>
        <w:shadow w:val="0"/>
        <w:emboss w:val="0"/>
        <w:imprint w:val="0"/>
        <w:vanish w:val="0"/>
        <w:color w:val="48748F" w:themeColor="accent1"/>
        <w:sz w:val="26"/>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7">
    <w:nsid w:val="7B605EEB"/>
    <w:multiLevelType w:val="hybridMultilevel"/>
    <w:tmpl w:val="5B4AC01C"/>
    <w:lvl w:ilvl="0" w:tplc="3962CF8E">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D5274EF"/>
    <w:multiLevelType w:val="hybridMultilevel"/>
    <w:tmpl w:val="9D320C48"/>
    <w:lvl w:ilvl="0" w:tplc="3962CF8E">
      <w:start w:val="1"/>
      <w:numFmt w:val="bullet"/>
      <w:lvlText w:val=""/>
      <w:lvlJc w:val="left"/>
      <w:pPr>
        <w:ind w:left="5264" w:hanging="360"/>
      </w:pPr>
      <w:rPr>
        <w:rFonts w:ascii="Symbol" w:hAnsi="Symbol" w:hint="default"/>
        <w:b w:val="0"/>
        <w:i w:val="0"/>
        <w:caps w:val="0"/>
        <w:strike w:val="0"/>
        <w:dstrike w:val="0"/>
        <w:outline w:val="0"/>
        <w:shadow w:val="0"/>
        <w:emboss w:val="0"/>
        <w:imprint w:val="0"/>
        <w:vanish w:val="0"/>
        <w:color w:val="005596" w:themeColor="text2"/>
        <w:sz w:val="20"/>
        <w:vertAlign w:val="baseline"/>
      </w:rPr>
    </w:lvl>
    <w:lvl w:ilvl="1" w:tplc="08090003" w:tentative="1">
      <w:start w:val="1"/>
      <w:numFmt w:val="bullet"/>
      <w:lvlText w:val="o"/>
      <w:lvlJc w:val="left"/>
      <w:pPr>
        <w:ind w:left="5984" w:hanging="360"/>
      </w:pPr>
      <w:rPr>
        <w:rFonts w:ascii="Courier New" w:hAnsi="Courier New" w:cs="Courier New" w:hint="default"/>
      </w:rPr>
    </w:lvl>
    <w:lvl w:ilvl="2" w:tplc="08090005" w:tentative="1">
      <w:start w:val="1"/>
      <w:numFmt w:val="bullet"/>
      <w:lvlText w:val=""/>
      <w:lvlJc w:val="left"/>
      <w:pPr>
        <w:ind w:left="6704" w:hanging="360"/>
      </w:pPr>
      <w:rPr>
        <w:rFonts w:ascii="Wingdings" w:hAnsi="Wingdings" w:hint="default"/>
      </w:rPr>
    </w:lvl>
    <w:lvl w:ilvl="3" w:tplc="08090001" w:tentative="1">
      <w:start w:val="1"/>
      <w:numFmt w:val="bullet"/>
      <w:lvlText w:val=""/>
      <w:lvlJc w:val="left"/>
      <w:pPr>
        <w:ind w:left="7424" w:hanging="360"/>
      </w:pPr>
      <w:rPr>
        <w:rFonts w:ascii="Symbol" w:hAnsi="Symbol" w:hint="default"/>
      </w:rPr>
    </w:lvl>
    <w:lvl w:ilvl="4" w:tplc="08090003" w:tentative="1">
      <w:start w:val="1"/>
      <w:numFmt w:val="bullet"/>
      <w:lvlText w:val="o"/>
      <w:lvlJc w:val="left"/>
      <w:pPr>
        <w:ind w:left="8144" w:hanging="360"/>
      </w:pPr>
      <w:rPr>
        <w:rFonts w:ascii="Courier New" w:hAnsi="Courier New" w:cs="Courier New" w:hint="default"/>
      </w:rPr>
    </w:lvl>
    <w:lvl w:ilvl="5" w:tplc="08090005" w:tentative="1">
      <w:start w:val="1"/>
      <w:numFmt w:val="bullet"/>
      <w:lvlText w:val=""/>
      <w:lvlJc w:val="left"/>
      <w:pPr>
        <w:ind w:left="8864" w:hanging="360"/>
      </w:pPr>
      <w:rPr>
        <w:rFonts w:ascii="Wingdings" w:hAnsi="Wingdings" w:hint="default"/>
      </w:rPr>
    </w:lvl>
    <w:lvl w:ilvl="6" w:tplc="08090001" w:tentative="1">
      <w:start w:val="1"/>
      <w:numFmt w:val="bullet"/>
      <w:lvlText w:val=""/>
      <w:lvlJc w:val="left"/>
      <w:pPr>
        <w:ind w:left="9584" w:hanging="360"/>
      </w:pPr>
      <w:rPr>
        <w:rFonts w:ascii="Symbol" w:hAnsi="Symbol" w:hint="default"/>
      </w:rPr>
    </w:lvl>
    <w:lvl w:ilvl="7" w:tplc="08090003" w:tentative="1">
      <w:start w:val="1"/>
      <w:numFmt w:val="bullet"/>
      <w:lvlText w:val="o"/>
      <w:lvlJc w:val="left"/>
      <w:pPr>
        <w:ind w:left="10304" w:hanging="360"/>
      </w:pPr>
      <w:rPr>
        <w:rFonts w:ascii="Courier New" w:hAnsi="Courier New" w:cs="Courier New" w:hint="default"/>
      </w:rPr>
    </w:lvl>
    <w:lvl w:ilvl="8" w:tplc="08090005" w:tentative="1">
      <w:start w:val="1"/>
      <w:numFmt w:val="bullet"/>
      <w:lvlText w:val=""/>
      <w:lvlJc w:val="left"/>
      <w:pPr>
        <w:ind w:left="11024" w:hanging="360"/>
      </w:pPr>
      <w:rPr>
        <w:rFonts w:ascii="Wingdings" w:hAnsi="Wingdings" w:hint="default"/>
      </w:rPr>
    </w:lvl>
  </w:abstractNum>
  <w:abstractNum w:abstractNumId="19">
    <w:nsid w:val="7D6C7E03"/>
    <w:multiLevelType w:val="hybridMultilevel"/>
    <w:tmpl w:val="0CF443F0"/>
    <w:lvl w:ilvl="0" w:tplc="139E16E6">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48748F" w:themeColor="accent1"/>
        <w:sz w:val="20"/>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9"/>
  </w:num>
  <w:num w:numId="5">
    <w:abstractNumId w:val="13"/>
  </w:num>
  <w:num w:numId="6">
    <w:abstractNumId w:val="0"/>
  </w:num>
  <w:num w:numId="7">
    <w:abstractNumId w:val="13"/>
    <w:lvlOverride w:ilvl="0">
      <w:startOverride w:val="1"/>
    </w:lvlOverride>
  </w:num>
  <w:num w:numId="8">
    <w:abstractNumId w:val="12"/>
  </w:num>
  <w:num w:numId="9">
    <w:abstractNumId w:val="14"/>
  </w:num>
  <w:num w:numId="10">
    <w:abstractNumId w:val="6"/>
  </w:num>
  <w:num w:numId="11">
    <w:abstractNumId w:val="1"/>
  </w:num>
  <w:num w:numId="12">
    <w:abstractNumId w:val="3"/>
  </w:num>
  <w:num w:numId="13">
    <w:abstractNumId w:val="5"/>
  </w:num>
  <w:num w:numId="14">
    <w:abstractNumId w:val="8"/>
  </w:num>
  <w:num w:numId="15">
    <w:abstractNumId w:val="2"/>
  </w:num>
  <w:num w:numId="16">
    <w:abstractNumId w:val="5"/>
  </w:num>
  <w:num w:numId="17">
    <w:abstractNumId w:val="8"/>
  </w:num>
  <w:num w:numId="18">
    <w:abstractNumId w:val="4"/>
  </w:num>
  <w:num w:numId="19">
    <w:abstractNumId w:val="4"/>
  </w:num>
  <w:num w:numId="20">
    <w:abstractNumId w:val="4"/>
  </w:num>
  <w:num w:numId="21">
    <w:abstractNumId w:val="2"/>
  </w:num>
  <w:num w:numId="22">
    <w:abstractNumId w:val="2"/>
  </w:num>
  <w:num w:numId="23">
    <w:abstractNumId w:val="2"/>
  </w:num>
  <w:num w:numId="24">
    <w:abstractNumId w:val="17"/>
  </w:num>
  <w:num w:numId="25">
    <w:abstractNumId w:val="19"/>
  </w:num>
  <w:num w:numId="26">
    <w:abstractNumId w:val="2"/>
  </w:num>
  <w:num w:numId="27">
    <w:abstractNumId w:val="18"/>
  </w:num>
  <w:num w:numId="28">
    <w:abstractNumId w:val="16"/>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4"/>
  <w:proofState w:spelling="clean" w:grammar="clean"/>
  <w:defaultTabStop w:val="720"/>
  <w:drawingGridHorizontalSpacing w:val="181"/>
  <w:drawingGridVerticalSpacing w:val="181"/>
  <w:doNotUseMarginsForDrawingGridOrigin/>
  <w:drawingGridHorizontalOrigin w:val="3419"/>
  <w:drawingGridVerticalOrigin w:val="3119"/>
  <w:noPunctuationKerning/>
  <w:characterSpacingControl w:val="doNotCompress"/>
  <w:hdrShapeDefaults>
    <o:shapedefaults v:ext="edit" spidmax="2079" fill="f" fillcolor="white" stroke="f">
      <v:fill color="white" on="f"/>
      <v:stroke on="f"/>
      <v:textbox inset="0,0,0,0"/>
      <o:colormenu v:ext="edit" strokecolor="none [3213]" shadowcolor="none"/>
    </o:shapedefaults>
    <o:shapelayout v:ext="edit">
      <o:idmap v:ext="edit" data="2"/>
      <o:rules v:ext="edit">
        <o:r id="V:Rule5" type="connector" idref="#_x0000_s2071"/>
        <o:r id="V:Rule6" type="connector" idref="#_x0000_s2075"/>
        <o:r id="V:Rule7" type="connector" idref="#_x0000_s2072"/>
        <o:r id="V:Rule8" type="connector" idref="#_x0000_s2077"/>
      </o:rules>
    </o:shapelayout>
  </w:hdrShapeDefaults>
  <w:footnotePr>
    <w:footnote w:id="-1"/>
    <w:footnote w:id="0"/>
  </w:footnotePr>
  <w:endnotePr>
    <w:endnote w:id="-1"/>
    <w:endnote w:id="0"/>
  </w:endnotePr>
  <w:compat/>
  <w:rsids>
    <w:rsidRoot w:val="00356BE3"/>
    <w:rsid w:val="00002206"/>
    <w:rsid w:val="00002D30"/>
    <w:rsid w:val="0003735D"/>
    <w:rsid w:val="000A4658"/>
    <w:rsid w:val="000A6584"/>
    <w:rsid w:val="000A78A1"/>
    <w:rsid w:val="000F4B74"/>
    <w:rsid w:val="000F74E8"/>
    <w:rsid w:val="001133CE"/>
    <w:rsid w:val="001305CF"/>
    <w:rsid w:val="00130EEF"/>
    <w:rsid w:val="00132855"/>
    <w:rsid w:val="00154FCE"/>
    <w:rsid w:val="00167041"/>
    <w:rsid w:val="001721BF"/>
    <w:rsid w:val="001849BA"/>
    <w:rsid w:val="00197F19"/>
    <w:rsid w:val="001B1458"/>
    <w:rsid w:val="001F0ECD"/>
    <w:rsid w:val="001F7D7C"/>
    <w:rsid w:val="00233A74"/>
    <w:rsid w:val="00245CB1"/>
    <w:rsid w:val="00253D80"/>
    <w:rsid w:val="00255202"/>
    <w:rsid w:val="0027308B"/>
    <w:rsid w:val="00275435"/>
    <w:rsid w:val="0027548E"/>
    <w:rsid w:val="002C4B54"/>
    <w:rsid w:val="002E6BDF"/>
    <w:rsid w:val="00316905"/>
    <w:rsid w:val="00356BE3"/>
    <w:rsid w:val="00384D30"/>
    <w:rsid w:val="003A6DAC"/>
    <w:rsid w:val="003B472A"/>
    <w:rsid w:val="003B5CD9"/>
    <w:rsid w:val="003D0536"/>
    <w:rsid w:val="003E23B1"/>
    <w:rsid w:val="00443CA3"/>
    <w:rsid w:val="0045378E"/>
    <w:rsid w:val="0046231D"/>
    <w:rsid w:val="00463240"/>
    <w:rsid w:val="00470C9E"/>
    <w:rsid w:val="00471639"/>
    <w:rsid w:val="00492435"/>
    <w:rsid w:val="004A15F0"/>
    <w:rsid w:val="004A5220"/>
    <w:rsid w:val="004B44F1"/>
    <w:rsid w:val="004D223F"/>
    <w:rsid w:val="004E100C"/>
    <w:rsid w:val="00520804"/>
    <w:rsid w:val="0053018F"/>
    <w:rsid w:val="00557776"/>
    <w:rsid w:val="005637C9"/>
    <w:rsid w:val="00576B1D"/>
    <w:rsid w:val="005C1136"/>
    <w:rsid w:val="005C6F27"/>
    <w:rsid w:val="005E73EB"/>
    <w:rsid w:val="0060766D"/>
    <w:rsid w:val="0062069D"/>
    <w:rsid w:val="00637945"/>
    <w:rsid w:val="00655C0D"/>
    <w:rsid w:val="00657F8D"/>
    <w:rsid w:val="00673A97"/>
    <w:rsid w:val="00675B54"/>
    <w:rsid w:val="00691A5C"/>
    <w:rsid w:val="006944D1"/>
    <w:rsid w:val="006D1BFE"/>
    <w:rsid w:val="006F4788"/>
    <w:rsid w:val="006F7AAD"/>
    <w:rsid w:val="00735D76"/>
    <w:rsid w:val="0078134B"/>
    <w:rsid w:val="00781E1E"/>
    <w:rsid w:val="007B7F92"/>
    <w:rsid w:val="007C0838"/>
    <w:rsid w:val="007C27EF"/>
    <w:rsid w:val="007D2D5E"/>
    <w:rsid w:val="007E1F46"/>
    <w:rsid w:val="007E65E8"/>
    <w:rsid w:val="007F4D50"/>
    <w:rsid w:val="0082289C"/>
    <w:rsid w:val="00823913"/>
    <w:rsid w:val="00825376"/>
    <w:rsid w:val="00847EDD"/>
    <w:rsid w:val="00884D28"/>
    <w:rsid w:val="008E57C0"/>
    <w:rsid w:val="009235D8"/>
    <w:rsid w:val="009310D6"/>
    <w:rsid w:val="0095041F"/>
    <w:rsid w:val="009832C9"/>
    <w:rsid w:val="009E077F"/>
    <w:rsid w:val="00A057A8"/>
    <w:rsid w:val="00A13791"/>
    <w:rsid w:val="00A332EF"/>
    <w:rsid w:val="00A340C7"/>
    <w:rsid w:val="00A442D0"/>
    <w:rsid w:val="00A45762"/>
    <w:rsid w:val="00A5038E"/>
    <w:rsid w:val="00A5375E"/>
    <w:rsid w:val="00A62840"/>
    <w:rsid w:val="00AA2D36"/>
    <w:rsid w:val="00AC406C"/>
    <w:rsid w:val="00AE10DE"/>
    <w:rsid w:val="00AF11F1"/>
    <w:rsid w:val="00B416F0"/>
    <w:rsid w:val="00B41FD3"/>
    <w:rsid w:val="00B572B5"/>
    <w:rsid w:val="00B92BB0"/>
    <w:rsid w:val="00BB31BD"/>
    <w:rsid w:val="00BC1513"/>
    <w:rsid w:val="00BC2711"/>
    <w:rsid w:val="00BF0C32"/>
    <w:rsid w:val="00BF6F73"/>
    <w:rsid w:val="00C13FE9"/>
    <w:rsid w:val="00C24459"/>
    <w:rsid w:val="00C30164"/>
    <w:rsid w:val="00C41835"/>
    <w:rsid w:val="00C51C1B"/>
    <w:rsid w:val="00C60D60"/>
    <w:rsid w:val="00C613F3"/>
    <w:rsid w:val="00C7701D"/>
    <w:rsid w:val="00CA3196"/>
    <w:rsid w:val="00CA6BB3"/>
    <w:rsid w:val="00CB2F77"/>
    <w:rsid w:val="00CB35C1"/>
    <w:rsid w:val="00D00B5A"/>
    <w:rsid w:val="00D07F77"/>
    <w:rsid w:val="00D1314A"/>
    <w:rsid w:val="00D2098D"/>
    <w:rsid w:val="00D70263"/>
    <w:rsid w:val="00D8468F"/>
    <w:rsid w:val="00D94D86"/>
    <w:rsid w:val="00DA2D19"/>
    <w:rsid w:val="00DC235A"/>
    <w:rsid w:val="00DD0B97"/>
    <w:rsid w:val="00DF0DF3"/>
    <w:rsid w:val="00E24E43"/>
    <w:rsid w:val="00E32E4A"/>
    <w:rsid w:val="00E47748"/>
    <w:rsid w:val="00E611A7"/>
    <w:rsid w:val="00E761A1"/>
    <w:rsid w:val="00E80DEB"/>
    <w:rsid w:val="00E86340"/>
    <w:rsid w:val="00ED6FE2"/>
    <w:rsid w:val="00ED76D2"/>
    <w:rsid w:val="00EF2098"/>
    <w:rsid w:val="00F93012"/>
    <w:rsid w:val="00FC5F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f" fillcolor="white" stroke="f">
      <v:fill color="white" on="f"/>
      <v:stroke on="f"/>
      <v:textbox inset="0,0,0,0"/>
      <o:colormenu v:ext="edit" strokecolor="none [3213]"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qFormat="1"/>
    <w:lsdException w:name="page number" w:uiPriority="0"/>
    <w:lsdException w:name="List Bullet" w:semiHidden="0" w:uiPriority="0" w:unhideWhenUsed="0" w:qFormat="1"/>
    <w:lsdException w:name="Title" w:uiPriority="10" w:qFormat="1"/>
    <w:lsdException w:name="Default Paragraph Font" w:uiPriority="1"/>
    <w:lsdException w:name="Body Text" w:uiPriority="0"/>
    <w:lsdException w:name="Subtitle" w:uiPriority="11" w:qFormat="1"/>
    <w:lsdException w:name="Hyperlink" w:semiHidden="0" w:unhideWhenUsed="0"/>
    <w:lsdException w:name="Strong" w:uiPriority="22" w:qFormat="1"/>
    <w:lsdException w:name="Emphasis" w:uiPriority="2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lsdException w:name="Book Title" w:uiPriority="33"/>
    <w:lsdException w:name="Bibliography" w:uiPriority="37"/>
    <w:lsdException w:name="TOC Heading" w:uiPriority="39" w:qFormat="1"/>
  </w:latentStyles>
  <w:style w:type="paragraph" w:default="1" w:styleId="Normal">
    <w:name w:val="Normal"/>
    <w:semiHidden/>
    <w:qFormat/>
    <w:rsid w:val="00825376"/>
    <w:rPr>
      <w:rFonts w:ascii="Arial" w:hAnsi="Arial"/>
      <w:color w:val="000000"/>
      <w:sz w:val="18"/>
      <w:lang w:eastAsia="en-US"/>
    </w:rPr>
  </w:style>
  <w:style w:type="paragraph" w:styleId="Heading1">
    <w:name w:val="heading 1"/>
    <w:basedOn w:val="Normal"/>
    <w:next w:val="Bodytext"/>
    <w:uiPriority w:val="9"/>
    <w:qFormat/>
    <w:rsid w:val="009310D6"/>
    <w:pPr>
      <w:spacing w:before="960" w:after="360"/>
      <w:outlineLvl w:val="0"/>
    </w:pPr>
    <w:rPr>
      <w:color w:val="48748F" w:themeColor="accent1"/>
      <w:sz w:val="36"/>
    </w:rPr>
  </w:style>
  <w:style w:type="paragraph" w:styleId="Heading2">
    <w:name w:val="heading 2"/>
    <w:basedOn w:val="Normal"/>
    <w:next w:val="Bodytext"/>
    <w:uiPriority w:val="9"/>
    <w:qFormat/>
    <w:rsid w:val="009310D6"/>
    <w:pPr>
      <w:spacing w:before="360" w:after="240"/>
      <w:contextualSpacing/>
      <w:outlineLvl w:val="1"/>
    </w:pPr>
    <w:rPr>
      <w:color w:val="48748F" w:themeColor="accent1"/>
      <w:sz w:val="24"/>
    </w:rPr>
  </w:style>
  <w:style w:type="paragraph" w:styleId="Heading3">
    <w:name w:val="heading 3"/>
    <w:basedOn w:val="Normal"/>
    <w:next w:val="Bodytext"/>
    <w:uiPriority w:val="9"/>
    <w:qFormat/>
    <w:rsid w:val="009310D6"/>
    <w:pPr>
      <w:spacing w:before="240" w:after="240"/>
      <w:outlineLvl w:val="2"/>
    </w:pPr>
    <w:rPr>
      <w:b/>
      <w:color w:val="48748F" w:themeColor="accent1"/>
      <w:sz w:val="20"/>
      <w:szCs w:val="22"/>
    </w:rPr>
  </w:style>
  <w:style w:type="paragraph" w:styleId="Heading4">
    <w:name w:val="heading 4"/>
    <w:basedOn w:val="Normal"/>
    <w:next w:val="Bodytext"/>
    <w:uiPriority w:val="9"/>
    <w:qFormat/>
    <w:rsid w:val="009310D6"/>
    <w:pPr>
      <w:spacing w:before="240"/>
      <w:contextualSpacing/>
      <w:outlineLvl w:val="3"/>
    </w:pPr>
    <w:rPr>
      <w:color w:val="48748F"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qFormat/>
    <w:rsid w:val="009310D6"/>
    <w:pPr>
      <w:tabs>
        <w:tab w:val="left" w:pos="0"/>
      </w:tabs>
      <w:spacing w:line="300" w:lineRule="exact"/>
      <w:jc w:val="both"/>
    </w:pPr>
    <w:rPr>
      <w:sz w:val="20"/>
    </w:rPr>
  </w:style>
  <w:style w:type="paragraph" w:styleId="BalloonText">
    <w:name w:val="Balloon Text"/>
    <w:basedOn w:val="Normal"/>
    <w:link w:val="BalloonTextChar"/>
    <w:uiPriority w:val="99"/>
    <w:semiHidden/>
    <w:unhideWhenUsed/>
    <w:rsid w:val="009310D6"/>
    <w:rPr>
      <w:rFonts w:ascii="Tahoma" w:hAnsi="Tahoma" w:cs="Tahoma"/>
      <w:sz w:val="16"/>
      <w:szCs w:val="16"/>
    </w:rPr>
  </w:style>
  <w:style w:type="character" w:customStyle="1" w:styleId="BalloonTextChar">
    <w:name w:val="Balloon Text Char"/>
    <w:basedOn w:val="DefaultParagraphFont"/>
    <w:link w:val="BalloonText"/>
    <w:uiPriority w:val="99"/>
    <w:semiHidden/>
    <w:rsid w:val="009310D6"/>
    <w:rPr>
      <w:rFonts w:ascii="Tahoma" w:hAnsi="Tahoma" w:cs="Tahoma"/>
      <w:color w:val="000000"/>
      <w:sz w:val="16"/>
      <w:szCs w:val="16"/>
      <w:lang w:eastAsia="en-US"/>
    </w:rPr>
  </w:style>
  <w:style w:type="paragraph" w:styleId="Header">
    <w:name w:val="header"/>
    <w:basedOn w:val="Normal"/>
    <w:semiHidden/>
    <w:rsid w:val="009310D6"/>
    <w:pPr>
      <w:tabs>
        <w:tab w:val="center" w:pos="4153"/>
        <w:tab w:val="right" w:pos="8306"/>
      </w:tabs>
      <w:spacing w:line="300" w:lineRule="exact"/>
      <w:jc w:val="both"/>
    </w:pPr>
  </w:style>
  <w:style w:type="paragraph" w:customStyle="1" w:styleId="Page00of00">
    <w:name w:val="Page 00 of 00"/>
    <w:basedOn w:val="Normal"/>
    <w:semiHidden/>
    <w:rsid w:val="009310D6"/>
    <w:pPr>
      <w:spacing w:line="300" w:lineRule="exact"/>
      <w:jc w:val="both"/>
    </w:pPr>
    <w:rPr>
      <w:sz w:val="14"/>
    </w:rPr>
  </w:style>
  <w:style w:type="paragraph" w:customStyle="1" w:styleId="ReferenceText">
    <w:name w:val="Reference Text"/>
    <w:basedOn w:val="Header"/>
    <w:rsid w:val="009310D6"/>
    <w:pPr>
      <w:framePr w:w="3976" w:h="1381" w:wrap="notBeside" w:vAnchor="page" w:hAnchor="page" w:x="6526" w:y="946" w:anchorLock="1"/>
      <w:tabs>
        <w:tab w:val="clear" w:pos="8306"/>
        <w:tab w:val="right" w:pos="9072"/>
      </w:tabs>
      <w:jc w:val="right"/>
    </w:pPr>
    <w:rPr>
      <w:rFonts w:asciiTheme="minorHAnsi" w:hAnsiTheme="minorHAnsi"/>
      <w:color w:val="807F83" w:themeColor="accent2"/>
      <w:sz w:val="20"/>
    </w:rPr>
  </w:style>
  <w:style w:type="paragraph" w:styleId="Footer">
    <w:name w:val="footer"/>
    <w:basedOn w:val="Normal"/>
    <w:semiHidden/>
    <w:rsid w:val="009310D6"/>
    <w:pPr>
      <w:tabs>
        <w:tab w:val="center" w:pos="4153"/>
        <w:tab w:val="right" w:pos="8306"/>
      </w:tabs>
      <w:spacing w:line="300" w:lineRule="exact"/>
      <w:jc w:val="both"/>
    </w:pPr>
  </w:style>
  <w:style w:type="character" w:styleId="PageNumber">
    <w:name w:val="page number"/>
    <w:basedOn w:val="DefaultParagraphFont"/>
    <w:semiHidden/>
    <w:rsid w:val="009310D6"/>
  </w:style>
  <w:style w:type="character" w:styleId="Hyperlink">
    <w:name w:val="Hyperlink"/>
    <w:basedOn w:val="DefaultParagraphFont"/>
    <w:uiPriority w:val="99"/>
    <w:rsid w:val="009310D6"/>
    <w:rPr>
      <w:color w:val="48748F" w:themeColor="accent1"/>
    </w:rPr>
  </w:style>
  <w:style w:type="paragraph" w:customStyle="1" w:styleId="Numberedparagraphs">
    <w:name w:val="Numbered paragraphs"/>
    <w:basedOn w:val="Bodytext"/>
    <w:qFormat/>
    <w:rsid w:val="005C1136"/>
    <w:pPr>
      <w:numPr>
        <w:numId w:val="11"/>
      </w:numPr>
      <w:tabs>
        <w:tab w:val="clear" w:pos="0"/>
        <w:tab w:val="left" w:pos="284"/>
      </w:tabs>
      <w:spacing w:after="300"/>
      <w:ind w:left="284" w:hanging="284"/>
    </w:pPr>
  </w:style>
  <w:style w:type="paragraph" w:customStyle="1" w:styleId="Bullet1">
    <w:name w:val="Bullet 1"/>
    <w:basedOn w:val="Normal"/>
    <w:qFormat/>
    <w:rsid w:val="00D1314A"/>
    <w:pPr>
      <w:numPr>
        <w:numId w:val="28"/>
      </w:numPr>
      <w:tabs>
        <w:tab w:val="left" w:pos="284"/>
      </w:tabs>
      <w:spacing w:after="260" w:line="260" w:lineRule="exact"/>
      <w:ind w:left="284" w:hanging="284"/>
      <w:jc w:val="both"/>
    </w:pPr>
    <w:rPr>
      <w:sz w:val="20"/>
    </w:rPr>
  </w:style>
  <w:style w:type="paragraph" w:customStyle="1" w:styleId="Bullet2">
    <w:name w:val="Bullet 2"/>
    <w:basedOn w:val="Normal"/>
    <w:qFormat/>
    <w:rsid w:val="0027308B"/>
    <w:pPr>
      <w:numPr>
        <w:numId w:val="16"/>
      </w:numPr>
      <w:tabs>
        <w:tab w:val="left" w:pos="567"/>
      </w:tabs>
      <w:spacing w:after="260" w:line="260" w:lineRule="exact"/>
      <w:ind w:left="567" w:hanging="283"/>
      <w:jc w:val="both"/>
    </w:pPr>
    <w:rPr>
      <w:sz w:val="20"/>
    </w:rPr>
  </w:style>
  <w:style w:type="paragraph" w:customStyle="1" w:styleId="Bullet3">
    <w:name w:val="Bullet 3"/>
    <w:basedOn w:val="Normal"/>
    <w:qFormat/>
    <w:rsid w:val="0027308B"/>
    <w:pPr>
      <w:numPr>
        <w:numId w:val="17"/>
      </w:numPr>
      <w:tabs>
        <w:tab w:val="left" w:pos="851"/>
      </w:tabs>
      <w:spacing w:after="260" w:line="260" w:lineRule="exact"/>
      <w:ind w:left="851" w:hanging="284"/>
      <w:jc w:val="both"/>
    </w:pPr>
    <w:rPr>
      <w:sz w:val="20"/>
    </w:rPr>
  </w:style>
  <w:style w:type="character" w:styleId="FootnoteReference">
    <w:name w:val="footnote reference"/>
    <w:basedOn w:val="DefaultParagraphFont"/>
    <w:uiPriority w:val="99"/>
    <w:semiHidden/>
    <w:qFormat/>
    <w:rsid w:val="009310D6"/>
    <w:rPr>
      <w:rFonts w:ascii="Arial" w:hAnsi="Arial"/>
      <w:color w:val="auto"/>
      <w:sz w:val="16"/>
      <w:vertAlign w:val="superscript"/>
    </w:rPr>
  </w:style>
  <w:style w:type="paragraph" w:styleId="FootnoteText">
    <w:name w:val="footnote text"/>
    <w:basedOn w:val="Normal"/>
    <w:link w:val="FootnoteTextChar"/>
    <w:uiPriority w:val="99"/>
    <w:rsid w:val="0095041F"/>
    <w:pPr>
      <w:tabs>
        <w:tab w:val="left" w:pos="284"/>
      </w:tabs>
      <w:ind w:left="284" w:hanging="284"/>
    </w:pPr>
  </w:style>
  <w:style w:type="character" w:customStyle="1" w:styleId="FootnoteTextChar">
    <w:name w:val="Footnote Text Char"/>
    <w:basedOn w:val="DefaultParagraphFont"/>
    <w:link w:val="FootnoteText"/>
    <w:uiPriority w:val="99"/>
    <w:rsid w:val="0095041F"/>
    <w:rPr>
      <w:rFonts w:ascii="Arial" w:hAnsi="Arial"/>
      <w:color w:val="000000"/>
      <w:sz w:val="18"/>
      <w:lang w:eastAsia="en-US"/>
    </w:rPr>
  </w:style>
  <w:style w:type="paragraph" w:customStyle="1" w:styleId="Numberedheadinglevel1">
    <w:name w:val="Numbered heading level 1"/>
    <w:basedOn w:val="Bodytext"/>
    <w:next w:val="Bodytext"/>
    <w:qFormat/>
    <w:rsid w:val="009310D6"/>
    <w:pPr>
      <w:numPr>
        <w:numId w:val="20"/>
      </w:numPr>
      <w:spacing w:before="360" w:after="360" w:line="240" w:lineRule="auto"/>
    </w:pPr>
    <w:rPr>
      <w:color w:val="48748F" w:themeColor="accent1"/>
      <w:sz w:val="28"/>
      <w:szCs w:val="28"/>
    </w:rPr>
  </w:style>
  <w:style w:type="paragraph" w:customStyle="1" w:styleId="Numberedheadinglevel2">
    <w:name w:val="Numbered heading level 2"/>
    <w:basedOn w:val="Bodytext"/>
    <w:next w:val="Bodytext"/>
    <w:qFormat/>
    <w:rsid w:val="009310D6"/>
    <w:pPr>
      <w:numPr>
        <w:ilvl w:val="1"/>
        <w:numId w:val="20"/>
      </w:numPr>
      <w:tabs>
        <w:tab w:val="clear" w:pos="0"/>
        <w:tab w:val="left" w:pos="567"/>
      </w:tabs>
      <w:spacing w:before="360" w:after="240" w:line="240" w:lineRule="auto"/>
    </w:pPr>
    <w:rPr>
      <w:color w:val="48748F" w:themeColor="accent1"/>
      <w:sz w:val="24"/>
      <w:szCs w:val="24"/>
    </w:rPr>
  </w:style>
  <w:style w:type="paragraph" w:customStyle="1" w:styleId="Numberedheadinglevel3">
    <w:name w:val="Numbered heading level 3"/>
    <w:basedOn w:val="Bodytext"/>
    <w:next w:val="Bodytext"/>
    <w:qFormat/>
    <w:rsid w:val="009310D6"/>
    <w:pPr>
      <w:numPr>
        <w:ilvl w:val="2"/>
        <w:numId w:val="20"/>
      </w:numPr>
      <w:tabs>
        <w:tab w:val="clear" w:pos="0"/>
        <w:tab w:val="left" w:pos="567"/>
      </w:tabs>
      <w:spacing w:before="240" w:after="120" w:line="240" w:lineRule="auto"/>
    </w:pPr>
    <w:rPr>
      <w:color w:val="48748F" w:themeColor="accent1"/>
    </w:rPr>
  </w:style>
  <w:style w:type="paragraph" w:styleId="DocumentMap">
    <w:name w:val="Document Map"/>
    <w:basedOn w:val="Normal"/>
    <w:link w:val="DocumentMapChar"/>
    <w:uiPriority w:val="99"/>
    <w:semiHidden/>
    <w:unhideWhenUsed/>
    <w:rsid w:val="00E86340"/>
    <w:rPr>
      <w:rFonts w:ascii="Tahoma" w:hAnsi="Tahoma" w:cs="Tahoma"/>
      <w:sz w:val="16"/>
      <w:szCs w:val="16"/>
    </w:rPr>
  </w:style>
  <w:style w:type="character" w:customStyle="1" w:styleId="DocumentMapChar">
    <w:name w:val="Document Map Char"/>
    <w:basedOn w:val="DefaultParagraphFont"/>
    <w:link w:val="DocumentMap"/>
    <w:uiPriority w:val="99"/>
    <w:semiHidden/>
    <w:rsid w:val="00E86340"/>
    <w:rPr>
      <w:rFonts w:ascii="Tahoma" w:hAnsi="Tahoma" w:cs="Tahoma"/>
      <w:color w:val="000000"/>
      <w:sz w:val="16"/>
      <w:szCs w:val="16"/>
      <w:lang w:eastAsia="en-US"/>
    </w:rPr>
  </w:style>
  <w:style w:type="paragraph" w:styleId="ListBullet">
    <w:name w:val="List Bullet"/>
    <w:basedOn w:val="Bullet1"/>
    <w:qFormat/>
    <w:rsid w:val="000F74E8"/>
    <w:pPr>
      <w:numPr>
        <w:numId w:val="23"/>
      </w:numPr>
      <w:spacing w:after="0"/>
      <w:ind w:left="284" w:hanging="284"/>
    </w:pPr>
  </w:style>
  <w:style w:type="paragraph" w:customStyle="1" w:styleId="DocTitle">
    <w:name w:val="Doc Title"/>
    <w:basedOn w:val="Normal"/>
    <w:rsid w:val="000F74E8"/>
    <w:pPr>
      <w:spacing w:before="3280" w:after="480"/>
    </w:pPr>
    <w:rPr>
      <w:color w:val="48748F" w:themeColor="accent1"/>
      <w:sz w:val="40"/>
      <w:szCs w:val="40"/>
    </w:rPr>
  </w:style>
  <w:style w:type="paragraph" w:customStyle="1" w:styleId="Figuretitle">
    <w:name w:val="Figure title"/>
    <w:basedOn w:val="Normal"/>
    <w:next w:val="Bodytext"/>
    <w:rsid w:val="000F74E8"/>
    <w:pPr>
      <w:keepNext/>
      <w:spacing w:before="240" w:after="240"/>
      <w:jc w:val="both"/>
    </w:pPr>
    <w:rPr>
      <w:bCs/>
      <w:color w:val="48748F" w:themeColor="accent1"/>
      <w:sz w:val="20"/>
    </w:rPr>
  </w:style>
  <w:style w:type="paragraph" w:customStyle="1" w:styleId="FigureTOC">
    <w:name w:val="Figure TOC"/>
    <w:basedOn w:val="TableofFigures"/>
    <w:rsid w:val="000F74E8"/>
    <w:pPr>
      <w:tabs>
        <w:tab w:val="right" w:pos="10194"/>
      </w:tabs>
      <w:spacing w:after="120"/>
    </w:pPr>
    <w:rPr>
      <w:noProof/>
      <w:sz w:val="20"/>
    </w:rPr>
  </w:style>
  <w:style w:type="paragraph" w:styleId="TableofFigures">
    <w:name w:val="table of figures"/>
    <w:basedOn w:val="Normal"/>
    <w:next w:val="Normal"/>
    <w:uiPriority w:val="99"/>
    <w:semiHidden/>
    <w:unhideWhenUsed/>
    <w:rsid w:val="000F74E8"/>
  </w:style>
  <w:style w:type="paragraph" w:customStyle="1" w:styleId="SubTitle">
    <w:name w:val="Sub Title"/>
    <w:basedOn w:val="Heading2"/>
    <w:rsid w:val="000F74E8"/>
    <w:pPr>
      <w:spacing w:before="120" w:after="0"/>
    </w:pPr>
  </w:style>
  <w:style w:type="paragraph" w:customStyle="1" w:styleId="Tabledata">
    <w:name w:val="Table data"/>
    <w:basedOn w:val="Normal"/>
    <w:rsid w:val="000F74E8"/>
    <w:pPr>
      <w:autoSpaceDE w:val="0"/>
      <w:autoSpaceDN w:val="0"/>
      <w:adjustRightInd w:val="0"/>
      <w:spacing w:before="60" w:after="60" w:line="260" w:lineRule="exact"/>
      <w:jc w:val="center"/>
    </w:pPr>
    <w:rPr>
      <w:rFonts w:asciiTheme="minorHAnsi" w:hAnsiTheme="minorHAnsi" w:cstheme="minorHAnsi"/>
      <w:color w:val="auto"/>
      <w:sz w:val="20"/>
      <w:lang w:eastAsia="en-GB"/>
    </w:rPr>
  </w:style>
  <w:style w:type="paragraph" w:customStyle="1" w:styleId="Tablefootnotetext">
    <w:name w:val="Table footnote text"/>
    <w:basedOn w:val="Normal"/>
    <w:rsid w:val="000F74E8"/>
    <w:pPr>
      <w:tabs>
        <w:tab w:val="right" w:pos="284"/>
        <w:tab w:val="left" w:pos="426"/>
      </w:tabs>
      <w:autoSpaceDE w:val="0"/>
      <w:autoSpaceDN w:val="0"/>
      <w:adjustRightInd w:val="0"/>
      <w:spacing w:before="60" w:after="60" w:line="260" w:lineRule="exact"/>
    </w:pPr>
    <w:rPr>
      <w:rFonts w:asciiTheme="minorHAnsi" w:hAnsiTheme="minorHAnsi" w:cstheme="minorHAnsi"/>
      <w:color w:val="auto"/>
      <w:sz w:val="14"/>
      <w:szCs w:val="14"/>
      <w:lang w:eastAsia="en-GB"/>
    </w:rPr>
  </w:style>
  <w:style w:type="table" w:styleId="TableGrid">
    <w:name w:val="Table Grid"/>
    <w:basedOn w:val="TableNormal"/>
    <w:uiPriority w:val="59"/>
    <w:rsid w:val="000F74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text">
    <w:name w:val="Table heading text"/>
    <w:basedOn w:val="Bodytext"/>
    <w:rsid w:val="000F74E8"/>
    <w:pPr>
      <w:spacing w:before="60" w:after="60" w:line="260" w:lineRule="exact"/>
      <w:jc w:val="center"/>
    </w:pPr>
    <w:rPr>
      <w:b/>
      <w:color w:val="48748F" w:themeColor="accent1"/>
    </w:rPr>
  </w:style>
  <w:style w:type="paragraph" w:customStyle="1" w:styleId="Tableofcontents">
    <w:name w:val="Table of contents"/>
    <w:basedOn w:val="Heading2"/>
    <w:rsid w:val="000F74E8"/>
  </w:style>
  <w:style w:type="paragraph" w:customStyle="1" w:styleId="Tabletext">
    <w:name w:val="Table text"/>
    <w:basedOn w:val="Normal"/>
    <w:rsid w:val="000F74E8"/>
    <w:pPr>
      <w:autoSpaceDE w:val="0"/>
      <w:autoSpaceDN w:val="0"/>
      <w:adjustRightInd w:val="0"/>
      <w:spacing w:before="60" w:after="60" w:line="260" w:lineRule="exact"/>
    </w:pPr>
    <w:rPr>
      <w:rFonts w:asciiTheme="minorHAnsi" w:hAnsiTheme="minorHAnsi" w:cstheme="minorHAnsi"/>
      <w:color w:val="auto"/>
      <w:sz w:val="20"/>
      <w:lang w:eastAsia="en-GB"/>
    </w:rPr>
  </w:style>
  <w:style w:type="paragraph" w:styleId="TOC1">
    <w:name w:val="toc 1"/>
    <w:basedOn w:val="Normal"/>
    <w:next w:val="Normal"/>
    <w:autoRedefine/>
    <w:uiPriority w:val="39"/>
    <w:unhideWhenUsed/>
    <w:rsid w:val="000F74E8"/>
    <w:pPr>
      <w:tabs>
        <w:tab w:val="left" w:pos="567"/>
        <w:tab w:val="right" w:pos="7371"/>
      </w:tabs>
      <w:spacing w:after="100"/>
      <w:ind w:left="567" w:right="2833" w:hanging="567"/>
    </w:pPr>
    <w:rPr>
      <w:noProof/>
      <w:sz w:val="20"/>
    </w:rPr>
  </w:style>
  <w:style w:type="paragraph" w:customStyle="1" w:styleId="Annexetitre">
    <w:name w:val="Annexe titre"/>
    <w:basedOn w:val="Normal"/>
    <w:next w:val="Normal"/>
    <w:rsid w:val="00A62840"/>
    <w:pPr>
      <w:spacing w:before="120" w:after="120"/>
      <w:jc w:val="center"/>
    </w:pPr>
    <w:rPr>
      <w:rFonts w:ascii="Times New Roman" w:eastAsia="Calibri" w:hAnsi="Times New Roman"/>
      <w:b/>
      <w:color w:val="auto"/>
      <w:sz w:val="24"/>
      <w:u w:val="single"/>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EBA">
  <a:themeElements>
    <a:clrScheme name="EBA">
      <a:dk1>
        <a:sysClr val="windowText" lastClr="000000"/>
      </a:dk1>
      <a:lt1>
        <a:sysClr val="window" lastClr="FFFFFF"/>
      </a:lt1>
      <a:dk2>
        <a:srgbClr val="005596"/>
      </a:dk2>
      <a:lt2>
        <a:srgbClr val="00AEEF"/>
      </a:lt2>
      <a:accent1>
        <a:srgbClr val="48748F"/>
      </a:accent1>
      <a:accent2>
        <a:srgbClr val="807F83"/>
      </a:accent2>
      <a:accent3>
        <a:srgbClr val="A30134"/>
      </a:accent3>
      <a:accent4>
        <a:srgbClr val="D9531E"/>
      </a:accent4>
      <a:accent5>
        <a:srgbClr val="439539"/>
      </a:accent5>
      <a:accent6>
        <a:srgbClr val="7C2B83"/>
      </a:accent6>
      <a:hlink>
        <a:srgbClr val="005596"/>
      </a:hlink>
      <a:folHlink>
        <a:srgbClr val="00AEEF"/>
      </a:folHlink>
    </a:clrScheme>
    <a:fontScheme name="EBA">
      <a:majorFont>
        <a:latin typeface="Verdan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lack">
      <a:srgbClr val="000000"/>
    </a:custClr>
    <a:custClr name="Mid Grey">
      <a:srgbClr val="BEC0C2"/>
    </a:custClr>
    <a:custClr name="Light Grey">
      <a:srgbClr val="E6E7E8"/>
    </a:custClr>
    <a:custClr name="Gold">
      <a:srgbClr val="F99D3E"/>
    </a:custClr>
    <a:custClr name="Pale Gold">
      <a:srgbClr val="FEE3C7"/>
    </a:custClr>
    <a:custClr name="Yellow">
      <a:srgbClr val="FFD200"/>
    </a:custClr>
    <a:custClr name="Mid Green">
      <a:srgbClr val="8CA829"/>
    </a:custClr>
    <a:custClr name="Pale Green">
      <a:srgbClr val="A0CA9C"/>
    </a:custClr>
    <a:custClr name="Mid Grey-Blue">
      <a:srgbClr val="96ACBF"/>
    </a:custClr>
    <a:custClr name="Pale Blue">
      <a:srgbClr val="7FD6F7"/>
    </a:custClr>
    <a:custClr name="Mid Purple">
      <a:srgbClr val="9D60A2"/>
    </a:custClr>
    <a:custClr name="Pale Purple">
      <a:srgbClr val="D18099"/>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8CE9F-E0EA-49C8-9D20-2C4C88FA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1634</Words>
  <Characters>9455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ECM letterhead</vt:lpstr>
    </vt:vector>
  </TitlesOfParts>
  <Company>Microsoft</Company>
  <LinksUpToDate>false</LinksUpToDate>
  <CharactersWithSpaces>11067</CharactersWithSpaces>
  <SharedDoc>false</SharedDoc>
  <HLinks>
    <vt:vector size="12" baseType="variant">
      <vt:variant>
        <vt:i4>2687087</vt:i4>
      </vt:variant>
      <vt:variant>
        <vt:i4>-1</vt:i4>
      </vt:variant>
      <vt:variant>
        <vt:i4>2054</vt:i4>
      </vt:variant>
      <vt:variant>
        <vt:i4>1</vt:i4>
      </vt:variant>
      <vt:variant>
        <vt:lpwstr>Clients Q-T:Sloane Robinson:logo AW:SR_LOGO_PMS-2768.bmp</vt:lpwstr>
      </vt:variant>
      <vt:variant>
        <vt:lpwstr/>
      </vt:variant>
      <vt:variant>
        <vt:i4>2687087</vt:i4>
      </vt:variant>
      <vt:variant>
        <vt:i4>-1</vt:i4>
      </vt:variant>
      <vt:variant>
        <vt:i4>2055</vt:i4>
      </vt:variant>
      <vt:variant>
        <vt:i4>1</vt:i4>
      </vt:variant>
      <vt:variant>
        <vt:lpwstr>Clients Q-T:Sloane Robinson:logo AW:SR_LOGO_PMS-2768.bmp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EBA Short Report</dc:title>
  <dc:creator>ebouli</dc:creator>
  <cp:lastModifiedBy>ebouli</cp:lastModifiedBy>
  <cp:revision>2</cp:revision>
  <cp:lastPrinted>2012-06-13T16:45:00Z</cp:lastPrinted>
  <dcterms:created xsi:type="dcterms:W3CDTF">2013-12-03T09:21:00Z</dcterms:created>
  <dcterms:modified xsi:type="dcterms:W3CDTF">2013-12-13T18:16:00Z</dcterms:modified>
</cp:coreProperties>
</file>