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0B" w:rsidRPr="00E3680B" w:rsidRDefault="00E3680B" w:rsidP="00E3680B">
      <w:pPr>
        <w:pStyle w:val="Titlelevel3"/>
        <w:rPr>
          <w:lang w:val="en-GB"/>
        </w:rPr>
      </w:pPr>
      <w:bookmarkStart w:id="0" w:name="_Toc387848059"/>
      <w:bookmarkStart w:id="1" w:name="_Toc238803087"/>
      <w:bookmarkStart w:id="2" w:name="_Toc238803888"/>
      <w:r w:rsidRPr="00E3680B">
        <w:rPr>
          <w:lang w:val="en-GB"/>
        </w:rPr>
        <w:t>Annex II – Instructions for the completion of the templates in Annex I</w:t>
      </w:r>
      <w:bookmarkEnd w:id="0"/>
    </w:p>
    <w:p w:rsidR="00E3680B" w:rsidRPr="00E3680B" w:rsidRDefault="00E3680B" w:rsidP="00E3680B">
      <w:pPr>
        <w:spacing w:before="240" w:after="240"/>
        <w:rPr>
          <w:b/>
          <w:color w:val="2F5773"/>
          <w:sz w:val="24"/>
          <w:lang w:val="en-GB"/>
        </w:rPr>
      </w:pPr>
    </w:p>
    <w:p w:rsidR="00E3680B" w:rsidRPr="00E3680B" w:rsidRDefault="00E3680B" w:rsidP="00E3680B">
      <w:pPr>
        <w:tabs>
          <w:tab w:val="left" w:pos="0"/>
        </w:tabs>
        <w:spacing w:line="300" w:lineRule="exact"/>
        <w:jc w:val="both"/>
        <w:outlineLvl w:val="0"/>
        <w:rPr>
          <w:rFonts w:ascii="Times New Roman" w:eastAsia="Times New Roman" w:hAnsi="Times New Roman"/>
          <w:b/>
          <w:color w:val="000000"/>
          <w:sz w:val="24"/>
          <w:lang w:val="en-GB"/>
        </w:rPr>
      </w:pPr>
      <w:r w:rsidRPr="00E3680B">
        <w:rPr>
          <w:rFonts w:ascii="Times New Roman" w:eastAsia="Times New Roman" w:hAnsi="Times New Roman"/>
          <w:b/>
          <w:color w:val="000000"/>
          <w:sz w:val="24"/>
          <w:lang w:val="en-GB"/>
        </w:rPr>
        <w:t>PART 1: GENERAL INSTRUCTIONS</w:t>
      </w:r>
    </w:p>
    <w:p w:rsidR="00E3680B" w:rsidRPr="00E3680B" w:rsidRDefault="00E3680B" w:rsidP="00E3680B">
      <w:pPr>
        <w:tabs>
          <w:tab w:val="left" w:pos="0"/>
        </w:tabs>
        <w:spacing w:line="300" w:lineRule="exact"/>
        <w:jc w:val="both"/>
        <w:outlineLvl w:val="0"/>
        <w:rPr>
          <w:rFonts w:ascii="Times New Roman" w:eastAsia="Times New Roman" w:hAnsi="Times New Roman"/>
          <w:b/>
          <w:color w:val="000000"/>
          <w:sz w:val="24"/>
          <w:lang w:val="en-GB"/>
        </w:rPr>
      </w:pPr>
      <w:bookmarkStart w:id="3" w:name="_Toc351048500"/>
    </w:p>
    <w:p w:rsidR="00E3680B" w:rsidRPr="00E3680B" w:rsidRDefault="00E3680B" w:rsidP="00E3680B">
      <w:pPr>
        <w:numPr>
          <w:ilvl w:val="0"/>
          <w:numId w:val="18"/>
        </w:numPr>
        <w:tabs>
          <w:tab w:val="left" w:pos="0"/>
        </w:tabs>
        <w:spacing w:line="300" w:lineRule="exact"/>
        <w:jc w:val="both"/>
        <w:outlineLvl w:val="1"/>
        <w:rPr>
          <w:rFonts w:ascii="Times New Roman" w:eastAsia="Times New Roman" w:hAnsi="Times New Roman"/>
          <w:b/>
          <w:color w:val="000000"/>
          <w:sz w:val="20"/>
          <w:szCs w:val="20"/>
          <w:lang w:val="en-GB"/>
        </w:rPr>
      </w:pPr>
      <w:bookmarkStart w:id="4" w:name="_Toc322687865"/>
      <w:bookmarkStart w:id="5" w:name="_Toc359414274"/>
      <w:r w:rsidRPr="00E3680B">
        <w:rPr>
          <w:rFonts w:ascii="Times New Roman" w:eastAsia="Times New Roman" w:hAnsi="Times New Roman"/>
          <w:b/>
          <w:color w:val="000000"/>
          <w:sz w:val="20"/>
          <w:szCs w:val="20"/>
          <w:lang w:val="en-GB"/>
        </w:rPr>
        <w:t>Conventions and reference data</w:t>
      </w:r>
      <w:bookmarkEnd w:id="3"/>
      <w:bookmarkEnd w:id="4"/>
      <w:bookmarkEnd w:id="5"/>
    </w:p>
    <w:p w:rsidR="00E3680B" w:rsidRPr="00E3680B" w:rsidRDefault="00E3680B" w:rsidP="00E3680B">
      <w:pPr>
        <w:tabs>
          <w:tab w:val="left" w:pos="0"/>
        </w:tabs>
        <w:spacing w:line="300" w:lineRule="exact"/>
        <w:ind w:left="357"/>
        <w:jc w:val="both"/>
        <w:outlineLvl w:val="1"/>
        <w:rPr>
          <w:rFonts w:ascii="Times New Roman" w:eastAsia="Times New Roman" w:hAnsi="Times New Roman"/>
          <w:b/>
          <w:color w:val="000000"/>
          <w:sz w:val="20"/>
          <w:szCs w:val="20"/>
          <w:lang w:val="en-GB"/>
        </w:rPr>
      </w:pPr>
    </w:p>
    <w:p w:rsidR="00E3680B" w:rsidRPr="00E3680B" w:rsidRDefault="00E3680B" w:rsidP="00E3680B">
      <w:pPr>
        <w:tabs>
          <w:tab w:val="left" w:pos="0"/>
        </w:tabs>
        <w:ind w:left="720"/>
        <w:jc w:val="both"/>
        <w:rPr>
          <w:rFonts w:ascii="Times New Roman" w:eastAsia="Times New Roman" w:hAnsi="Times New Roman"/>
          <w:color w:val="000000"/>
          <w:sz w:val="20"/>
          <w:szCs w:val="20"/>
          <w:lang w:val="en-GB"/>
        </w:rPr>
      </w:pPr>
      <w:bookmarkStart w:id="6" w:name="_Toc264038399"/>
      <w:bookmarkStart w:id="7" w:name="_Toc294018834"/>
    </w:p>
    <w:p w:rsidR="00E3680B" w:rsidRPr="00E3680B" w:rsidRDefault="00E3680B" w:rsidP="00E3680B">
      <w:pPr>
        <w:tabs>
          <w:tab w:val="left" w:pos="0"/>
        </w:tabs>
        <w:spacing w:line="300" w:lineRule="exact"/>
        <w:jc w:val="both"/>
        <w:outlineLvl w:val="2"/>
        <w:rPr>
          <w:rFonts w:ascii="Times New Roman" w:eastAsia="Times New Roman" w:hAnsi="Times New Roman"/>
          <w:b/>
          <w:color w:val="000000"/>
          <w:sz w:val="20"/>
          <w:szCs w:val="20"/>
          <w:lang w:val="en-GB"/>
        </w:rPr>
      </w:pPr>
      <w:bookmarkStart w:id="8" w:name="_Toc359414277"/>
      <w:bookmarkStart w:id="9" w:name="_Toc322687867"/>
      <w:bookmarkStart w:id="10" w:name="_Toc359414278"/>
      <w:bookmarkStart w:id="11" w:name="_Toc351048502"/>
      <w:bookmarkEnd w:id="8"/>
      <w:r w:rsidRPr="00E3680B">
        <w:rPr>
          <w:rFonts w:ascii="Times New Roman" w:eastAsia="Times New Roman" w:hAnsi="Times New Roman"/>
          <w:b/>
          <w:color w:val="000000"/>
          <w:sz w:val="20"/>
          <w:szCs w:val="20"/>
          <w:lang w:val="en-GB"/>
        </w:rPr>
        <w:tab/>
      </w:r>
    </w:p>
    <w:p w:rsidR="00E3680B" w:rsidRPr="00E3680B" w:rsidRDefault="00E3680B" w:rsidP="00E3680B">
      <w:pPr>
        <w:numPr>
          <w:ilvl w:val="1"/>
          <w:numId w:val="18"/>
        </w:numPr>
        <w:tabs>
          <w:tab w:val="left" w:pos="0"/>
        </w:tabs>
        <w:spacing w:line="300" w:lineRule="exact"/>
        <w:jc w:val="both"/>
        <w:outlineLvl w:val="2"/>
        <w:rPr>
          <w:rFonts w:ascii="Times New Roman" w:eastAsia="Times New Roman" w:hAnsi="Times New Roman"/>
          <w:b/>
          <w:color w:val="000000"/>
          <w:sz w:val="20"/>
          <w:szCs w:val="20"/>
          <w:lang w:val="en-GB"/>
        </w:rPr>
      </w:pPr>
      <w:r w:rsidRPr="00E3680B">
        <w:rPr>
          <w:rFonts w:ascii="Times New Roman" w:eastAsia="Times New Roman" w:hAnsi="Times New Roman"/>
          <w:b/>
          <w:color w:val="000000"/>
          <w:sz w:val="20"/>
          <w:szCs w:val="20"/>
          <w:lang w:val="en-GB"/>
        </w:rPr>
        <w:t>Convention</w:t>
      </w:r>
      <w:bookmarkEnd w:id="9"/>
      <w:bookmarkEnd w:id="10"/>
      <w:bookmarkEnd w:id="11"/>
      <w:r w:rsidRPr="00E3680B">
        <w:rPr>
          <w:rFonts w:ascii="Times New Roman" w:eastAsia="Times New Roman" w:hAnsi="Times New Roman"/>
          <w:b/>
          <w:color w:val="000000"/>
          <w:sz w:val="20"/>
          <w:szCs w:val="20"/>
          <w:lang w:val="en-GB"/>
        </w:rPr>
        <w:t>s</w:t>
      </w:r>
    </w:p>
    <w:p w:rsidR="00E3680B" w:rsidRPr="00E3680B" w:rsidRDefault="00E3680B" w:rsidP="00E3680B">
      <w:pPr>
        <w:tabs>
          <w:tab w:val="left" w:pos="0"/>
        </w:tabs>
        <w:spacing w:line="300" w:lineRule="exact"/>
        <w:ind w:left="357"/>
        <w:jc w:val="both"/>
        <w:outlineLvl w:val="2"/>
        <w:rPr>
          <w:rFonts w:ascii="Times New Roman" w:eastAsia="Times New Roman" w:hAnsi="Times New Roman"/>
          <w:b/>
          <w:color w:val="000000"/>
          <w:sz w:val="20"/>
          <w:szCs w:val="20"/>
          <w:lang w:val="en-GB"/>
        </w:rPr>
      </w:pPr>
    </w:p>
    <w:p w:rsidR="00E3680B" w:rsidRPr="00E3680B" w:rsidRDefault="00E3680B" w:rsidP="00E3680B">
      <w:pPr>
        <w:numPr>
          <w:ilvl w:val="0"/>
          <w:numId w:val="19"/>
        </w:numPr>
        <w:spacing w:after="240"/>
        <w:jc w:val="both"/>
        <w:rPr>
          <w:rFonts w:ascii="Times New Roman" w:eastAsia="Times New Roman" w:hAnsi="Times New Roman"/>
          <w:bCs/>
          <w:sz w:val="20"/>
          <w:szCs w:val="17"/>
          <w:lang w:val="en-GB" w:eastAsia="de-DE"/>
        </w:rPr>
      </w:pPr>
      <w:r w:rsidRPr="00E3680B">
        <w:rPr>
          <w:rFonts w:ascii="Times New Roman" w:eastAsia="Times New Roman" w:hAnsi="Times New Roman"/>
          <w:bCs/>
          <w:sz w:val="20"/>
          <w:szCs w:val="17"/>
          <w:lang w:val="en-GB" w:eastAsia="de-DE"/>
        </w:rPr>
        <w:t xml:space="preserve">The following general notation is followed in the instructions: {Template;Row}. </w:t>
      </w:r>
    </w:p>
    <w:p w:rsidR="00E3680B" w:rsidRPr="00E3680B" w:rsidRDefault="00E3680B" w:rsidP="009E5871">
      <w:pPr>
        <w:numPr>
          <w:ilvl w:val="0"/>
          <w:numId w:val="19"/>
        </w:numPr>
        <w:spacing w:after="240"/>
        <w:jc w:val="both"/>
        <w:rPr>
          <w:rFonts w:ascii="Times New Roman" w:eastAsia="Times New Roman" w:hAnsi="Times New Roman"/>
          <w:bCs/>
          <w:sz w:val="20"/>
          <w:szCs w:val="17"/>
          <w:lang w:val="en-GB" w:eastAsia="de-DE"/>
        </w:rPr>
      </w:pPr>
      <w:r w:rsidRPr="00E3680B">
        <w:rPr>
          <w:rFonts w:ascii="Times New Roman" w:eastAsia="Times New Roman" w:hAnsi="Times New Roman"/>
          <w:bCs/>
          <w:sz w:val="20"/>
          <w:szCs w:val="17"/>
          <w:lang w:val="en-GB" w:eastAsia="de-DE"/>
        </w:rPr>
        <w:t xml:space="preserve">The following notation is followed where the instructions cross refer to </w:t>
      </w:r>
      <w:r w:rsidR="0009671A">
        <w:rPr>
          <w:rFonts w:ascii="Times New Roman" w:eastAsia="Times New Roman" w:hAnsi="Times New Roman"/>
          <w:bCs/>
          <w:sz w:val="20"/>
          <w:szCs w:val="17"/>
          <w:lang w:val="en-GB" w:eastAsia="de-DE"/>
        </w:rPr>
        <w:t>cell</w:t>
      </w:r>
      <w:r w:rsidRPr="00E3680B">
        <w:rPr>
          <w:rFonts w:ascii="Times New Roman" w:eastAsia="Times New Roman" w:hAnsi="Times New Roman"/>
          <w:bCs/>
          <w:sz w:val="20"/>
          <w:szCs w:val="17"/>
          <w:lang w:val="en-GB" w:eastAsia="de-DE"/>
        </w:rPr>
        <w:t xml:space="preserve">(s) in Annex XI of </w:t>
      </w:r>
      <w:r w:rsidR="009E5871" w:rsidRPr="009E5871">
        <w:rPr>
          <w:rFonts w:ascii="Times New Roman" w:eastAsia="Times New Roman" w:hAnsi="Times New Roman"/>
          <w:bCs/>
          <w:sz w:val="20"/>
          <w:szCs w:val="17"/>
          <w:lang w:val="en-GB" w:eastAsia="de-DE"/>
        </w:rPr>
        <w:t>Commission Implementing Regulation (EU) No 680/2014</w:t>
      </w:r>
      <w:r w:rsidRPr="00E3680B">
        <w:rPr>
          <w:rFonts w:ascii="Times New Roman" w:eastAsia="Times New Roman" w:hAnsi="Times New Roman"/>
          <w:bCs/>
          <w:sz w:val="20"/>
          <w:szCs w:val="17"/>
          <w:lang w:val="en-GB" w:eastAsia="de-DE"/>
        </w:rPr>
        <w:t>: {Annex XI SupRep;Template;Row;Column}.</w:t>
      </w:r>
    </w:p>
    <w:p w:rsidR="00E3680B" w:rsidRDefault="00E3680B" w:rsidP="00E3680B">
      <w:pPr>
        <w:numPr>
          <w:ilvl w:val="0"/>
          <w:numId w:val="19"/>
        </w:numPr>
        <w:spacing w:after="240"/>
        <w:jc w:val="both"/>
        <w:rPr>
          <w:rFonts w:ascii="Times New Roman" w:eastAsia="Times New Roman" w:hAnsi="Times New Roman"/>
          <w:bCs/>
          <w:sz w:val="20"/>
          <w:szCs w:val="17"/>
          <w:lang w:val="en-GB" w:eastAsia="de-DE"/>
        </w:rPr>
      </w:pPr>
      <w:r w:rsidRPr="00E3680B">
        <w:rPr>
          <w:rFonts w:ascii="Times New Roman" w:eastAsia="Times New Roman" w:hAnsi="Times New Roman"/>
          <w:bCs/>
          <w:sz w:val="20"/>
          <w:szCs w:val="17"/>
          <w:lang w:val="en-GB" w:eastAsia="de-DE"/>
        </w:rPr>
        <w:t>For the purpose of the disclosure of the leverage ratio, ‘of which’ shall refer to an item that is a subset of a higher level exposure category.</w:t>
      </w:r>
    </w:p>
    <w:p w:rsidR="00154100" w:rsidRPr="00E3680B" w:rsidRDefault="00B30DE9" w:rsidP="00DA6228">
      <w:pPr>
        <w:numPr>
          <w:ilvl w:val="0"/>
          <w:numId w:val="19"/>
        </w:numPr>
        <w:spacing w:after="240"/>
        <w:jc w:val="both"/>
        <w:rPr>
          <w:rFonts w:ascii="Times New Roman" w:eastAsia="Times New Roman" w:hAnsi="Times New Roman"/>
          <w:bCs/>
          <w:sz w:val="20"/>
          <w:szCs w:val="17"/>
          <w:lang w:val="en-GB" w:eastAsia="de-DE"/>
        </w:rPr>
      </w:pPr>
      <w:r>
        <w:rPr>
          <w:rFonts w:ascii="Times New Roman" w:eastAsia="Times New Roman" w:hAnsi="Times New Roman"/>
          <w:bCs/>
          <w:sz w:val="20"/>
          <w:szCs w:val="17"/>
          <w:lang w:val="en-GB" w:eastAsia="de-DE"/>
        </w:rPr>
        <w:t xml:space="preserve">Just as is the case for the entire titles of these rows, institutions shall disclose the values in </w:t>
      </w:r>
      <w:r w:rsidR="00DA6228">
        <w:rPr>
          <w:rFonts w:ascii="Times New Roman" w:eastAsia="Times New Roman" w:hAnsi="Times New Roman"/>
          <w:bCs/>
          <w:sz w:val="20"/>
          <w:szCs w:val="17"/>
          <w:lang w:val="en-GB" w:eastAsia="de-DE"/>
        </w:rPr>
        <w:t xml:space="preserve">rows </w:t>
      </w:r>
      <w:r w:rsidR="00DA6228" w:rsidRPr="00DA6228">
        <w:rPr>
          <w:rFonts w:ascii="Times New Roman" w:eastAsia="Times New Roman" w:hAnsi="Times New Roman"/>
          <w:bCs/>
          <w:sz w:val="20"/>
          <w:szCs w:val="17"/>
          <w:lang w:val="en-GB" w:eastAsia="de-DE"/>
        </w:rPr>
        <w:t>{LRCom;2}  {LRCom;7}, {LRCom;8}, {LRCom;10}</w:t>
      </w:r>
      <w:r w:rsidR="00DA6228">
        <w:rPr>
          <w:rFonts w:ascii="Times New Roman" w:eastAsia="Times New Roman" w:hAnsi="Times New Roman"/>
          <w:bCs/>
          <w:sz w:val="20"/>
          <w:szCs w:val="17"/>
          <w:lang w:val="en-GB" w:eastAsia="de-DE"/>
        </w:rPr>
        <w:t>,</w:t>
      </w:r>
      <w:r w:rsidR="00DA6228" w:rsidRPr="00DA6228">
        <w:rPr>
          <w:rFonts w:ascii="Times New Roman" w:eastAsia="Times New Roman" w:hAnsi="Times New Roman"/>
          <w:bCs/>
          <w:sz w:val="20"/>
          <w:szCs w:val="17"/>
          <w:lang w:val="en-GB" w:eastAsia="de-DE"/>
        </w:rPr>
        <w:t xml:space="preserve"> {LRCom;13}</w:t>
      </w:r>
      <w:r w:rsidR="00DA6228">
        <w:rPr>
          <w:rFonts w:ascii="Times New Roman" w:eastAsia="Times New Roman" w:hAnsi="Times New Roman"/>
          <w:bCs/>
          <w:sz w:val="20"/>
          <w:szCs w:val="17"/>
          <w:lang w:val="en-GB" w:eastAsia="de-DE"/>
        </w:rPr>
        <w:t xml:space="preserve">, </w:t>
      </w:r>
      <w:r w:rsidR="00DA6228" w:rsidRPr="00DA6228">
        <w:rPr>
          <w:rFonts w:ascii="Times New Roman" w:eastAsia="Times New Roman" w:hAnsi="Times New Roman"/>
          <w:bCs/>
          <w:sz w:val="20"/>
          <w:szCs w:val="17"/>
          <w:lang w:val="en-GB" w:eastAsia="de-DE"/>
        </w:rPr>
        <w:t>{LRCom;EU-15a}</w:t>
      </w:r>
      <w:r w:rsidR="00DA6228">
        <w:rPr>
          <w:rFonts w:ascii="Times New Roman" w:eastAsia="Times New Roman" w:hAnsi="Times New Roman"/>
          <w:bCs/>
          <w:sz w:val="20"/>
          <w:szCs w:val="17"/>
          <w:lang w:val="en-GB" w:eastAsia="de-DE"/>
        </w:rPr>
        <w:t>,</w:t>
      </w:r>
      <w:r w:rsidR="00DA6228" w:rsidRPr="00DA6228">
        <w:rPr>
          <w:rFonts w:ascii="Times New Roman" w:eastAsia="Times New Roman" w:hAnsi="Times New Roman"/>
          <w:bCs/>
          <w:sz w:val="20"/>
          <w:szCs w:val="17"/>
          <w:lang w:val="en-GB" w:eastAsia="de-DE"/>
        </w:rPr>
        <w:t xml:space="preserve"> {LRCom;18}</w:t>
      </w:r>
      <w:r w:rsidR="00DA6228">
        <w:rPr>
          <w:rFonts w:ascii="Times New Roman" w:eastAsia="Times New Roman" w:hAnsi="Times New Roman"/>
          <w:bCs/>
          <w:sz w:val="20"/>
          <w:szCs w:val="17"/>
          <w:lang w:val="en-GB" w:eastAsia="de-DE"/>
        </w:rPr>
        <w:t xml:space="preserve">, </w:t>
      </w:r>
      <w:r w:rsidR="00DA6228" w:rsidRPr="00DA6228">
        <w:rPr>
          <w:rFonts w:ascii="Times New Roman" w:eastAsia="Times New Roman" w:hAnsi="Times New Roman"/>
          <w:bCs/>
          <w:sz w:val="20"/>
          <w:szCs w:val="17"/>
          <w:lang w:val="en-GB" w:eastAsia="de-DE"/>
        </w:rPr>
        <w:t>{LRCom;EU-19a}</w:t>
      </w:r>
      <w:r w:rsidR="00DA6228">
        <w:rPr>
          <w:rFonts w:ascii="Times New Roman" w:eastAsia="Times New Roman" w:hAnsi="Times New Roman"/>
          <w:bCs/>
          <w:sz w:val="20"/>
          <w:szCs w:val="17"/>
          <w:lang w:val="en-GB" w:eastAsia="de-DE"/>
        </w:rPr>
        <w:t>,</w:t>
      </w:r>
      <w:r w:rsidR="00DA6228" w:rsidRPr="00DA6228">
        <w:rPr>
          <w:rFonts w:ascii="Times New Roman" w:eastAsia="Times New Roman" w:hAnsi="Times New Roman"/>
          <w:bCs/>
          <w:sz w:val="20"/>
          <w:szCs w:val="17"/>
          <w:lang w:val="en-GB" w:eastAsia="de-DE"/>
        </w:rPr>
        <w:t xml:space="preserve"> and {LRCom;EU-19b}</w:t>
      </w:r>
      <w:r w:rsidR="00DA6228">
        <w:rPr>
          <w:rFonts w:ascii="Times New Roman" w:eastAsia="Times New Roman" w:hAnsi="Times New Roman"/>
          <w:bCs/>
          <w:sz w:val="20"/>
          <w:szCs w:val="17"/>
          <w:lang w:val="en-GB" w:eastAsia="de-DE"/>
        </w:rPr>
        <w:t xml:space="preserve"> </w:t>
      </w:r>
      <w:r w:rsidR="00154100">
        <w:rPr>
          <w:rFonts w:ascii="Times New Roman" w:eastAsia="Times New Roman" w:hAnsi="Times New Roman"/>
          <w:bCs/>
          <w:sz w:val="20"/>
          <w:szCs w:val="17"/>
          <w:lang w:val="en-GB" w:eastAsia="de-DE"/>
        </w:rPr>
        <w:t xml:space="preserve">between brackets </w:t>
      </w:r>
      <w:r w:rsidR="00DA6228">
        <w:rPr>
          <w:rFonts w:ascii="Times New Roman" w:eastAsia="Times New Roman" w:hAnsi="Times New Roman"/>
          <w:bCs/>
          <w:sz w:val="20"/>
          <w:szCs w:val="17"/>
          <w:lang w:val="en-GB" w:eastAsia="de-DE"/>
        </w:rPr>
        <w:t xml:space="preserve">as the values disclosed in these rows </w:t>
      </w:r>
      <w:r w:rsidR="00154100">
        <w:rPr>
          <w:rFonts w:ascii="Times New Roman" w:eastAsia="Times New Roman" w:hAnsi="Times New Roman"/>
          <w:bCs/>
          <w:sz w:val="20"/>
          <w:szCs w:val="17"/>
          <w:lang w:val="en-GB" w:eastAsia="de-DE"/>
        </w:rPr>
        <w:t>reduce the leverage ratio exposure.</w:t>
      </w:r>
      <w:r w:rsidR="00DA6228">
        <w:rPr>
          <w:rFonts w:ascii="Times New Roman" w:eastAsia="Times New Roman" w:hAnsi="Times New Roman"/>
          <w:bCs/>
          <w:sz w:val="20"/>
          <w:szCs w:val="17"/>
          <w:lang w:val="en-GB" w:eastAsia="de-DE"/>
        </w:rPr>
        <w:t xml:space="preserve"> </w:t>
      </w:r>
      <w:r>
        <w:rPr>
          <w:rFonts w:ascii="Times New Roman" w:eastAsia="Times New Roman" w:hAnsi="Times New Roman"/>
          <w:bCs/>
          <w:sz w:val="20"/>
          <w:szCs w:val="17"/>
          <w:lang w:val="en-GB" w:eastAsia="de-DE"/>
        </w:rPr>
        <w:t>I</w:t>
      </w:r>
      <w:r w:rsidR="00DA6228">
        <w:rPr>
          <w:rFonts w:ascii="Times New Roman" w:eastAsia="Times New Roman" w:hAnsi="Times New Roman"/>
          <w:bCs/>
          <w:sz w:val="20"/>
          <w:szCs w:val="17"/>
          <w:lang w:val="en-GB" w:eastAsia="de-DE"/>
        </w:rPr>
        <w:t xml:space="preserve">nstitutions shall ensure that these values </w:t>
      </w:r>
      <w:r w:rsidR="00DA6228" w:rsidRPr="00DA6228">
        <w:rPr>
          <w:rFonts w:ascii="Times New Roman" w:eastAsia="Times New Roman" w:hAnsi="Times New Roman"/>
          <w:bCs/>
          <w:sz w:val="20"/>
          <w:szCs w:val="17"/>
          <w:lang w:val="en-GB" w:eastAsia="de-DE"/>
        </w:rPr>
        <w:t>contribute negatively to the sum</w:t>
      </w:r>
      <w:r w:rsidR="00DA6228">
        <w:rPr>
          <w:rFonts w:ascii="Times New Roman" w:eastAsia="Times New Roman" w:hAnsi="Times New Roman"/>
          <w:bCs/>
          <w:sz w:val="20"/>
          <w:szCs w:val="17"/>
          <w:lang w:val="en-GB" w:eastAsia="de-DE"/>
        </w:rPr>
        <w:t>s</w:t>
      </w:r>
      <w:r w:rsidR="00DA6228" w:rsidRPr="00DA6228">
        <w:rPr>
          <w:rFonts w:ascii="Times New Roman" w:eastAsia="Times New Roman" w:hAnsi="Times New Roman"/>
          <w:bCs/>
          <w:sz w:val="20"/>
          <w:szCs w:val="17"/>
          <w:lang w:val="en-GB" w:eastAsia="de-DE"/>
        </w:rPr>
        <w:t xml:space="preserve"> to be disclosed in {LRCom</w:t>
      </w:r>
      <w:r w:rsidR="0091168B">
        <w:rPr>
          <w:rFonts w:ascii="Times New Roman" w:eastAsia="Times New Roman" w:hAnsi="Times New Roman"/>
          <w:bCs/>
          <w:sz w:val="20"/>
          <w:szCs w:val="17"/>
          <w:lang w:val="en-GB" w:eastAsia="de-DE"/>
        </w:rPr>
        <w:t>;</w:t>
      </w:r>
      <w:r w:rsidR="0091168B" w:rsidRPr="00DA6228">
        <w:rPr>
          <w:rFonts w:ascii="Times New Roman" w:eastAsia="Times New Roman" w:hAnsi="Times New Roman"/>
          <w:bCs/>
          <w:sz w:val="20"/>
          <w:szCs w:val="17"/>
          <w:lang w:val="en-GB" w:eastAsia="de-DE"/>
        </w:rPr>
        <w:t xml:space="preserve"> </w:t>
      </w:r>
      <w:r w:rsidR="00DA6228" w:rsidRPr="00DA6228">
        <w:rPr>
          <w:rFonts w:ascii="Times New Roman" w:eastAsia="Times New Roman" w:hAnsi="Times New Roman"/>
          <w:bCs/>
          <w:sz w:val="20"/>
          <w:szCs w:val="17"/>
          <w:lang w:val="en-GB" w:eastAsia="de-DE"/>
        </w:rPr>
        <w:t>3}</w:t>
      </w:r>
      <w:r w:rsidR="00DA6228">
        <w:rPr>
          <w:rFonts w:ascii="Times New Roman" w:eastAsia="Times New Roman" w:hAnsi="Times New Roman"/>
          <w:bCs/>
          <w:sz w:val="20"/>
          <w:szCs w:val="17"/>
          <w:lang w:val="en-GB" w:eastAsia="de-DE"/>
        </w:rPr>
        <w:t xml:space="preserve">, </w:t>
      </w:r>
      <w:r w:rsidR="00DA6228" w:rsidRPr="00DA6228">
        <w:rPr>
          <w:rFonts w:ascii="Times New Roman" w:eastAsia="Times New Roman" w:hAnsi="Times New Roman"/>
          <w:bCs/>
          <w:sz w:val="20"/>
          <w:szCs w:val="17"/>
          <w:lang w:val="en-GB" w:eastAsia="de-DE"/>
        </w:rPr>
        <w:t>{LRCom</w:t>
      </w:r>
      <w:r w:rsidR="0091168B">
        <w:rPr>
          <w:rFonts w:ascii="Times New Roman" w:eastAsia="Times New Roman" w:hAnsi="Times New Roman"/>
          <w:bCs/>
          <w:sz w:val="20"/>
          <w:szCs w:val="17"/>
          <w:lang w:val="en-GB" w:eastAsia="de-DE"/>
        </w:rPr>
        <w:t>;</w:t>
      </w:r>
      <w:r w:rsidR="00DA6228" w:rsidRPr="00DA6228">
        <w:rPr>
          <w:rFonts w:ascii="Times New Roman" w:eastAsia="Times New Roman" w:hAnsi="Times New Roman"/>
          <w:bCs/>
          <w:sz w:val="20"/>
          <w:szCs w:val="17"/>
          <w:lang w:val="en-GB" w:eastAsia="de-DE"/>
        </w:rPr>
        <w:t>11}</w:t>
      </w:r>
      <w:r w:rsidR="00DA6228">
        <w:rPr>
          <w:rFonts w:ascii="Times New Roman" w:eastAsia="Times New Roman" w:hAnsi="Times New Roman"/>
          <w:bCs/>
          <w:sz w:val="20"/>
          <w:szCs w:val="17"/>
          <w:lang w:val="en-GB" w:eastAsia="de-DE"/>
        </w:rPr>
        <w:t xml:space="preserve">, </w:t>
      </w:r>
      <w:r w:rsidR="00DA6228" w:rsidRPr="00DA6228">
        <w:rPr>
          <w:rFonts w:ascii="Times New Roman" w:eastAsia="Times New Roman" w:hAnsi="Times New Roman"/>
          <w:bCs/>
          <w:sz w:val="20"/>
          <w:szCs w:val="17"/>
          <w:lang w:val="en-GB" w:eastAsia="de-DE"/>
        </w:rPr>
        <w:t>{LRCom</w:t>
      </w:r>
      <w:r w:rsidR="0091168B">
        <w:rPr>
          <w:rFonts w:ascii="Times New Roman" w:eastAsia="Times New Roman" w:hAnsi="Times New Roman"/>
          <w:bCs/>
          <w:sz w:val="20"/>
          <w:szCs w:val="17"/>
          <w:lang w:val="en-GB" w:eastAsia="de-DE"/>
        </w:rPr>
        <w:t>;</w:t>
      </w:r>
      <w:r w:rsidR="00DA6228" w:rsidRPr="00DA6228">
        <w:rPr>
          <w:rFonts w:ascii="Times New Roman" w:eastAsia="Times New Roman" w:hAnsi="Times New Roman"/>
          <w:bCs/>
          <w:sz w:val="20"/>
          <w:szCs w:val="17"/>
          <w:lang w:val="en-GB" w:eastAsia="de-DE"/>
        </w:rPr>
        <w:t>16}</w:t>
      </w:r>
      <w:r w:rsidR="00DA6228">
        <w:rPr>
          <w:rFonts w:ascii="Times New Roman" w:eastAsia="Times New Roman" w:hAnsi="Times New Roman"/>
          <w:bCs/>
          <w:sz w:val="20"/>
          <w:szCs w:val="17"/>
          <w:lang w:val="en-GB" w:eastAsia="de-DE"/>
        </w:rPr>
        <w:t xml:space="preserve">, </w:t>
      </w:r>
      <w:r w:rsidR="00DA6228" w:rsidRPr="00DA6228">
        <w:rPr>
          <w:rFonts w:ascii="Times New Roman" w:eastAsia="Times New Roman" w:hAnsi="Times New Roman"/>
          <w:bCs/>
          <w:sz w:val="20"/>
          <w:szCs w:val="17"/>
          <w:lang w:val="en-GB" w:eastAsia="de-DE"/>
        </w:rPr>
        <w:t>{LRCom</w:t>
      </w:r>
      <w:r w:rsidR="0091168B">
        <w:rPr>
          <w:rFonts w:ascii="Times New Roman" w:eastAsia="Times New Roman" w:hAnsi="Times New Roman"/>
          <w:bCs/>
          <w:sz w:val="20"/>
          <w:szCs w:val="17"/>
          <w:lang w:val="en-GB" w:eastAsia="de-DE"/>
        </w:rPr>
        <w:t>;</w:t>
      </w:r>
      <w:r w:rsidR="00DA6228" w:rsidRPr="00DA6228">
        <w:rPr>
          <w:rFonts w:ascii="Times New Roman" w:eastAsia="Times New Roman" w:hAnsi="Times New Roman"/>
          <w:bCs/>
          <w:sz w:val="20"/>
          <w:szCs w:val="17"/>
          <w:lang w:val="en-GB" w:eastAsia="de-DE"/>
        </w:rPr>
        <w:t>19}</w:t>
      </w:r>
      <w:r w:rsidR="00DA6228">
        <w:rPr>
          <w:rFonts w:ascii="Times New Roman" w:eastAsia="Times New Roman" w:hAnsi="Times New Roman"/>
          <w:bCs/>
          <w:sz w:val="20"/>
          <w:szCs w:val="17"/>
          <w:lang w:val="en-GB" w:eastAsia="de-DE"/>
        </w:rPr>
        <w:t xml:space="preserve">,  and </w:t>
      </w:r>
      <w:r w:rsidR="00DA6228" w:rsidRPr="00DA6228">
        <w:rPr>
          <w:rFonts w:ascii="Times New Roman" w:eastAsia="Times New Roman" w:hAnsi="Times New Roman"/>
          <w:bCs/>
          <w:sz w:val="20"/>
          <w:szCs w:val="17"/>
          <w:lang w:val="en-GB" w:eastAsia="de-DE"/>
        </w:rPr>
        <w:t>{LRCom</w:t>
      </w:r>
      <w:r w:rsidR="0091168B">
        <w:rPr>
          <w:rFonts w:ascii="Times New Roman" w:eastAsia="Times New Roman" w:hAnsi="Times New Roman"/>
          <w:bCs/>
          <w:sz w:val="20"/>
          <w:szCs w:val="17"/>
          <w:lang w:val="en-GB" w:eastAsia="de-DE"/>
        </w:rPr>
        <w:t>;</w:t>
      </w:r>
      <w:r w:rsidR="00DA6228">
        <w:rPr>
          <w:rFonts w:ascii="Times New Roman" w:eastAsia="Times New Roman" w:hAnsi="Times New Roman"/>
          <w:bCs/>
          <w:sz w:val="20"/>
          <w:szCs w:val="17"/>
          <w:lang w:val="en-GB" w:eastAsia="de-DE"/>
        </w:rPr>
        <w:t>21</w:t>
      </w:r>
      <w:r w:rsidR="00DA6228" w:rsidRPr="00DA6228">
        <w:rPr>
          <w:rFonts w:ascii="Times New Roman" w:eastAsia="Times New Roman" w:hAnsi="Times New Roman"/>
          <w:bCs/>
          <w:sz w:val="20"/>
          <w:szCs w:val="17"/>
          <w:lang w:val="en-GB" w:eastAsia="de-DE"/>
        </w:rPr>
        <w:t>}.</w:t>
      </w:r>
    </w:p>
    <w:p w:rsidR="00E3680B" w:rsidRPr="00E3680B" w:rsidRDefault="00E3680B" w:rsidP="00E3680B">
      <w:pPr>
        <w:tabs>
          <w:tab w:val="left" w:pos="0"/>
        </w:tabs>
        <w:spacing w:line="300" w:lineRule="exact"/>
        <w:ind w:left="720"/>
        <w:jc w:val="both"/>
        <w:rPr>
          <w:rFonts w:ascii="Times New Roman" w:eastAsia="Times New Roman" w:hAnsi="Times New Roman"/>
          <w:color w:val="000000"/>
          <w:sz w:val="20"/>
          <w:szCs w:val="20"/>
          <w:lang w:val="en-GB"/>
        </w:rPr>
      </w:pPr>
    </w:p>
    <w:p w:rsidR="00E3680B" w:rsidRPr="00E3680B" w:rsidRDefault="00E3680B" w:rsidP="00E3680B">
      <w:pPr>
        <w:numPr>
          <w:ilvl w:val="1"/>
          <w:numId w:val="18"/>
        </w:numPr>
        <w:tabs>
          <w:tab w:val="left" w:pos="0"/>
        </w:tabs>
        <w:spacing w:line="300" w:lineRule="exact"/>
        <w:jc w:val="both"/>
        <w:outlineLvl w:val="2"/>
        <w:rPr>
          <w:rFonts w:ascii="Times New Roman" w:eastAsia="Times New Roman" w:hAnsi="Times New Roman"/>
          <w:b/>
          <w:color w:val="000000"/>
          <w:sz w:val="20"/>
          <w:szCs w:val="20"/>
          <w:lang w:val="en-GB"/>
        </w:rPr>
      </w:pPr>
      <w:bookmarkStart w:id="12" w:name="_Toc359414279"/>
      <w:bookmarkEnd w:id="6"/>
      <w:bookmarkEnd w:id="7"/>
      <w:bookmarkEnd w:id="12"/>
      <w:r w:rsidRPr="00E3680B">
        <w:rPr>
          <w:rFonts w:ascii="Times New Roman" w:eastAsia="Times New Roman" w:hAnsi="Times New Roman"/>
          <w:b/>
          <w:color w:val="000000"/>
          <w:sz w:val="20"/>
          <w:szCs w:val="20"/>
          <w:lang w:val="en-GB"/>
        </w:rPr>
        <w:t>Reference data</w:t>
      </w:r>
    </w:p>
    <w:p w:rsidR="00E3680B" w:rsidRPr="00E3680B" w:rsidRDefault="00E3680B" w:rsidP="00E3680B">
      <w:pPr>
        <w:tabs>
          <w:tab w:val="left" w:pos="0"/>
        </w:tabs>
        <w:spacing w:line="300" w:lineRule="exact"/>
        <w:ind w:left="357"/>
        <w:jc w:val="both"/>
        <w:outlineLvl w:val="2"/>
        <w:rPr>
          <w:rFonts w:ascii="Times New Roman" w:eastAsia="Times New Roman" w:hAnsi="Times New Roman"/>
          <w:b/>
          <w:color w:val="000000"/>
          <w:sz w:val="20"/>
          <w:szCs w:val="20"/>
          <w:lang w:val="en-GB"/>
        </w:rPr>
      </w:pPr>
    </w:p>
    <w:p w:rsidR="00E3680B" w:rsidRPr="00E3680B" w:rsidRDefault="00E3680B" w:rsidP="00E3680B">
      <w:pPr>
        <w:numPr>
          <w:ilvl w:val="0"/>
          <w:numId w:val="19"/>
        </w:numPr>
        <w:spacing w:after="240"/>
        <w:jc w:val="both"/>
        <w:rPr>
          <w:rFonts w:ascii="Times New Roman" w:eastAsia="Times New Roman" w:hAnsi="Times New Roman"/>
          <w:bCs/>
          <w:sz w:val="20"/>
          <w:szCs w:val="17"/>
          <w:lang w:val="en-GB" w:eastAsia="de-DE"/>
        </w:rPr>
      </w:pPr>
      <w:r w:rsidRPr="00E3680B">
        <w:rPr>
          <w:rFonts w:ascii="Times New Roman" w:eastAsia="Times New Roman" w:hAnsi="Times New Roman"/>
          <w:bCs/>
          <w:sz w:val="20"/>
          <w:szCs w:val="17"/>
          <w:lang w:val="en-GB" w:eastAsia="de-DE"/>
        </w:rPr>
        <w:t xml:space="preserve">Under the </w:t>
      </w:r>
      <w:r w:rsidR="0009671A">
        <w:rPr>
          <w:rFonts w:ascii="Times New Roman" w:eastAsia="Times New Roman" w:hAnsi="Times New Roman"/>
          <w:bCs/>
          <w:sz w:val="20"/>
          <w:szCs w:val="17"/>
          <w:lang w:val="en-GB" w:eastAsia="de-DE"/>
        </w:rPr>
        <w:t>cell</w:t>
      </w:r>
      <w:r w:rsidRPr="00E3680B">
        <w:rPr>
          <w:rFonts w:ascii="Times New Roman" w:eastAsia="Times New Roman" w:hAnsi="Times New Roman"/>
          <w:bCs/>
          <w:sz w:val="20"/>
          <w:szCs w:val="17"/>
          <w:lang w:val="en-GB" w:eastAsia="de-DE"/>
        </w:rPr>
        <w:t xml:space="preserve"> ‘Reference date’ institutions shall insert the date which all information that they disclose in tables LRSum, LRCom and LRSpl refer to. This date shall be the </w:t>
      </w:r>
      <w:r w:rsidR="007B21A3">
        <w:rPr>
          <w:rFonts w:ascii="Times New Roman" w:eastAsia="Times New Roman" w:hAnsi="Times New Roman"/>
          <w:bCs/>
          <w:sz w:val="20"/>
          <w:szCs w:val="17"/>
          <w:lang w:val="en-GB" w:eastAsia="de-DE"/>
        </w:rPr>
        <w:t>last calendar day of the third month of the respective quarter</w:t>
      </w:r>
      <w:r w:rsidRPr="00E3680B">
        <w:rPr>
          <w:rFonts w:ascii="Times New Roman" w:eastAsia="Times New Roman" w:hAnsi="Times New Roman"/>
          <w:bCs/>
          <w:sz w:val="20"/>
          <w:szCs w:val="17"/>
          <w:lang w:val="en-GB" w:eastAsia="de-DE"/>
        </w:rPr>
        <w:t xml:space="preserve">.  </w:t>
      </w:r>
    </w:p>
    <w:p w:rsidR="00E3680B" w:rsidRPr="00E3680B" w:rsidRDefault="00E3680B" w:rsidP="00E3680B">
      <w:pPr>
        <w:numPr>
          <w:ilvl w:val="0"/>
          <w:numId w:val="19"/>
        </w:numPr>
        <w:spacing w:after="240"/>
        <w:jc w:val="both"/>
        <w:rPr>
          <w:rFonts w:ascii="Times New Roman" w:eastAsia="Times New Roman" w:hAnsi="Times New Roman"/>
          <w:bCs/>
          <w:sz w:val="20"/>
          <w:szCs w:val="17"/>
          <w:lang w:val="en-GB" w:eastAsia="de-DE"/>
        </w:rPr>
      </w:pPr>
      <w:r w:rsidRPr="00E3680B">
        <w:rPr>
          <w:rFonts w:ascii="Times New Roman" w:eastAsia="Times New Roman" w:hAnsi="Times New Roman"/>
          <w:bCs/>
          <w:sz w:val="20"/>
          <w:szCs w:val="17"/>
          <w:lang w:val="en-GB" w:eastAsia="de-DE"/>
        </w:rPr>
        <w:t xml:space="preserve">Under the </w:t>
      </w:r>
      <w:r w:rsidR="0009671A">
        <w:rPr>
          <w:rFonts w:ascii="Times New Roman" w:eastAsia="Times New Roman" w:hAnsi="Times New Roman"/>
          <w:bCs/>
          <w:sz w:val="20"/>
          <w:szCs w:val="17"/>
          <w:lang w:val="en-GB" w:eastAsia="de-DE"/>
        </w:rPr>
        <w:t>cell</w:t>
      </w:r>
      <w:r w:rsidRPr="00E3680B">
        <w:rPr>
          <w:rFonts w:ascii="Times New Roman" w:eastAsia="Times New Roman" w:hAnsi="Times New Roman"/>
          <w:bCs/>
          <w:sz w:val="20"/>
          <w:szCs w:val="17"/>
          <w:lang w:val="en-GB" w:eastAsia="de-DE"/>
        </w:rPr>
        <w:t xml:space="preserve"> ‘Entity name’ institutions shall insert the name of the entity to which the data provided in Tables LRSum, LRCom, LRSpl, and LRQua refer.   </w:t>
      </w:r>
    </w:p>
    <w:p w:rsidR="00E3680B" w:rsidRPr="00E3680B" w:rsidRDefault="00E3680B" w:rsidP="00E3680B">
      <w:pPr>
        <w:numPr>
          <w:ilvl w:val="0"/>
          <w:numId w:val="19"/>
        </w:numPr>
        <w:spacing w:after="240"/>
        <w:jc w:val="both"/>
        <w:rPr>
          <w:rFonts w:ascii="Times New Roman" w:eastAsia="Times New Roman" w:hAnsi="Times New Roman"/>
          <w:bCs/>
          <w:sz w:val="20"/>
          <w:szCs w:val="17"/>
          <w:lang w:val="en-GB" w:eastAsia="de-DE"/>
        </w:rPr>
      </w:pPr>
      <w:r w:rsidRPr="00E3680B">
        <w:rPr>
          <w:rFonts w:ascii="Times New Roman" w:eastAsia="Times New Roman" w:hAnsi="Times New Roman"/>
          <w:bCs/>
          <w:sz w:val="20"/>
          <w:szCs w:val="17"/>
          <w:lang w:val="en-GB" w:eastAsia="de-DE"/>
        </w:rPr>
        <w:t xml:space="preserve">Under the </w:t>
      </w:r>
      <w:r w:rsidR="0009671A">
        <w:rPr>
          <w:rFonts w:ascii="Times New Roman" w:eastAsia="Times New Roman" w:hAnsi="Times New Roman"/>
          <w:bCs/>
          <w:sz w:val="20"/>
          <w:szCs w:val="17"/>
          <w:lang w:val="en-GB" w:eastAsia="de-DE"/>
        </w:rPr>
        <w:t>cell</w:t>
      </w:r>
      <w:r w:rsidRPr="00E3680B">
        <w:rPr>
          <w:rFonts w:ascii="Times New Roman" w:eastAsia="Times New Roman" w:hAnsi="Times New Roman"/>
          <w:bCs/>
          <w:sz w:val="20"/>
          <w:szCs w:val="17"/>
          <w:lang w:val="en-GB" w:eastAsia="de-DE"/>
        </w:rPr>
        <w:t xml:space="preserve"> ‘Level of application’ institutions shall indicate the level of application that forms the basis for the data provided in the template</w:t>
      </w:r>
      <w:r w:rsidR="00C2073C">
        <w:rPr>
          <w:rFonts w:ascii="Times New Roman" w:eastAsia="Times New Roman" w:hAnsi="Times New Roman"/>
          <w:bCs/>
          <w:sz w:val="20"/>
          <w:szCs w:val="17"/>
          <w:lang w:val="en-GB" w:eastAsia="de-DE"/>
        </w:rPr>
        <w:t>s</w:t>
      </w:r>
      <w:r w:rsidRPr="00E3680B">
        <w:rPr>
          <w:rFonts w:ascii="Times New Roman" w:eastAsia="Times New Roman" w:hAnsi="Times New Roman"/>
          <w:bCs/>
          <w:sz w:val="20"/>
          <w:szCs w:val="17"/>
          <w:lang w:val="en-GB" w:eastAsia="de-DE"/>
        </w:rPr>
        <w:t xml:space="preserve">. When completing this </w:t>
      </w:r>
      <w:r w:rsidR="0009671A">
        <w:rPr>
          <w:rFonts w:ascii="Times New Roman" w:eastAsia="Times New Roman" w:hAnsi="Times New Roman"/>
          <w:bCs/>
          <w:sz w:val="20"/>
          <w:szCs w:val="17"/>
          <w:lang w:val="en-GB" w:eastAsia="de-DE"/>
        </w:rPr>
        <w:t>cell</w:t>
      </w:r>
      <w:r w:rsidRPr="00E3680B">
        <w:rPr>
          <w:rFonts w:ascii="Times New Roman" w:eastAsia="Times New Roman" w:hAnsi="Times New Roman"/>
          <w:bCs/>
          <w:sz w:val="20"/>
          <w:szCs w:val="17"/>
          <w:lang w:val="en-GB" w:eastAsia="de-DE"/>
        </w:rPr>
        <w:t xml:space="preserve"> institutions shall select one of the following:</w:t>
      </w:r>
    </w:p>
    <w:p w:rsidR="00E3680B" w:rsidRPr="00E3680B" w:rsidRDefault="00E3680B" w:rsidP="00E3680B">
      <w:pPr>
        <w:numPr>
          <w:ilvl w:val="1"/>
          <w:numId w:val="19"/>
        </w:numPr>
        <w:spacing w:after="240"/>
        <w:jc w:val="both"/>
        <w:rPr>
          <w:rFonts w:ascii="Times New Roman" w:eastAsia="Times New Roman" w:hAnsi="Times New Roman"/>
          <w:bCs/>
          <w:sz w:val="20"/>
          <w:szCs w:val="17"/>
          <w:lang w:val="en-GB" w:eastAsia="de-DE"/>
        </w:rPr>
      </w:pPr>
      <w:r w:rsidRPr="00E3680B">
        <w:rPr>
          <w:rFonts w:ascii="Times New Roman" w:eastAsia="Times New Roman" w:hAnsi="Times New Roman"/>
          <w:bCs/>
          <w:sz w:val="20"/>
          <w:szCs w:val="17"/>
          <w:lang w:val="en-GB" w:eastAsia="de-DE"/>
        </w:rPr>
        <w:t>Consolidated</w:t>
      </w:r>
    </w:p>
    <w:p w:rsidR="00E3680B" w:rsidRPr="00E3680B" w:rsidRDefault="00E3680B" w:rsidP="00E3680B">
      <w:pPr>
        <w:numPr>
          <w:ilvl w:val="1"/>
          <w:numId w:val="19"/>
        </w:numPr>
        <w:spacing w:after="240"/>
        <w:jc w:val="both"/>
        <w:rPr>
          <w:rFonts w:ascii="Times New Roman" w:eastAsia="Times New Roman" w:hAnsi="Times New Roman"/>
          <w:bCs/>
          <w:sz w:val="20"/>
          <w:szCs w:val="17"/>
          <w:lang w:val="en-GB" w:eastAsia="de-DE"/>
        </w:rPr>
      </w:pPr>
      <w:r w:rsidRPr="00E3680B">
        <w:rPr>
          <w:rFonts w:ascii="Times New Roman" w:eastAsia="Times New Roman" w:hAnsi="Times New Roman"/>
          <w:bCs/>
          <w:sz w:val="20"/>
          <w:szCs w:val="17"/>
          <w:lang w:val="en-GB" w:eastAsia="de-DE"/>
        </w:rPr>
        <w:t>Individual</w:t>
      </w:r>
    </w:p>
    <w:p w:rsidR="00E3680B" w:rsidRPr="00E3680B" w:rsidRDefault="00E3680B" w:rsidP="00E3680B">
      <w:pPr>
        <w:numPr>
          <w:ilvl w:val="1"/>
          <w:numId w:val="19"/>
        </w:numPr>
        <w:spacing w:after="240"/>
        <w:jc w:val="both"/>
        <w:rPr>
          <w:rFonts w:ascii="Times New Roman" w:eastAsia="Times New Roman" w:hAnsi="Times New Roman"/>
          <w:bCs/>
          <w:sz w:val="20"/>
          <w:szCs w:val="17"/>
          <w:lang w:val="en-GB" w:eastAsia="de-DE"/>
        </w:rPr>
      </w:pPr>
      <w:r w:rsidRPr="00E3680B">
        <w:rPr>
          <w:rFonts w:ascii="Times New Roman" w:eastAsia="Times New Roman" w:hAnsi="Times New Roman"/>
          <w:bCs/>
          <w:sz w:val="20"/>
          <w:szCs w:val="17"/>
          <w:lang w:val="en-GB" w:eastAsia="de-DE"/>
        </w:rPr>
        <w:t>Subconsolidated</w:t>
      </w:r>
    </w:p>
    <w:p w:rsidR="0009671A" w:rsidRPr="00E3680B" w:rsidRDefault="0009671A" w:rsidP="0009671A">
      <w:pPr>
        <w:numPr>
          <w:ilvl w:val="1"/>
          <w:numId w:val="18"/>
        </w:numPr>
        <w:tabs>
          <w:tab w:val="left" w:pos="0"/>
        </w:tabs>
        <w:spacing w:line="300" w:lineRule="exact"/>
        <w:jc w:val="both"/>
        <w:outlineLvl w:val="2"/>
        <w:rPr>
          <w:rFonts w:ascii="Times New Roman" w:eastAsia="Times New Roman" w:hAnsi="Times New Roman"/>
          <w:b/>
          <w:color w:val="000000"/>
          <w:sz w:val="20"/>
          <w:szCs w:val="20"/>
          <w:lang w:val="en-GB"/>
        </w:rPr>
      </w:pPr>
      <w:r w:rsidRPr="00E3680B">
        <w:rPr>
          <w:rFonts w:ascii="Times New Roman" w:eastAsia="Times New Roman" w:hAnsi="Times New Roman"/>
          <w:b/>
          <w:color w:val="000000"/>
          <w:sz w:val="20"/>
          <w:szCs w:val="20"/>
          <w:lang w:val="en-GB"/>
        </w:rPr>
        <w:t>Reference data</w:t>
      </w:r>
    </w:p>
    <w:p w:rsidR="0009671A" w:rsidRPr="00E3680B" w:rsidRDefault="0009671A" w:rsidP="0009671A">
      <w:pPr>
        <w:tabs>
          <w:tab w:val="left" w:pos="0"/>
        </w:tabs>
        <w:spacing w:line="300" w:lineRule="exact"/>
        <w:ind w:left="357"/>
        <w:jc w:val="both"/>
        <w:outlineLvl w:val="2"/>
        <w:rPr>
          <w:rFonts w:ascii="Times New Roman" w:eastAsia="Times New Roman" w:hAnsi="Times New Roman"/>
          <w:b/>
          <w:color w:val="000000"/>
          <w:sz w:val="20"/>
          <w:szCs w:val="20"/>
          <w:lang w:val="en-GB"/>
        </w:rPr>
      </w:pPr>
    </w:p>
    <w:p w:rsidR="0009671A" w:rsidRDefault="0009671A" w:rsidP="0009671A">
      <w:pPr>
        <w:numPr>
          <w:ilvl w:val="0"/>
          <w:numId w:val="19"/>
        </w:numPr>
        <w:spacing w:after="240"/>
        <w:jc w:val="both"/>
        <w:rPr>
          <w:rFonts w:ascii="Times New Roman" w:eastAsia="Times New Roman" w:hAnsi="Times New Roman"/>
          <w:bCs/>
          <w:sz w:val="20"/>
          <w:szCs w:val="17"/>
          <w:lang w:val="en-GB" w:eastAsia="de-DE"/>
        </w:rPr>
      </w:pPr>
      <w:r w:rsidRPr="0009671A">
        <w:rPr>
          <w:rFonts w:ascii="Times New Roman" w:eastAsia="Times New Roman" w:hAnsi="Times New Roman"/>
          <w:bCs/>
          <w:sz w:val="20"/>
          <w:szCs w:val="17"/>
          <w:lang w:val="en-GB" w:eastAsia="de-DE"/>
        </w:rPr>
        <w:t>For the purposes of this annex and related templates the following abbreviations are used:</w:t>
      </w:r>
      <w:r w:rsidRPr="00E3680B">
        <w:rPr>
          <w:rFonts w:ascii="Times New Roman" w:eastAsia="Times New Roman" w:hAnsi="Times New Roman"/>
          <w:bCs/>
          <w:sz w:val="20"/>
          <w:szCs w:val="17"/>
          <w:lang w:val="en-GB" w:eastAsia="de-DE"/>
        </w:rPr>
        <w:t xml:space="preserve">  </w:t>
      </w:r>
    </w:p>
    <w:p w:rsidR="0009671A" w:rsidRDefault="0009671A" w:rsidP="00B815F6">
      <w:pPr>
        <w:numPr>
          <w:ilvl w:val="1"/>
          <w:numId w:val="19"/>
        </w:numPr>
        <w:spacing w:after="240"/>
        <w:jc w:val="both"/>
        <w:rPr>
          <w:rFonts w:ascii="Times New Roman" w:eastAsia="Times New Roman" w:hAnsi="Times New Roman"/>
          <w:bCs/>
          <w:sz w:val="20"/>
          <w:szCs w:val="17"/>
          <w:lang w:val="en-GB" w:eastAsia="de-DE"/>
        </w:rPr>
      </w:pPr>
      <w:r w:rsidRPr="0009671A">
        <w:rPr>
          <w:rFonts w:ascii="Times New Roman" w:eastAsia="Times New Roman" w:hAnsi="Times New Roman"/>
          <w:bCs/>
          <w:sz w:val="20"/>
          <w:szCs w:val="17"/>
          <w:lang w:val="en-GB" w:eastAsia="de-DE"/>
        </w:rPr>
        <w:t>CRR, which is an abbreviation of Capital Requirements Regulation and shall mean Regulation (EU) No 575/2013.</w:t>
      </w:r>
    </w:p>
    <w:p w:rsidR="0009671A" w:rsidRPr="00E3680B" w:rsidRDefault="0009671A" w:rsidP="00B815F6">
      <w:pPr>
        <w:numPr>
          <w:ilvl w:val="1"/>
          <w:numId w:val="19"/>
        </w:numPr>
        <w:spacing w:after="240"/>
        <w:jc w:val="both"/>
        <w:rPr>
          <w:rFonts w:ascii="Times New Roman" w:eastAsia="Times New Roman" w:hAnsi="Times New Roman"/>
          <w:bCs/>
          <w:sz w:val="20"/>
          <w:szCs w:val="17"/>
          <w:lang w:val="en-GB" w:eastAsia="de-DE"/>
        </w:rPr>
      </w:pPr>
      <w:r w:rsidRPr="0009671A">
        <w:rPr>
          <w:rFonts w:ascii="Times New Roman" w:eastAsia="Times New Roman" w:hAnsi="Times New Roman"/>
          <w:bCs/>
          <w:sz w:val="20"/>
          <w:szCs w:val="17"/>
          <w:lang w:val="en-GB" w:eastAsia="de-DE"/>
        </w:rPr>
        <w:t xml:space="preserve">SFT, which is an abbreviation of Securities Financing Transaction and shall mean “repurchase transactions, securities or commodities lending or borrowing transactions, long settlement transactions and margin lending transactions” of Regulation (EU) No 575/2013  </w:t>
      </w:r>
    </w:p>
    <w:p w:rsidR="00E3680B" w:rsidRPr="00E3680B" w:rsidRDefault="00E3680B" w:rsidP="0009671A">
      <w:r w:rsidRPr="00E3680B">
        <w:br w:type="page"/>
      </w:r>
    </w:p>
    <w:p w:rsidR="00E3680B" w:rsidRPr="00E3680B" w:rsidRDefault="00E3680B" w:rsidP="00E3680B">
      <w:pPr>
        <w:tabs>
          <w:tab w:val="left" w:pos="0"/>
        </w:tabs>
        <w:spacing w:line="300" w:lineRule="exact"/>
        <w:jc w:val="both"/>
        <w:outlineLvl w:val="0"/>
        <w:rPr>
          <w:rFonts w:ascii="Times New Roman" w:eastAsia="Times New Roman" w:hAnsi="Times New Roman"/>
          <w:b/>
          <w:color w:val="000000"/>
          <w:sz w:val="24"/>
          <w:lang w:val="en-GB"/>
        </w:rPr>
      </w:pPr>
      <w:bookmarkStart w:id="13" w:name="_Toc359414281"/>
      <w:bookmarkStart w:id="14" w:name="_Toc351048504"/>
      <w:r w:rsidRPr="00E3680B">
        <w:rPr>
          <w:rFonts w:ascii="Times New Roman" w:eastAsia="Times New Roman" w:hAnsi="Times New Roman"/>
          <w:b/>
          <w:color w:val="000000"/>
          <w:sz w:val="24"/>
          <w:lang w:val="en-GB"/>
        </w:rPr>
        <w:t>PART 2: TEMPLATE-SPECIFIC INSTRUCTIONS</w:t>
      </w:r>
      <w:bookmarkEnd w:id="13"/>
      <w:bookmarkEnd w:id="14"/>
    </w:p>
    <w:p w:rsidR="00E3680B" w:rsidRPr="00E3680B" w:rsidRDefault="00E3680B" w:rsidP="00E3680B">
      <w:pPr>
        <w:tabs>
          <w:tab w:val="left" w:pos="0"/>
        </w:tabs>
        <w:spacing w:line="300" w:lineRule="exact"/>
        <w:jc w:val="both"/>
        <w:outlineLvl w:val="1"/>
        <w:rPr>
          <w:rFonts w:ascii="Times New Roman" w:eastAsia="Times New Roman" w:hAnsi="Times New Roman"/>
          <w:b/>
          <w:color w:val="000000"/>
          <w:sz w:val="20"/>
          <w:szCs w:val="20"/>
          <w:lang w:val="en-GB"/>
        </w:rPr>
      </w:pPr>
    </w:p>
    <w:p w:rsidR="00E3680B" w:rsidRPr="00E3680B" w:rsidRDefault="00E3680B" w:rsidP="00E3680B">
      <w:pPr>
        <w:numPr>
          <w:ilvl w:val="0"/>
          <w:numId w:val="18"/>
        </w:numPr>
        <w:tabs>
          <w:tab w:val="left" w:pos="0"/>
        </w:tabs>
        <w:spacing w:line="300" w:lineRule="exact"/>
        <w:jc w:val="both"/>
        <w:outlineLvl w:val="1"/>
        <w:rPr>
          <w:rFonts w:ascii="Times New Roman" w:eastAsia="Times New Roman" w:hAnsi="Times New Roman"/>
          <w:b/>
          <w:color w:val="000000"/>
          <w:sz w:val="20"/>
          <w:szCs w:val="20"/>
          <w:lang w:val="en-GB"/>
        </w:rPr>
      </w:pPr>
      <w:r w:rsidRPr="00E3680B">
        <w:rPr>
          <w:rFonts w:ascii="Times New Roman" w:eastAsia="Times New Roman" w:hAnsi="Times New Roman"/>
          <w:b/>
          <w:color w:val="000000"/>
          <w:sz w:val="20"/>
          <w:szCs w:val="20"/>
          <w:lang w:val="en-GB"/>
        </w:rPr>
        <w:t>Table LRSum: Summary reconciliation of accounting assets and leverage ratio exposures</w:t>
      </w:r>
    </w:p>
    <w:p w:rsidR="00E3680B" w:rsidRPr="00E3680B" w:rsidRDefault="00E3680B" w:rsidP="00E3680B">
      <w:pPr>
        <w:tabs>
          <w:tab w:val="left" w:pos="0"/>
        </w:tabs>
        <w:jc w:val="both"/>
        <w:rPr>
          <w:rFonts w:ascii="Times New Roman" w:eastAsia="Times New Roman" w:hAnsi="Times New Roman"/>
          <w:color w:val="000000"/>
          <w:sz w:val="20"/>
          <w:szCs w:val="20"/>
          <w:lang w:val="en-GB"/>
        </w:rPr>
      </w:pPr>
    </w:p>
    <w:p w:rsidR="00E3680B" w:rsidRPr="00E3680B" w:rsidRDefault="00E3680B" w:rsidP="00B815F6">
      <w:pPr>
        <w:numPr>
          <w:ilvl w:val="0"/>
          <w:numId w:val="19"/>
        </w:numPr>
        <w:spacing w:after="240"/>
        <w:jc w:val="both"/>
        <w:rPr>
          <w:rFonts w:ascii="Times New Roman" w:eastAsia="MS Mincho" w:hAnsi="Times New Roman"/>
          <w:sz w:val="20"/>
          <w:szCs w:val="20"/>
          <w:lang w:val="it-IT" w:eastAsia="ja-JP"/>
        </w:rPr>
      </w:pPr>
      <w:r w:rsidRPr="00B815F6">
        <w:rPr>
          <w:rFonts w:ascii="Times New Roman" w:eastAsia="Times New Roman" w:hAnsi="Times New Roman"/>
          <w:bCs/>
          <w:sz w:val="20"/>
          <w:szCs w:val="17"/>
          <w:lang w:val="en-GB" w:eastAsia="de-DE"/>
        </w:rPr>
        <w:t>Institutions shall apply the instructions provided in this section in order to complete table LRSum of Annex</w:t>
      </w:r>
      <w:r w:rsidRPr="00E3680B">
        <w:rPr>
          <w:rFonts w:ascii="Times New Roman" w:eastAsia="Times New Roman" w:hAnsi="Times New Roman"/>
          <w:color w:val="000000"/>
          <w:sz w:val="20"/>
          <w:szCs w:val="20"/>
          <w:lang w:val="en-GB"/>
        </w:rPr>
        <w:t xml:space="preserve"> I. </w:t>
      </w:r>
    </w:p>
    <w:p w:rsidR="00E3680B" w:rsidRPr="00E3680B" w:rsidRDefault="00E3680B" w:rsidP="00E3680B">
      <w:pPr>
        <w:tabs>
          <w:tab w:val="left" w:pos="0"/>
        </w:tabs>
        <w:ind w:left="720"/>
        <w:jc w:val="both"/>
        <w:rPr>
          <w:rFonts w:ascii="Times New Roman" w:eastAsia="MS Mincho" w:hAnsi="Times New Roman"/>
          <w:sz w:val="20"/>
          <w:szCs w:val="20"/>
          <w:lang w:val="it-IT" w:eastAsia="ja-JP"/>
        </w:rPr>
      </w:pPr>
    </w:p>
    <w:p w:rsidR="00E3680B" w:rsidRPr="00E3680B" w:rsidRDefault="00E3680B" w:rsidP="00E3680B">
      <w:pPr>
        <w:tabs>
          <w:tab w:val="left" w:pos="0"/>
        </w:tabs>
        <w:spacing w:line="300" w:lineRule="exact"/>
        <w:jc w:val="both"/>
        <w:rPr>
          <w:rFonts w:ascii="Times New Roman" w:eastAsia="Times New Roman" w:hAnsi="Times New Roman"/>
          <w:color w:val="000000"/>
          <w:sz w:val="20"/>
          <w:szCs w:val="20"/>
          <w:lang w:val="en-GB"/>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590"/>
      </w:tblGrid>
      <w:tr w:rsidR="00E3680B" w:rsidRPr="00E3680B" w:rsidTr="0084732E">
        <w:trPr>
          <w:trHeight w:val="304"/>
        </w:trPr>
        <w:tc>
          <w:tcPr>
            <w:tcW w:w="1418"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color w:val="000000"/>
                <w:sz w:val="20"/>
                <w:szCs w:val="20"/>
                <w:lang w:val="en-GB"/>
              </w:rPr>
            </w:pPr>
          </w:p>
        </w:tc>
        <w:tc>
          <w:tcPr>
            <w:tcW w:w="7590"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u w:val="single"/>
                <w:lang w:val="en-GB"/>
              </w:rPr>
            </w:pPr>
            <w:r w:rsidRPr="00E3680B">
              <w:rPr>
                <w:rFonts w:ascii="Times New Roman" w:eastAsia="Times New Roman" w:hAnsi="Times New Roman"/>
                <w:color w:val="000000"/>
                <w:sz w:val="20"/>
                <w:szCs w:val="20"/>
                <w:lang w:val="en-GB"/>
              </w:rPr>
              <w:t>Legal references and instructions</w:t>
            </w:r>
          </w:p>
        </w:tc>
      </w:tr>
      <w:tr w:rsidR="00E3680B" w:rsidRPr="00E3680B" w:rsidTr="0084732E">
        <w:trPr>
          <w:trHeight w:val="304"/>
        </w:trPr>
        <w:tc>
          <w:tcPr>
            <w:tcW w:w="1418" w:type="dxa"/>
            <w:tcBorders>
              <w:bottom w:val="single" w:sz="4" w:space="0" w:color="auto"/>
            </w:tcBorders>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
                <w:color w:val="000000"/>
                <w:sz w:val="20"/>
                <w:szCs w:val="20"/>
                <w:lang w:val="en-GB"/>
              </w:rPr>
            </w:pPr>
            <w:r w:rsidRPr="00E3680B">
              <w:rPr>
                <w:rFonts w:ascii="Times New Roman" w:eastAsia="Times New Roman" w:hAnsi="Times New Roman"/>
                <w:b/>
                <w:color w:val="000000"/>
                <w:sz w:val="20"/>
                <w:szCs w:val="20"/>
                <w:lang w:val="en-GB"/>
              </w:rPr>
              <w:t xml:space="preserve">Row </w:t>
            </w:r>
          </w:p>
          <w:p w:rsidR="00E3680B" w:rsidRPr="00E3680B" w:rsidRDefault="00E3680B" w:rsidP="00E3680B">
            <w:pPr>
              <w:tabs>
                <w:tab w:val="left" w:pos="0"/>
              </w:tabs>
              <w:spacing w:line="300" w:lineRule="exact"/>
              <w:jc w:val="both"/>
              <w:rPr>
                <w:rFonts w:ascii="Times New Roman" w:eastAsia="Times New Roman" w:hAnsi="Times New Roman"/>
                <w:b/>
                <w:color w:val="000000"/>
                <w:sz w:val="20"/>
                <w:szCs w:val="20"/>
                <w:lang w:val="en-GB"/>
              </w:rPr>
            </w:pPr>
          </w:p>
        </w:tc>
        <w:tc>
          <w:tcPr>
            <w:tcW w:w="7590" w:type="dxa"/>
            <w:tcBorders>
              <w:bottom w:val="single" w:sz="4" w:space="0" w:color="auto"/>
            </w:tcBorders>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p>
        </w:tc>
      </w:tr>
      <w:tr w:rsidR="00E3680B" w:rsidRPr="00E3680B" w:rsidTr="0084732E">
        <w:trPr>
          <w:trHeight w:val="1521"/>
        </w:trPr>
        <w:tc>
          <w:tcPr>
            <w:tcW w:w="1418" w:type="dxa"/>
            <w:shd w:val="clear" w:color="auto" w:fill="FFFFFF"/>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w:t>
            </w:r>
          </w:p>
          <w:p w:rsidR="00E3680B" w:rsidRPr="00E3680B" w:rsidRDefault="00E3680B" w:rsidP="00E3680B">
            <w:pPr>
              <w:tabs>
                <w:tab w:val="left" w:pos="0"/>
              </w:tabs>
              <w:spacing w:line="300" w:lineRule="exact"/>
              <w:jc w:val="both"/>
              <w:rPr>
                <w:rFonts w:ascii="Times New Roman" w:eastAsia="Times New Roman" w:hAnsi="Times New Roman"/>
                <w:b/>
                <w:color w:val="000000"/>
                <w:sz w:val="20"/>
                <w:szCs w:val="20"/>
                <w:lang w:val="en-GB"/>
              </w:rPr>
            </w:pPr>
          </w:p>
        </w:tc>
        <w:tc>
          <w:tcPr>
            <w:tcW w:w="7590" w:type="dxa"/>
            <w:shd w:val="clear" w:color="auto" w:fill="FFFFFF"/>
          </w:tcPr>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Total assets as per published financial statements</w:t>
            </w:r>
          </w:p>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total assets as published in their financial statements under the applicable accounting </w:t>
            </w:r>
            <w:r w:rsidRPr="00E3680B">
              <w:rPr>
                <w:rFonts w:ascii="Times New Roman" w:eastAsia="MS Mincho" w:hAnsi="Times New Roman"/>
                <w:sz w:val="20"/>
                <w:szCs w:val="20"/>
                <w:lang w:val="it-IT" w:eastAsia="ja-JP"/>
              </w:rPr>
              <w:t xml:space="preserve">framework as defined in Article 4(1)(77) of </w:t>
            </w:r>
            <w:r w:rsidRPr="00E3680B">
              <w:rPr>
                <w:rFonts w:ascii="Times New Roman" w:eastAsia="MS Mincho" w:hAnsi="Times New Roman"/>
                <w:color w:val="000000"/>
                <w:sz w:val="20"/>
                <w:szCs w:val="20"/>
                <w:lang w:val="it-IT" w:eastAsia="ja-JP"/>
              </w:rPr>
              <w:t>Regulation</w:t>
            </w:r>
            <w:r w:rsidRPr="00E3680B" w:rsidDel="00541EA1">
              <w:rPr>
                <w:rFonts w:ascii="Times New Roman" w:eastAsia="MS Mincho" w:hAnsi="Times New Roman"/>
                <w:sz w:val="20"/>
                <w:szCs w:val="20"/>
                <w:lang w:val="it-IT" w:eastAsia="ja-JP"/>
              </w:rPr>
              <w:t xml:space="preserve"> </w:t>
            </w:r>
            <w:r w:rsidRPr="00E3680B">
              <w:rPr>
                <w:rFonts w:ascii="Times New Roman" w:eastAsia="MS Mincho" w:hAnsi="Times New Roman"/>
                <w:sz w:val="20"/>
                <w:szCs w:val="20"/>
                <w:lang w:val="it-IT" w:eastAsia="ja-JP"/>
              </w:rPr>
              <w:t xml:space="preserve">(EU) No 575/2013. </w:t>
            </w:r>
          </w:p>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{2}</w:t>
            </w:r>
          </w:p>
          <w:p w:rsidR="00E3680B" w:rsidRPr="00E3680B" w:rsidDel="00A209C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Adjustment for entities which are consolidated for accounting purposes but are outside the scope of regulatory consolidation</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difference in value between the leverage ratio exposure as disclosed in </w:t>
            </w:r>
            <w:r w:rsidR="00B77E96">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8} and total accounting assets as disclosed in </w:t>
            </w:r>
            <w:r w:rsidR="00B77E96">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1} that results from differences between the accounting scope of consolidation and the regulatory scope of consolidation.  </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Cs/>
                <w:color w:val="000000"/>
                <w:sz w:val="20"/>
                <w:szCs w:val="20"/>
                <w:lang w:val="en-GB"/>
              </w:rPr>
              <w:t>If this adjustment leads to an increase in exposure, institutions shall disclose this as a positive amount. If this adjustment leads to a decrease in exposure, institutions shall disclose this as a negative amount.</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{3}</w:t>
            </w:r>
          </w:p>
          <w:p w:rsidR="00E3680B" w:rsidRPr="00E3680B" w:rsidDel="00A209C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B30DE9" w:rsidP="00E3680B">
            <w:pPr>
              <w:tabs>
                <w:tab w:val="left" w:pos="0"/>
              </w:tabs>
              <w:jc w:val="both"/>
              <w:rPr>
                <w:rFonts w:ascii="Times New Roman" w:eastAsia="Times New Roman" w:hAnsi="Times New Roman"/>
                <w:b/>
                <w:bCs/>
                <w:color w:val="000000"/>
                <w:sz w:val="20"/>
                <w:szCs w:val="20"/>
                <w:lang w:val="en-GB"/>
              </w:rPr>
            </w:pPr>
            <w:r>
              <w:rPr>
                <w:rFonts w:ascii="Times New Roman" w:eastAsia="Times New Roman" w:hAnsi="Times New Roman"/>
                <w:b/>
                <w:bCs/>
                <w:color w:val="000000"/>
                <w:sz w:val="20"/>
                <w:szCs w:val="20"/>
                <w:lang w:val="en-GB"/>
              </w:rPr>
              <w:t>(</w:t>
            </w:r>
            <w:r w:rsidR="00E3680B" w:rsidRPr="00E3680B">
              <w:rPr>
                <w:rFonts w:ascii="Times New Roman" w:eastAsia="Times New Roman" w:hAnsi="Times New Roman"/>
                <w:b/>
                <w:bCs/>
                <w:color w:val="000000"/>
                <w:sz w:val="20"/>
                <w:szCs w:val="20"/>
                <w:lang w:val="en-GB"/>
              </w:rPr>
              <w:t xml:space="preserve">Adjustment for fiduciary assets recognised on the balance sheet pursuant to the applicable accounting framework but excluded from the leverage ratio exposure measure </w:t>
            </w:r>
            <w:r w:rsidR="0009671A">
              <w:rPr>
                <w:rFonts w:ascii="Times New Roman" w:eastAsia="Times New Roman" w:hAnsi="Times New Roman"/>
                <w:b/>
                <w:bCs/>
                <w:color w:val="000000"/>
                <w:sz w:val="20"/>
                <w:szCs w:val="20"/>
                <w:lang w:val="en-GB"/>
              </w:rPr>
              <w:t>in accordance with</w:t>
            </w:r>
            <w:r w:rsidR="00E3680B" w:rsidRPr="00E3680B">
              <w:rPr>
                <w:rFonts w:ascii="Times New Roman" w:eastAsia="Times New Roman" w:hAnsi="Times New Roman"/>
                <w:b/>
                <w:bCs/>
                <w:color w:val="000000"/>
                <w:sz w:val="20"/>
                <w:szCs w:val="20"/>
                <w:lang w:val="en-GB"/>
              </w:rPr>
              <w:t xml:space="preserve">  Article 429 (</w:t>
            </w:r>
            <w:r w:rsidR="007B21A3" w:rsidRPr="00E3680B">
              <w:rPr>
                <w:rFonts w:ascii="Times New Roman" w:eastAsia="Times New Roman" w:hAnsi="Times New Roman"/>
                <w:b/>
                <w:bCs/>
                <w:color w:val="000000"/>
                <w:sz w:val="20"/>
                <w:szCs w:val="20"/>
                <w:lang w:val="en-GB"/>
              </w:rPr>
              <w:t>1</w:t>
            </w:r>
            <w:r w:rsidR="007B21A3">
              <w:rPr>
                <w:rFonts w:ascii="Times New Roman" w:eastAsia="Times New Roman" w:hAnsi="Times New Roman"/>
                <w:b/>
                <w:bCs/>
                <w:color w:val="000000"/>
                <w:sz w:val="20"/>
                <w:szCs w:val="20"/>
                <w:lang w:val="en-GB"/>
              </w:rPr>
              <w:t>3</w:t>
            </w:r>
            <w:r w:rsidR="00E3680B" w:rsidRPr="00E3680B">
              <w:rPr>
                <w:rFonts w:ascii="Times New Roman" w:eastAsia="Times New Roman" w:hAnsi="Times New Roman"/>
                <w:b/>
                <w:bCs/>
                <w:color w:val="000000"/>
                <w:sz w:val="20"/>
                <w:szCs w:val="20"/>
                <w:lang w:val="en-GB"/>
              </w:rPr>
              <w:t xml:space="preserve">) of </w:t>
            </w:r>
            <w:r w:rsidR="00E3680B" w:rsidRPr="00E3680B">
              <w:rPr>
                <w:rFonts w:ascii="Times New Roman" w:eastAsia="MS Mincho" w:hAnsi="Times New Roman"/>
                <w:b/>
                <w:color w:val="000000"/>
                <w:sz w:val="20"/>
                <w:szCs w:val="20"/>
                <w:lang w:val="it-IT" w:eastAsia="ja-JP"/>
              </w:rPr>
              <w:t>Regulation</w:t>
            </w:r>
            <w:r w:rsidR="00E3680B" w:rsidRPr="00E3680B" w:rsidDel="00541EA1">
              <w:rPr>
                <w:rFonts w:ascii="Times New Roman" w:eastAsia="MS Mincho" w:hAnsi="Times New Roman"/>
                <w:b/>
                <w:sz w:val="20"/>
                <w:szCs w:val="20"/>
                <w:lang w:val="it-IT" w:eastAsia="ja-JP"/>
              </w:rPr>
              <w:t xml:space="preserve"> </w:t>
            </w:r>
            <w:r w:rsidR="00E3680B" w:rsidRPr="00E3680B">
              <w:rPr>
                <w:rFonts w:ascii="Times New Roman" w:eastAsia="MS Mincho" w:hAnsi="Times New Roman"/>
                <w:b/>
                <w:sz w:val="20"/>
                <w:szCs w:val="20"/>
                <w:lang w:val="it-IT" w:eastAsia="ja-JP"/>
              </w:rPr>
              <w:t>(EU) No 575/2013</w:t>
            </w:r>
            <w:r>
              <w:rPr>
                <w:rFonts w:ascii="Times New Roman" w:eastAsia="MS Mincho" w:hAnsi="Times New Roman"/>
                <w:b/>
                <w:sz w:val="20"/>
                <w:szCs w:val="20"/>
                <w:lang w:val="it-IT" w:eastAsia="ja-JP"/>
              </w:rPr>
              <w:t>)</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amount of derecognised fiduciary items </w:t>
            </w:r>
            <w:r w:rsidR="0009671A">
              <w:rPr>
                <w:rFonts w:ascii="Times New Roman" w:eastAsia="Times New Roman" w:hAnsi="Times New Roman"/>
                <w:bCs/>
                <w:color w:val="000000"/>
                <w:sz w:val="20"/>
                <w:szCs w:val="20"/>
                <w:lang w:val="en-GB"/>
              </w:rPr>
              <w:t>in accordance with</w:t>
            </w:r>
            <w:r w:rsidRPr="00E3680B">
              <w:rPr>
                <w:rFonts w:ascii="Times New Roman" w:eastAsia="Times New Roman" w:hAnsi="Times New Roman"/>
                <w:bCs/>
                <w:color w:val="000000"/>
                <w:sz w:val="20"/>
                <w:szCs w:val="20"/>
                <w:lang w:val="en-GB"/>
              </w:rPr>
              <w:t xml:space="preserve"> Article 429 (</w:t>
            </w:r>
            <w:r w:rsidR="007B21A3" w:rsidRPr="00E3680B">
              <w:rPr>
                <w:rFonts w:ascii="Times New Roman" w:eastAsia="Times New Roman" w:hAnsi="Times New Roman"/>
                <w:bCs/>
                <w:color w:val="000000"/>
                <w:sz w:val="20"/>
                <w:szCs w:val="20"/>
                <w:lang w:val="en-GB"/>
              </w:rPr>
              <w:t>1</w:t>
            </w:r>
            <w:r w:rsidR="007B21A3">
              <w:rPr>
                <w:rFonts w:ascii="Times New Roman" w:eastAsia="Times New Roman" w:hAnsi="Times New Roman"/>
                <w:bCs/>
                <w:color w:val="000000"/>
                <w:sz w:val="20"/>
                <w:szCs w:val="20"/>
                <w:lang w:val="en-GB"/>
              </w:rPr>
              <w:t>3</w:t>
            </w:r>
            <w:r w:rsidRPr="00E3680B">
              <w:rPr>
                <w:rFonts w:ascii="Times New Roman" w:eastAsia="Times New Roman" w:hAnsi="Times New Roman"/>
                <w:bCs/>
                <w:color w:val="000000"/>
                <w:sz w:val="20"/>
                <w:szCs w:val="20"/>
                <w:lang w:val="en-GB"/>
              </w:rPr>
              <w:t xml:space="preserve">)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 xml:space="preserve">(EU) No 575/2013. </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2A18FC" w:rsidP="00B30DE9">
            <w:pPr>
              <w:tabs>
                <w:tab w:val="left" w:pos="0"/>
              </w:tabs>
              <w:jc w:val="both"/>
              <w:rPr>
                <w:rFonts w:ascii="Times New Roman" w:eastAsia="Times New Roman" w:hAnsi="Times New Roman"/>
                <w:b/>
                <w:bCs/>
                <w:color w:val="000000"/>
                <w:sz w:val="20"/>
                <w:szCs w:val="20"/>
                <w:lang w:val="en-GB"/>
              </w:rPr>
            </w:pPr>
            <w:r w:rsidRPr="002A18FC">
              <w:rPr>
                <w:rFonts w:ascii="Times New Roman" w:eastAsia="Times New Roman" w:hAnsi="Times New Roman"/>
                <w:bCs/>
                <w:color w:val="000000"/>
                <w:sz w:val="20"/>
                <w:szCs w:val="20"/>
                <w:lang w:val="en-GB"/>
              </w:rPr>
              <w:t xml:space="preserve">As these adjustments reduce the total leverage ratio exposure measure, </w:t>
            </w:r>
            <w:r w:rsidR="00B30DE9" w:rsidRPr="00B30DE9">
              <w:rPr>
                <w:rFonts w:ascii="Times New Roman" w:eastAsia="Times New Roman" w:hAnsi="Times New Roman"/>
                <w:bCs/>
                <w:color w:val="000000"/>
                <w:sz w:val="20"/>
                <w:szCs w:val="20"/>
                <w:lang w:val="en-GB"/>
              </w:rPr>
              <w:t>institutions shall place the values disclosed in this row</w:t>
            </w:r>
            <w:r w:rsidR="00B30DE9" w:rsidRPr="00B30DE9" w:rsidDel="00B30DE9">
              <w:rPr>
                <w:rFonts w:ascii="Times New Roman" w:eastAsia="Times New Roman" w:hAnsi="Times New Roman"/>
                <w:bCs/>
                <w:color w:val="000000"/>
                <w:sz w:val="20"/>
                <w:szCs w:val="20"/>
                <w:lang w:val="en-GB"/>
              </w:rPr>
              <w:t xml:space="preserve"> </w:t>
            </w:r>
            <w:r w:rsidR="00B30DE9" w:rsidRPr="00B30DE9">
              <w:rPr>
                <w:rFonts w:ascii="Times New Roman" w:eastAsia="Times New Roman" w:hAnsi="Times New Roman"/>
                <w:bCs/>
                <w:color w:val="000000"/>
                <w:sz w:val="20"/>
                <w:szCs w:val="20"/>
                <w:lang w:val="en-GB"/>
              </w:rPr>
              <w:t>between brackets (which signifies a negative amount)</w:t>
            </w:r>
            <w:r w:rsidRPr="002A18FC">
              <w:rPr>
                <w:rFonts w:ascii="Times New Roman" w:eastAsia="Times New Roman" w:hAnsi="Times New Roman"/>
                <w:bCs/>
                <w:color w:val="000000"/>
                <w:sz w:val="20"/>
                <w:szCs w:val="20"/>
                <w:lang w:val="en-GB"/>
              </w:rPr>
              <w:t>.</w:t>
            </w: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{4}</w:t>
            </w:r>
          </w:p>
          <w:p w:rsidR="00E3680B" w:rsidRPr="00E3680B" w:rsidDel="00A209C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Adjustments for derivative financial instruments</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For credit derivatives and contracts listed in Annex II of </w:t>
            </w:r>
            <w:r w:rsidRPr="00E3680B">
              <w:rPr>
                <w:rFonts w:ascii="Times New Roman" w:eastAsia="MS Mincho" w:hAnsi="Times New Roman"/>
                <w:color w:val="000000"/>
                <w:sz w:val="20"/>
                <w:szCs w:val="20"/>
                <w:lang w:val="it-IT" w:eastAsia="ja-JP"/>
              </w:rPr>
              <w:t>Regulation</w:t>
            </w:r>
            <w:r w:rsidRPr="00E3680B" w:rsidDel="00541EA1">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 xml:space="preserve">(EU) No 575/2013, institutions shall disclose the difference in value between the accounting value of the derivatives recognised as assets and the leverage ratio exposure value as determined by application of </w:t>
            </w:r>
            <w:r w:rsidR="00AB3E3E" w:rsidRPr="00AB3E3E">
              <w:rPr>
                <w:rFonts w:ascii="Times New Roman" w:eastAsia="Times New Roman" w:hAnsi="Times New Roman"/>
                <w:bCs/>
                <w:color w:val="000000"/>
                <w:sz w:val="20"/>
                <w:szCs w:val="20"/>
                <w:lang w:val="en-GB"/>
              </w:rPr>
              <w:t>Article 429 (4)(b), Article 429 (9) in conjunction with Article  429a, 429(11)</w:t>
            </w:r>
            <w:r w:rsidR="00520D29">
              <w:rPr>
                <w:rFonts w:ascii="Times New Roman" w:eastAsia="Times New Roman" w:hAnsi="Times New Roman"/>
                <w:bCs/>
                <w:color w:val="000000"/>
                <w:sz w:val="20"/>
                <w:szCs w:val="20"/>
                <w:lang w:val="en-GB"/>
              </w:rPr>
              <w:t xml:space="preserve">(a) and </w:t>
            </w:r>
            <w:r w:rsidR="00AB3E3E" w:rsidRPr="00AB3E3E">
              <w:rPr>
                <w:rFonts w:ascii="Times New Roman" w:eastAsia="Times New Roman" w:hAnsi="Times New Roman"/>
                <w:bCs/>
                <w:color w:val="000000"/>
                <w:sz w:val="20"/>
                <w:szCs w:val="20"/>
                <w:lang w:val="en-GB"/>
              </w:rPr>
              <w:t>(b) and 429 (12) and</w:t>
            </w:r>
            <w:r w:rsidR="00AB3E3E">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 xml:space="preserve">of </w:t>
            </w:r>
            <w:r w:rsidRPr="00E3680B">
              <w:rPr>
                <w:rFonts w:ascii="Times New Roman" w:eastAsia="MS Mincho" w:hAnsi="Times New Roman"/>
                <w:color w:val="000000"/>
                <w:sz w:val="20"/>
                <w:szCs w:val="20"/>
                <w:lang w:val="it-IT" w:eastAsia="ja-JP"/>
              </w:rPr>
              <w:t>Regulation</w:t>
            </w:r>
            <w:r w:rsidRPr="00E3680B" w:rsidDel="00541EA1">
              <w:rPr>
                <w:rFonts w:ascii="Times New Roman" w:eastAsia="MS Mincho" w:hAnsi="Times New Roman"/>
                <w:sz w:val="20"/>
                <w:szCs w:val="20"/>
                <w:lang w:val="it-IT" w:eastAsia="ja-JP"/>
              </w:rPr>
              <w:t xml:space="preserve"> </w:t>
            </w:r>
            <w:r w:rsidRPr="00E3680B">
              <w:rPr>
                <w:rFonts w:ascii="Times New Roman" w:eastAsia="MS Mincho" w:hAnsi="Times New Roman"/>
                <w:sz w:val="20"/>
                <w:szCs w:val="20"/>
                <w:lang w:val="it-IT" w:eastAsia="ja-JP"/>
              </w:rPr>
              <w:t>(EU) No 575/2013</w:t>
            </w:r>
            <w:r w:rsidRPr="00E3680B">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Cs/>
                <w:color w:val="000000"/>
                <w:sz w:val="20"/>
                <w:szCs w:val="20"/>
                <w:lang w:val="en-GB"/>
              </w:rPr>
              <w:t xml:space="preserve">If this adjustment leads to an increase in exposure, institutions shall disclose this as a positive amount. If this adjustment leads to a decrease in exposure, institutions shall </w:t>
            </w:r>
            <w:r w:rsidR="00B30DE9" w:rsidRPr="00B30DE9">
              <w:rPr>
                <w:rFonts w:ascii="Times New Roman" w:eastAsia="Times New Roman" w:hAnsi="Times New Roman"/>
                <w:bCs/>
                <w:color w:val="000000"/>
                <w:sz w:val="20"/>
                <w:szCs w:val="20"/>
                <w:lang w:val="en-GB"/>
              </w:rPr>
              <w:t xml:space="preserve">place this amount between brackets (which signifies </w:t>
            </w:r>
            <w:r w:rsidRPr="00E3680B">
              <w:rPr>
                <w:rFonts w:ascii="Times New Roman" w:eastAsia="Times New Roman" w:hAnsi="Times New Roman"/>
                <w:bCs/>
                <w:color w:val="000000"/>
                <w:sz w:val="20"/>
                <w:szCs w:val="20"/>
                <w:lang w:val="en-GB"/>
              </w:rPr>
              <w:t>a negative amount</w:t>
            </w:r>
            <w:r w:rsidR="00B30DE9">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{5}</w:t>
            </w:r>
          </w:p>
          <w:p w:rsidR="00E3680B" w:rsidRPr="00E3680B" w:rsidDel="00A209C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Adjustments for securities financing transactions</w:t>
            </w:r>
            <w:r w:rsidR="0009671A">
              <w:rPr>
                <w:rFonts w:ascii="Times New Roman" w:eastAsia="Times New Roman" w:hAnsi="Times New Roman"/>
                <w:b/>
                <w:bCs/>
                <w:color w:val="000000"/>
                <w:sz w:val="20"/>
                <w:szCs w:val="20"/>
                <w:lang w:val="en-GB"/>
              </w:rPr>
              <w:t xml:space="preserve"> “SFTs”</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For </w:t>
            </w:r>
            <w:r w:rsidR="0009671A">
              <w:rPr>
                <w:rFonts w:ascii="Times New Roman" w:eastAsia="Times New Roman" w:hAnsi="Times New Roman"/>
                <w:bCs/>
                <w:color w:val="000000"/>
                <w:sz w:val="20"/>
                <w:szCs w:val="20"/>
                <w:lang w:val="en-GB"/>
              </w:rPr>
              <w:t>SFTs</w:t>
            </w:r>
            <w:r w:rsidRPr="00E3680B">
              <w:rPr>
                <w:rFonts w:ascii="Times New Roman" w:eastAsia="Times New Roman" w:hAnsi="Times New Roman"/>
                <w:bCs/>
                <w:color w:val="000000"/>
                <w:sz w:val="20"/>
                <w:szCs w:val="20"/>
                <w:lang w:val="en-GB"/>
              </w:rPr>
              <w:t xml:space="preserve"> institutions shall disclose the difference in value between the accounting value of the </w:t>
            </w:r>
            <w:r w:rsidR="0009671A">
              <w:rPr>
                <w:rFonts w:ascii="Times New Roman" w:eastAsia="Times New Roman" w:hAnsi="Times New Roman"/>
                <w:bCs/>
                <w:color w:val="000000"/>
                <w:sz w:val="20"/>
                <w:szCs w:val="20"/>
                <w:lang w:val="en-GB"/>
              </w:rPr>
              <w:t>SFTs</w:t>
            </w:r>
            <w:r w:rsidRPr="00E3680B">
              <w:rPr>
                <w:rFonts w:ascii="Times New Roman" w:eastAsia="Times New Roman" w:hAnsi="Times New Roman"/>
                <w:bCs/>
                <w:color w:val="000000"/>
                <w:sz w:val="20"/>
                <w:szCs w:val="20"/>
                <w:lang w:val="en-GB"/>
              </w:rPr>
              <w:t xml:space="preserve"> recognised as assets and the leverage ratio exposure value as determined by application of </w:t>
            </w:r>
            <w:r w:rsidR="00EE6BBD" w:rsidRPr="00EE6BBD">
              <w:rPr>
                <w:rFonts w:ascii="Times New Roman" w:eastAsia="Times New Roman" w:hAnsi="Times New Roman"/>
                <w:bCs/>
                <w:color w:val="000000"/>
                <w:sz w:val="20"/>
                <w:szCs w:val="20"/>
                <w:lang w:val="en-GB"/>
              </w:rPr>
              <w:t>Article 429 (4)</w:t>
            </w:r>
            <w:r w:rsidR="0073496B">
              <w:rPr>
                <w:rFonts w:ascii="Times New Roman" w:eastAsia="Times New Roman" w:hAnsi="Times New Roman"/>
                <w:bCs/>
                <w:color w:val="000000"/>
                <w:sz w:val="20"/>
                <w:szCs w:val="20"/>
                <w:lang w:val="en-GB"/>
              </w:rPr>
              <w:t xml:space="preserve">(a) and </w:t>
            </w:r>
            <w:r w:rsidR="00EE6BBD" w:rsidRPr="00EE6BBD">
              <w:rPr>
                <w:rFonts w:ascii="Times New Roman" w:eastAsia="Times New Roman" w:hAnsi="Times New Roman"/>
                <w:bCs/>
                <w:color w:val="000000"/>
                <w:sz w:val="20"/>
                <w:szCs w:val="20"/>
                <w:lang w:val="en-GB"/>
              </w:rPr>
              <w:t>(c) in conjunction with Article 429b, Articles 429 (5)(c)</w:t>
            </w:r>
            <w:r w:rsidR="00D45465">
              <w:rPr>
                <w:rFonts w:ascii="Times New Roman" w:eastAsia="Times New Roman" w:hAnsi="Times New Roman"/>
                <w:bCs/>
                <w:color w:val="000000"/>
                <w:sz w:val="20"/>
                <w:szCs w:val="20"/>
                <w:lang w:val="en-GB"/>
              </w:rPr>
              <w:t xml:space="preserve"> and (d)</w:t>
            </w:r>
            <w:r w:rsidR="00EE6BBD" w:rsidRPr="00EE6BBD">
              <w:rPr>
                <w:rFonts w:ascii="Times New Roman" w:eastAsia="Times New Roman" w:hAnsi="Times New Roman"/>
                <w:bCs/>
                <w:color w:val="000000"/>
                <w:sz w:val="20"/>
                <w:szCs w:val="20"/>
                <w:lang w:val="en-GB"/>
              </w:rPr>
              <w:t>, 429 (8), and 429 (11)(c)-(f)</w:t>
            </w:r>
            <w:r w:rsidR="00EE6BBD">
              <w:rPr>
                <w:rFonts w:ascii="Times New Roman" w:eastAsia="Times New Roman" w:hAnsi="Times New Roman"/>
                <w:bCs/>
                <w:color w:val="000000"/>
                <w:sz w:val="20"/>
                <w:szCs w:val="20"/>
                <w:lang w:val="en-GB"/>
              </w:rPr>
              <w:t xml:space="preserve"> </w:t>
            </w:r>
            <w:r w:rsidR="008F0255">
              <w:rPr>
                <w:rFonts w:ascii="Times New Roman" w:eastAsia="Times New Roman" w:hAnsi="Times New Roman"/>
                <w:bCs/>
                <w:color w:val="000000"/>
                <w:sz w:val="20"/>
                <w:szCs w:val="20"/>
                <w:lang w:val="en-GB"/>
              </w:rPr>
              <w:t xml:space="preserve">of </w:t>
            </w:r>
            <w:r w:rsidRPr="00E3680B">
              <w:rPr>
                <w:rFonts w:ascii="Times New Roman" w:eastAsia="MS Mincho" w:hAnsi="Times New Roman"/>
                <w:color w:val="000000"/>
                <w:sz w:val="20"/>
                <w:szCs w:val="20"/>
                <w:lang w:val="it-IT" w:eastAsia="ja-JP"/>
              </w:rPr>
              <w:t>Regulation</w:t>
            </w:r>
            <w:r w:rsidRPr="00E3680B" w:rsidDel="00541EA1">
              <w:rPr>
                <w:rFonts w:ascii="Times New Roman" w:eastAsia="MS Mincho" w:hAnsi="Times New Roman"/>
                <w:sz w:val="20"/>
                <w:szCs w:val="20"/>
                <w:lang w:val="it-IT" w:eastAsia="ja-JP"/>
              </w:rPr>
              <w:t xml:space="preserve"> </w:t>
            </w:r>
            <w:r w:rsidRPr="00E3680B">
              <w:rPr>
                <w:rFonts w:ascii="Times New Roman" w:eastAsia="MS Mincho" w:hAnsi="Times New Roman"/>
                <w:sz w:val="20"/>
                <w:szCs w:val="20"/>
                <w:lang w:val="it-IT" w:eastAsia="ja-JP"/>
              </w:rPr>
              <w:t>(EU) No 575/2013</w:t>
            </w:r>
            <w:r w:rsidRPr="00E3680B">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Cs/>
                <w:color w:val="000000"/>
                <w:sz w:val="20"/>
                <w:szCs w:val="20"/>
                <w:lang w:val="en-GB"/>
              </w:rPr>
              <w:t xml:space="preserve">If this adjustment leads to an increase in the exposure, institutions shall disclose this as a positive amount. If this adjustment leads to a decrease in exposure, institutions shall </w:t>
            </w:r>
            <w:r w:rsidR="00B30DE9" w:rsidRPr="00B30DE9">
              <w:rPr>
                <w:rFonts w:ascii="Times New Roman" w:eastAsia="Times New Roman" w:hAnsi="Times New Roman"/>
                <w:bCs/>
                <w:color w:val="000000"/>
                <w:sz w:val="20"/>
                <w:szCs w:val="20"/>
                <w:lang w:val="en-GB"/>
              </w:rPr>
              <w:t xml:space="preserve">place this amount between brackets (which signifies </w:t>
            </w:r>
            <w:r w:rsidRPr="00E3680B">
              <w:rPr>
                <w:rFonts w:ascii="Times New Roman" w:eastAsia="Times New Roman" w:hAnsi="Times New Roman"/>
                <w:bCs/>
                <w:color w:val="000000"/>
                <w:sz w:val="20"/>
                <w:szCs w:val="20"/>
                <w:lang w:val="en-GB"/>
              </w:rPr>
              <w:t>a negative amount</w:t>
            </w:r>
            <w:r w:rsidR="00B30DE9">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{6}</w:t>
            </w:r>
          </w:p>
          <w:p w:rsidR="00E3680B" w:rsidRPr="00E3680B" w:rsidDel="00A209C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Adjustment for off-balance sheet items (i.e. conversion to credit equivalent amounts of off-balance sheet exposures)</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difference in value between the leverage ratio exposure as disclosed in </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8} and total accounting assets as disclosed in </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1} that results from the inclusion of off-balance sheet items in the leverage ratio exposure measure. </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715CAC" w:rsidRDefault="00715CAC" w:rsidP="00715CAC">
            <w:pPr>
              <w:tabs>
                <w:tab w:val="left" w:pos="0"/>
              </w:tabs>
              <w:jc w:val="both"/>
              <w:rPr>
                <w:rFonts w:ascii="Times New Roman" w:eastAsia="Times New Roman" w:hAnsi="Times New Roman"/>
                <w:bCs/>
                <w:color w:val="000000"/>
                <w:sz w:val="20"/>
                <w:szCs w:val="20"/>
                <w:lang w:val="en-GB"/>
              </w:rPr>
            </w:pPr>
            <w:r w:rsidRPr="00715CAC">
              <w:rPr>
                <w:rFonts w:ascii="Times New Roman" w:eastAsia="Times New Roman" w:hAnsi="Times New Roman"/>
                <w:bCs/>
                <w:color w:val="000000"/>
                <w:sz w:val="20"/>
                <w:szCs w:val="20"/>
                <w:lang w:val="en-GB"/>
              </w:rPr>
              <w:t xml:space="preserve">As these adjustments </w:t>
            </w:r>
            <w:r>
              <w:rPr>
                <w:rFonts w:ascii="Times New Roman" w:eastAsia="Times New Roman" w:hAnsi="Times New Roman"/>
                <w:bCs/>
                <w:color w:val="000000"/>
                <w:sz w:val="20"/>
                <w:szCs w:val="20"/>
                <w:lang w:val="en-GB"/>
              </w:rPr>
              <w:t>increase</w:t>
            </w:r>
            <w:r w:rsidRPr="00715CAC">
              <w:rPr>
                <w:rFonts w:ascii="Times New Roman" w:eastAsia="Times New Roman" w:hAnsi="Times New Roman"/>
                <w:bCs/>
                <w:color w:val="000000"/>
                <w:sz w:val="20"/>
                <w:szCs w:val="20"/>
                <w:lang w:val="en-GB"/>
              </w:rPr>
              <w:t xml:space="preserve"> the total </w:t>
            </w:r>
            <w:r>
              <w:rPr>
                <w:rFonts w:ascii="Times New Roman" w:eastAsia="Times New Roman" w:hAnsi="Times New Roman"/>
                <w:bCs/>
                <w:color w:val="000000"/>
                <w:sz w:val="20"/>
                <w:szCs w:val="20"/>
                <w:lang w:val="en-GB"/>
              </w:rPr>
              <w:t>leverage ratio exposure measure</w:t>
            </w:r>
            <w:r w:rsidRPr="00715CAC">
              <w:rPr>
                <w:rFonts w:ascii="Times New Roman" w:eastAsia="Times New Roman" w:hAnsi="Times New Roman"/>
                <w:bCs/>
                <w:color w:val="000000"/>
                <w:sz w:val="20"/>
                <w:szCs w:val="20"/>
                <w:lang w:val="en-GB"/>
              </w:rPr>
              <w:t xml:space="preserve">, they shall be </w:t>
            </w:r>
            <w:r w:rsidR="00B30DE9">
              <w:rPr>
                <w:rFonts w:ascii="Times New Roman" w:eastAsia="Times New Roman" w:hAnsi="Times New Roman"/>
                <w:bCs/>
                <w:color w:val="000000"/>
                <w:sz w:val="20"/>
                <w:szCs w:val="20"/>
                <w:lang w:val="en-GB"/>
              </w:rPr>
              <w:t>disclosed</w:t>
            </w:r>
            <w:r w:rsidR="00B30DE9" w:rsidRPr="00715CAC">
              <w:rPr>
                <w:rFonts w:ascii="Times New Roman" w:eastAsia="Times New Roman" w:hAnsi="Times New Roman"/>
                <w:bCs/>
                <w:color w:val="000000"/>
                <w:sz w:val="20"/>
                <w:szCs w:val="20"/>
                <w:lang w:val="en-GB"/>
              </w:rPr>
              <w:t xml:space="preserve"> </w:t>
            </w:r>
            <w:r w:rsidRPr="00715CAC">
              <w:rPr>
                <w:rFonts w:ascii="Times New Roman" w:eastAsia="Times New Roman" w:hAnsi="Times New Roman"/>
                <w:bCs/>
                <w:color w:val="000000"/>
                <w:sz w:val="20"/>
                <w:szCs w:val="20"/>
                <w:lang w:val="en-GB"/>
              </w:rPr>
              <w:t xml:space="preserve">as a </w:t>
            </w:r>
            <w:r>
              <w:rPr>
                <w:rFonts w:ascii="Times New Roman" w:eastAsia="Times New Roman" w:hAnsi="Times New Roman"/>
                <w:bCs/>
                <w:color w:val="000000"/>
                <w:sz w:val="20"/>
                <w:szCs w:val="20"/>
                <w:lang w:val="en-GB"/>
              </w:rPr>
              <w:t>positive</w:t>
            </w:r>
            <w:r w:rsidRPr="00715CAC">
              <w:rPr>
                <w:rFonts w:ascii="Times New Roman" w:eastAsia="Times New Roman" w:hAnsi="Times New Roman"/>
                <w:bCs/>
                <w:color w:val="000000"/>
                <w:sz w:val="20"/>
                <w:szCs w:val="20"/>
                <w:lang w:val="en-GB"/>
              </w:rPr>
              <w:t xml:space="preserve"> </w:t>
            </w:r>
            <w:r w:rsidR="00B30DE9">
              <w:rPr>
                <w:rFonts w:ascii="Times New Roman" w:eastAsia="Times New Roman" w:hAnsi="Times New Roman"/>
                <w:bCs/>
                <w:color w:val="000000"/>
                <w:sz w:val="20"/>
                <w:szCs w:val="20"/>
                <w:lang w:val="en-GB"/>
              </w:rPr>
              <w:t>amount</w:t>
            </w:r>
            <w:r w:rsidRPr="00715CAC">
              <w:rPr>
                <w:rFonts w:ascii="Times New Roman" w:eastAsia="Times New Roman" w:hAnsi="Times New Roman"/>
                <w:bCs/>
                <w:color w:val="000000"/>
                <w:sz w:val="20"/>
                <w:szCs w:val="20"/>
                <w:lang w:val="en-GB"/>
              </w:rPr>
              <w:t>.</w:t>
            </w:r>
          </w:p>
          <w:p w:rsidR="00715CAC" w:rsidRPr="00E3680B" w:rsidRDefault="00715CAC" w:rsidP="00E3680B">
            <w:pPr>
              <w:tabs>
                <w:tab w:val="left" w:pos="0"/>
              </w:tabs>
              <w:jc w:val="both"/>
              <w:rPr>
                <w:rFonts w:ascii="Times New Roman" w:eastAsia="Times New Roman" w:hAnsi="Times New Roman"/>
                <w:b/>
                <w:bCs/>
                <w:color w:val="000000"/>
                <w:sz w:val="20"/>
                <w:szCs w:val="20"/>
                <w:lang w:val="en-GB"/>
              </w:rPr>
            </w:pPr>
          </w:p>
        </w:tc>
      </w:tr>
      <w:tr w:rsidR="00B54E74" w:rsidRPr="00E3680B" w:rsidTr="0084732E">
        <w:trPr>
          <w:trHeight w:val="304"/>
        </w:trPr>
        <w:tc>
          <w:tcPr>
            <w:tcW w:w="1418" w:type="dxa"/>
          </w:tcPr>
          <w:p w:rsidR="00B54E74" w:rsidRPr="00E3680B" w:rsidRDefault="00B54E74" w:rsidP="00E3680B">
            <w:pPr>
              <w:tabs>
                <w:tab w:val="left" w:pos="0"/>
              </w:tabs>
              <w:spacing w:line="300" w:lineRule="exact"/>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{EU-6a}</w:t>
            </w:r>
          </w:p>
        </w:tc>
        <w:tc>
          <w:tcPr>
            <w:tcW w:w="7590" w:type="dxa"/>
          </w:tcPr>
          <w:p w:rsidR="00B54E74" w:rsidRDefault="00B30DE9" w:rsidP="00E3680B">
            <w:pPr>
              <w:tabs>
                <w:tab w:val="left" w:pos="0"/>
              </w:tabs>
              <w:jc w:val="both"/>
              <w:rPr>
                <w:rFonts w:ascii="Times New Roman" w:eastAsia="Times New Roman" w:hAnsi="Times New Roman"/>
                <w:b/>
                <w:bCs/>
                <w:color w:val="000000"/>
                <w:sz w:val="20"/>
                <w:szCs w:val="20"/>
                <w:lang w:val="en-GB"/>
              </w:rPr>
            </w:pPr>
            <w:r>
              <w:rPr>
                <w:rFonts w:ascii="Times New Roman" w:eastAsia="Times New Roman" w:hAnsi="Times New Roman"/>
                <w:b/>
                <w:bCs/>
                <w:color w:val="000000"/>
                <w:sz w:val="20"/>
                <w:szCs w:val="20"/>
                <w:lang w:val="en-GB"/>
              </w:rPr>
              <w:t>(</w:t>
            </w:r>
            <w:r w:rsidR="003615FE" w:rsidRPr="003615FE">
              <w:rPr>
                <w:rFonts w:ascii="Times New Roman" w:eastAsia="Times New Roman" w:hAnsi="Times New Roman"/>
                <w:b/>
                <w:bCs/>
                <w:color w:val="000000"/>
                <w:sz w:val="20"/>
                <w:szCs w:val="20"/>
                <w:lang w:val="en-GB"/>
              </w:rPr>
              <w:t xml:space="preserve">Exempted intragroup exposures (solo basis) </w:t>
            </w:r>
            <w:r w:rsidR="0009671A">
              <w:rPr>
                <w:rFonts w:ascii="Times New Roman" w:eastAsia="Times New Roman" w:hAnsi="Times New Roman"/>
                <w:b/>
                <w:bCs/>
                <w:color w:val="000000"/>
                <w:sz w:val="20"/>
                <w:szCs w:val="20"/>
                <w:lang w:val="en-GB"/>
              </w:rPr>
              <w:t>in accordance with</w:t>
            </w:r>
            <w:r w:rsidR="00B54E74" w:rsidRPr="00B54E74">
              <w:rPr>
                <w:rFonts w:ascii="Times New Roman" w:eastAsia="Times New Roman" w:hAnsi="Times New Roman"/>
                <w:b/>
                <w:bCs/>
                <w:color w:val="000000"/>
                <w:sz w:val="20"/>
                <w:szCs w:val="20"/>
                <w:lang w:val="en-GB"/>
              </w:rPr>
              <w:t xml:space="preserve"> Ar</w:t>
            </w:r>
            <w:r w:rsidR="008F0255">
              <w:rPr>
                <w:rFonts w:ascii="Times New Roman" w:eastAsia="Times New Roman" w:hAnsi="Times New Roman"/>
                <w:b/>
                <w:bCs/>
                <w:color w:val="000000"/>
                <w:sz w:val="20"/>
                <w:szCs w:val="20"/>
                <w:lang w:val="en-GB"/>
              </w:rPr>
              <w:t>ticle 429(</w:t>
            </w:r>
            <w:r w:rsidR="00B54E74" w:rsidRPr="00B54E74">
              <w:rPr>
                <w:rFonts w:ascii="Times New Roman" w:eastAsia="Times New Roman" w:hAnsi="Times New Roman"/>
                <w:b/>
                <w:bCs/>
                <w:color w:val="000000"/>
                <w:sz w:val="20"/>
                <w:szCs w:val="20"/>
                <w:lang w:val="en-GB"/>
              </w:rPr>
              <w:t>7)</w:t>
            </w:r>
            <w:r>
              <w:rPr>
                <w:rFonts w:ascii="Times New Roman" w:eastAsia="Times New Roman" w:hAnsi="Times New Roman"/>
                <w:b/>
                <w:bCs/>
                <w:color w:val="000000"/>
                <w:sz w:val="20"/>
                <w:szCs w:val="20"/>
                <w:lang w:val="en-GB"/>
              </w:rPr>
              <w:t>)</w:t>
            </w:r>
          </w:p>
          <w:p w:rsidR="00B54E74" w:rsidRDefault="00B54E74" w:rsidP="00E3680B">
            <w:pPr>
              <w:tabs>
                <w:tab w:val="left" w:pos="0"/>
              </w:tabs>
              <w:jc w:val="both"/>
              <w:rPr>
                <w:rFonts w:ascii="Times New Roman" w:eastAsia="Times New Roman" w:hAnsi="Times New Roman"/>
                <w:b/>
                <w:bCs/>
                <w:color w:val="000000"/>
                <w:sz w:val="20"/>
                <w:szCs w:val="20"/>
                <w:lang w:val="en-GB"/>
              </w:rPr>
            </w:pPr>
          </w:p>
          <w:p w:rsidR="00B54E74" w:rsidRDefault="003615FE" w:rsidP="003615FE">
            <w:pPr>
              <w:tabs>
                <w:tab w:val="left" w:pos="0"/>
              </w:tabs>
              <w:jc w:val="both"/>
              <w:rPr>
                <w:rFonts w:ascii="Times New Roman" w:eastAsia="Times New Roman" w:hAnsi="Times New Roman"/>
                <w:bCs/>
                <w:color w:val="000000"/>
                <w:sz w:val="20"/>
                <w:szCs w:val="20"/>
                <w:lang w:val="en-GB"/>
              </w:rPr>
            </w:pPr>
            <w:r w:rsidRPr="003615FE">
              <w:rPr>
                <w:rFonts w:ascii="Times New Roman" w:eastAsia="Times New Roman" w:hAnsi="Times New Roman"/>
                <w:bCs/>
                <w:color w:val="000000"/>
                <w:sz w:val="20"/>
                <w:szCs w:val="20"/>
                <w:lang w:val="en-GB"/>
              </w:rPr>
              <w:t xml:space="preserve">Articles 429(7), 113(6) of </w:t>
            </w:r>
            <w:r>
              <w:rPr>
                <w:rFonts w:ascii="Times New Roman" w:eastAsia="Times New Roman" w:hAnsi="Times New Roman"/>
                <w:bCs/>
                <w:color w:val="000000"/>
                <w:sz w:val="20"/>
                <w:szCs w:val="20"/>
                <w:lang w:val="en-GB"/>
              </w:rPr>
              <w:t>Regulation (EU) No 575/2013</w:t>
            </w:r>
          </w:p>
          <w:p w:rsidR="003615FE" w:rsidRDefault="003615FE" w:rsidP="003615FE">
            <w:pPr>
              <w:tabs>
                <w:tab w:val="left" w:pos="0"/>
              </w:tabs>
              <w:jc w:val="both"/>
              <w:rPr>
                <w:rFonts w:ascii="Times New Roman" w:eastAsia="Times New Roman" w:hAnsi="Times New Roman"/>
                <w:bCs/>
                <w:color w:val="000000"/>
                <w:sz w:val="20"/>
                <w:szCs w:val="20"/>
                <w:lang w:val="en-GB"/>
              </w:rPr>
            </w:pPr>
          </w:p>
          <w:p w:rsidR="00944A97" w:rsidRDefault="003615FE" w:rsidP="003615FE">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Institutions shall disclose</w:t>
            </w:r>
            <w:r w:rsidR="00944A97">
              <w:rPr>
                <w:rFonts w:ascii="Times New Roman" w:eastAsia="Times New Roman" w:hAnsi="Times New Roman"/>
                <w:bCs/>
                <w:color w:val="000000"/>
                <w:sz w:val="20"/>
                <w:szCs w:val="20"/>
                <w:lang w:val="en-GB"/>
              </w:rPr>
              <w:t xml:space="preserve"> </w:t>
            </w:r>
            <w:r w:rsidR="008F0255">
              <w:rPr>
                <w:rFonts w:ascii="Times New Roman" w:eastAsia="Times New Roman" w:hAnsi="Times New Roman"/>
                <w:bCs/>
                <w:color w:val="000000"/>
                <w:sz w:val="20"/>
                <w:szCs w:val="20"/>
                <w:lang w:val="en-GB"/>
              </w:rPr>
              <w:t>the</w:t>
            </w:r>
            <w:r w:rsidR="00737DC7">
              <w:rPr>
                <w:rFonts w:ascii="Times New Roman" w:eastAsia="Times New Roman" w:hAnsi="Times New Roman"/>
                <w:bCs/>
                <w:color w:val="000000"/>
                <w:sz w:val="20"/>
                <w:szCs w:val="20"/>
                <w:lang w:val="en-GB"/>
              </w:rPr>
              <w:t xml:space="preserve"> on balance sheet portion of</w:t>
            </w:r>
            <w:r w:rsidR="008F0255">
              <w:rPr>
                <w:rFonts w:ascii="Times New Roman" w:eastAsia="Times New Roman" w:hAnsi="Times New Roman"/>
                <w:bCs/>
                <w:color w:val="000000"/>
                <w:sz w:val="20"/>
                <w:szCs w:val="20"/>
                <w:lang w:val="en-GB"/>
              </w:rPr>
              <w:t xml:space="preserve"> e</w:t>
            </w:r>
            <w:r w:rsidR="008F0255" w:rsidRPr="00B36306">
              <w:rPr>
                <w:rFonts w:ascii="Times New Roman" w:eastAsia="Times New Roman" w:hAnsi="Times New Roman"/>
                <w:bCs/>
                <w:color w:val="000000"/>
                <w:sz w:val="20"/>
                <w:szCs w:val="20"/>
                <w:lang w:val="en-GB"/>
              </w:rPr>
              <w:t xml:space="preserve">xposures </w:t>
            </w:r>
            <w:r w:rsidR="008F0255">
              <w:rPr>
                <w:rFonts w:ascii="Times New Roman" w:eastAsia="Times New Roman" w:hAnsi="Times New Roman"/>
                <w:bCs/>
                <w:color w:val="000000"/>
                <w:sz w:val="20"/>
                <w:szCs w:val="20"/>
                <w:lang w:val="en-GB"/>
              </w:rPr>
              <w:t xml:space="preserve">excluded from the leverage ratio exposure measure </w:t>
            </w:r>
            <w:r w:rsidR="0009671A">
              <w:rPr>
                <w:rFonts w:ascii="Times New Roman" w:eastAsia="Times New Roman" w:hAnsi="Times New Roman"/>
                <w:bCs/>
                <w:color w:val="000000"/>
                <w:sz w:val="20"/>
                <w:szCs w:val="20"/>
                <w:lang w:val="en-GB"/>
              </w:rPr>
              <w:t>in accordance with</w:t>
            </w:r>
            <w:r w:rsidR="008F0255" w:rsidRPr="00B36306">
              <w:rPr>
                <w:rFonts w:ascii="Times New Roman" w:eastAsia="Times New Roman" w:hAnsi="Times New Roman"/>
                <w:bCs/>
                <w:color w:val="000000"/>
                <w:sz w:val="20"/>
                <w:szCs w:val="20"/>
                <w:lang w:val="en-GB"/>
              </w:rPr>
              <w:t xml:space="preserve"> 429(</w:t>
            </w:r>
            <w:r w:rsidR="008F0255">
              <w:rPr>
                <w:rFonts w:ascii="Times New Roman" w:eastAsia="Times New Roman" w:hAnsi="Times New Roman"/>
                <w:bCs/>
                <w:color w:val="000000"/>
                <w:sz w:val="20"/>
                <w:szCs w:val="20"/>
                <w:lang w:val="en-GB"/>
              </w:rPr>
              <w:t>7</w:t>
            </w:r>
            <w:r w:rsidR="008F0255" w:rsidRPr="00B36306">
              <w:rPr>
                <w:rFonts w:ascii="Times New Roman" w:eastAsia="Times New Roman" w:hAnsi="Times New Roman"/>
                <w:bCs/>
                <w:color w:val="000000"/>
                <w:sz w:val="20"/>
                <w:szCs w:val="20"/>
                <w:lang w:val="en-GB"/>
              </w:rPr>
              <w:t xml:space="preserve">) of </w:t>
            </w:r>
            <w:r w:rsidR="008F0255" w:rsidRPr="00E3680B">
              <w:rPr>
                <w:rFonts w:ascii="Times New Roman" w:eastAsia="MS Mincho" w:hAnsi="Times New Roman"/>
                <w:color w:val="000000"/>
                <w:sz w:val="20"/>
                <w:szCs w:val="20"/>
                <w:lang w:val="it-IT" w:eastAsia="ja-JP"/>
              </w:rPr>
              <w:t>Regulation</w:t>
            </w:r>
            <w:r w:rsidR="008F0255" w:rsidRPr="00E3680B" w:rsidDel="00541EA1">
              <w:rPr>
                <w:rFonts w:ascii="Times New Roman" w:eastAsia="MS Mincho" w:hAnsi="Times New Roman"/>
                <w:sz w:val="20"/>
                <w:szCs w:val="20"/>
                <w:lang w:val="it-IT" w:eastAsia="ja-JP"/>
              </w:rPr>
              <w:t xml:space="preserve"> </w:t>
            </w:r>
            <w:r w:rsidR="008F0255" w:rsidRPr="00E3680B">
              <w:rPr>
                <w:rFonts w:ascii="Times New Roman" w:eastAsia="MS Mincho" w:hAnsi="Times New Roman"/>
                <w:sz w:val="20"/>
                <w:szCs w:val="20"/>
                <w:lang w:val="it-IT" w:eastAsia="ja-JP"/>
              </w:rPr>
              <w:t>(EU) No 575/2013</w:t>
            </w:r>
            <w:r w:rsidR="00694611">
              <w:rPr>
                <w:rFonts w:ascii="Times New Roman" w:eastAsia="MS Mincho" w:hAnsi="Times New Roman"/>
                <w:sz w:val="20"/>
                <w:szCs w:val="20"/>
                <w:lang w:val="it-IT" w:eastAsia="ja-JP"/>
              </w:rPr>
              <w:t xml:space="preserve"> </w:t>
            </w:r>
            <w:r w:rsidR="00694611" w:rsidRPr="00694611">
              <w:rPr>
                <w:rFonts w:ascii="Times New Roman" w:eastAsia="MS Mincho" w:hAnsi="Times New Roman"/>
                <w:sz w:val="20"/>
                <w:szCs w:val="20"/>
                <w:lang w:val="it-IT" w:eastAsia="ja-JP"/>
              </w:rPr>
              <w:t>provided that all the conditions set out in points (a) to (e) of Article 113(6) of the Regulation CRR(EU) N0 575/2013  are met and where the competent authorities have given their approval.</w:t>
            </w:r>
          </w:p>
          <w:p w:rsidR="008F0255" w:rsidRDefault="008F0255" w:rsidP="003615FE">
            <w:pPr>
              <w:tabs>
                <w:tab w:val="left" w:pos="0"/>
              </w:tabs>
              <w:jc w:val="both"/>
              <w:rPr>
                <w:rFonts w:ascii="Times New Roman" w:eastAsia="Times New Roman" w:hAnsi="Times New Roman"/>
                <w:bCs/>
                <w:color w:val="000000"/>
                <w:sz w:val="20"/>
                <w:szCs w:val="20"/>
                <w:lang w:val="en-GB"/>
              </w:rPr>
            </w:pPr>
          </w:p>
          <w:p w:rsidR="003615FE" w:rsidRDefault="003615FE" w:rsidP="003615FE">
            <w:pPr>
              <w:tabs>
                <w:tab w:val="left" w:pos="0"/>
              </w:tabs>
              <w:jc w:val="both"/>
              <w:rPr>
                <w:rFonts w:ascii="Times New Roman" w:eastAsia="Times New Roman" w:hAnsi="Times New Roman"/>
                <w:bCs/>
                <w:color w:val="000000"/>
                <w:sz w:val="20"/>
                <w:szCs w:val="20"/>
                <w:lang w:val="en-GB"/>
              </w:rPr>
            </w:pPr>
          </w:p>
          <w:p w:rsidR="00715CAC" w:rsidRDefault="00715CAC" w:rsidP="003615FE">
            <w:pPr>
              <w:tabs>
                <w:tab w:val="left" w:pos="0"/>
              </w:tabs>
              <w:jc w:val="both"/>
              <w:rPr>
                <w:rFonts w:ascii="Times New Roman" w:eastAsia="Times New Roman" w:hAnsi="Times New Roman"/>
                <w:bCs/>
                <w:color w:val="000000"/>
                <w:sz w:val="20"/>
                <w:szCs w:val="20"/>
                <w:lang w:val="en-GB"/>
              </w:rPr>
            </w:pPr>
          </w:p>
          <w:p w:rsidR="00715CAC" w:rsidRDefault="00715CAC" w:rsidP="00715CAC">
            <w:pPr>
              <w:tabs>
                <w:tab w:val="left" w:pos="0"/>
              </w:tabs>
              <w:jc w:val="both"/>
              <w:rPr>
                <w:rFonts w:ascii="Times New Roman" w:eastAsia="Times New Roman" w:hAnsi="Times New Roman"/>
                <w:bCs/>
                <w:color w:val="000000"/>
                <w:sz w:val="20"/>
                <w:szCs w:val="20"/>
                <w:lang w:val="en-GB"/>
              </w:rPr>
            </w:pPr>
            <w:r w:rsidRPr="00715CAC">
              <w:rPr>
                <w:rFonts w:ascii="Times New Roman" w:eastAsia="Times New Roman" w:hAnsi="Times New Roman"/>
                <w:bCs/>
                <w:color w:val="000000"/>
                <w:sz w:val="20"/>
                <w:szCs w:val="20"/>
                <w:lang w:val="en-GB"/>
              </w:rPr>
              <w:t xml:space="preserve">As these adjustments reduce the total </w:t>
            </w:r>
            <w:r>
              <w:rPr>
                <w:rFonts w:ascii="Times New Roman" w:eastAsia="Times New Roman" w:hAnsi="Times New Roman"/>
                <w:bCs/>
                <w:color w:val="000000"/>
                <w:sz w:val="20"/>
                <w:szCs w:val="20"/>
                <w:lang w:val="en-GB"/>
              </w:rPr>
              <w:t>leverage ratio exposure measure</w:t>
            </w:r>
            <w:r w:rsidRPr="00715CAC">
              <w:rPr>
                <w:rFonts w:ascii="Times New Roman" w:eastAsia="Times New Roman" w:hAnsi="Times New Roman"/>
                <w:bCs/>
                <w:color w:val="000000"/>
                <w:sz w:val="20"/>
                <w:szCs w:val="20"/>
                <w:lang w:val="en-GB"/>
              </w:rPr>
              <w:t xml:space="preserve">, </w:t>
            </w:r>
            <w:r w:rsidR="00B30DE9" w:rsidRPr="00B30DE9">
              <w:rPr>
                <w:rFonts w:ascii="Times New Roman" w:eastAsia="Times New Roman" w:hAnsi="Times New Roman"/>
                <w:bCs/>
                <w:color w:val="000000"/>
                <w:sz w:val="20"/>
                <w:szCs w:val="20"/>
                <w:lang w:val="en-GB"/>
              </w:rPr>
              <w:t>institutions shall place the va</w:t>
            </w:r>
            <w:r w:rsidR="00B30DE9">
              <w:rPr>
                <w:rFonts w:ascii="Times New Roman" w:eastAsia="Times New Roman" w:hAnsi="Times New Roman"/>
                <w:bCs/>
                <w:color w:val="000000"/>
                <w:sz w:val="20"/>
                <w:szCs w:val="20"/>
                <w:lang w:val="en-GB"/>
              </w:rPr>
              <w:t xml:space="preserve">lues disclosed in this row </w:t>
            </w:r>
            <w:r w:rsidR="00B30DE9" w:rsidRPr="00B30DE9">
              <w:rPr>
                <w:rFonts w:ascii="Times New Roman" w:eastAsia="Times New Roman" w:hAnsi="Times New Roman"/>
                <w:bCs/>
                <w:color w:val="000000"/>
                <w:sz w:val="20"/>
                <w:szCs w:val="20"/>
                <w:lang w:val="en-GB"/>
              </w:rPr>
              <w:t>between brackets (which signifies a negative amount)</w:t>
            </w:r>
            <w:r w:rsidRPr="00715CAC">
              <w:rPr>
                <w:rFonts w:ascii="Times New Roman" w:eastAsia="Times New Roman" w:hAnsi="Times New Roman"/>
                <w:bCs/>
                <w:color w:val="000000"/>
                <w:sz w:val="20"/>
                <w:szCs w:val="20"/>
                <w:lang w:val="en-GB"/>
              </w:rPr>
              <w:t>.</w:t>
            </w:r>
          </w:p>
          <w:p w:rsidR="003615FE" w:rsidRPr="00744CC4" w:rsidRDefault="00715CAC" w:rsidP="00715CAC">
            <w:pPr>
              <w:tabs>
                <w:tab w:val="left" w:pos="0"/>
              </w:tabs>
              <w:jc w:val="both"/>
              <w:rPr>
                <w:rFonts w:ascii="Times New Roman" w:eastAsia="Times New Roman" w:hAnsi="Times New Roman"/>
                <w:bCs/>
                <w:color w:val="000000"/>
                <w:sz w:val="20"/>
                <w:szCs w:val="20"/>
                <w:lang w:val="en-GB"/>
              </w:rPr>
            </w:pPr>
            <w:r w:rsidRPr="00715CAC">
              <w:rPr>
                <w:rFonts w:ascii="Times New Roman" w:eastAsia="Times New Roman" w:hAnsi="Times New Roman"/>
                <w:bCs/>
                <w:color w:val="000000"/>
                <w:sz w:val="20"/>
                <w:szCs w:val="20"/>
                <w:lang w:val="en-GB"/>
              </w:rPr>
              <w:t xml:space="preserve"> </w:t>
            </w:r>
          </w:p>
        </w:tc>
      </w:tr>
      <w:tr w:rsidR="00B54E74" w:rsidRPr="00E3680B" w:rsidTr="0084732E">
        <w:trPr>
          <w:trHeight w:val="304"/>
        </w:trPr>
        <w:tc>
          <w:tcPr>
            <w:tcW w:w="1418" w:type="dxa"/>
          </w:tcPr>
          <w:p w:rsidR="00B54E74" w:rsidRPr="00E3680B" w:rsidRDefault="00B54E74" w:rsidP="00E3680B">
            <w:pPr>
              <w:tabs>
                <w:tab w:val="left" w:pos="0"/>
              </w:tabs>
              <w:spacing w:line="300" w:lineRule="exact"/>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{EU-6b}</w:t>
            </w:r>
          </w:p>
        </w:tc>
        <w:tc>
          <w:tcPr>
            <w:tcW w:w="7590" w:type="dxa"/>
          </w:tcPr>
          <w:p w:rsidR="00B54E74" w:rsidRDefault="00B30DE9" w:rsidP="00E3680B">
            <w:pPr>
              <w:tabs>
                <w:tab w:val="left" w:pos="0"/>
              </w:tabs>
              <w:jc w:val="both"/>
              <w:rPr>
                <w:rFonts w:ascii="Times New Roman" w:eastAsia="Times New Roman" w:hAnsi="Times New Roman"/>
                <w:b/>
                <w:bCs/>
                <w:color w:val="000000"/>
                <w:sz w:val="20"/>
                <w:szCs w:val="20"/>
                <w:lang w:val="en-GB"/>
              </w:rPr>
            </w:pPr>
            <w:r>
              <w:rPr>
                <w:rFonts w:ascii="Times New Roman" w:eastAsia="Times New Roman" w:hAnsi="Times New Roman"/>
                <w:b/>
                <w:bCs/>
                <w:color w:val="000000"/>
                <w:sz w:val="20"/>
                <w:szCs w:val="20"/>
                <w:lang w:val="en-GB"/>
              </w:rPr>
              <w:t>(</w:t>
            </w:r>
            <w:r w:rsidR="00B54E74" w:rsidRPr="00B54E74">
              <w:rPr>
                <w:rFonts w:ascii="Times New Roman" w:eastAsia="Times New Roman" w:hAnsi="Times New Roman"/>
                <w:b/>
                <w:bCs/>
                <w:color w:val="000000"/>
                <w:sz w:val="20"/>
                <w:szCs w:val="20"/>
                <w:lang w:val="en-GB"/>
              </w:rPr>
              <w:t xml:space="preserve">Exposures exempted </w:t>
            </w:r>
            <w:r w:rsidR="0009671A">
              <w:rPr>
                <w:rFonts w:ascii="Times New Roman" w:eastAsia="Times New Roman" w:hAnsi="Times New Roman"/>
                <w:b/>
                <w:bCs/>
                <w:color w:val="000000"/>
                <w:sz w:val="20"/>
                <w:szCs w:val="20"/>
                <w:lang w:val="en-GB"/>
              </w:rPr>
              <w:t>in accordance with</w:t>
            </w:r>
            <w:r w:rsidR="00B54E74" w:rsidRPr="00B54E74">
              <w:rPr>
                <w:rFonts w:ascii="Times New Roman" w:eastAsia="Times New Roman" w:hAnsi="Times New Roman"/>
                <w:b/>
                <w:bCs/>
                <w:color w:val="000000"/>
                <w:sz w:val="20"/>
                <w:szCs w:val="20"/>
                <w:lang w:val="en-GB"/>
              </w:rPr>
              <w:t xml:space="preserve"> </w:t>
            </w:r>
            <w:r w:rsidR="008F0255">
              <w:rPr>
                <w:rFonts w:ascii="Times New Roman" w:eastAsia="Times New Roman" w:hAnsi="Times New Roman"/>
                <w:b/>
                <w:bCs/>
                <w:color w:val="000000"/>
                <w:sz w:val="20"/>
                <w:szCs w:val="20"/>
                <w:lang w:val="en-GB"/>
              </w:rPr>
              <w:t xml:space="preserve">Article </w:t>
            </w:r>
            <w:r w:rsidR="00B54E74" w:rsidRPr="00B54E74">
              <w:rPr>
                <w:rFonts w:ascii="Times New Roman" w:eastAsia="Times New Roman" w:hAnsi="Times New Roman"/>
                <w:b/>
                <w:bCs/>
                <w:color w:val="000000"/>
                <w:sz w:val="20"/>
                <w:szCs w:val="20"/>
                <w:lang w:val="en-GB"/>
              </w:rPr>
              <w:t xml:space="preserve"> 429(14)</w:t>
            </w:r>
            <w:r>
              <w:rPr>
                <w:rFonts w:ascii="Times New Roman" w:eastAsia="Times New Roman" w:hAnsi="Times New Roman"/>
                <w:b/>
                <w:bCs/>
                <w:color w:val="000000"/>
                <w:sz w:val="20"/>
                <w:szCs w:val="20"/>
                <w:lang w:val="en-GB"/>
              </w:rPr>
              <w:t>)</w:t>
            </w:r>
          </w:p>
          <w:p w:rsidR="00B54E74" w:rsidRPr="00744CC4" w:rsidRDefault="00B54E74" w:rsidP="00E3680B">
            <w:pPr>
              <w:tabs>
                <w:tab w:val="left" w:pos="0"/>
              </w:tabs>
              <w:jc w:val="both"/>
              <w:rPr>
                <w:rFonts w:ascii="Times New Roman" w:eastAsia="Times New Roman" w:hAnsi="Times New Roman"/>
                <w:bCs/>
                <w:color w:val="000000"/>
                <w:sz w:val="20"/>
                <w:szCs w:val="20"/>
                <w:lang w:val="en-GB"/>
              </w:rPr>
            </w:pPr>
          </w:p>
          <w:p w:rsidR="00B36306" w:rsidRPr="00744CC4" w:rsidRDefault="00B36306" w:rsidP="00744CC4">
            <w:pPr>
              <w:tabs>
                <w:tab w:val="left" w:pos="0"/>
              </w:tabs>
              <w:jc w:val="both"/>
              <w:rPr>
                <w:rFonts w:ascii="Times New Roman" w:eastAsia="Times New Roman" w:hAnsi="Times New Roman"/>
                <w:bCs/>
                <w:color w:val="000000"/>
                <w:sz w:val="20"/>
                <w:szCs w:val="20"/>
                <w:lang w:val="en-GB"/>
              </w:rPr>
            </w:pPr>
            <w:r w:rsidRPr="00744CC4">
              <w:rPr>
                <w:rFonts w:ascii="Times New Roman" w:eastAsia="Times New Roman" w:hAnsi="Times New Roman"/>
                <w:bCs/>
                <w:color w:val="000000"/>
                <w:sz w:val="20"/>
                <w:szCs w:val="20"/>
                <w:lang w:val="en-GB"/>
              </w:rPr>
              <w:t>Article 429(14) of Regulation (EU) No 575/2013</w:t>
            </w:r>
          </w:p>
          <w:p w:rsidR="003615FE" w:rsidRDefault="003615FE" w:rsidP="003615FE">
            <w:pPr>
              <w:tabs>
                <w:tab w:val="left" w:pos="0"/>
              </w:tabs>
              <w:jc w:val="both"/>
              <w:rPr>
                <w:rFonts w:ascii="Times New Roman" w:eastAsia="Times New Roman" w:hAnsi="Times New Roman"/>
                <w:bCs/>
                <w:color w:val="000000"/>
                <w:sz w:val="20"/>
                <w:szCs w:val="20"/>
                <w:lang w:val="en-GB"/>
              </w:rPr>
            </w:pPr>
          </w:p>
          <w:p w:rsidR="00B36306" w:rsidRDefault="00B36306" w:rsidP="003615FE">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Institutions shall disclose</w:t>
            </w:r>
            <w:r>
              <w:rPr>
                <w:rFonts w:ascii="Times New Roman" w:eastAsia="Times New Roman" w:hAnsi="Times New Roman"/>
                <w:bCs/>
                <w:color w:val="000000"/>
                <w:sz w:val="20"/>
                <w:szCs w:val="20"/>
                <w:lang w:val="en-GB"/>
              </w:rPr>
              <w:t xml:space="preserve"> the</w:t>
            </w:r>
            <w:r w:rsidR="00737DC7">
              <w:rPr>
                <w:rFonts w:ascii="Times New Roman" w:eastAsia="Times New Roman" w:hAnsi="Times New Roman"/>
                <w:bCs/>
                <w:color w:val="000000"/>
                <w:sz w:val="20"/>
                <w:szCs w:val="20"/>
                <w:lang w:val="en-GB"/>
              </w:rPr>
              <w:t xml:space="preserve"> on balance sheet portion of</w:t>
            </w:r>
            <w:r>
              <w:rPr>
                <w:rFonts w:ascii="Times New Roman" w:eastAsia="Times New Roman" w:hAnsi="Times New Roman"/>
                <w:bCs/>
                <w:color w:val="000000"/>
                <w:sz w:val="20"/>
                <w:szCs w:val="20"/>
                <w:lang w:val="en-GB"/>
              </w:rPr>
              <w:t xml:space="preserve"> e</w:t>
            </w:r>
            <w:r w:rsidRPr="00B36306">
              <w:rPr>
                <w:rFonts w:ascii="Times New Roman" w:eastAsia="Times New Roman" w:hAnsi="Times New Roman"/>
                <w:bCs/>
                <w:color w:val="000000"/>
                <w:sz w:val="20"/>
                <w:szCs w:val="20"/>
                <w:lang w:val="en-GB"/>
              </w:rPr>
              <w:t xml:space="preserve">xposures </w:t>
            </w:r>
            <w:r>
              <w:rPr>
                <w:rFonts w:ascii="Times New Roman" w:eastAsia="Times New Roman" w:hAnsi="Times New Roman"/>
                <w:bCs/>
                <w:color w:val="000000"/>
                <w:sz w:val="20"/>
                <w:szCs w:val="20"/>
                <w:lang w:val="en-GB"/>
              </w:rPr>
              <w:t xml:space="preserve">excluded from the leverage ratio exposure measure </w:t>
            </w:r>
            <w:r w:rsidR="0009671A">
              <w:rPr>
                <w:rFonts w:ascii="Times New Roman" w:eastAsia="Times New Roman" w:hAnsi="Times New Roman"/>
                <w:bCs/>
                <w:color w:val="000000"/>
                <w:sz w:val="20"/>
                <w:szCs w:val="20"/>
                <w:lang w:val="en-GB"/>
              </w:rPr>
              <w:t>in accordance with</w:t>
            </w:r>
            <w:r w:rsidRPr="00B36306">
              <w:rPr>
                <w:rFonts w:ascii="Times New Roman" w:eastAsia="Times New Roman" w:hAnsi="Times New Roman"/>
                <w:bCs/>
                <w:color w:val="000000"/>
                <w:sz w:val="20"/>
                <w:szCs w:val="20"/>
                <w:lang w:val="en-GB"/>
              </w:rPr>
              <w:t xml:space="preserve"> 429(14) of </w:t>
            </w:r>
            <w:r w:rsidR="008F0255" w:rsidRPr="00E3680B">
              <w:rPr>
                <w:rFonts w:ascii="Times New Roman" w:eastAsia="MS Mincho" w:hAnsi="Times New Roman"/>
                <w:color w:val="000000"/>
                <w:sz w:val="20"/>
                <w:szCs w:val="20"/>
                <w:lang w:val="it-IT" w:eastAsia="ja-JP"/>
              </w:rPr>
              <w:t>Regulation</w:t>
            </w:r>
            <w:r w:rsidR="008F0255" w:rsidRPr="00E3680B" w:rsidDel="00541EA1">
              <w:rPr>
                <w:rFonts w:ascii="Times New Roman" w:eastAsia="MS Mincho" w:hAnsi="Times New Roman"/>
                <w:sz w:val="20"/>
                <w:szCs w:val="20"/>
                <w:lang w:val="it-IT" w:eastAsia="ja-JP"/>
              </w:rPr>
              <w:t xml:space="preserve"> </w:t>
            </w:r>
            <w:r w:rsidR="008F0255" w:rsidRPr="00E3680B">
              <w:rPr>
                <w:rFonts w:ascii="Times New Roman" w:eastAsia="MS Mincho" w:hAnsi="Times New Roman"/>
                <w:sz w:val="20"/>
                <w:szCs w:val="20"/>
                <w:lang w:val="it-IT" w:eastAsia="ja-JP"/>
              </w:rPr>
              <w:t>(EU) No 575/2013</w:t>
            </w:r>
            <w:r w:rsidR="00694611">
              <w:rPr>
                <w:rFonts w:ascii="Times New Roman" w:eastAsia="Times New Roman" w:hAnsi="Times New Roman"/>
                <w:bCs/>
                <w:color w:val="000000"/>
                <w:sz w:val="20"/>
                <w:szCs w:val="20"/>
                <w:lang w:val="en-GB"/>
              </w:rPr>
              <w:t xml:space="preserve"> </w:t>
            </w:r>
            <w:r w:rsidR="00694611" w:rsidRPr="00694611">
              <w:rPr>
                <w:rFonts w:ascii="Times New Roman" w:eastAsia="Times New Roman" w:hAnsi="Times New Roman"/>
                <w:bCs/>
                <w:color w:val="000000"/>
                <w:sz w:val="20"/>
                <w:szCs w:val="20"/>
                <w:lang w:val="en-GB"/>
              </w:rPr>
              <w:t>subject to the therein stated conditions being met and where the competent authorities have given their approval.</w:t>
            </w:r>
          </w:p>
          <w:p w:rsidR="0063724E" w:rsidRPr="00E3680B" w:rsidRDefault="0063724E" w:rsidP="0063724E">
            <w:pPr>
              <w:tabs>
                <w:tab w:val="left" w:pos="0"/>
              </w:tabs>
              <w:jc w:val="both"/>
              <w:rPr>
                <w:rFonts w:ascii="Times New Roman" w:eastAsia="Times New Roman" w:hAnsi="Times New Roman"/>
                <w:b/>
                <w:bCs/>
                <w:color w:val="000000"/>
                <w:sz w:val="20"/>
                <w:szCs w:val="20"/>
                <w:lang w:val="en-GB"/>
              </w:rPr>
            </w:pPr>
          </w:p>
          <w:p w:rsidR="008F0255" w:rsidRDefault="008F0255" w:rsidP="003615FE">
            <w:pPr>
              <w:tabs>
                <w:tab w:val="left" w:pos="0"/>
              </w:tabs>
              <w:jc w:val="both"/>
              <w:rPr>
                <w:rFonts w:ascii="Times New Roman" w:eastAsia="Times New Roman" w:hAnsi="Times New Roman"/>
                <w:bCs/>
                <w:color w:val="000000"/>
                <w:sz w:val="20"/>
                <w:szCs w:val="20"/>
                <w:lang w:val="en-GB"/>
              </w:rPr>
            </w:pPr>
          </w:p>
          <w:p w:rsidR="00715CAC" w:rsidRDefault="00715CAC" w:rsidP="00715CAC">
            <w:pPr>
              <w:tabs>
                <w:tab w:val="left" w:pos="0"/>
              </w:tabs>
              <w:jc w:val="both"/>
              <w:rPr>
                <w:rFonts w:ascii="Times New Roman" w:eastAsia="Times New Roman" w:hAnsi="Times New Roman"/>
                <w:bCs/>
                <w:color w:val="000000"/>
                <w:sz w:val="20"/>
                <w:szCs w:val="20"/>
                <w:lang w:val="en-GB"/>
              </w:rPr>
            </w:pPr>
            <w:r w:rsidRPr="00715CAC">
              <w:rPr>
                <w:rFonts w:ascii="Times New Roman" w:eastAsia="Times New Roman" w:hAnsi="Times New Roman"/>
                <w:bCs/>
                <w:color w:val="000000"/>
                <w:sz w:val="20"/>
                <w:szCs w:val="20"/>
                <w:lang w:val="en-GB"/>
              </w:rPr>
              <w:t xml:space="preserve">As these adjustments reduce the total </w:t>
            </w:r>
            <w:r>
              <w:rPr>
                <w:rFonts w:ascii="Times New Roman" w:eastAsia="Times New Roman" w:hAnsi="Times New Roman"/>
                <w:bCs/>
                <w:color w:val="000000"/>
                <w:sz w:val="20"/>
                <w:szCs w:val="20"/>
                <w:lang w:val="en-GB"/>
              </w:rPr>
              <w:t>leverage ratio exposure measure</w:t>
            </w:r>
            <w:r w:rsidR="00B30DE9" w:rsidRPr="00B30DE9">
              <w:rPr>
                <w:rFonts w:ascii="Times New Roman" w:eastAsia="Times New Roman" w:hAnsi="Times New Roman"/>
                <w:bCs/>
                <w:color w:val="000000"/>
                <w:sz w:val="20"/>
                <w:szCs w:val="20"/>
                <w:lang w:val="en-GB"/>
              </w:rPr>
              <w:t>, institutions shall place the values disclosed in this row</w:t>
            </w:r>
            <w:r w:rsidR="00B30DE9">
              <w:rPr>
                <w:rFonts w:ascii="Times New Roman" w:eastAsia="Times New Roman" w:hAnsi="Times New Roman"/>
                <w:bCs/>
                <w:color w:val="000000"/>
                <w:sz w:val="20"/>
                <w:szCs w:val="20"/>
                <w:lang w:val="en-GB"/>
              </w:rPr>
              <w:t xml:space="preserve"> between brackets (which signifies</w:t>
            </w:r>
            <w:r w:rsidRPr="00715CAC">
              <w:rPr>
                <w:rFonts w:ascii="Times New Roman" w:eastAsia="Times New Roman" w:hAnsi="Times New Roman"/>
                <w:bCs/>
                <w:color w:val="000000"/>
                <w:sz w:val="20"/>
                <w:szCs w:val="20"/>
                <w:lang w:val="en-GB"/>
              </w:rPr>
              <w:t xml:space="preserve"> a negative </w:t>
            </w:r>
            <w:r w:rsidR="00B30DE9">
              <w:rPr>
                <w:rFonts w:ascii="Times New Roman" w:eastAsia="Times New Roman" w:hAnsi="Times New Roman"/>
                <w:bCs/>
                <w:color w:val="000000"/>
                <w:sz w:val="20"/>
                <w:szCs w:val="20"/>
                <w:lang w:val="en-GB"/>
              </w:rPr>
              <w:t>amount)</w:t>
            </w:r>
            <w:r w:rsidRPr="00715CAC">
              <w:rPr>
                <w:rFonts w:ascii="Times New Roman" w:eastAsia="Times New Roman" w:hAnsi="Times New Roman"/>
                <w:bCs/>
                <w:color w:val="000000"/>
                <w:sz w:val="20"/>
                <w:szCs w:val="20"/>
                <w:lang w:val="en-GB"/>
              </w:rPr>
              <w:t>.</w:t>
            </w:r>
          </w:p>
          <w:p w:rsidR="00715CAC" w:rsidRPr="00744CC4" w:rsidRDefault="00715CAC" w:rsidP="003615FE">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{7}</w:t>
            </w:r>
          </w:p>
          <w:p w:rsidR="00E3680B" w:rsidRPr="00E3680B" w:rsidDel="00A209C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Other adjustments</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include any remaining difference in value between the leverage ratio exposure as disclosed in </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8} and total accounting assets as disclosed in LRSUM{1} that is not included in </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2}, </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3}, </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4}, </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5}</w:t>
            </w:r>
            <w:r w:rsidR="00715CAC">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 </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6}</w:t>
            </w:r>
            <w:r w:rsidR="00715CAC">
              <w:rPr>
                <w:rFonts w:ascii="Times New Roman" w:eastAsia="Times New Roman" w:hAnsi="Times New Roman"/>
                <w:bCs/>
                <w:color w:val="000000"/>
                <w:sz w:val="20"/>
                <w:szCs w:val="20"/>
                <w:lang w:val="en-GB"/>
              </w:rPr>
              <w:t xml:space="preserve">, </w:t>
            </w:r>
            <w:r w:rsidR="0091168B">
              <w:rPr>
                <w:rFonts w:ascii="Times New Roman" w:eastAsia="Times New Roman" w:hAnsi="Times New Roman"/>
                <w:bCs/>
                <w:color w:val="000000"/>
                <w:sz w:val="20"/>
                <w:szCs w:val="20"/>
                <w:lang w:val="en-GB"/>
              </w:rPr>
              <w:t>{</w:t>
            </w:r>
            <w:r w:rsidR="00715CAC"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00715CAC">
              <w:rPr>
                <w:rFonts w:ascii="Times New Roman" w:eastAsia="Times New Roman" w:hAnsi="Times New Roman"/>
                <w:bCs/>
                <w:color w:val="000000"/>
                <w:sz w:val="20"/>
                <w:szCs w:val="20"/>
                <w:lang w:val="en-GB"/>
              </w:rPr>
              <w:t>EU-</w:t>
            </w:r>
            <w:r w:rsidR="00715CAC" w:rsidRPr="00E3680B">
              <w:rPr>
                <w:rFonts w:ascii="Times New Roman" w:eastAsia="Times New Roman" w:hAnsi="Times New Roman"/>
                <w:bCs/>
                <w:color w:val="000000"/>
                <w:sz w:val="20"/>
                <w:szCs w:val="20"/>
                <w:lang w:val="en-GB"/>
              </w:rPr>
              <w:t>6</w:t>
            </w:r>
            <w:r w:rsidR="00715CAC">
              <w:rPr>
                <w:rFonts w:ascii="Times New Roman" w:eastAsia="Times New Roman" w:hAnsi="Times New Roman"/>
                <w:bCs/>
                <w:color w:val="000000"/>
                <w:sz w:val="20"/>
                <w:szCs w:val="20"/>
                <w:lang w:val="en-GB"/>
              </w:rPr>
              <w:t>a</w:t>
            </w:r>
            <w:r w:rsidR="00715CAC" w:rsidRPr="00E3680B">
              <w:rPr>
                <w:rFonts w:ascii="Times New Roman" w:eastAsia="Times New Roman" w:hAnsi="Times New Roman"/>
                <w:bCs/>
                <w:color w:val="000000"/>
                <w:sz w:val="20"/>
                <w:szCs w:val="20"/>
                <w:lang w:val="en-GB"/>
              </w:rPr>
              <w:t>}</w:t>
            </w:r>
            <w:r w:rsidR="00715CAC">
              <w:rPr>
                <w:rFonts w:ascii="Times New Roman" w:eastAsia="Times New Roman" w:hAnsi="Times New Roman"/>
                <w:bCs/>
                <w:color w:val="000000"/>
                <w:sz w:val="20"/>
                <w:szCs w:val="20"/>
                <w:lang w:val="en-GB"/>
              </w:rPr>
              <w:t xml:space="preserve">, or </w:t>
            </w:r>
            <w:r w:rsidR="0091168B">
              <w:rPr>
                <w:rFonts w:ascii="Times New Roman" w:eastAsia="Times New Roman" w:hAnsi="Times New Roman"/>
                <w:bCs/>
                <w:color w:val="000000"/>
                <w:sz w:val="20"/>
                <w:szCs w:val="20"/>
                <w:lang w:val="en-GB"/>
              </w:rPr>
              <w:t>{</w:t>
            </w:r>
            <w:r w:rsidR="00715CAC" w:rsidRPr="00E3680B">
              <w:rPr>
                <w:rFonts w:ascii="Times New Roman" w:eastAsia="Times New Roman" w:hAnsi="Times New Roman"/>
                <w:bCs/>
                <w:color w:val="000000"/>
                <w:sz w:val="20"/>
                <w:szCs w:val="20"/>
                <w:lang w:val="en-GB"/>
              </w:rPr>
              <w:t>LRSUM</w:t>
            </w:r>
            <w:r w:rsidR="0091168B">
              <w:rPr>
                <w:rFonts w:ascii="Times New Roman" w:eastAsia="Times New Roman" w:hAnsi="Times New Roman"/>
                <w:bCs/>
                <w:color w:val="000000"/>
                <w:sz w:val="20"/>
                <w:szCs w:val="20"/>
                <w:lang w:val="en-GB"/>
              </w:rPr>
              <w:t>;</w:t>
            </w:r>
            <w:r w:rsidR="00715CAC">
              <w:rPr>
                <w:rFonts w:ascii="Times New Roman" w:eastAsia="Times New Roman" w:hAnsi="Times New Roman"/>
                <w:bCs/>
                <w:color w:val="000000"/>
                <w:sz w:val="20"/>
                <w:szCs w:val="20"/>
                <w:lang w:val="en-GB"/>
              </w:rPr>
              <w:t>EU-</w:t>
            </w:r>
            <w:r w:rsidR="00715CAC" w:rsidRPr="00E3680B">
              <w:rPr>
                <w:rFonts w:ascii="Times New Roman" w:eastAsia="Times New Roman" w:hAnsi="Times New Roman"/>
                <w:bCs/>
                <w:color w:val="000000"/>
                <w:sz w:val="20"/>
                <w:szCs w:val="20"/>
                <w:lang w:val="en-GB"/>
              </w:rPr>
              <w:t>6</w:t>
            </w:r>
            <w:r w:rsidR="00715CAC">
              <w:rPr>
                <w:rFonts w:ascii="Times New Roman" w:eastAsia="Times New Roman" w:hAnsi="Times New Roman"/>
                <w:bCs/>
                <w:color w:val="000000"/>
                <w:sz w:val="20"/>
                <w:szCs w:val="20"/>
                <w:lang w:val="en-GB"/>
              </w:rPr>
              <w:t>b</w:t>
            </w:r>
            <w:r w:rsidR="00715CAC" w:rsidRPr="00E3680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 This may include, for example, the </w:t>
            </w:r>
            <w:r w:rsidR="0073496B">
              <w:rPr>
                <w:rFonts w:ascii="Times New Roman" w:eastAsia="Times New Roman" w:hAnsi="Times New Roman"/>
                <w:bCs/>
                <w:color w:val="000000"/>
                <w:sz w:val="20"/>
                <w:szCs w:val="20"/>
                <w:lang w:val="en-GB"/>
              </w:rPr>
              <w:t>asset amounts that are deducted</w:t>
            </w:r>
            <w:r w:rsidR="0073496B" w:rsidRPr="00E3680B">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 xml:space="preserve">from Tier 1 capital that are subtracted from the leverage ratio exposure measure as per </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LRCOM</w:t>
            </w:r>
            <w:r w:rsidR="0091168B">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2} </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Cs/>
                <w:color w:val="000000"/>
                <w:sz w:val="20"/>
                <w:szCs w:val="20"/>
                <w:lang w:val="en-GB"/>
              </w:rPr>
              <w:t xml:space="preserve">If these adjustments lead to an increase in the exposure, institutions shall report this as a positive amount. If these adjustments lead to a decrease in exposure, the institutions shall </w:t>
            </w:r>
            <w:r w:rsidR="00B30DE9" w:rsidRPr="00B30DE9">
              <w:rPr>
                <w:rFonts w:ascii="Times New Roman" w:eastAsia="Times New Roman" w:hAnsi="Times New Roman"/>
                <w:bCs/>
                <w:color w:val="000000"/>
                <w:sz w:val="20"/>
                <w:szCs w:val="20"/>
                <w:lang w:val="en-GB"/>
              </w:rPr>
              <w:t xml:space="preserve">place this amount between brackets (which signifies </w:t>
            </w:r>
            <w:r w:rsidRPr="00E3680B">
              <w:rPr>
                <w:rFonts w:ascii="Times New Roman" w:eastAsia="Times New Roman" w:hAnsi="Times New Roman"/>
                <w:bCs/>
                <w:color w:val="000000"/>
                <w:sz w:val="20"/>
                <w:szCs w:val="20"/>
                <w:lang w:val="en-GB"/>
              </w:rPr>
              <w:t xml:space="preserve"> a negative amount</w:t>
            </w:r>
            <w:r w:rsidR="00B30DE9">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{8}</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Leverage ratio exposure</w:t>
            </w:r>
          </w:p>
          <w:p w:rsidR="00E3680B" w:rsidRPr="00E3680B" w:rsidRDefault="009742FA" w:rsidP="009742FA">
            <w:pPr>
              <w:tabs>
                <w:tab w:val="left" w:pos="0"/>
              </w:tabs>
              <w:spacing w:line="300" w:lineRule="exact"/>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Institutions shall disclose th</w:t>
            </w:r>
            <w:r w:rsidR="00E3680B" w:rsidRPr="00E3680B">
              <w:rPr>
                <w:rFonts w:ascii="Times New Roman" w:eastAsia="Times New Roman" w:hAnsi="Times New Roman"/>
                <w:bCs/>
                <w:color w:val="000000"/>
                <w:sz w:val="20"/>
                <w:szCs w:val="20"/>
                <w:lang w:val="en-GB"/>
              </w:rPr>
              <w:t>e amount disclosed in {LRCom;21}.</w:t>
            </w:r>
          </w:p>
        </w:tc>
      </w:tr>
    </w:tbl>
    <w:p w:rsidR="00E3680B" w:rsidRPr="00E3680B" w:rsidRDefault="00E3680B" w:rsidP="00E3680B">
      <w:pPr>
        <w:tabs>
          <w:tab w:val="left" w:pos="0"/>
        </w:tabs>
        <w:spacing w:line="300" w:lineRule="exact"/>
        <w:ind w:left="720"/>
        <w:jc w:val="both"/>
        <w:outlineLvl w:val="1"/>
        <w:rPr>
          <w:rFonts w:ascii="Times New Roman" w:eastAsia="Times New Roman" w:hAnsi="Times New Roman"/>
          <w:b/>
          <w:color w:val="000000"/>
          <w:sz w:val="20"/>
          <w:szCs w:val="20"/>
          <w:lang w:val="en-GB"/>
        </w:rPr>
      </w:pPr>
    </w:p>
    <w:p w:rsidR="00E3680B" w:rsidRPr="00E3680B" w:rsidRDefault="00055435" w:rsidP="00E3680B">
      <w:pPr>
        <w:numPr>
          <w:ilvl w:val="0"/>
          <w:numId w:val="22"/>
        </w:numPr>
        <w:tabs>
          <w:tab w:val="left" w:pos="0"/>
        </w:tabs>
        <w:spacing w:line="300" w:lineRule="exact"/>
        <w:jc w:val="both"/>
        <w:outlineLvl w:val="1"/>
        <w:rPr>
          <w:rFonts w:ascii="Times New Roman" w:eastAsia="Times New Roman" w:hAnsi="Times New Roman"/>
          <w:b/>
          <w:color w:val="000000"/>
          <w:sz w:val="20"/>
          <w:szCs w:val="20"/>
          <w:lang w:val="en-GB"/>
        </w:rPr>
      </w:pPr>
      <w:r>
        <w:rPr>
          <w:rFonts w:ascii="Times New Roman" w:eastAsia="Times New Roman" w:hAnsi="Times New Roman"/>
          <w:b/>
          <w:color w:val="000000"/>
          <w:sz w:val="20"/>
          <w:szCs w:val="20"/>
          <w:lang w:val="en-GB"/>
        </w:rPr>
        <w:br w:type="page"/>
      </w:r>
      <w:r w:rsidR="00E3680B" w:rsidRPr="00E3680B">
        <w:rPr>
          <w:rFonts w:ascii="Times New Roman" w:eastAsia="Times New Roman" w:hAnsi="Times New Roman"/>
          <w:b/>
          <w:color w:val="000000"/>
          <w:sz w:val="20"/>
          <w:szCs w:val="20"/>
          <w:lang w:val="en-GB"/>
        </w:rPr>
        <w:t>Table LRCom: Leverage ratio common disclosure</w:t>
      </w:r>
    </w:p>
    <w:p w:rsidR="00E3680B" w:rsidRPr="00E3680B" w:rsidRDefault="00E3680B" w:rsidP="00E3680B">
      <w:pPr>
        <w:tabs>
          <w:tab w:val="left" w:pos="0"/>
        </w:tabs>
        <w:jc w:val="both"/>
        <w:rPr>
          <w:rFonts w:ascii="Times New Roman" w:eastAsia="Times New Roman" w:hAnsi="Times New Roman"/>
          <w:color w:val="000000"/>
          <w:sz w:val="20"/>
          <w:szCs w:val="20"/>
          <w:lang w:val="en-GB"/>
        </w:rPr>
      </w:pPr>
    </w:p>
    <w:p w:rsidR="00E3680B" w:rsidRPr="00E3680B" w:rsidRDefault="00E3680B" w:rsidP="00B815F6">
      <w:pPr>
        <w:numPr>
          <w:ilvl w:val="0"/>
          <w:numId w:val="19"/>
        </w:numPr>
        <w:spacing w:after="240"/>
        <w:jc w:val="both"/>
        <w:rPr>
          <w:rFonts w:ascii="Times New Roman" w:eastAsia="Times New Roman" w:hAnsi="Times New Roman"/>
          <w:color w:val="000000"/>
          <w:sz w:val="20"/>
          <w:szCs w:val="20"/>
          <w:lang w:val="en-GB"/>
        </w:rPr>
      </w:pPr>
      <w:r w:rsidRPr="00E3680B">
        <w:rPr>
          <w:rFonts w:ascii="Times New Roman" w:eastAsia="Times New Roman" w:hAnsi="Times New Roman"/>
          <w:color w:val="000000"/>
          <w:sz w:val="20"/>
          <w:szCs w:val="20"/>
          <w:lang w:val="en-GB"/>
        </w:rPr>
        <w:t>Institutions shall apply the instructions provided in this section in order to complete table LRCom of Annex I.</w:t>
      </w:r>
    </w:p>
    <w:p w:rsidR="00E3680B" w:rsidRPr="00E3680B" w:rsidRDefault="00E3680B" w:rsidP="00E3680B">
      <w:pPr>
        <w:tabs>
          <w:tab w:val="left" w:pos="0"/>
        </w:tabs>
        <w:ind w:left="720"/>
        <w:jc w:val="both"/>
        <w:rPr>
          <w:rFonts w:ascii="Times New Roman" w:eastAsia="Times New Roman" w:hAnsi="Times New Roman"/>
          <w:color w:val="000000"/>
          <w:sz w:val="20"/>
          <w:szCs w:val="20"/>
          <w:lang w:val="en-GB"/>
        </w:rPr>
      </w:pPr>
    </w:p>
    <w:p w:rsidR="00E3680B" w:rsidRPr="00E3680B" w:rsidRDefault="00E3680B" w:rsidP="00E3680B">
      <w:pPr>
        <w:tabs>
          <w:tab w:val="left" w:pos="0"/>
        </w:tabs>
        <w:ind w:left="720"/>
        <w:jc w:val="both"/>
        <w:rPr>
          <w:rFonts w:ascii="Times New Roman" w:eastAsia="Times New Roman" w:hAnsi="Times New Roman"/>
          <w:color w:val="000000"/>
          <w:sz w:val="20"/>
          <w:szCs w:val="20"/>
          <w:lang w:val="en-GB"/>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590"/>
      </w:tblGrid>
      <w:tr w:rsidR="00E3680B" w:rsidRPr="00E3680B" w:rsidTr="0084732E">
        <w:trPr>
          <w:trHeight w:val="304"/>
        </w:trPr>
        <w:tc>
          <w:tcPr>
            <w:tcW w:w="1418"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
                <w:color w:val="000000"/>
                <w:sz w:val="20"/>
                <w:szCs w:val="20"/>
                <w:lang w:val="en-GB"/>
              </w:rPr>
            </w:pPr>
            <w:r w:rsidRPr="00E3680B">
              <w:rPr>
                <w:rFonts w:ascii="Times New Roman" w:eastAsia="Times New Roman" w:hAnsi="Times New Roman"/>
                <w:b/>
                <w:color w:val="000000"/>
                <w:sz w:val="20"/>
                <w:szCs w:val="20"/>
                <w:lang w:val="en-GB"/>
              </w:rPr>
              <w:t xml:space="preserve">Row </w:t>
            </w:r>
          </w:p>
          <w:p w:rsidR="00E3680B" w:rsidRPr="00E3680B" w:rsidRDefault="00E3680B" w:rsidP="00E3680B">
            <w:pPr>
              <w:tabs>
                <w:tab w:val="left" w:pos="0"/>
              </w:tabs>
              <w:spacing w:line="300" w:lineRule="exact"/>
              <w:jc w:val="both"/>
              <w:rPr>
                <w:rFonts w:ascii="Times New Roman" w:eastAsia="Times New Roman" w:hAnsi="Times New Roman"/>
                <w:b/>
                <w:color w:val="000000"/>
                <w:sz w:val="20"/>
                <w:szCs w:val="20"/>
                <w:lang w:val="en-GB"/>
              </w:rPr>
            </w:pPr>
          </w:p>
        </w:tc>
        <w:tc>
          <w:tcPr>
            <w:tcW w:w="7590"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r w:rsidRPr="00E3680B">
              <w:rPr>
                <w:rFonts w:ascii="Times New Roman" w:eastAsia="Times New Roman" w:hAnsi="Times New Roman"/>
                <w:b/>
                <w:color w:val="000000"/>
                <w:sz w:val="20"/>
                <w:szCs w:val="20"/>
                <w:lang w:val="en-GB"/>
              </w:rPr>
              <w:t>Legal references and instructions</w:t>
            </w:r>
          </w:p>
        </w:tc>
      </w:tr>
      <w:tr w:rsidR="00E3680B" w:rsidRPr="00E3680B" w:rsidTr="0084732E">
        <w:trPr>
          <w:trHeight w:val="304"/>
        </w:trPr>
        <w:tc>
          <w:tcPr>
            <w:tcW w:w="1418" w:type="dxa"/>
            <w:tcBorders>
              <w:bottom w:val="single" w:sz="4" w:space="0" w:color="auto"/>
            </w:tcBorders>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Borders>
              <w:bottom w:val="single" w:sz="4" w:space="0" w:color="auto"/>
            </w:tcBorders>
          </w:tcPr>
          <w:p w:rsid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On-balance sheet items (excluding derivatives</w:t>
            </w:r>
            <w:r w:rsidR="000426C9">
              <w:rPr>
                <w:rFonts w:ascii="Times New Roman" w:eastAsia="Times New Roman" w:hAnsi="Times New Roman"/>
                <w:b/>
                <w:bCs/>
                <w:color w:val="000000"/>
                <w:sz w:val="20"/>
                <w:szCs w:val="20"/>
                <w:lang w:val="en-GB"/>
              </w:rPr>
              <w:t>,</w:t>
            </w:r>
            <w:r w:rsidR="00FD3B3E">
              <w:rPr>
                <w:rFonts w:ascii="Times New Roman" w:eastAsia="Times New Roman" w:hAnsi="Times New Roman"/>
                <w:b/>
                <w:bCs/>
                <w:color w:val="000000"/>
                <w:sz w:val="20"/>
                <w:szCs w:val="20"/>
                <w:lang w:val="en-GB"/>
              </w:rPr>
              <w:t xml:space="preserve"> </w:t>
            </w:r>
            <w:r w:rsidRPr="00E3680B">
              <w:rPr>
                <w:rFonts w:ascii="Times New Roman" w:eastAsia="Times New Roman" w:hAnsi="Times New Roman"/>
                <w:b/>
                <w:bCs/>
                <w:color w:val="000000"/>
                <w:sz w:val="20"/>
                <w:szCs w:val="20"/>
                <w:lang w:val="en-GB"/>
              </w:rPr>
              <w:t>SFTs</w:t>
            </w:r>
            <w:r w:rsidR="000426C9">
              <w:rPr>
                <w:rFonts w:ascii="Times New Roman" w:eastAsia="Times New Roman" w:hAnsi="Times New Roman"/>
                <w:b/>
                <w:bCs/>
                <w:color w:val="000000"/>
                <w:sz w:val="20"/>
                <w:szCs w:val="20"/>
                <w:lang w:val="en-GB"/>
              </w:rPr>
              <w:t xml:space="preserve"> and fiduciary assets</w:t>
            </w:r>
            <w:r w:rsidRPr="00E3680B">
              <w:rPr>
                <w:rFonts w:ascii="Times New Roman" w:eastAsia="Times New Roman" w:hAnsi="Times New Roman"/>
                <w:b/>
                <w:bCs/>
                <w:color w:val="000000"/>
                <w:sz w:val="20"/>
                <w:szCs w:val="20"/>
                <w:lang w:val="en-GB"/>
              </w:rPr>
              <w:t>, but including collateral)</w:t>
            </w:r>
          </w:p>
          <w:p w:rsidR="000426C9" w:rsidRPr="00E3680B" w:rsidRDefault="000426C9"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Article 429 of </w:t>
            </w:r>
            <w:r w:rsidRPr="00E3680B">
              <w:rPr>
                <w:rFonts w:ascii="Times New Roman" w:eastAsia="MS Mincho" w:hAnsi="Times New Roman"/>
                <w:color w:val="000000"/>
                <w:sz w:val="20"/>
                <w:szCs w:val="20"/>
                <w:lang w:val="it-IT" w:eastAsia="ja-JP"/>
              </w:rPr>
              <w:t>Regulation</w:t>
            </w:r>
            <w:r w:rsidRPr="00E3680B">
              <w:rPr>
                <w:rFonts w:ascii="Times New Roman" w:eastAsia="Times New Roman" w:hAnsi="Times New Roman"/>
                <w:color w:val="000000"/>
                <w:sz w:val="20"/>
                <w:szCs w:val="20"/>
                <w:lang w:val="en-GB"/>
              </w:rPr>
              <w:t xml:space="preserve"> </w:t>
            </w:r>
            <w:r w:rsidRPr="00E3680B">
              <w:rPr>
                <w:rFonts w:ascii="Times New Roman" w:eastAsia="Times New Roman" w:hAnsi="Times New Roman"/>
                <w:bCs/>
                <w:color w:val="000000"/>
                <w:sz w:val="20"/>
                <w:szCs w:val="20"/>
                <w:lang w:val="en-GB"/>
              </w:rPr>
              <w:t>(EU) No 575/2013</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all assets other than contracts listed in Annex II of Regulation (EU) No 575/2013, credit derivatives, </w:t>
            </w:r>
            <w:r w:rsidR="0009671A">
              <w:rPr>
                <w:rFonts w:ascii="Times New Roman" w:eastAsia="Times New Roman" w:hAnsi="Times New Roman"/>
                <w:bCs/>
                <w:color w:val="000000"/>
                <w:sz w:val="20"/>
                <w:szCs w:val="20"/>
                <w:lang w:val="en-GB"/>
              </w:rPr>
              <w:t>SFTs</w:t>
            </w:r>
            <w:r w:rsidR="003B025A">
              <w:rPr>
                <w:rFonts w:ascii="Times New Roman" w:eastAsia="Times New Roman" w:hAnsi="Times New Roman"/>
                <w:bCs/>
                <w:color w:val="000000"/>
                <w:sz w:val="20"/>
                <w:szCs w:val="20"/>
                <w:lang w:val="en-GB"/>
              </w:rPr>
              <w:t xml:space="preserve"> and </w:t>
            </w:r>
            <w:r w:rsidR="003B025A" w:rsidRPr="003B025A">
              <w:rPr>
                <w:rFonts w:ascii="Times New Roman" w:eastAsia="Times New Roman" w:hAnsi="Times New Roman"/>
                <w:bCs/>
                <w:color w:val="000000"/>
                <w:sz w:val="20"/>
                <w:szCs w:val="20"/>
                <w:lang w:val="en-GB"/>
              </w:rPr>
              <w:t>fiduciary assets</w:t>
            </w:r>
            <w:r w:rsidR="003B025A">
              <w:rPr>
                <w:rFonts w:ascii="Times New Roman" w:eastAsia="Times New Roman" w:hAnsi="Times New Roman"/>
                <w:bCs/>
                <w:color w:val="000000"/>
                <w:sz w:val="20"/>
                <w:szCs w:val="20"/>
                <w:lang w:val="en-GB"/>
              </w:rPr>
              <w:t xml:space="preserve"> </w:t>
            </w:r>
            <w:r w:rsidR="0009671A">
              <w:rPr>
                <w:rFonts w:ascii="Times New Roman" w:eastAsia="Times New Roman" w:hAnsi="Times New Roman"/>
                <w:bCs/>
                <w:color w:val="000000"/>
                <w:sz w:val="20"/>
                <w:szCs w:val="20"/>
                <w:lang w:val="en-GB"/>
              </w:rPr>
              <w:t>in accordance with</w:t>
            </w:r>
            <w:r w:rsidR="003B025A">
              <w:rPr>
                <w:rFonts w:ascii="Times New Roman" w:eastAsia="Times New Roman" w:hAnsi="Times New Roman"/>
                <w:bCs/>
                <w:color w:val="000000"/>
                <w:sz w:val="20"/>
                <w:szCs w:val="20"/>
                <w:lang w:val="en-GB"/>
              </w:rPr>
              <w:t xml:space="preserve"> Article 429 (</w:t>
            </w:r>
            <w:r w:rsidR="003B025A" w:rsidRPr="003B025A">
              <w:rPr>
                <w:rFonts w:ascii="Times New Roman" w:eastAsia="Times New Roman" w:hAnsi="Times New Roman"/>
                <w:bCs/>
                <w:color w:val="000000"/>
                <w:sz w:val="20"/>
                <w:szCs w:val="20"/>
                <w:lang w:val="en-GB"/>
              </w:rPr>
              <w:t>13) of Regulation (EU) No 575/2013</w:t>
            </w:r>
            <w:r w:rsidRPr="00E3680B">
              <w:rPr>
                <w:rFonts w:ascii="Times New Roman" w:eastAsia="Times New Roman" w:hAnsi="Times New Roman"/>
                <w:bCs/>
                <w:color w:val="000000"/>
                <w:sz w:val="20"/>
                <w:szCs w:val="20"/>
                <w:lang w:val="en-GB"/>
              </w:rPr>
              <w:t>. Institutions shall base</w:t>
            </w:r>
            <w:r w:rsidR="009742FA">
              <w:rPr>
                <w:rFonts w:ascii="Times New Roman" w:eastAsia="Times New Roman" w:hAnsi="Times New Roman"/>
                <w:bCs/>
                <w:color w:val="000000"/>
                <w:sz w:val="20"/>
                <w:szCs w:val="20"/>
                <w:lang w:val="en-GB"/>
              </w:rPr>
              <w:t xml:space="preserve"> the</w:t>
            </w:r>
            <w:r w:rsidRPr="00E3680B">
              <w:rPr>
                <w:rFonts w:ascii="Times New Roman" w:eastAsia="Times New Roman" w:hAnsi="Times New Roman"/>
                <w:bCs/>
                <w:color w:val="000000"/>
                <w:sz w:val="20"/>
                <w:szCs w:val="20"/>
                <w:lang w:val="en-GB"/>
              </w:rPr>
              <w:t xml:space="preserve"> valuation </w:t>
            </w:r>
            <w:r w:rsidR="009742FA">
              <w:rPr>
                <w:rFonts w:ascii="Times New Roman" w:eastAsia="Times New Roman" w:hAnsi="Times New Roman"/>
                <w:bCs/>
                <w:color w:val="000000"/>
                <w:sz w:val="20"/>
                <w:szCs w:val="20"/>
                <w:lang w:val="en-GB"/>
              </w:rPr>
              <w:t xml:space="preserve">of these assets </w:t>
            </w:r>
            <w:r w:rsidRPr="00E3680B">
              <w:rPr>
                <w:rFonts w:ascii="Times New Roman" w:eastAsia="Times New Roman" w:hAnsi="Times New Roman"/>
                <w:bCs/>
                <w:color w:val="000000"/>
                <w:sz w:val="20"/>
                <w:szCs w:val="20"/>
                <w:lang w:val="en-GB"/>
              </w:rPr>
              <w:t>on the principles set out in Article 429 (5)</w:t>
            </w:r>
            <w:r w:rsidR="000426C9">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of Regulation (EU) No 575/2013.</w:t>
            </w:r>
            <w:r w:rsidR="003B025A">
              <w:rPr>
                <w:rFonts w:ascii="Times New Roman" w:eastAsia="Times New Roman" w:hAnsi="Times New Roman"/>
                <w:bCs/>
                <w:color w:val="000000"/>
                <w:sz w:val="20"/>
                <w:szCs w:val="20"/>
                <w:lang w:val="en-GB"/>
              </w:rPr>
              <w:t xml:space="preserve"> </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include in this </w:t>
            </w:r>
            <w:r w:rsidR="0009671A">
              <w:rPr>
                <w:rFonts w:ascii="Times New Roman" w:eastAsia="Times New Roman" w:hAnsi="Times New Roman"/>
                <w:bCs/>
                <w:color w:val="000000"/>
                <w:sz w:val="20"/>
                <w:szCs w:val="20"/>
                <w:lang w:val="en-GB"/>
              </w:rPr>
              <w:t>cell</w:t>
            </w:r>
            <w:r w:rsidRPr="00E3680B">
              <w:rPr>
                <w:rFonts w:ascii="Times New Roman" w:eastAsia="Times New Roman" w:hAnsi="Times New Roman"/>
                <w:bCs/>
                <w:color w:val="000000"/>
                <w:sz w:val="20"/>
                <w:szCs w:val="20"/>
                <w:lang w:val="en-GB"/>
              </w:rPr>
              <w:t xml:space="preserve"> cash received or any security that is provided to a counterparty via </w:t>
            </w:r>
            <w:r w:rsidR="0009671A">
              <w:rPr>
                <w:rFonts w:ascii="Times New Roman" w:eastAsia="Times New Roman" w:hAnsi="Times New Roman"/>
                <w:bCs/>
                <w:color w:val="000000"/>
                <w:sz w:val="20"/>
                <w:szCs w:val="20"/>
                <w:lang w:val="en-GB"/>
              </w:rPr>
              <w:t>SFTs</w:t>
            </w:r>
            <w:r w:rsidRPr="00E3680B">
              <w:rPr>
                <w:rFonts w:ascii="Times New Roman" w:eastAsia="Times New Roman" w:hAnsi="Times New Roman"/>
                <w:bCs/>
                <w:color w:val="000000"/>
                <w:sz w:val="20"/>
                <w:szCs w:val="20"/>
                <w:lang w:val="en-GB"/>
              </w:rPr>
              <w:t xml:space="preserve"> and that is retained on the balance sheet (i.e. the accounting criteria for derecognition under the applicable accounting framework are not met). </w:t>
            </w:r>
          </w:p>
          <w:p w:rsidR="00E3680B" w:rsidRPr="00E3680B" w:rsidRDefault="00E3680B" w:rsidP="00744CC4">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703"/>
        </w:trPr>
        <w:tc>
          <w:tcPr>
            <w:tcW w:w="1418" w:type="dxa"/>
            <w:tcBorders>
              <w:top w:val="single" w:sz="4" w:space="0" w:color="auto"/>
              <w:left w:val="single" w:sz="4" w:space="0" w:color="auto"/>
              <w:bottom w:val="single" w:sz="4" w:space="0" w:color="auto"/>
              <w:right w:val="single" w:sz="4" w:space="0" w:color="auto"/>
            </w:tcBorders>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{2}</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Borders>
              <w:top w:val="single" w:sz="4" w:space="0" w:color="auto"/>
              <w:left w:val="single" w:sz="4" w:space="0" w:color="auto"/>
              <w:bottom w:val="single" w:sz="4" w:space="0" w:color="auto"/>
              <w:right w:val="single" w:sz="4" w:space="0" w:color="auto"/>
            </w:tcBorders>
          </w:tcPr>
          <w:p w:rsidR="00E3680B" w:rsidRPr="00E3680B" w:rsidRDefault="00D93E6A" w:rsidP="00E3680B">
            <w:pPr>
              <w:tabs>
                <w:tab w:val="left" w:pos="0"/>
              </w:tabs>
              <w:spacing w:line="300" w:lineRule="exact"/>
              <w:jc w:val="both"/>
              <w:rPr>
                <w:rFonts w:ascii="Times New Roman" w:eastAsia="Times New Roman" w:hAnsi="Times New Roman"/>
                <w:b/>
                <w:bCs/>
                <w:color w:val="000000"/>
                <w:sz w:val="20"/>
                <w:szCs w:val="20"/>
                <w:lang w:val="en-GB"/>
              </w:rPr>
            </w:pPr>
            <w:r>
              <w:rPr>
                <w:rFonts w:ascii="Times New Roman" w:eastAsia="Times New Roman" w:hAnsi="Times New Roman"/>
                <w:b/>
                <w:bCs/>
                <w:color w:val="000000"/>
                <w:sz w:val="20"/>
                <w:szCs w:val="20"/>
                <w:lang w:val="en-GB"/>
              </w:rPr>
              <w:t>(</w:t>
            </w:r>
            <w:r w:rsidR="00E3680B" w:rsidRPr="00E3680B">
              <w:rPr>
                <w:rFonts w:ascii="Times New Roman" w:eastAsia="Times New Roman" w:hAnsi="Times New Roman"/>
                <w:b/>
                <w:bCs/>
                <w:color w:val="000000"/>
                <w:sz w:val="20"/>
                <w:szCs w:val="20"/>
                <w:lang w:val="en-GB"/>
              </w:rPr>
              <w:t xml:space="preserve">Asset amounts deducted in determining Tier 1 capital </w:t>
            </w:r>
            <w:r>
              <w:rPr>
                <w:rFonts w:ascii="Times New Roman" w:eastAsia="Times New Roman" w:hAnsi="Times New Roman"/>
                <w:b/>
                <w:bCs/>
                <w:color w:val="000000"/>
                <w:sz w:val="20"/>
                <w:szCs w:val="20"/>
                <w:lang w:val="en-GB"/>
              </w:rPr>
              <w:t>)</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rPr>
            </w:pPr>
            <w:r w:rsidRPr="00E3680B">
              <w:rPr>
                <w:rFonts w:ascii="Times New Roman" w:eastAsia="Times New Roman" w:hAnsi="Times New Roman"/>
                <w:bCs/>
                <w:color w:val="000000"/>
                <w:sz w:val="20"/>
                <w:szCs w:val="20"/>
              </w:rPr>
              <w:t>Article 429 (4)</w:t>
            </w:r>
            <w:r w:rsidR="003B025A">
              <w:rPr>
                <w:rFonts w:ascii="Times New Roman" w:eastAsia="Times New Roman" w:hAnsi="Times New Roman"/>
                <w:bCs/>
                <w:color w:val="000000"/>
                <w:sz w:val="20"/>
                <w:szCs w:val="20"/>
              </w:rPr>
              <w:t xml:space="preserve"> (a)</w:t>
            </w:r>
            <w:r w:rsidRPr="00E3680B">
              <w:rPr>
                <w:rFonts w:ascii="Times New Roman" w:eastAsia="MS Mincho" w:hAnsi="Times New Roman"/>
                <w:color w:val="000000"/>
                <w:sz w:val="20"/>
                <w:szCs w:val="20"/>
                <w:lang w:val="it-IT" w:eastAsia="ja-JP"/>
              </w:rPr>
              <w:t xml:space="preserve"> </w:t>
            </w:r>
            <w:r w:rsidR="002B5E67">
              <w:rPr>
                <w:rFonts w:ascii="Times New Roman" w:eastAsia="MS Mincho" w:hAnsi="Times New Roman"/>
                <w:color w:val="000000"/>
                <w:sz w:val="20"/>
                <w:szCs w:val="20"/>
                <w:lang w:val="it-IT" w:eastAsia="ja-JP"/>
              </w:rPr>
              <w:t xml:space="preserve">and Article 499(2) </w:t>
            </w:r>
            <w:r w:rsidRPr="00E3680B">
              <w:rPr>
                <w:rFonts w:ascii="Times New Roman" w:eastAsia="Times New Roman" w:hAnsi="Times New Roman"/>
                <w:bCs/>
                <w:color w:val="000000"/>
                <w:sz w:val="20"/>
                <w:szCs w:val="20"/>
              </w:rPr>
              <w:t>of 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rPr>
              <w:t>(EU) No 575/2013</w:t>
            </w:r>
          </w:p>
          <w:p w:rsidR="00E3680B" w:rsidRPr="00E3680B" w:rsidRDefault="00E3680B" w:rsidP="00E3680B">
            <w:pPr>
              <w:tabs>
                <w:tab w:val="left" w:pos="0"/>
              </w:tabs>
              <w:jc w:val="both"/>
              <w:rPr>
                <w:rFonts w:ascii="Times New Roman" w:eastAsia="Times New Roman" w:hAnsi="Times New Roman"/>
                <w:bCs/>
                <w:color w:val="000000"/>
                <w:sz w:val="20"/>
                <w:szCs w:val="20"/>
              </w:rPr>
            </w:pPr>
          </w:p>
          <w:p w:rsidR="00E3680B" w:rsidRPr="00E3680B" w:rsidRDefault="00E3680B" w:rsidP="00744CC4">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amount of regulatory value adjustments made to Tier 1amounts </w:t>
            </w:r>
            <w:r w:rsidR="0009671A">
              <w:rPr>
                <w:rFonts w:ascii="Times New Roman" w:eastAsia="Times New Roman" w:hAnsi="Times New Roman"/>
                <w:bCs/>
                <w:color w:val="000000"/>
                <w:sz w:val="20"/>
                <w:szCs w:val="20"/>
                <w:lang w:val="en-GB"/>
              </w:rPr>
              <w:t>in accordance with</w:t>
            </w:r>
            <w:r w:rsidRPr="00E3680B">
              <w:rPr>
                <w:rFonts w:ascii="Times New Roman" w:eastAsia="Times New Roman" w:hAnsi="Times New Roman"/>
                <w:bCs/>
                <w:color w:val="000000"/>
                <w:sz w:val="20"/>
                <w:szCs w:val="20"/>
                <w:lang w:val="en-GB"/>
              </w:rPr>
              <w:t xml:space="preserve"> the choice made pursuant to Article 499 (2) of Regulation</w:t>
            </w:r>
            <w:r w:rsidRPr="00744CC4">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(EU) No 575/2013, as disclosed in {LRCom;EU-23}.</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9238AF" w:rsidRPr="009238AF" w:rsidRDefault="00E3680B" w:rsidP="009238AF">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More specifically, institutions shall disclose the value of the sum of</w:t>
            </w:r>
            <w:r w:rsidR="009238AF">
              <w:rPr>
                <w:rFonts w:ascii="Times New Roman" w:eastAsia="Times New Roman" w:hAnsi="Times New Roman"/>
                <w:bCs/>
                <w:color w:val="000000"/>
                <w:sz w:val="20"/>
                <w:szCs w:val="20"/>
                <w:lang w:val="en-GB"/>
              </w:rPr>
              <w:t xml:space="preserve"> </w:t>
            </w:r>
            <w:r w:rsidR="009238AF" w:rsidRPr="009238AF">
              <w:rPr>
                <w:rFonts w:ascii="Times New Roman" w:eastAsia="Times New Roman" w:hAnsi="Times New Roman"/>
                <w:bCs/>
                <w:color w:val="000000"/>
                <w:sz w:val="20"/>
                <w:szCs w:val="20"/>
                <w:lang w:val="en-GB"/>
              </w:rPr>
              <w:t>all the adjustments that target the value of an asset and which are required by:</w:t>
            </w:r>
          </w:p>
          <w:p w:rsidR="009238AF" w:rsidRPr="009238AF" w:rsidRDefault="009238AF" w:rsidP="009238AF">
            <w:pPr>
              <w:tabs>
                <w:tab w:val="left" w:pos="0"/>
              </w:tabs>
              <w:jc w:val="both"/>
              <w:rPr>
                <w:rFonts w:ascii="Times New Roman" w:eastAsia="Times New Roman" w:hAnsi="Times New Roman"/>
                <w:bCs/>
                <w:color w:val="000000"/>
                <w:sz w:val="20"/>
                <w:szCs w:val="20"/>
                <w:lang w:val="en-GB"/>
              </w:rPr>
            </w:pPr>
            <w:r w:rsidRPr="009238AF">
              <w:rPr>
                <w:rFonts w:ascii="Times New Roman" w:eastAsia="Times New Roman" w:hAnsi="Times New Roman"/>
                <w:bCs/>
                <w:color w:val="000000"/>
                <w:sz w:val="20"/>
                <w:szCs w:val="20"/>
                <w:lang w:val="en-GB"/>
              </w:rPr>
              <w:t>-</w:t>
            </w:r>
            <w:r w:rsidRPr="009238AF">
              <w:rPr>
                <w:rFonts w:ascii="Times New Roman" w:eastAsia="Times New Roman" w:hAnsi="Times New Roman"/>
                <w:bCs/>
                <w:color w:val="000000"/>
                <w:sz w:val="20"/>
                <w:szCs w:val="20"/>
                <w:lang w:val="en-GB"/>
              </w:rPr>
              <w:tab/>
              <w:t xml:space="preserve">Articles 32 to 35 of </w:t>
            </w:r>
            <w:r w:rsidR="00DB0A9C" w:rsidRPr="00E3680B">
              <w:rPr>
                <w:rFonts w:ascii="Times New Roman" w:eastAsia="Times New Roman" w:hAnsi="Times New Roman"/>
                <w:bCs/>
                <w:color w:val="000000"/>
                <w:sz w:val="20"/>
                <w:szCs w:val="20"/>
              </w:rPr>
              <w:t xml:space="preserve"> Regulation</w:t>
            </w:r>
            <w:r w:rsidR="00DB0A9C" w:rsidRPr="00E3680B">
              <w:rPr>
                <w:rFonts w:ascii="Times New Roman" w:eastAsia="MS Mincho" w:hAnsi="Times New Roman"/>
                <w:color w:val="000000"/>
                <w:sz w:val="20"/>
                <w:szCs w:val="20"/>
                <w:lang w:val="it-IT" w:eastAsia="ja-JP"/>
              </w:rPr>
              <w:t xml:space="preserve"> </w:t>
            </w:r>
            <w:r w:rsidR="00DB0A9C" w:rsidRPr="00E3680B">
              <w:rPr>
                <w:rFonts w:ascii="Times New Roman" w:eastAsia="Times New Roman" w:hAnsi="Times New Roman"/>
                <w:bCs/>
                <w:color w:val="000000"/>
                <w:sz w:val="20"/>
                <w:szCs w:val="20"/>
              </w:rPr>
              <w:t>(EU) No 575/2013</w:t>
            </w:r>
            <w:r w:rsidRPr="009238AF">
              <w:rPr>
                <w:rFonts w:ascii="Times New Roman" w:eastAsia="Times New Roman" w:hAnsi="Times New Roman"/>
                <w:bCs/>
                <w:color w:val="000000"/>
                <w:sz w:val="20"/>
                <w:szCs w:val="20"/>
                <w:lang w:val="en-GB"/>
              </w:rPr>
              <w:t xml:space="preserve">, or </w:t>
            </w:r>
          </w:p>
          <w:p w:rsidR="009238AF" w:rsidRPr="009238AF" w:rsidRDefault="009238AF" w:rsidP="009238AF">
            <w:pPr>
              <w:tabs>
                <w:tab w:val="left" w:pos="0"/>
              </w:tabs>
              <w:jc w:val="both"/>
              <w:rPr>
                <w:rFonts w:ascii="Times New Roman" w:eastAsia="Times New Roman" w:hAnsi="Times New Roman"/>
                <w:bCs/>
                <w:color w:val="000000"/>
                <w:sz w:val="20"/>
                <w:szCs w:val="20"/>
                <w:lang w:val="en-GB"/>
              </w:rPr>
            </w:pPr>
            <w:r w:rsidRPr="009238AF">
              <w:rPr>
                <w:rFonts w:ascii="Times New Roman" w:eastAsia="Times New Roman" w:hAnsi="Times New Roman"/>
                <w:bCs/>
                <w:color w:val="000000"/>
                <w:sz w:val="20"/>
                <w:szCs w:val="20"/>
                <w:lang w:val="en-GB"/>
              </w:rPr>
              <w:t>-</w:t>
            </w:r>
            <w:r w:rsidRPr="009238AF">
              <w:rPr>
                <w:rFonts w:ascii="Times New Roman" w:eastAsia="Times New Roman" w:hAnsi="Times New Roman"/>
                <w:bCs/>
                <w:color w:val="000000"/>
                <w:sz w:val="20"/>
                <w:szCs w:val="20"/>
                <w:lang w:val="en-GB"/>
              </w:rPr>
              <w:tab/>
              <w:t xml:space="preserve">Articles 36 to 47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sidRPr="00E3680B">
              <w:rPr>
                <w:rFonts w:ascii="Times New Roman" w:eastAsia="Times New Roman" w:hAnsi="Times New Roman"/>
                <w:bCs/>
                <w:color w:val="000000"/>
                <w:sz w:val="20"/>
                <w:szCs w:val="20"/>
              </w:rPr>
              <w:t>(EU) No 575/2013</w:t>
            </w:r>
            <w:r w:rsidR="00DB0A9C">
              <w:rPr>
                <w:rFonts w:ascii="Times New Roman" w:eastAsia="Times New Roman" w:hAnsi="Times New Roman"/>
                <w:bCs/>
                <w:color w:val="000000"/>
                <w:sz w:val="20"/>
                <w:szCs w:val="20"/>
                <w:lang w:val="en-GB"/>
              </w:rPr>
              <w:t xml:space="preserve"> </w:t>
            </w:r>
            <w:r w:rsidRPr="009238AF">
              <w:rPr>
                <w:rFonts w:ascii="Times New Roman" w:eastAsia="Times New Roman" w:hAnsi="Times New Roman"/>
                <w:bCs/>
                <w:color w:val="000000"/>
                <w:sz w:val="20"/>
                <w:szCs w:val="20"/>
                <w:lang w:val="en-GB"/>
              </w:rPr>
              <w:t>, or</w:t>
            </w:r>
          </w:p>
          <w:p w:rsidR="009238AF" w:rsidRDefault="009238AF" w:rsidP="009238AF">
            <w:pPr>
              <w:tabs>
                <w:tab w:val="left" w:pos="0"/>
              </w:tabs>
              <w:jc w:val="both"/>
              <w:rPr>
                <w:rFonts w:ascii="Times New Roman" w:eastAsia="Times New Roman" w:hAnsi="Times New Roman"/>
                <w:bCs/>
                <w:color w:val="000000"/>
                <w:sz w:val="20"/>
                <w:szCs w:val="20"/>
                <w:lang w:val="en-GB"/>
              </w:rPr>
            </w:pPr>
            <w:r w:rsidRPr="009238AF">
              <w:rPr>
                <w:rFonts w:ascii="Times New Roman" w:eastAsia="Times New Roman" w:hAnsi="Times New Roman"/>
                <w:bCs/>
                <w:color w:val="000000"/>
                <w:sz w:val="20"/>
                <w:szCs w:val="20"/>
                <w:lang w:val="en-GB"/>
              </w:rPr>
              <w:t>-</w:t>
            </w:r>
            <w:r w:rsidRPr="009238AF">
              <w:rPr>
                <w:rFonts w:ascii="Times New Roman" w:eastAsia="Times New Roman" w:hAnsi="Times New Roman"/>
                <w:bCs/>
                <w:color w:val="000000"/>
                <w:sz w:val="20"/>
                <w:szCs w:val="20"/>
                <w:lang w:val="en-GB"/>
              </w:rPr>
              <w:tab/>
              <w:t xml:space="preserve">Articles 56 to 60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sidRPr="00E3680B">
              <w:rPr>
                <w:rFonts w:ascii="Times New Roman" w:eastAsia="Times New Roman" w:hAnsi="Times New Roman"/>
                <w:bCs/>
                <w:color w:val="000000"/>
                <w:sz w:val="20"/>
                <w:szCs w:val="20"/>
              </w:rPr>
              <w:t>(EU) No 575/2013</w:t>
            </w:r>
            <w:r w:rsidR="00DB0A9C">
              <w:rPr>
                <w:rFonts w:ascii="Times New Roman" w:eastAsia="Times New Roman" w:hAnsi="Times New Roman"/>
                <w:bCs/>
                <w:color w:val="000000"/>
                <w:sz w:val="20"/>
                <w:szCs w:val="20"/>
                <w:lang w:val="en-GB"/>
              </w:rPr>
              <w:t xml:space="preserve"> </w:t>
            </w:r>
            <w:r w:rsidR="0009671A">
              <w:rPr>
                <w:rFonts w:ascii="Times New Roman" w:eastAsia="Times New Roman" w:hAnsi="Times New Roman"/>
                <w:bCs/>
                <w:color w:val="000000"/>
                <w:sz w:val="20"/>
                <w:szCs w:val="20"/>
                <w:lang w:val="en-GB"/>
              </w:rPr>
              <w:t>,</w:t>
            </w:r>
          </w:p>
          <w:p w:rsidR="0009671A" w:rsidRPr="009238AF" w:rsidRDefault="0009671A" w:rsidP="009238AF">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as applicable</w:t>
            </w:r>
          </w:p>
          <w:p w:rsidR="009238AF" w:rsidRDefault="009238AF" w:rsidP="009238AF">
            <w:pPr>
              <w:tabs>
                <w:tab w:val="left" w:pos="0"/>
              </w:tabs>
              <w:jc w:val="both"/>
              <w:rPr>
                <w:rFonts w:ascii="Times New Roman" w:eastAsia="Times New Roman" w:hAnsi="Times New Roman"/>
                <w:bCs/>
                <w:color w:val="000000"/>
                <w:sz w:val="20"/>
                <w:szCs w:val="20"/>
                <w:lang w:val="en-GB"/>
              </w:rPr>
            </w:pPr>
          </w:p>
          <w:p w:rsidR="0009671A" w:rsidRPr="009238AF" w:rsidRDefault="0009671A" w:rsidP="009238AF">
            <w:pPr>
              <w:tabs>
                <w:tab w:val="left" w:pos="0"/>
              </w:tabs>
              <w:jc w:val="both"/>
              <w:rPr>
                <w:rFonts w:ascii="Times New Roman" w:eastAsia="Times New Roman" w:hAnsi="Times New Roman"/>
                <w:bCs/>
                <w:color w:val="000000"/>
                <w:sz w:val="20"/>
                <w:szCs w:val="20"/>
                <w:lang w:val="en-GB"/>
              </w:rPr>
            </w:pPr>
          </w:p>
          <w:p w:rsidR="00305DF4" w:rsidRDefault="00305DF4" w:rsidP="009238AF">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W</w:t>
            </w:r>
            <w:r w:rsidRPr="00305DF4">
              <w:rPr>
                <w:rFonts w:ascii="Times New Roman" w:eastAsia="Times New Roman" w:hAnsi="Times New Roman"/>
                <w:bCs/>
                <w:color w:val="000000"/>
                <w:sz w:val="20"/>
                <w:szCs w:val="20"/>
                <w:lang w:val="en-GB"/>
              </w:rPr>
              <w:t>here the choice to disclose Tier 1 capital is made in accordance with Article 499 (1) (a) of Regulation (EU) No 575/2013,</w:t>
            </w:r>
            <w:r>
              <w:rPr>
                <w:rFonts w:ascii="Times New Roman" w:eastAsia="Times New Roman" w:hAnsi="Times New Roman"/>
                <w:bCs/>
                <w:color w:val="000000"/>
                <w:sz w:val="20"/>
                <w:szCs w:val="20"/>
                <w:lang w:val="en-GB"/>
              </w:rPr>
              <w:t xml:space="preserve"> i</w:t>
            </w:r>
            <w:r w:rsidR="009238AF" w:rsidRPr="009238AF">
              <w:rPr>
                <w:rFonts w:ascii="Times New Roman" w:eastAsia="Times New Roman" w:hAnsi="Times New Roman"/>
                <w:bCs/>
                <w:color w:val="000000"/>
                <w:sz w:val="20"/>
                <w:szCs w:val="20"/>
                <w:lang w:val="en-GB"/>
              </w:rPr>
              <w:t xml:space="preserve">nstitutions shall take into account the exemptions, alternatives and waivers to such deductions laid down in Articles 48, 49 and 79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sidRPr="00E3680B">
              <w:rPr>
                <w:rFonts w:ascii="Times New Roman" w:eastAsia="Times New Roman" w:hAnsi="Times New Roman"/>
                <w:bCs/>
                <w:color w:val="000000"/>
                <w:sz w:val="20"/>
                <w:szCs w:val="20"/>
              </w:rPr>
              <w:t>(EU) No 575/2013</w:t>
            </w:r>
            <w:r w:rsidR="009238AF" w:rsidRPr="009238AF">
              <w:rPr>
                <w:rFonts w:ascii="Times New Roman" w:eastAsia="Times New Roman" w:hAnsi="Times New Roman"/>
                <w:bCs/>
                <w:color w:val="000000"/>
                <w:sz w:val="20"/>
                <w:szCs w:val="20"/>
                <w:lang w:val="en-GB"/>
              </w:rPr>
              <w:t xml:space="preserve">, without taking into account the derogation laid down in Chapters 1 and 2 of Title I of Part Ten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009238AF" w:rsidRPr="009238AF">
              <w:rPr>
                <w:rFonts w:ascii="Times New Roman" w:eastAsia="Times New Roman" w:hAnsi="Times New Roman"/>
                <w:bCs/>
                <w:color w:val="000000"/>
                <w:sz w:val="20"/>
                <w:szCs w:val="20"/>
                <w:lang w:val="en-GB"/>
              </w:rPr>
              <w:t xml:space="preserve">. </w:t>
            </w:r>
            <w:r w:rsidRPr="00305DF4">
              <w:rPr>
                <w:rFonts w:ascii="Times New Roman" w:eastAsia="Times New Roman" w:hAnsi="Times New Roman"/>
                <w:bCs/>
                <w:color w:val="000000"/>
                <w:sz w:val="20"/>
                <w:szCs w:val="20"/>
                <w:lang w:val="en-GB"/>
              </w:rPr>
              <w:t xml:space="preserve">In contrast, where the choice to disclose Tier 1 capital is made in accordance with Article 499 (1) (b) of Regulation (EU) No 575/2013, institutions shall shall take into account exemptions, alternatives and waivers to such deductions laid down in Articles 48, 49 and 79 of </w:t>
            </w:r>
            <w:r w:rsidR="00DB0A9C">
              <w:rPr>
                <w:rFonts w:ascii="Times New Roman" w:eastAsia="Times New Roman" w:hAnsi="Times New Roman"/>
                <w:bCs/>
                <w:color w:val="000000"/>
                <w:sz w:val="20"/>
                <w:szCs w:val="20"/>
                <w:lang w:val="en-GB"/>
              </w:rPr>
              <w:t xml:space="preserve">REGULATION (EU) No 575/2013 </w:t>
            </w:r>
            <w:r w:rsidRPr="00305DF4">
              <w:rPr>
                <w:rFonts w:ascii="Times New Roman" w:eastAsia="Times New Roman" w:hAnsi="Times New Roman"/>
                <w:bCs/>
                <w:color w:val="000000"/>
                <w:sz w:val="20"/>
                <w:szCs w:val="20"/>
                <w:lang w:val="en-GB"/>
              </w:rPr>
              <w:t xml:space="preserve">, in addition to taking into account the derogations laid down in Chapter 1 and 2 of Title I of Part Ten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p>
          <w:p w:rsidR="00305DF4" w:rsidRDefault="00305DF4" w:rsidP="009238AF">
            <w:pPr>
              <w:tabs>
                <w:tab w:val="left" w:pos="0"/>
              </w:tabs>
              <w:jc w:val="both"/>
              <w:rPr>
                <w:rFonts w:ascii="Times New Roman" w:eastAsia="Times New Roman" w:hAnsi="Times New Roman"/>
                <w:bCs/>
                <w:color w:val="000000"/>
                <w:sz w:val="20"/>
                <w:szCs w:val="20"/>
                <w:lang w:val="en-GB"/>
              </w:rPr>
            </w:pPr>
          </w:p>
          <w:p w:rsidR="009238AF" w:rsidRDefault="009238AF" w:rsidP="009238AF">
            <w:pPr>
              <w:tabs>
                <w:tab w:val="left" w:pos="0"/>
              </w:tabs>
              <w:jc w:val="both"/>
              <w:rPr>
                <w:rFonts w:ascii="Times New Roman" w:eastAsia="Times New Roman" w:hAnsi="Times New Roman"/>
                <w:bCs/>
                <w:color w:val="000000"/>
                <w:sz w:val="20"/>
                <w:szCs w:val="20"/>
                <w:lang w:val="en-GB"/>
              </w:rPr>
            </w:pPr>
            <w:r w:rsidRPr="009238AF">
              <w:rPr>
                <w:rFonts w:ascii="Times New Roman" w:eastAsia="Times New Roman" w:hAnsi="Times New Roman"/>
                <w:bCs/>
                <w:color w:val="000000"/>
                <w:sz w:val="20"/>
                <w:szCs w:val="20"/>
                <w:lang w:val="en-GB"/>
              </w:rPr>
              <w:t xml:space="preserve">To avoid double counting, institutions shall not report adjustments already applied pursuant to Article 111 of </w:t>
            </w:r>
            <w:r w:rsidR="00DB0A9C" w:rsidRPr="00DB0A9C">
              <w:rPr>
                <w:rFonts w:ascii="Times New Roman" w:eastAsia="Times New Roman" w:hAnsi="Times New Roman"/>
                <w:bCs/>
                <w:color w:val="000000"/>
                <w:sz w:val="20"/>
                <w:szCs w:val="20"/>
                <w:lang w:val="en-GB"/>
              </w:rPr>
              <w:t xml:space="preserve">Regulation </w:t>
            </w:r>
            <w:r w:rsidR="00DB0A9C">
              <w:rPr>
                <w:rFonts w:ascii="Times New Roman" w:eastAsia="Times New Roman" w:hAnsi="Times New Roman"/>
                <w:bCs/>
                <w:color w:val="000000"/>
                <w:sz w:val="20"/>
                <w:szCs w:val="20"/>
                <w:lang w:val="en-GB"/>
              </w:rPr>
              <w:t xml:space="preserve">(EU) No 575/2013 </w:t>
            </w:r>
            <w:r w:rsidRPr="009238AF">
              <w:rPr>
                <w:rFonts w:ascii="Times New Roman" w:eastAsia="Times New Roman" w:hAnsi="Times New Roman"/>
                <w:bCs/>
                <w:color w:val="000000"/>
                <w:sz w:val="20"/>
                <w:szCs w:val="20"/>
                <w:lang w:val="en-GB"/>
              </w:rPr>
              <w:t xml:space="preserve"> when calculating the exposure value in rows 1, 4 and, </w:t>
            </w:r>
            <w:r w:rsidR="004E7561">
              <w:rPr>
                <w:rFonts w:ascii="Times New Roman" w:eastAsia="Times New Roman" w:hAnsi="Times New Roman"/>
                <w:bCs/>
                <w:color w:val="000000"/>
                <w:sz w:val="20"/>
                <w:szCs w:val="20"/>
                <w:lang w:val="en-GB"/>
              </w:rPr>
              <w:t>12</w:t>
            </w:r>
            <w:r w:rsidRPr="009238AF">
              <w:rPr>
                <w:rFonts w:ascii="Times New Roman" w:eastAsia="Times New Roman" w:hAnsi="Times New Roman"/>
                <w:bCs/>
                <w:color w:val="000000"/>
                <w:sz w:val="20"/>
                <w:szCs w:val="20"/>
                <w:lang w:val="en-GB"/>
              </w:rPr>
              <w:t xml:space="preserve"> nor shall they report any adjustment that does not deduct the value of a specific asset.</w:t>
            </w:r>
          </w:p>
          <w:p w:rsidR="00305DF4" w:rsidRDefault="00305DF4" w:rsidP="009238AF">
            <w:pPr>
              <w:tabs>
                <w:tab w:val="left" w:pos="0"/>
              </w:tabs>
              <w:jc w:val="both"/>
              <w:rPr>
                <w:rFonts w:ascii="Times New Roman" w:eastAsia="Times New Roman" w:hAnsi="Times New Roman"/>
                <w:bCs/>
                <w:color w:val="000000"/>
                <w:sz w:val="20"/>
                <w:szCs w:val="20"/>
                <w:lang w:val="en-GB"/>
              </w:rPr>
            </w:pPr>
          </w:p>
          <w:p w:rsidR="00305DF4" w:rsidRDefault="00CA5B33" w:rsidP="009238AF">
            <w:pPr>
              <w:tabs>
                <w:tab w:val="left" w:pos="0"/>
              </w:tabs>
              <w:jc w:val="both"/>
              <w:rPr>
                <w:rFonts w:ascii="Times New Roman" w:eastAsia="Times New Roman" w:hAnsi="Times New Roman"/>
                <w:bCs/>
                <w:color w:val="000000"/>
                <w:sz w:val="20"/>
                <w:szCs w:val="20"/>
                <w:lang w:val="en-GB"/>
              </w:rPr>
            </w:pPr>
            <w:r w:rsidRPr="00CA5B33">
              <w:rPr>
                <w:rFonts w:ascii="Times New Roman" w:eastAsia="Times New Roman" w:hAnsi="Times New Roman"/>
                <w:bCs/>
                <w:color w:val="000000"/>
                <w:sz w:val="20"/>
                <w:szCs w:val="20"/>
                <w:lang w:val="en-GB"/>
              </w:rPr>
              <w:t>Since it reduces the leverage ratio exposure measure</w:t>
            </w:r>
            <w:r w:rsidR="00A0108C">
              <w:rPr>
                <w:rFonts w:ascii="Times New Roman" w:eastAsia="Times New Roman" w:hAnsi="Times New Roman"/>
                <w:bCs/>
                <w:color w:val="000000"/>
                <w:sz w:val="20"/>
                <w:szCs w:val="20"/>
                <w:lang w:val="en-GB"/>
              </w:rPr>
              <w:t xml:space="preserve"> institutions shall place</w:t>
            </w:r>
            <w:r w:rsidRPr="00CA5B33">
              <w:rPr>
                <w:rFonts w:ascii="Times New Roman" w:eastAsia="Times New Roman" w:hAnsi="Times New Roman"/>
                <w:bCs/>
                <w:color w:val="000000"/>
                <w:sz w:val="20"/>
                <w:szCs w:val="20"/>
                <w:lang w:val="en-GB"/>
              </w:rPr>
              <w:t xml:space="preserve"> the value in this cell </w:t>
            </w:r>
            <w:r w:rsidR="00A0108C">
              <w:rPr>
                <w:rFonts w:ascii="Times New Roman" w:eastAsia="Times New Roman" w:hAnsi="Times New Roman"/>
                <w:bCs/>
                <w:color w:val="000000"/>
                <w:sz w:val="20"/>
                <w:szCs w:val="20"/>
                <w:lang w:val="en-GB"/>
              </w:rPr>
              <w:t>b</w:t>
            </w:r>
            <w:r w:rsidR="00A0108C" w:rsidRPr="00A0108C">
              <w:rPr>
                <w:rFonts w:ascii="Times New Roman" w:eastAsia="Times New Roman" w:hAnsi="Times New Roman"/>
                <w:bCs/>
                <w:color w:val="000000"/>
                <w:sz w:val="20"/>
                <w:szCs w:val="20"/>
                <w:lang w:val="en-GB"/>
              </w:rPr>
              <w:t xml:space="preserve">etween brackets (which signifies </w:t>
            </w:r>
            <w:r w:rsidR="00A0108C">
              <w:rPr>
                <w:rFonts w:ascii="Times New Roman" w:eastAsia="Times New Roman" w:hAnsi="Times New Roman"/>
                <w:bCs/>
                <w:color w:val="000000"/>
                <w:sz w:val="20"/>
                <w:szCs w:val="20"/>
                <w:lang w:val="en-GB"/>
              </w:rPr>
              <w:t xml:space="preserve">that it </w:t>
            </w:r>
            <w:r w:rsidRPr="00CA5B33">
              <w:rPr>
                <w:rFonts w:ascii="Times New Roman" w:eastAsia="Times New Roman" w:hAnsi="Times New Roman"/>
                <w:bCs/>
                <w:color w:val="000000"/>
                <w:sz w:val="20"/>
                <w:szCs w:val="20"/>
                <w:lang w:val="en-GB"/>
              </w:rPr>
              <w:t xml:space="preserve">shall contribute negatively to the sum </w:t>
            </w:r>
            <w:r>
              <w:rPr>
                <w:rFonts w:ascii="Times New Roman" w:eastAsia="Times New Roman" w:hAnsi="Times New Roman"/>
                <w:bCs/>
                <w:color w:val="000000"/>
                <w:sz w:val="20"/>
                <w:szCs w:val="20"/>
                <w:lang w:val="en-GB"/>
              </w:rPr>
              <w:t>to be disclosed in</w:t>
            </w:r>
            <w:r w:rsidRPr="00CA5B33">
              <w:rPr>
                <w:rFonts w:ascii="Times New Roman" w:eastAsia="Times New Roman" w:hAnsi="Times New Roman"/>
                <w:bCs/>
                <w:color w:val="000000"/>
                <w:sz w:val="20"/>
                <w:szCs w:val="20"/>
                <w:lang w:val="en-GB"/>
              </w:rPr>
              <w:t xml:space="preserve"> {LRCom</w:t>
            </w:r>
            <w:r w:rsidR="0091168B">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3</w:t>
            </w:r>
            <w:r w:rsidRPr="00CA5B33">
              <w:rPr>
                <w:rFonts w:ascii="Times New Roman" w:eastAsia="Times New Roman" w:hAnsi="Times New Roman"/>
                <w:bCs/>
                <w:color w:val="000000"/>
                <w:sz w:val="20"/>
                <w:szCs w:val="20"/>
                <w:lang w:val="en-GB"/>
              </w:rPr>
              <w:t>}</w:t>
            </w:r>
            <w:r w:rsidR="00A0108C">
              <w:rPr>
                <w:rFonts w:ascii="Times New Roman" w:eastAsia="Times New Roman" w:hAnsi="Times New Roman"/>
                <w:bCs/>
                <w:color w:val="000000"/>
                <w:sz w:val="20"/>
                <w:szCs w:val="20"/>
                <w:lang w:val="en-GB"/>
              </w:rPr>
              <w:t>)</w:t>
            </w:r>
            <w:r w:rsidRPr="00CA5B33">
              <w:rPr>
                <w:rFonts w:ascii="Times New Roman" w:eastAsia="Times New Roman" w:hAnsi="Times New Roman"/>
                <w:bCs/>
                <w:color w:val="000000"/>
                <w:sz w:val="20"/>
                <w:szCs w:val="20"/>
                <w:lang w:val="en-GB"/>
              </w:rPr>
              <w:t>.</w:t>
            </w:r>
            <w:r w:rsidR="00305DF4" w:rsidRPr="00305DF4">
              <w:rPr>
                <w:rFonts w:ascii="Times New Roman" w:eastAsia="Times New Roman" w:hAnsi="Times New Roman"/>
                <w:bCs/>
                <w:color w:val="000000"/>
                <w:sz w:val="20"/>
                <w:szCs w:val="20"/>
                <w:lang w:val="en-GB"/>
              </w:rPr>
              <w:t xml:space="preserve"> </w:t>
            </w:r>
          </w:p>
          <w:p w:rsidR="009238AF" w:rsidRPr="00E3680B" w:rsidRDefault="009238AF"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 </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Borders>
              <w:top w:val="single" w:sz="4" w:space="0" w:color="auto"/>
            </w:tcBorders>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{3}</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Borders>
              <w:top w:val="single" w:sz="4" w:space="0" w:color="auto"/>
            </w:tcBorders>
          </w:tcPr>
          <w:p w:rsid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Total on-balance sheet exposures (excluding derivatives</w:t>
            </w:r>
            <w:r w:rsidR="003B025A">
              <w:rPr>
                <w:rFonts w:ascii="Times New Roman" w:eastAsia="Times New Roman" w:hAnsi="Times New Roman"/>
                <w:b/>
                <w:bCs/>
                <w:color w:val="000000"/>
                <w:sz w:val="20"/>
                <w:szCs w:val="20"/>
                <w:lang w:val="en-GB"/>
              </w:rPr>
              <w:t>,</w:t>
            </w:r>
            <w:r w:rsidRPr="00E3680B">
              <w:rPr>
                <w:rFonts w:ascii="Times New Roman" w:eastAsia="Times New Roman" w:hAnsi="Times New Roman"/>
                <w:b/>
                <w:bCs/>
                <w:color w:val="000000"/>
                <w:sz w:val="20"/>
                <w:szCs w:val="20"/>
                <w:lang w:val="en-GB"/>
              </w:rPr>
              <w:t xml:space="preserve"> SFTs</w:t>
            </w:r>
            <w:r w:rsidR="003B025A">
              <w:rPr>
                <w:rFonts w:ascii="Times New Roman" w:eastAsia="Times New Roman" w:hAnsi="Times New Roman"/>
                <w:b/>
                <w:bCs/>
                <w:color w:val="000000"/>
                <w:sz w:val="20"/>
                <w:szCs w:val="20"/>
                <w:lang w:val="en-GB"/>
              </w:rPr>
              <w:t xml:space="preserve"> and fiduc</w:t>
            </w:r>
            <w:r w:rsidR="00305DF4">
              <w:rPr>
                <w:rFonts w:ascii="Times New Roman" w:eastAsia="Times New Roman" w:hAnsi="Times New Roman"/>
                <w:b/>
                <w:bCs/>
                <w:color w:val="000000"/>
                <w:sz w:val="20"/>
                <w:szCs w:val="20"/>
                <w:lang w:val="en-GB"/>
              </w:rPr>
              <w:t>ia</w:t>
            </w:r>
            <w:r w:rsidR="003B025A">
              <w:rPr>
                <w:rFonts w:ascii="Times New Roman" w:eastAsia="Times New Roman" w:hAnsi="Times New Roman"/>
                <w:b/>
                <w:bCs/>
                <w:color w:val="000000"/>
                <w:sz w:val="20"/>
                <w:szCs w:val="20"/>
                <w:lang w:val="en-GB"/>
              </w:rPr>
              <w:t>ry assets</w:t>
            </w:r>
            <w:r w:rsidRPr="00E3680B">
              <w:rPr>
                <w:rFonts w:ascii="Times New Roman" w:eastAsia="Times New Roman" w:hAnsi="Times New Roman"/>
                <w:b/>
                <w:bCs/>
                <w:color w:val="000000"/>
                <w:sz w:val="20"/>
                <w:szCs w:val="20"/>
                <w:lang w:val="en-GB"/>
              </w:rPr>
              <w:t>)</w:t>
            </w:r>
          </w:p>
          <w:p w:rsidR="003B025A" w:rsidRPr="00E3680B" w:rsidRDefault="003B025A"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The sum of {LRCom;1}</w:t>
            </w:r>
            <w:r w:rsidR="00D67E32">
              <w:rPr>
                <w:rFonts w:ascii="Times New Roman" w:eastAsia="Times New Roman" w:hAnsi="Times New Roman"/>
                <w:bCs/>
                <w:color w:val="000000"/>
                <w:sz w:val="20"/>
                <w:szCs w:val="20"/>
                <w:lang w:val="en-GB"/>
              </w:rPr>
              <w:t xml:space="preserve"> and </w:t>
            </w:r>
            <w:r w:rsidRPr="00E3680B">
              <w:rPr>
                <w:rFonts w:ascii="Times New Roman" w:eastAsia="Times New Roman" w:hAnsi="Times New Roman"/>
                <w:bCs/>
                <w:color w:val="000000"/>
                <w:sz w:val="20"/>
                <w:szCs w:val="20"/>
                <w:lang w:val="en-GB"/>
              </w:rPr>
              <w:t>{LRCom;2}.</w:t>
            </w:r>
            <w:r w:rsidR="00CA5B33">
              <w:rPr>
                <w:rFonts w:ascii="Times New Roman" w:eastAsia="Times New Roman" w:hAnsi="Times New Roman"/>
                <w:bCs/>
                <w:color w:val="000000"/>
                <w:sz w:val="20"/>
                <w:szCs w:val="20"/>
                <w:lang w:val="en-GB"/>
              </w:rPr>
              <w:t xml:space="preserve"> Institutions shall take into account that </w:t>
            </w:r>
            <w:r w:rsidR="00CA5B33" w:rsidRPr="00CA5B33">
              <w:rPr>
                <w:rFonts w:ascii="Times New Roman" w:eastAsia="Times New Roman" w:hAnsi="Times New Roman"/>
                <w:bCs/>
                <w:color w:val="000000"/>
                <w:sz w:val="20"/>
                <w:szCs w:val="20"/>
                <w:lang w:val="en-GB"/>
              </w:rPr>
              <w:t>{LRCom;2}</w:t>
            </w:r>
            <w:r w:rsidR="00CA5B33">
              <w:rPr>
                <w:rFonts w:ascii="Times New Roman" w:eastAsia="Times New Roman" w:hAnsi="Times New Roman"/>
                <w:bCs/>
                <w:color w:val="000000"/>
                <w:sz w:val="20"/>
                <w:szCs w:val="20"/>
                <w:lang w:val="en-GB"/>
              </w:rPr>
              <w:t xml:space="preserve"> </w:t>
            </w:r>
            <w:r w:rsidR="00CA5B33" w:rsidRPr="00CA5B33">
              <w:rPr>
                <w:rFonts w:ascii="Times New Roman" w:eastAsia="Times New Roman" w:hAnsi="Times New Roman"/>
                <w:bCs/>
                <w:color w:val="000000"/>
                <w:sz w:val="20"/>
                <w:szCs w:val="20"/>
                <w:lang w:val="en-GB"/>
              </w:rPr>
              <w:t>contribute</w:t>
            </w:r>
            <w:r w:rsidR="00CA5B33">
              <w:rPr>
                <w:rFonts w:ascii="Times New Roman" w:eastAsia="Times New Roman" w:hAnsi="Times New Roman"/>
                <w:bCs/>
                <w:color w:val="000000"/>
                <w:sz w:val="20"/>
                <w:szCs w:val="20"/>
                <w:lang w:val="en-GB"/>
              </w:rPr>
              <w:t>s</w:t>
            </w:r>
            <w:r w:rsidR="00CA5B33" w:rsidRPr="00CA5B33">
              <w:rPr>
                <w:rFonts w:ascii="Times New Roman" w:eastAsia="Times New Roman" w:hAnsi="Times New Roman"/>
                <w:bCs/>
                <w:color w:val="000000"/>
                <w:sz w:val="20"/>
                <w:szCs w:val="20"/>
                <w:lang w:val="en-GB"/>
              </w:rPr>
              <w:t xml:space="preserve"> negatively to th</w:t>
            </w:r>
            <w:r w:rsidR="00CA5B33">
              <w:rPr>
                <w:rFonts w:ascii="Times New Roman" w:eastAsia="Times New Roman" w:hAnsi="Times New Roman"/>
                <w:bCs/>
                <w:color w:val="000000"/>
                <w:sz w:val="20"/>
                <w:szCs w:val="20"/>
                <w:lang w:val="en-GB"/>
              </w:rPr>
              <w:t>is</w:t>
            </w:r>
            <w:r w:rsidR="00CA5B33" w:rsidRPr="00CA5B33">
              <w:rPr>
                <w:rFonts w:ascii="Times New Roman" w:eastAsia="Times New Roman" w:hAnsi="Times New Roman"/>
                <w:bCs/>
                <w:color w:val="000000"/>
                <w:sz w:val="20"/>
                <w:szCs w:val="20"/>
                <w:lang w:val="en-GB"/>
              </w:rPr>
              <w:t xml:space="preserve"> sum</w:t>
            </w:r>
            <w:r w:rsidR="00CA5B33">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{4}</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
                <w:bCs/>
                <w:color w:val="000000"/>
                <w:sz w:val="20"/>
                <w:szCs w:val="20"/>
                <w:lang w:val="en-GB"/>
              </w:rPr>
              <w:t xml:space="preserve">Replacement cost associated with </w:t>
            </w:r>
            <w:r w:rsidR="00814A0C">
              <w:rPr>
                <w:rFonts w:ascii="Times New Roman" w:eastAsia="Times New Roman" w:hAnsi="Times New Roman"/>
                <w:b/>
                <w:bCs/>
                <w:color w:val="000000"/>
                <w:sz w:val="20"/>
                <w:szCs w:val="20"/>
                <w:lang w:val="en-GB"/>
              </w:rPr>
              <w:t xml:space="preserve">all </w:t>
            </w:r>
            <w:r w:rsidRPr="00E3680B">
              <w:rPr>
                <w:rFonts w:ascii="Times New Roman" w:eastAsia="Times New Roman" w:hAnsi="Times New Roman"/>
                <w:b/>
                <w:bCs/>
                <w:color w:val="000000"/>
                <w:sz w:val="20"/>
                <w:szCs w:val="20"/>
                <w:lang w:val="en-GB"/>
              </w:rPr>
              <w:t xml:space="preserve">derivatives transactions </w:t>
            </w:r>
            <w:r w:rsidR="008C1FC0" w:rsidRPr="008C1FC0">
              <w:rPr>
                <w:rFonts w:ascii="Times New Roman" w:eastAsia="Times New Roman" w:hAnsi="Times New Roman"/>
                <w:b/>
                <w:bCs/>
                <w:color w:val="000000"/>
                <w:sz w:val="20"/>
                <w:szCs w:val="20"/>
                <w:lang w:val="en-GB"/>
              </w:rPr>
              <w:t>(i</w:t>
            </w:r>
            <w:r w:rsidR="00FD3B3E">
              <w:rPr>
                <w:rFonts w:ascii="Times New Roman" w:eastAsia="Times New Roman" w:hAnsi="Times New Roman"/>
                <w:b/>
                <w:bCs/>
                <w:color w:val="000000"/>
                <w:sz w:val="20"/>
                <w:szCs w:val="20"/>
                <w:lang w:val="en-GB"/>
              </w:rPr>
              <w:t>.</w:t>
            </w:r>
            <w:r w:rsidR="008C1FC0" w:rsidRPr="008C1FC0">
              <w:rPr>
                <w:rFonts w:ascii="Times New Roman" w:eastAsia="Times New Roman" w:hAnsi="Times New Roman"/>
                <w:b/>
                <w:bCs/>
                <w:color w:val="000000"/>
                <w:sz w:val="20"/>
                <w:szCs w:val="20"/>
                <w:lang w:val="en-GB"/>
              </w:rPr>
              <w:t>e</w:t>
            </w:r>
            <w:r w:rsidR="00FD3B3E">
              <w:rPr>
                <w:rFonts w:ascii="Times New Roman" w:eastAsia="Times New Roman" w:hAnsi="Times New Roman"/>
                <w:b/>
                <w:bCs/>
                <w:color w:val="000000"/>
                <w:sz w:val="20"/>
                <w:szCs w:val="20"/>
                <w:lang w:val="en-GB"/>
              </w:rPr>
              <w:t>.</w:t>
            </w:r>
            <w:r w:rsidR="008C1FC0" w:rsidRPr="008C1FC0">
              <w:rPr>
                <w:rFonts w:ascii="Times New Roman" w:eastAsia="Times New Roman" w:hAnsi="Times New Roman"/>
                <w:b/>
                <w:bCs/>
                <w:color w:val="000000"/>
                <w:sz w:val="20"/>
                <w:szCs w:val="20"/>
                <w:lang w:val="en-GB"/>
              </w:rPr>
              <w:t xml:space="preserve"> net of eligible cash variation margin)</w:t>
            </w:r>
          </w:p>
          <w:p w:rsidR="003B025A" w:rsidRDefault="003B025A" w:rsidP="00E3680B">
            <w:pPr>
              <w:tabs>
                <w:tab w:val="left" w:pos="0"/>
              </w:tabs>
              <w:spacing w:line="300" w:lineRule="exact"/>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Articles 274, 295, 296, 297, 298</w:t>
            </w:r>
            <w:r w:rsidR="008C1FC0">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 xml:space="preserve"> 429</w:t>
            </w:r>
            <w:r w:rsidR="008C1FC0">
              <w:rPr>
                <w:rFonts w:ascii="Times New Roman" w:eastAsia="Times New Roman" w:hAnsi="Times New Roman"/>
                <w:bCs/>
                <w:color w:val="000000"/>
                <w:sz w:val="20"/>
                <w:szCs w:val="20"/>
                <w:lang w:val="en-GB"/>
              </w:rPr>
              <w:t>a and 429a(3)</w:t>
            </w:r>
            <w:r w:rsidRPr="00E3680B">
              <w:rPr>
                <w:rFonts w:ascii="Times New Roman" w:eastAsia="Times New Roman" w:hAnsi="Times New Roman"/>
                <w:bCs/>
                <w:color w:val="000000"/>
                <w:sz w:val="20"/>
                <w:szCs w:val="20"/>
                <w:lang w:val="en-GB"/>
              </w:rPr>
              <w:t xml:space="preserve">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Institutions shall disclose the current replacement cost as specified in Article 274(1) of contracts listed in Annex II of Regulation (EU) No 575/2013 and credit derivatives</w:t>
            </w:r>
            <w:r w:rsidR="00814A0C">
              <w:t xml:space="preserve"> </w:t>
            </w:r>
            <w:r w:rsidR="00814A0C" w:rsidRPr="00814A0C">
              <w:rPr>
                <w:rFonts w:ascii="Times New Roman" w:eastAsia="Times New Roman" w:hAnsi="Times New Roman"/>
                <w:bCs/>
                <w:color w:val="000000"/>
                <w:sz w:val="20"/>
                <w:szCs w:val="20"/>
                <w:lang w:val="en-GB"/>
              </w:rPr>
              <w:t>including those that</w:t>
            </w:r>
            <w:r w:rsidR="00814A0C">
              <w:rPr>
                <w:rFonts w:ascii="Times New Roman" w:eastAsia="Times New Roman" w:hAnsi="Times New Roman"/>
                <w:bCs/>
                <w:color w:val="000000"/>
                <w:sz w:val="20"/>
                <w:szCs w:val="20"/>
                <w:lang w:val="en-GB"/>
              </w:rPr>
              <w:t xml:space="preserve"> are off-balance sheet</w:t>
            </w:r>
            <w:r w:rsidR="00C3494A">
              <w:rPr>
                <w:rFonts w:ascii="Times New Roman" w:eastAsia="Times New Roman" w:hAnsi="Times New Roman"/>
                <w:bCs/>
                <w:color w:val="000000"/>
                <w:sz w:val="20"/>
                <w:szCs w:val="20"/>
                <w:lang w:val="en-GB"/>
              </w:rPr>
              <w:t>. These replacement cost</w:t>
            </w:r>
            <w:r w:rsidR="00FD3B3E">
              <w:rPr>
                <w:rFonts w:ascii="Times New Roman" w:eastAsia="Times New Roman" w:hAnsi="Times New Roman"/>
                <w:bCs/>
                <w:color w:val="000000"/>
                <w:sz w:val="20"/>
                <w:szCs w:val="20"/>
                <w:lang w:val="en-GB"/>
              </w:rPr>
              <w:t>s</w:t>
            </w:r>
            <w:r w:rsidR="00C3494A">
              <w:rPr>
                <w:rFonts w:ascii="Times New Roman" w:eastAsia="Times New Roman" w:hAnsi="Times New Roman"/>
                <w:bCs/>
                <w:color w:val="000000"/>
                <w:sz w:val="20"/>
                <w:szCs w:val="20"/>
                <w:lang w:val="en-GB"/>
              </w:rPr>
              <w:t xml:space="preserve"> shall be</w:t>
            </w:r>
            <w:r w:rsidR="00814A0C">
              <w:rPr>
                <w:rFonts w:ascii="Times New Roman" w:eastAsia="Times New Roman" w:hAnsi="Times New Roman"/>
                <w:bCs/>
                <w:color w:val="000000"/>
                <w:sz w:val="20"/>
                <w:szCs w:val="20"/>
                <w:lang w:val="en-GB"/>
              </w:rPr>
              <w:t xml:space="preserve"> net</w:t>
            </w:r>
            <w:r w:rsidR="00814A0C" w:rsidRPr="00814A0C">
              <w:rPr>
                <w:rFonts w:ascii="Times New Roman" w:eastAsia="Times New Roman" w:hAnsi="Times New Roman"/>
                <w:bCs/>
                <w:color w:val="000000"/>
                <w:sz w:val="20"/>
                <w:szCs w:val="20"/>
                <w:lang w:val="en-GB"/>
              </w:rPr>
              <w:t xml:space="preserve"> of </w:t>
            </w:r>
            <w:r w:rsidR="00814A0C">
              <w:rPr>
                <w:rFonts w:ascii="Times New Roman" w:eastAsia="Times New Roman" w:hAnsi="Times New Roman"/>
                <w:bCs/>
                <w:color w:val="000000"/>
                <w:sz w:val="20"/>
                <w:szCs w:val="20"/>
                <w:lang w:val="en-GB"/>
              </w:rPr>
              <w:t xml:space="preserve">eligible cash </w:t>
            </w:r>
            <w:r w:rsidR="00814A0C" w:rsidRPr="00814A0C">
              <w:rPr>
                <w:rFonts w:ascii="Times New Roman" w:eastAsia="Times New Roman" w:hAnsi="Times New Roman"/>
                <w:bCs/>
                <w:color w:val="000000"/>
                <w:sz w:val="20"/>
                <w:szCs w:val="20"/>
                <w:lang w:val="en-GB"/>
              </w:rPr>
              <w:t>variation margin</w:t>
            </w:r>
            <w:r w:rsidR="00C3494A">
              <w:rPr>
                <w:rFonts w:ascii="Times New Roman" w:eastAsia="Times New Roman" w:hAnsi="Times New Roman"/>
                <w:bCs/>
                <w:color w:val="000000"/>
                <w:sz w:val="20"/>
                <w:szCs w:val="20"/>
                <w:lang w:val="en-GB"/>
              </w:rPr>
              <w:t xml:space="preserve"> </w:t>
            </w:r>
            <w:r w:rsidR="0009671A">
              <w:rPr>
                <w:rFonts w:ascii="Times New Roman" w:eastAsia="Times New Roman" w:hAnsi="Times New Roman"/>
                <w:bCs/>
                <w:color w:val="000000"/>
                <w:sz w:val="20"/>
                <w:szCs w:val="20"/>
                <w:lang w:val="en-GB"/>
              </w:rPr>
              <w:t>in accordance with</w:t>
            </w:r>
            <w:r w:rsidR="00C3494A">
              <w:rPr>
                <w:rFonts w:ascii="Times New Roman" w:eastAsia="Times New Roman" w:hAnsi="Times New Roman"/>
                <w:bCs/>
                <w:color w:val="000000"/>
                <w:sz w:val="20"/>
                <w:szCs w:val="20"/>
                <w:lang w:val="en-GB"/>
              </w:rPr>
              <w:t xml:space="preserve"> Article 429a(3) of the Regulation (EU) No 575/2013 whereas a</w:t>
            </w:r>
            <w:r w:rsidR="00C3494A" w:rsidRPr="00C3494A">
              <w:rPr>
                <w:rFonts w:ascii="Times New Roman" w:eastAsia="Times New Roman" w:hAnsi="Times New Roman"/>
                <w:bCs/>
                <w:color w:val="000000"/>
                <w:sz w:val="20"/>
                <w:szCs w:val="20"/>
                <w:lang w:val="en-GB"/>
              </w:rPr>
              <w:t xml:space="preserve">ny cash variation margin received on an exempted CCP leg </w:t>
            </w:r>
            <w:r w:rsidR="0009671A">
              <w:rPr>
                <w:rFonts w:ascii="Times New Roman" w:eastAsia="Times New Roman" w:hAnsi="Times New Roman"/>
                <w:bCs/>
                <w:color w:val="000000"/>
                <w:sz w:val="20"/>
                <w:szCs w:val="20"/>
                <w:lang w:val="en-GB"/>
              </w:rPr>
              <w:t>in accordance with</w:t>
            </w:r>
            <w:r w:rsidR="00C3494A" w:rsidRPr="00C3494A">
              <w:rPr>
                <w:rFonts w:ascii="Times New Roman" w:eastAsia="Times New Roman" w:hAnsi="Times New Roman"/>
                <w:bCs/>
                <w:color w:val="000000"/>
                <w:sz w:val="20"/>
                <w:szCs w:val="20"/>
                <w:lang w:val="en-GB"/>
              </w:rPr>
              <w:t xml:space="preserve"> Article 429(11) of the </w:t>
            </w:r>
            <w:r w:rsidR="00C3494A" w:rsidRPr="00E3680B">
              <w:rPr>
                <w:rFonts w:ascii="Times New Roman" w:eastAsia="Times New Roman" w:hAnsi="Times New Roman"/>
                <w:bCs/>
                <w:color w:val="000000"/>
                <w:sz w:val="20"/>
                <w:szCs w:val="20"/>
                <w:lang w:val="en-GB"/>
              </w:rPr>
              <w:t xml:space="preserve">Regulation (EU) No 575/2013 </w:t>
            </w:r>
            <w:r w:rsidR="00C3494A" w:rsidRPr="00C3494A">
              <w:rPr>
                <w:rFonts w:ascii="Times New Roman" w:eastAsia="Times New Roman" w:hAnsi="Times New Roman"/>
                <w:bCs/>
                <w:color w:val="000000"/>
                <w:sz w:val="20"/>
                <w:szCs w:val="20"/>
                <w:lang w:val="en-GB"/>
              </w:rPr>
              <w:t xml:space="preserve">shall not be </w:t>
            </w:r>
            <w:r w:rsidR="00C3494A">
              <w:rPr>
                <w:rFonts w:ascii="Times New Roman" w:eastAsia="Times New Roman" w:hAnsi="Times New Roman"/>
                <w:bCs/>
                <w:color w:val="000000"/>
                <w:sz w:val="20"/>
                <w:szCs w:val="20"/>
                <w:lang w:val="en-GB"/>
              </w:rPr>
              <w:t>considered</w:t>
            </w:r>
            <w:r w:rsidR="00C3494A" w:rsidRPr="00C3494A">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817E71" w:rsidP="00E3680B">
            <w:pPr>
              <w:tabs>
                <w:tab w:val="left" w:pos="0"/>
              </w:tabs>
              <w:jc w:val="both"/>
              <w:rPr>
                <w:rFonts w:ascii="Times New Roman" w:eastAsia="Times New Roman" w:hAnsi="Times New Roman"/>
                <w:bCs/>
                <w:color w:val="000000"/>
                <w:sz w:val="20"/>
                <w:szCs w:val="20"/>
                <w:lang w:val="en-GB"/>
              </w:rPr>
            </w:pPr>
            <w:r w:rsidRPr="00817E71">
              <w:rPr>
                <w:rFonts w:ascii="Times New Roman" w:eastAsia="Times New Roman" w:hAnsi="Times New Roman"/>
                <w:bCs/>
                <w:color w:val="000000"/>
                <w:sz w:val="20"/>
                <w:szCs w:val="20"/>
                <w:lang w:val="en-GB"/>
              </w:rPr>
              <w:t xml:space="preserve">As determined by Article 429a(1)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r w:rsidRPr="00817E71">
              <w:rPr>
                <w:rFonts w:ascii="Times New Roman" w:eastAsia="Times New Roman" w:hAnsi="Times New Roman"/>
                <w:bCs/>
                <w:color w:val="000000"/>
                <w:sz w:val="20"/>
                <w:szCs w:val="20"/>
                <w:lang w:val="en-GB"/>
              </w:rPr>
              <w:t xml:space="preserve">, institutions may take into account the effects of contracts for novation and other netting agreements in accordance with Article 295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r w:rsidRPr="00817E71">
              <w:rPr>
                <w:rFonts w:ascii="Times New Roman" w:eastAsia="Times New Roman" w:hAnsi="Times New Roman"/>
                <w:bCs/>
                <w:color w:val="000000"/>
                <w:sz w:val="20"/>
                <w:szCs w:val="20"/>
                <w:lang w:val="en-GB"/>
              </w:rPr>
              <w:t xml:space="preserve">. Cross-product netting shall not apply. However, institutions may net within the product category referred to in point (25)(c) of Article 272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r>
              <w:rPr>
                <w:rFonts w:ascii="Times New Roman" w:eastAsia="Times New Roman" w:hAnsi="Times New Roman"/>
                <w:bCs/>
                <w:color w:val="000000"/>
                <w:sz w:val="20"/>
                <w:szCs w:val="20"/>
                <w:lang w:val="en-GB"/>
              </w:rPr>
              <w:t xml:space="preserve"> </w:t>
            </w:r>
            <w:r w:rsidRPr="00817E71">
              <w:rPr>
                <w:rFonts w:ascii="Times New Roman" w:eastAsia="Times New Roman" w:hAnsi="Times New Roman"/>
                <w:bCs/>
                <w:color w:val="000000"/>
                <w:sz w:val="20"/>
                <w:szCs w:val="20"/>
                <w:lang w:val="en-GB"/>
              </w:rPr>
              <w:t xml:space="preserve">and credit derivatives when they are subject to a contractual cross-product netting agreement referred to in Article 295(c)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r w:rsidRPr="00817E71">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Institutions shall consider all credit derivatives, not solely those in the trading book.</w:t>
            </w:r>
          </w:p>
          <w:p w:rsidR="00E3680B" w:rsidRPr="00E3680B" w:rsidRDefault="00E3680B" w:rsidP="00E3680B">
            <w:pPr>
              <w:tabs>
                <w:tab w:val="left" w:pos="0"/>
              </w:tabs>
              <w:jc w:val="both"/>
              <w:rPr>
                <w:rFonts w:ascii="Times New Roman" w:eastAsia="Times New Roman" w:hAnsi="Times New Roman"/>
                <w:color w:val="000000"/>
                <w:sz w:val="20"/>
                <w:szCs w:val="20"/>
                <w:lang w:val="en-GB"/>
              </w:rPr>
            </w:pPr>
          </w:p>
          <w:p w:rsidR="00E3680B" w:rsidRPr="00E3680B" w:rsidRDefault="00E3680B" w:rsidP="00E3680B">
            <w:pPr>
              <w:tabs>
                <w:tab w:val="left" w:pos="0"/>
              </w:tabs>
              <w:jc w:val="both"/>
              <w:rPr>
                <w:rFonts w:ascii="Times New Roman" w:eastAsia="Times New Roman" w:hAnsi="Times New Roman"/>
                <w:color w:val="000000"/>
                <w:sz w:val="20"/>
                <w:szCs w:val="20"/>
                <w:lang w:val="en-GB"/>
              </w:rPr>
            </w:pPr>
            <w:r w:rsidRPr="00E3680B">
              <w:rPr>
                <w:rFonts w:ascii="Times New Roman" w:eastAsia="Times New Roman" w:hAnsi="Times New Roman"/>
                <w:bCs/>
                <w:color w:val="000000"/>
                <w:sz w:val="20"/>
                <w:szCs w:val="20"/>
                <w:lang w:val="en-GB"/>
              </w:rPr>
              <w:t xml:space="preserve">Institutions shall not include in this </w:t>
            </w:r>
            <w:r w:rsidR="0009671A">
              <w:rPr>
                <w:rFonts w:ascii="Times New Roman" w:eastAsia="Times New Roman" w:hAnsi="Times New Roman"/>
                <w:bCs/>
                <w:color w:val="000000"/>
                <w:sz w:val="20"/>
                <w:szCs w:val="20"/>
                <w:lang w:val="en-GB"/>
              </w:rPr>
              <w:t>cell</w:t>
            </w:r>
            <w:r w:rsidRPr="00E3680B">
              <w:rPr>
                <w:rFonts w:ascii="Times New Roman" w:eastAsia="Times New Roman" w:hAnsi="Times New Roman"/>
                <w:bCs/>
                <w:color w:val="000000"/>
                <w:sz w:val="20"/>
                <w:szCs w:val="20"/>
                <w:lang w:val="en-GB"/>
              </w:rPr>
              <w:t xml:space="preserve"> contracts measured by application of the Original Exposure Method in accordance with Articles 429</w:t>
            </w:r>
            <w:r w:rsidR="00340859">
              <w:rPr>
                <w:rFonts w:ascii="Times New Roman" w:eastAsia="Times New Roman" w:hAnsi="Times New Roman"/>
                <w:bCs/>
                <w:color w:val="000000"/>
                <w:sz w:val="20"/>
                <w:szCs w:val="20"/>
                <w:lang w:val="en-GB"/>
              </w:rPr>
              <w:t>a</w:t>
            </w:r>
            <w:r w:rsidRPr="00E3680B">
              <w:rPr>
                <w:rFonts w:ascii="Times New Roman" w:eastAsia="Times New Roman" w:hAnsi="Times New Roman"/>
                <w:bCs/>
                <w:color w:val="000000"/>
                <w:sz w:val="20"/>
                <w:szCs w:val="20"/>
                <w:lang w:val="en-GB"/>
              </w:rPr>
              <w:t>(</w:t>
            </w:r>
            <w:r w:rsidR="00340859">
              <w:rPr>
                <w:rFonts w:ascii="Times New Roman" w:eastAsia="Times New Roman" w:hAnsi="Times New Roman"/>
                <w:bCs/>
                <w:color w:val="000000"/>
                <w:sz w:val="20"/>
                <w:szCs w:val="20"/>
                <w:lang w:val="en-GB"/>
              </w:rPr>
              <w:t>8</w:t>
            </w:r>
            <w:r w:rsidRPr="00E3680B">
              <w:rPr>
                <w:rFonts w:ascii="Times New Roman" w:eastAsia="Times New Roman" w:hAnsi="Times New Roman"/>
                <w:bCs/>
                <w:color w:val="000000"/>
                <w:sz w:val="20"/>
                <w:szCs w:val="20"/>
                <w:lang w:val="en-GB"/>
              </w:rPr>
              <w:t>) and 275 of Regulation (EU) No 575/2013.</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{5}</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Add-on amount for PFE associated with</w:t>
            </w:r>
            <w:r w:rsidR="00CB2224">
              <w:rPr>
                <w:rFonts w:ascii="Times New Roman" w:eastAsia="Times New Roman" w:hAnsi="Times New Roman"/>
                <w:b/>
                <w:bCs/>
                <w:color w:val="000000"/>
                <w:sz w:val="20"/>
                <w:szCs w:val="20"/>
                <w:lang w:val="en-GB"/>
              </w:rPr>
              <w:t xml:space="preserve"> all</w:t>
            </w:r>
            <w:r w:rsidRPr="00E3680B">
              <w:rPr>
                <w:rFonts w:ascii="Times New Roman" w:eastAsia="Times New Roman" w:hAnsi="Times New Roman"/>
                <w:b/>
                <w:bCs/>
                <w:color w:val="000000"/>
                <w:sz w:val="20"/>
                <w:szCs w:val="20"/>
                <w:lang w:val="en-GB"/>
              </w:rPr>
              <w:t xml:space="preserve"> derivatives transactions (mark to market method)</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Articles 274, 295, 296, 297, 298, 299 (2)</w:t>
            </w:r>
            <w:r w:rsidR="00D67E32">
              <w:rPr>
                <w:rFonts w:ascii="Times New Roman" w:eastAsia="Times New Roman" w:hAnsi="Times New Roman"/>
                <w:bCs/>
                <w:color w:val="000000"/>
                <w:sz w:val="20"/>
                <w:szCs w:val="20"/>
                <w:lang w:val="en-GB"/>
              </w:rPr>
              <w:t xml:space="preserve"> and</w:t>
            </w:r>
            <w:r w:rsidRPr="00E3680B">
              <w:rPr>
                <w:rFonts w:ascii="Times New Roman" w:eastAsia="Times New Roman" w:hAnsi="Times New Roman"/>
                <w:bCs/>
                <w:color w:val="000000"/>
                <w:sz w:val="20"/>
                <w:szCs w:val="20"/>
                <w:lang w:val="en-GB"/>
              </w:rPr>
              <w:t xml:space="preserve"> 429</w:t>
            </w:r>
            <w:r w:rsidR="00DE4BA7">
              <w:rPr>
                <w:rFonts w:ascii="Times New Roman" w:eastAsia="Times New Roman" w:hAnsi="Times New Roman"/>
                <w:bCs/>
                <w:color w:val="000000"/>
                <w:sz w:val="20"/>
                <w:szCs w:val="20"/>
                <w:lang w:val="en-GB"/>
              </w:rPr>
              <w:t>a</w:t>
            </w:r>
            <w:r w:rsidRPr="00E3680B">
              <w:rPr>
                <w:rFonts w:ascii="Times New Roman" w:eastAsia="Times New Roman" w:hAnsi="Times New Roman"/>
                <w:bCs/>
                <w:color w:val="000000"/>
                <w:sz w:val="20"/>
                <w:szCs w:val="20"/>
                <w:lang w:val="en-GB"/>
              </w:rPr>
              <w:t xml:space="preserve">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D94D60" w:rsidRDefault="00E3680B" w:rsidP="00D94D60">
            <w:pPr>
              <w:tabs>
                <w:tab w:val="left" w:pos="0"/>
              </w:tabs>
              <w:jc w:val="both"/>
              <w:rPr>
                <w:rFonts w:ascii="Times New Roman" w:eastAsia="Times New Roman" w:hAnsi="Times New Roman"/>
                <w:bCs/>
                <w:color w:val="000000"/>
                <w:sz w:val="20"/>
                <w:szCs w:val="20"/>
                <w:lang w:val="en-GB"/>
              </w:rPr>
            </w:pPr>
            <w:r w:rsidRPr="00D94D60">
              <w:rPr>
                <w:rFonts w:ascii="Times New Roman" w:eastAsia="Times New Roman" w:hAnsi="Times New Roman"/>
                <w:bCs/>
                <w:color w:val="000000"/>
                <w:sz w:val="20"/>
                <w:szCs w:val="20"/>
                <w:lang w:val="en-GB"/>
              </w:rPr>
              <w:t xml:space="preserve">Institutions shall disclose </w:t>
            </w:r>
            <w:r w:rsidR="00D94D60" w:rsidRPr="00D94D60">
              <w:rPr>
                <w:rFonts w:ascii="Times New Roman" w:eastAsia="Times New Roman" w:hAnsi="Times New Roman"/>
                <w:bCs/>
                <w:color w:val="000000"/>
                <w:sz w:val="20"/>
                <w:szCs w:val="20"/>
                <w:lang w:val="en-GB"/>
              </w:rPr>
              <w:t xml:space="preserve">the add-on for the potential future exposure of contracts listed in Annex II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00D94D60" w:rsidRPr="00D94D60">
              <w:rPr>
                <w:rFonts w:ascii="Times New Roman" w:eastAsia="Times New Roman" w:hAnsi="Times New Roman"/>
                <w:bCs/>
                <w:color w:val="000000"/>
                <w:sz w:val="20"/>
                <w:szCs w:val="20"/>
                <w:lang w:val="en-GB"/>
              </w:rPr>
              <w:t xml:space="preserve"> and of credit derivatives including those that are off-balance sheet calculated in accordance with the Mark-to-market Method (Article 274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00D94D60" w:rsidRPr="00D94D60">
              <w:rPr>
                <w:rFonts w:ascii="Times New Roman" w:eastAsia="Times New Roman" w:hAnsi="Times New Roman"/>
                <w:bCs/>
                <w:color w:val="000000"/>
                <w:sz w:val="20"/>
                <w:szCs w:val="20"/>
                <w:lang w:val="en-GB"/>
              </w:rPr>
              <w:t xml:space="preserve"> for contracts listed in Annex II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00D94D60" w:rsidRPr="00D94D60">
              <w:rPr>
                <w:rFonts w:ascii="Times New Roman" w:eastAsia="Times New Roman" w:hAnsi="Times New Roman"/>
                <w:bCs/>
                <w:color w:val="000000"/>
                <w:sz w:val="20"/>
                <w:szCs w:val="20"/>
                <w:lang w:val="en-GB"/>
              </w:rPr>
              <w:t xml:space="preserve"> and Article 299(2)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00D94D60" w:rsidRPr="00D94D60">
              <w:rPr>
                <w:rFonts w:ascii="Times New Roman" w:eastAsia="Times New Roman" w:hAnsi="Times New Roman"/>
                <w:bCs/>
                <w:color w:val="000000"/>
                <w:sz w:val="20"/>
                <w:szCs w:val="20"/>
                <w:lang w:val="en-GB"/>
              </w:rPr>
              <w:t xml:space="preserve"> for credit derivatives) and applying netting rules </w:t>
            </w:r>
            <w:r w:rsidR="0009671A">
              <w:rPr>
                <w:rFonts w:ascii="Times New Roman" w:eastAsia="Times New Roman" w:hAnsi="Times New Roman"/>
                <w:bCs/>
                <w:color w:val="000000"/>
                <w:sz w:val="20"/>
                <w:szCs w:val="20"/>
                <w:lang w:val="en-GB"/>
              </w:rPr>
              <w:t>in accordance with</w:t>
            </w:r>
            <w:r w:rsidR="00D94D60" w:rsidRPr="00D94D60">
              <w:rPr>
                <w:rFonts w:ascii="Times New Roman" w:eastAsia="Times New Roman" w:hAnsi="Times New Roman"/>
                <w:bCs/>
                <w:color w:val="000000"/>
                <w:sz w:val="20"/>
                <w:szCs w:val="20"/>
                <w:lang w:val="en-GB"/>
              </w:rPr>
              <w:t xml:space="preserve"> Article 429a(1)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00D94D60" w:rsidRPr="00D94D60">
              <w:rPr>
                <w:rFonts w:ascii="Times New Roman" w:eastAsia="Times New Roman" w:hAnsi="Times New Roman"/>
                <w:bCs/>
                <w:color w:val="000000"/>
                <w:sz w:val="20"/>
                <w:szCs w:val="20"/>
                <w:lang w:val="en-GB"/>
              </w:rPr>
              <w:t xml:space="preserve">. In determining the exposure value of those contracts, institutions may take into account the effects of contracts for novation and other netting agreements in accordance with Article 295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00D94D60" w:rsidRPr="00D94D60">
              <w:rPr>
                <w:rFonts w:ascii="Times New Roman" w:eastAsia="Times New Roman" w:hAnsi="Times New Roman"/>
                <w:bCs/>
                <w:color w:val="000000"/>
                <w:sz w:val="20"/>
                <w:szCs w:val="20"/>
                <w:lang w:val="en-GB"/>
              </w:rPr>
              <w:t xml:space="preserve">. Cross-product netting shall not apply. However, institutions may net within the product category referred to in point (25)(c) of Article 272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00D94D60" w:rsidRPr="00D94D60">
              <w:rPr>
                <w:rFonts w:ascii="Times New Roman" w:eastAsia="Times New Roman" w:hAnsi="Times New Roman"/>
                <w:bCs/>
                <w:color w:val="000000"/>
                <w:sz w:val="20"/>
                <w:szCs w:val="20"/>
                <w:lang w:val="en-GB"/>
              </w:rPr>
              <w:t xml:space="preserve"> and credit derivatives when they are subject to a contractual cross-product netting agreement referred to in Article 295(c)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00D94D60" w:rsidRPr="00D94D60">
              <w:rPr>
                <w:rFonts w:ascii="Times New Roman" w:eastAsia="Times New Roman" w:hAnsi="Times New Roman"/>
                <w:bCs/>
                <w:color w:val="000000"/>
                <w:sz w:val="20"/>
                <w:szCs w:val="20"/>
                <w:lang w:val="en-GB"/>
              </w:rPr>
              <w:t>.</w:t>
            </w:r>
          </w:p>
          <w:p w:rsidR="00D94D60" w:rsidRPr="00D94D60" w:rsidRDefault="00D94D60" w:rsidP="00D94D60">
            <w:pPr>
              <w:tabs>
                <w:tab w:val="left" w:pos="0"/>
              </w:tabs>
              <w:jc w:val="both"/>
              <w:rPr>
                <w:rFonts w:ascii="Times New Roman" w:eastAsia="Times New Roman" w:hAnsi="Times New Roman"/>
                <w:bCs/>
                <w:color w:val="000000"/>
                <w:sz w:val="20"/>
                <w:szCs w:val="20"/>
                <w:lang w:val="en-GB"/>
              </w:rPr>
            </w:pPr>
          </w:p>
          <w:p w:rsidR="00D94D60" w:rsidRDefault="00D94D60" w:rsidP="00D94D60">
            <w:pPr>
              <w:tabs>
                <w:tab w:val="left" w:pos="0"/>
              </w:tabs>
              <w:jc w:val="both"/>
              <w:rPr>
                <w:rFonts w:ascii="Times New Roman" w:eastAsia="Times New Roman" w:hAnsi="Times New Roman"/>
                <w:bCs/>
                <w:color w:val="000000"/>
                <w:sz w:val="20"/>
                <w:szCs w:val="20"/>
                <w:lang w:val="en-GB"/>
              </w:rPr>
            </w:pPr>
            <w:r w:rsidRPr="00D94D60">
              <w:rPr>
                <w:rFonts w:ascii="Times New Roman" w:eastAsia="Times New Roman" w:hAnsi="Times New Roman"/>
                <w:bCs/>
                <w:color w:val="000000"/>
                <w:sz w:val="20"/>
                <w:szCs w:val="20"/>
                <w:lang w:val="en-GB"/>
              </w:rPr>
              <w:t xml:space="preserve">In accordance with Article 429a(1), subparagraph 2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Pr="00D94D60">
              <w:rPr>
                <w:rFonts w:ascii="Times New Roman" w:eastAsia="Times New Roman" w:hAnsi="Times New Roman"/>
                <w:bCs/>
                <w:color w:val="000000"/>
                <w:sz w:val="20"/>
                <w:szCs w:val="20"/>
                <w:lang w:val="en-GB"/>
              </w:rPr>
              <w:t xml:space="preserve">, when determining the potential future credit exposure of credit derivatives, institutions shall apply the principles laid down in Article 299(2)(a)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Pr="00D94D60">
              <w:rPr>
                <w:rFonts w:ascii="Times New Roman" w:eastAsia="Times New Roman" w:hAnsi="Times New Roman"/>
                <w:bCs/>
                <w:color w:val="000000"/>
                <w:sz w:val="20"/>
                <w:szCs w:val="20"/>
                <w:lang w:val="en-GB"/>
              </w:rPr>
              <w:t xml:space="preserve"> to all their credit derivatives, not just those assigned to the trading book.</w:t>
            </w:r>
          </w:p>
          <w:p w:rsidR="00D94D60" w:rsidRPr="00D94D60" w:rsidRDefault="00D94D60" w:rsidP="00D94D60">
            <w:pPr>
              <w:tabs>
                <w:tab w:val="left" w:pos="0"/>
              </w:tabs>
              <w:jc w:val="both"/>
              <w:rPr>
                <w:rFonts w:ascii="Times New Roman" w:eastAsia="Times New Roman" w:hAnsi="Times New Roman"/>
                <w:bCs/>
                <w:color w:val="000000"/>
                <w:sz w:val="20"/>
                <w:szCs w:val="20"/>
                <w:lang w:val="en-GB"/>
              </w:rPr>
            </w:pPr>
          </w:p>
          <w:p w:rsidR="00E3680B" w:rsidRPr="00E3680B" w:rsidRDefault="00D94D60" w:rsidP="00E3680B">
            <w:pPr>
              <w:tabs>
                <w:tab w:val="left" w:pos="0"/>
              </w:tabs>
              <w:spacing w:line="300" w:lineRule="exact"/>
              <w:jc w:val="both"/>
              <w:rPr>
                <w:rFonts w:ascii="Times New Roman" w:eastAsia="Times New Roman" w:hAnsi="Times New Roman"/>
                <w:bCs/>
                <w:color w:val="000000"/>
                <w:sz w:val="20"/>
                <w:szCs w:val="20"/>
                <w:lang w:val="en-GB"/>
              </w:rPr>
            </w:pPr>
            <w:r w:rsidRPr="00D94D60">
              <w:rPr>
                <w:rFonts w:ascii="Times New Roman" w:eastAsia="Times New Roman" w:hAnsi="Times New Roman"/>
                <w:bCs/>
                <w:color w:val="000000"/>
                <w:sz w:val="20"/>
                <w:szCs w:val="20"/>
                <w:lang w:val="en-GB"/>
              </w:rPr>
              <w:t xml:space="preserve">Institutions shall not include in this </w:t>
            </w:r>
            <w:r w:rsidR="0009671A">
              <w:rPr>
                <w:rFonts w:ascii="Times New Roman" w:eastAsia="Times New Roman" w:hAnsi="Times New Roman"/>
                <w:bCs/>
                <w:color w:val="000000"/>
                <w:sz w:val="20"/>
                <w:szCs w:val="20"/>
                <w:lang w:val="en-GB"/>
              </w:rPr>
              <w:t>cell</w:t>
            </w:r>
            <w:r w:rsidRPr="00D94D60">
              <w:rPr>
                <w:rFonts w:ascii="Times New Roman" w:eastAsia="Times New Roman" w:hAnsi="Times New Roman"/>
                <w:bCs/>
                <w:color w:val="000000"/>
                <w:sz w:val="20"/>
                <w:szCs w:val="20"/>
                <w:lang w:val="en-GB"/>
              </w:rPr>
              <w:t xml:space="preserve"> contracts measured by application of the Original Exposure Method in accordance with Articles 429a(8) and 275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Pr="00D94D60">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1646"/>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{EU-5a}</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Exposure determined under Original Exposure Method</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Article</w:t>
            </w:r>
            <w:r w:rsidR="000F73EC">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429</w:t>
            </w:r>
            <w:r w:rsidR="000F73EC">
              <w:rPr>
                <w:rFonts w:ascii="Times New Roman" w:eastAsia="Times New Roman" w:hAnsi="Times New Roman"/>
                <w:bCs/>
                <w:color w:val="000000"/>
                <w:sz w:val="20"/>
                <w:szCs w:val="20"/>
                <w:lang w:val="en-GB"/>
              </w:rPr>
              <w:t>a</w:t>
            </w:r>
            <w:r w:rsidRPr="00E3680B">
              <w:rPr>
                <w:rFonts w:ascii="Times New Roman" w:eastAsia="Times New Roman" w:hAnsi="Times New Roman"/>
                <w:bCs/>
                <w:color w:val="000000"/>
                <w:sz w:val="20"/>
                <w:szCs w:val="20"/>
                <w:lang w:val="en-GB"/>
              </w:rPr>
              <w:t>(</w:t>
            </w:r>
            <w:r w:rsidR="000F73EC">
              <w:rPr>
                <w:rFonts w:ascii="Times New Roman" w:eastAsia="Times New Roman" w:hAnsi="Times New Roman"/>
                <w:bCs/>
                <w:color w:val="000000"/>
                <w:sz w:val="20"/>
                <w:szCs w:val="20"/>
                <w:lang w:val="en-GB"/>
              </w:rPr>
              <w:t>8</w:t>
            </w:r>
            <w:r w:rsidRPr="00E3680B">
              <w:rPr>
                <w:rFonts w:ascii="Times New Roman" w:eastAsia="Times New Roman" w:hAnsi="Times New Roman"/>
                <w:bCs/>
                <w:color w:val="000000"/>
                <w:sz w:val="20"/>
                <w:szCs w:val="20"/>
                <w:lang w:val="en-GB"/>
              </w:rPr>
              <w:t xml:space="preserve">) </w:t>
            </w:r>
            <w:r w:rsidR="000F73EC">
              <w:rPr>
                <w:rFonts w:ascii="Times New Roman" w:eastAsia="Times New Roman" w:hAnsi="Times New Roman"/>
                <w:bCs/>
                <w:color w:val="000000"/>
                <w:sz w:val="20"/>
                <w:szCs w:val="20"/>
                <w:lang w:val="en-GB"/>
              </w:rPr>
              <w:t xml:space="preserve">and 275 </w:t>
            </w:r>
            <w:r w:rsidRPr="00E3680B">
              <w:rPr>
                <w:rFonts w:ascii="Times New Roman" w:eastAsia="Times New Roman" w:hAnsi="Times New Roman"/>
                <w:bCs/>
                <w:color w:val="000000"/>
                <w:sz w:val="20"/>
                <w:szCs w:val="20"/>
                <w:lang w:val="en-GB"/>
              </w:rPr>
              <w:t>of Regulation (EU) No 575/2013</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CB2224" w:rsidRPr="00CB2224" w:rsidRDefault="00CB2224" w:rsidP="00CB2224">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 xml:space="preserve">Institutions shall disclose </w:t>
            </w:r>
            <w:r w:rsidRPr="00CB2224">
              <w:rPr>
                <w:rFonts w:ascii="Times New Roman" w:eastAsia="Times New Roman" w:hAnsi="Times New Roman"/>
                <w:bCs/>
                <w:color w:val="000000"/>
                <w:sz w:val="20"/>
                <w:szCs w:val="20"/>
                <w:lang w:val="en-GB"/>
              </w:rPr>
              <w:t xml:space="preserve">the exposure measure of contracts listed in points 1 and 2 of Annex II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Pr="00CB2224">
              <w:rPr>
                <w:rFonts w:ascii="Times New Roman" w:eastAsia="Times New Roman" w:hAnsi="Times New Roman"/>
                <w:bCs/>
                <w:color w:val="000000"/>
                <w:sz w:val="20"/>
                <w:szCs w:val="20"/>
                <w:lang w:val="en-GB"/>
              </w:rPr>
              <w:t xml:space="preserve"> calculated </w:t>
            </w:r>
            <w:r w:rsidR="0009671A">
              <w:rPr>
                <w:rFonts w:ascii="Times New Roman" w:eastAsia="Times New Roman" w:hAnsi="Times New Roman"/>
                <w:bCs/>
                <w:color w:val="000000"/>
                <w:sz w:val="20"/>
                <w:szCs w:val="20"/>
                <w:lang w:val="en-GB"/>
              </w:rPr>
              <w:t>in accordance with</w:t>
            </w:r>
            <w:r w:rsidRPr="00CB2224">
              <w:rPr>
                <w:rFonts w:ascii="Times New Roman" w:eastAsia="Times New Roman" w:hAnsi="Times New Roman"/>
                <w:bCs/>
                <w:color w:val="000000"/>
                <w:sz w:val="20"/>
                <w:szCs w:val="20"/>
                <w:lang w:val="en-GB"/>
              </w:rPr>
              <w:t xml:space="preserve"> the Original Exposure Method set out in Article 275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p>
          <w:p w:rsidR="00CB2224" w:rsidRPr="00CB2224" w:rsidRDefault="00CB2224" w:rsidP="00CB2224">
            <w:pPr>
              <w:tabs>
                <w:tab w:val="left" w:pos="0"/>
              </w:tabs>
              <w:jc w:val="both"/>
              <w:rPr>
                <w:rFonts w:ascii="Times New Roman" w:eastAsia="Times New Roman" w:hAnsi="Times New Roman"/>
                <w:bCs/>
                <w:color w:val="000000"/>
                <w:sz w:val="20"/>
                <w:szCs w:val="20"/>
                <w:lang w:val="en-GB"/>
              </w:rPr>
            </w:pPr>
          </w:p>
          <w:p w:rsidR="00CB2224" w:rsidRPr="00CB2224" w:rsidRDefault="00CB2224" w:rsidP="00CB2224">
            <w:pPr>
              <w:tabs>
                <w:tab w:val="left" w:pos="0"/>
              </w:tabs>
              <w:jc w:val="both"/>
              <w:rPr>
                <w:rFonts w:ascii="Times New Roman" w:eastAsia="Times New Roman" w:hAnsi="Times New Roman"/>
                <w:bCs/>
                <w:color w:val="000000"/>
                <w:sz w:val="20"/>
                <w:szCs w:val="20"/>
                <w:lang w:val="en-GB"/>
              </w:rPr>
            </w:pPr>
            <w:r w:rsidRPr="00CB2224">
              <w:rPr>
                <w:rFonts w:ascii="Times New Roman" w:eastAsia="Times New Roman" w:hAnsi="Times New Roman"/>
                <w:bCs/>
                <w:color w:val="000000"/>
                <w:sz w:val="20"/>
                <w:szCs w:val="20"/>
                <w:lang w:val="en-GB"/>
              </w:rPr>
              <w:t xml:space="preserve">Institutions that apply the Original Exposure Method shall not reduce the exposure measure by the amount of variation margin received in cash </w:t>
            </w:r>
            <w:r w:rsidR="0009671A">
              <w:rPr>
                <w:rFonts w:ascii="Times New Roman" w:eastAsia="Times New Roman" w:hAnsi="Times New Roman"/>
                <w:bCs/>
                <w:color w:val="000000"/>
                <w:sz w:val="20"/>
                <w:szCs w:val="20"/>
                <w:lang w:val="en-GB"/>
              </w:rPr>
              <w:t>in accordance with</w:t>
            </w:r>
            <w:r w:rsidRPr="00CB2224">
              <w:rPr>
                <w:rFonts w:ascii="Times New Roman" w:eastAsia="Times New Roman" w:hAnsi="Times New Roman"/>
                <w:bCs/>
                <w:color w:val="000000"/>
                <w:sz w:val="20"/>
                <w:szCs w:val="20"/>
                <w:lang w:val="en-GB"/>
              </w:rPr>
              <w:t xml:space="preserve"> Article 429a(8)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Pr="00CB2224">
              <w:rPr>
                <w:rFonts w:ascii="Times New Roman" w:eastAsia="Times New Roman" w:hAnsi="Times New Roman"/>
                <w:bCs/>
                <w:color w:val="000000"/>
                <w:sz w:val="20"/>
                <w:szCs w:val="20"/>
                <w:lang w:val="en-GB"/>
              </w:rPr>
              <w:t>.</w:t>
            </w:r>
          </w:p>
          <w:p w:rsidR="00CB2224" w:rsidRPr="00CB2224" w:rsidRDefault="00CB2224" w:rsidP="00CB2224">
            <w:pPr>
              <w:tabs>
                <w:tab w:val="left" w:pos="0"/>
              </w:tabs>
              <w:jc w:val="both"/>
              <w:rPr>
                <w:rFonts w:ascii="Times New Roman" w:eastAsia="Times New Roman" w:hAnsi="Times New Roman"/>
                <w:bCs/>
                <w:color w:val="000000"/>
                <w:sz w:val="20"/>
                <w:szCs w:val="20"/>
                <w:lang w:val="en-GB"/>
              </w:rPr>
            </w:pPr>
          </w:p>
          <w:p w:rsidR="00CB2224" w:rsidRPr="00CB2224" w:rsidRDefault="00CB2224" w:rsidP="00CB2224">
            <w:pPr>
              <w:tabs>
                <w:tab w:val="left" w:pos="0"/>
              </w:tabs>
              <w:jc w:val="both"/>
              <w:rPr>
                <w:rFonts w:ascii="Times New Roman" w:eastAsia="Times New Roman" w:hAnsi="Times New Roman"/>
                <w:bCs/>
                <w:color w:val="000000"/>
                <w:sz w:val="20"/>
                <w:szCs w:val="20"/>
                <w:lang w:val="en-GB"/>
              </w:rPr>
            </w:pPr>
            <w:r w:rsidRPr="00CB2224">
              <w:rPr>
                <w:rFonts w:ascii="Times New Roman" w:eastAsia="Times New Roman" w:hAnsi="Times New Roman"/>
                <w:bCs/>
                <w:color w:val="000000"/>
                <w:sz w:val="20"/>
                <w:szCs w:val="20"/>
                <w:lang w:val="en-GB"/>
              </w:rPr>
              <w:t xml:space="preserve">Institutions that do not use the Original Exposure Method shall not report this </w:t>
            </w:r>
            <w:r w:rsidR="0009671A">
              <w:rPr>
                <w:rFonts w:ascii="Times New Roman" w:eastAsia="Times New Roman" w:hAnsi="Times New Roman"/>
                <w:bCs/>
                <w:color w:val="000000"/>
                <w:sz w:val="20"/>
                <w:szCs w:val="20"/>
                <w:lang w:val="en-GB"/>
              </w:rPr>
              <w:t>cell</w:t>
            </w:r>
            <w:r w:rsidRPr="00CB2224">
              <w:rPr>
                <w:rFonts w:ascii="Times New Roman" w:eastAsia="Times New Roman" w:hAnsi="Times New Roman"/>
                <w:bCs/>
                <w:color w:val="000000"/>
                <w:sz w:val="20"/>
                <w:szCs w:val="20"/>
                <w:lang w:val="en-GB"/>
              </w:rPr>
              <w:t>.</w:t>
            </w:r>
          </w:p>
          <w:p w:rsidR="00CB2224" w:rsidRPr="00CB2224" w:rsidRDefault="00CB2224" w:rsidP="00CB2224">
            <w:pPr>
              <w:tabs>
                <w:tab w:val="left" w:pos="0"/>
              </w:tabs>
              <w:jc w:val="both"/>
              <w:rPr>
                <w:rFonts w:ascii="Times New Roman" w:eastAsia="Times New Roman" w:hAnsi="Times New Roman"/>
                <w:bCs/>
                <w:color w:val="000000"/>
                <w:sz w:val="20"/>
                <w:szCs w:val="20"/>
                <w:lang w:val="en-GB"/>
              </w:rPr>
            </w:pPr>
          </w:p>
          <w:p w:rsidR="00E3680B" w:rsidRPr="00E3680B" w:rsidRDefault="00CB2224" w:rsidP="00CB2224">
            <w:pPr>
              <w:tabs>
                <w:tab w:val="left" w:pos="0"/>
              </w:tabs>
              <w:jc w:val="both"/>
              <w:rPr>
                <w:rFonts w:ascii="Times New Roman" w:eastAsia="Times New Roman" w:hAnsi="Times New Roman"/>
                <w:bCs/>
                <w:color w:val="000000"/>
                <w:sz w:val="20"/>
                <w:szCs w:val="20"/>
                <w:lang w:val="en-GB"/>
              </w:rPr>
            </w:pPr>
            <w:r w:rsidRPr="00CB2224">
              <w:rPr>
                <w:rFonts w:ascii="Times New Roman" w:eastAsia="Times New Roman" w:hAnsi="Times New Roman"/>
                <w:bCs/>
                <w:color w:val="000000"/>
                <w:sz w:val="20"/>
                <w:szCs w:val="20"/>
                <w:lang w:val="en-GB"/>
              </w:rPr>
              <w:t xml:space="preserve">Institutions shall not consider in this </w:t>
            </w:r>
            <w:r w:rsidR="0009671A">
              <w:rPr>
                <w:rFonts w:ascii="Times New Roman" w:eastAsia="Times New Roman" w:hAnsi="Times New Roman"/>
                <w:bCs/>
                <w:color w:val="000000"/>
                <w:sz w:val="20"/>
                <w:szCs w:val="20"/>
                <w:lang w:val="en-GB"/>
              </w:rPr>
              <w:t>cell</w:t>
            </w:r>
            <w:r w:rsidRPr="00CB2224">
              <w:rPr>
                <w:rFonts w:ascii="Times New Roman" w:eastAsia="Times New Roman" w:hAnsi="Times New Roman"/>
                <w:bCs/>
                <w:color w:val="000000"/>
                <w:sz w:val="20"/>
                <w:szCs w:val="20"/>
                <w:lang w:val="en-GB"/>
              </w:rPr>
              <w:t xml:space="preserve"> contracts measured by application of the Mark-to-market method in accordance with Articles 429a(1) and 274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Pr="00CB2224">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593"/>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{6}</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Default="0046149F" w:rsidP="00E3680B">
            <w:pPr>
              <w:tabs>
                <w:tab w:val="left" w:pos="0"/>
              </w:tabs>
              <w:jc w:val="both"/>
              <w:rPr>
                <w:rFonts w:ascii="Times New Roman" w:eastAsia="Times New Roman" w:hAnsi="Times New Roman"/>
                <w:bCs/>
                <w:color w:val="000000"/>
                <w:sz w:val="20"/>
                <w:szCs w:val="20"/>
                <w:lang w:val="en-GB"/>
              </w:rPr>
            </w:pPr>
            <w:r w:rsidRPr="0046149F">
              <w:rPr>
                <w:rFonts w:ascii="Times New Roman" w:eastAsia="Times New Roman" w:hAnsi="Times New Roman"/>
                <w:b/>
                <w:bCs/>
                <w:color w:val="000000"/>
                <w:sz w:val="20"/>
                <w:szCs w:val="20"/>
                <w:lang w:val="en-GB"/>
              </w:rPr>
              <w:t xml:space="preserve">Gross-up for derivatives collateral provided where deducted from the balance sheet assets pursuant to the </w:t>
            </w:r>
            <w:r w:rsidR="00A71D70">
              <w:rPr>
                <w:rFonts w:ascii="Times New Roman" w:eastAsia="Times New Roman" w:hAnsi="Times New Roman"/>
                <w:b/>
                <w:bCs/>
                <w:color w:val="000000"/>
                <w:sz w:val="20"/>
                <w:szCs w:val="20"/>
                <w:lang w:val="en-GB"/>
              </w:rPr>
              <w:t>applicable</w:t>
            </w:r>
            <w:r w:rsidR="00A71D70" w:rsidRPr="0046149F">
              <w:rPr>
                <w:rFonts w:ascii="Times New Roman" w:eastAsia="Times New Roman" w:hAnsi="Times New Roman"/>
                <w:b/>
                <w:bCs/>
                <w:color w:val="000000"/>
                <w:sz w:val="20"/>
                <w:szCs w:val="20"/>
                <w:lang w:val="en-GB"/>
              </w:rPr>
              <w:t xml:space="preserve"> </w:t>
            </w:r>
            <w:r w:rsidRPr="0046149F">
              <w:rPr>
                <w:rFonts w:ascii="Times New Roman" w:eastAsia="Times New Roman" w:hAnsi="Times New Roman"/>
                <w:b/>
                <w:bCs/>
                <w:color w:val="000000"/>
                <w:sz w:val="20"/>
                <w:szCs w:val="20"/>
                <w:lang w:val="en-GB"/>
              </w:rPr>
              <w:t>accounting framework</w:t>
            </w:r>
          </w:p>
          <w:p w:rsidR="007453CD" w:rsidRDefault="007453CD" w:rsidP="007453CD">
            <w:pPr>
              <w:tabs>
                <w:tab w:val="left" w:pos="0"/>
              </w:tabs>
              <w:jc w:val="both"/>
              <w:rPr>
                <w:rFonts w:ascii="Times New Roman" w:eastAsia="Times New Roman" w:hAnsi="Times New Roman"/>
                <w:bCs/>
                <w:color w:val="000000"/>
                <w:sz w:val="20"/>
                <w:szCs w:val="20"/>
                <w:lang w:val="en-GB"/>
              </w:rPr>
            </w:pPr>
            <w:r w:rsidRPr="007453CD">
              <w:rPr>
                <w:rFonts w:ascii="Times New Roman" w:eastAsia="Times New Roman" w:hAnsi="Times New Roman"/>
                <w:bCs/>
                <w:color w:val="000000"/>
                <w:sz w:val="20"/>
                <w:szCs w:val="20"/>
                <w:lang w:val="en-GB"/>
              </w:rPr>
              <w:t xml:space="preserve">Article 429a(2) of </w:t>
            </w:r>
            <w:r>
              <w:rPr>
                <w:rFonts w:ascii="Times New Roman" w:eastAsia="Times New Roman" w:hAnsi="Times New Roman"/>
                <w:bCs/>
                <w:color w:val="000000"/>
                <w:sz w:val="20"/>
                <w:szCs w:val="20"/>
                <w:lang w:val="en-GB"/>
              </w:rPr>
              <w:t>Regulation (EU) No 575/2013</w:t>
            </w:r>
          </w:p>
          <w:p w:rsidR="007453CD" w:rsidRPr="007453CD" w:rsidRDefault="007453CD" w:rsidP="007453CD">
            <w:pPr>
              <w:tabs>
                <w:tab w:val="left" w:pos="0"/>
              </w:tabs>
              <w:jc w:val="both"/>
              <w:rPr>
                <w:rFonts w:ascii="Times New Roman" w:eastAsia="Times New Roman" w:hAnsi="Times New Roman"/>
                <w:bCs/>
                <w:color w:val="000000"/>
                <w:sz w:val="20"/>
                <w:szCs w:val="20"/>
                <w:lang w:val="en-GB"/>
              </w:rPr>
            </w:pPr>
          </w:p>
          <w:p w:rsidR="007453CD" w:rsidRDefault="007453CD" w:rsidP="007453CD">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w:t>
            </w:r>
            <w:r>
              <w:rPr>
                <w:rFonts w:ascii="Times New Roman" w:eastAsia="Times New Roman" w:hAnsi="Times New Roman"/>
                <w:bCs/>
                <w:color w:val="000000"/>
                <w:sz w:val="20"/>
                <w:szCs w:val="20"/>
                <w:lang w:val="en-GB"/>
              </w:rPr>
              <w:t>t</w:t>
            </w:r>
            <w:r w:rsidRPr="007453CD">
              <w:rPr>
                <w:rFonts w:ascii="Times New Roman" w:eastAsia="Times New Roman" w:hAnsi="Times New Roman"/>
                <w:bCs/>
                <w:color w:val="000000"/>
                <w:sz w:val="20"/>
                <w:szCs w:val="20"/>
                <w:lang w:val="en-GB"/>
              </w:rPr>
              <w:t xml:space="preserve">he amount of any derivatives collateral provided where the provision of that collateral reduces the amount of assets under the applicable accounting framework, as set out in Article 429a(2) of </w:t>
            </w:r>
            <w:r>
              <w:rPr>
                <w:rFonts w:ascii="Times New Roman" w:eastAsia="Times New Roman" w:hAnsi="Times New Roman"/>
                <w:bCs/>
                <w:color w:val="000000"/>
                <w:sz w:val="20"/>
                <w:szCs w:val="20"/>
                <w:lang w:val="en-GB"/>
              </w:rPr>
              <w:t>Regulation (EU) No 575/2013</w:t>
            </w:r>
            <w:r w:rsidRPr="007453CD">
              <w:rPr>
                <w:rFonts w:ascii="Times New Roman" w:eastAsia="Times New Roman" w:hAnsi="Times New Roman"/>
                <w:bCs/>
                <w:color w:val="000000"/>
                <w:sz w:val="20"/>
                <w:szCs w:val="20"/>
                <w:lang w:val="en-GB"/>
              </w:rPr>
              <w:t>.</w:t>
            </w:r>
          </w:p>
          <w:p w:rsidR="007453CD" w:rsidRPr="007453CD" w:rsidRDefault="007453CD" w:rsidP="007453CD">
            <w:pPr>
              <w:tabs>
                <w:tab w:val="left" w:pos="0"/>
              </w:tabs>
              <w:jc w:val="both"/>
              <w:rPr>
                <w:rFonts w:ascii="Times New Roman" w:eastAsia="Times New Roman" w:hAnsi="Times New Roman"/>
                <w:bCs/>
                <w:color w:val="000000"/>
                <w:sz w:val="20"/>
                <w:szCs w:val="20"/>
                <w:lang w:val="en-GB"/>
              </w:rPr>
            </w:pPr>
          </w:p>
          <w:p w:rsidR="0046149F" w:rsidRDefault="007453CD" w:rsidP="007453CD">
            <w:pPr>
              <w:tabs>
                <w:tab w:val="left" w:pos="0"/>
              </w:tabs>
              <w:jc w:val="both"/>
              <w:rPr>
                <w:rFonts w:ascii="Times New Roman" w:eastAsia="Times New Roman" w:hAnsi="Times New Roman"/>
                <w:bCs/>
                <w:color w:val="000000"/>
                <w:sz w:val="20"/>
                <w:szCs w:val="20"/>
                <w:lang w:val="en-GB"/>
              </w:rPr>
            </w:pPr>
            <w:r w:rsidRPr="007453CD">
              <w:rPr>
                <w:rFonts w:ascii="Times New Roman" w:eastAsia="Times New Roman" w:hAnsi="Times New Roman"/>
                <w:bCs/>
                <w:color w:val="000000"/>
                <w:sz w:val="20"/>
                <w:szCs w:val="20"/>
                <w:lang w:val="en-GB"/>
              </w:rPr>
              <w:t xml:space="preserve">Institutions shall not include in this </w:t>
            </w:r>
            <w:r w:rsidR="0009671A">
              <w:rPr>
                <w:rFonts w:ascii="Times New Roman" w:eastAsia="Times New Roman" w:hAnsi="Times New Roman"/>
                <w:bCs/>
                <w:color w:val="000000"/>
                <w:sz w:val="20"/>
                <w:szCs w:val="20"/>
                <w:lang w:val="en-GB"/>
              </w:rPr>
              <w:t>cell</w:t>
            </w:r>
            <w:r w:rsidRPr="007453CD">
              <w:rPr>
                <w:rFonts w:ascii="Times New Roman" w:eastAsia="Times New Roman" w:hAnsi="Times New Roman"/>
                <w:bCs/>
                <w:color w:val="000000"/>
                <w:sz w:val="20"/>
                <w:szCs w:val="20"/>
                <w:lang w:val="en-GB"/>
              </w:rPr>
              <w:t xml:space="preserve"> initial margin for client-cleared derivative transactions with a qualifying CCP (QCCP) or eligible cash variation margin, as defined in Article 429a(3) of </w:t>
            </w:r>
            <w:r>
              <w:rPr>
                <w:rFonts w:ascii="Times New Roman" w:eastAsia="Times New Roman" w:hAnsi="Times New Roman"/>
                <w:bCs/>
                <w:color w:val="000000"/>
                <w:sz w:val="20"/>
                <w:szCs w:val="20"/>
                <w:lang w:val="en-GB"/>
              </w:rPr>
              <w:t>Regulation (EU) No 575/2013</w:t>
            </w:r>
            <w:r w:rsidRPr="007453CD">
              <w:rPr>
                <w:rFonts w:ascii="Times New Roman" w:eastAsia="Times New Roman" w:hAnsi="Times New Roman"/>
                <w:bCs/>
                <w:color w:val="000000"/>
                <w:sz w:val="20"/>
                <w:szCs w:val="20"/>
                <w:lang w:val="en-GB"/>
              </w:rPr>
              <w:t>.</w:t>
            </w:r>
          </w:p>
          <w:p w:rsidR="007453CD" w:rsidRPr="00E3680B" w:rsidRDefault="007453CD" w:rsidP="007453CD">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{7}</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Default="0046149F" w:rsidP="00E3680B">
            <w:pPr>
              <w:tabs>
                <w:tab w:val="left" w:pos="0"/>
              </w:tabs>
              <w:jc w:val="both"/>
              <w:rPr>
                <w:rFonts w:ascii="Times New Roman" w:eastAsia="Times New Roman" w:hAnsi="Times New Roman"/>
                <w:b/>
                <w:bCs/>
                <w:color w:val="000000"/>
                <w:sz w:val="20"/>
                <w:szCs w:val="20"/>
                <w:lang w:val="en-GB"/>
              </w:rPr>
            </w:pPr>
            <w:r w:rsidRPr="0046149F">
              <w:rPr>
                <w:rFonts w:ascii="Times New Roman" w:eastAsia="Times New Roman" w:hAnsi="Times New Roman"/>
                <w:b/>
                <w:bCs/>
                <w:color w:val="000000"/>
                <w:sz w:val="20"/>
                <w:szCs w:val="20"/>
                <w:lang w:val="en-GB"/>
              </w:rPr>
              <w:t>(Deductions of receivables assets for cash variation margin provided in derivatives transactions)</w:t>
            </w:r>
          </w:p>
          <w:p w:rsidR="0046149F" w:rsidRPr="00744CC4" w:rsidRDefault="0046149F" w:rsidP="00E3680B">
            <w:pPr>
              <w:tabs>
                <w:tab w:val="left" w:pos="0"/>
              </w:tabs>
              <w:jc w:val="both"/>
              <w:rPr>
                <w:rFonts w:ascii="Times New Roman" w:eastAsia="Times New Roman" w:hAnsi="Times New Roman"/>
                <w:bCs/>
                <w:color w:val="000000"/>
                <w:sz w:val="20"/>
                <w:szCs w:val="20"/>
                <w:lang w:val="en-GB"/>
              </w:rPr>
            </w:pPr>
          </w:p>
          <w:p w:rsidR="002A37AB" w:rsidRDefault="002A37AB" w:rsidP="002A37AB">
            <w:pPr>
              <w:tabs>
                <w:tab w:val="left" w:pos="0"/>
              </w:tabs>
              <w:jc w:val="both"/>
              <w:rPr>
                <w:rFonts w:ascii="Times New Roman" w:eastAsia="Times New Roman" w:hAnsi="Times New Roman"/>
                <w:bCs/>
                <w:color w:val="000000"/>
                <w:sz w:val="20"/>
                <w:szCs w:val="20"/>
                <w:lang w:val="en-GB"/>
              </w:rPr>
            </w:pPr>
            <w:r w:rsidRPr="002A37AB">
              <w:rPr>
                <w:rFonts w:ascii="Times New Roman" w:eastAsia="Times New Roman" w:hAnsi="Times New Roman"/>
                <w:bCs/>
                <w:color w:val="000000"/>
                <w:sz w:val="20"/>
                <w:szCs w:val="20"/>
                <w:lang w:val="en-GB"/>
              </w:rPr>
              <w:t xml:space="preserve">Article 429a(3) of </w:t>
            </w:r>
            <w:r>
              <w:rPr>
                <w:rFonts w:ascii="Times New Roman" w:eastAsia="Times New Roman" w:hAnsi="Times New Roman"/>
                <w:bCs/>
                <w:color w:val="000000"/>
                <w:sz w:val="20"/>
                <w:szCs w:val="20"/>
                <w:lang w:val="en-GB"/>
              </w:rPr>
              <w:t>Regulation (EU) No 575/2013</w:t>
            </w:r>
          </w:p>
          <w:p w:rsidR="002A37AB" w:rsidRPr="002A37AB" w:rsidRDefault="002A37AB" w:rsidP="002A37AB">
            <w:pPr>
              <w:tabs>
                <w:tab w:val="left" w:pos="0"/>
              </w:tabs>
              <w:jc w:val="both"/>
              <w:rPr>
                <w:rFonts w:ascii="Times New Roman" w:eastAsia="Times New Roman" w:hAnsi="Times New Roman"/>
                <w:bCs/>
                <w:color w:val="000000"/>
                <w:sz w:val="20"/>
                <w:szCs w:val="20"/>
                <w:lang w:val="en-GB"/>
              </w:rPr>
            </w:pPr>
          </w:p>
          <w:p w:rsidR="002A37AB" w:rsidRDefault="003C3F26" w:rsidP="002A37A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w:t>
            </w:r>
            <w:r>
              <w:rPr>
                <w:rFonts w:ascii="Times New Roman" w:eastAsia="Times New Roman" w:hAnsi="Times New Roman"/>
                <w:bCs/>
                <w:color w:val="000000"/>
                <w:sz w:val="20"/>
                <w:szCs w:val="20"/>
                <w:lang w:val="en-GB"/>
              </w:rPr>
              <w:t>t</w:t>
            </w:r>
            <w:r w:rsidR="002A37AB" w:rsidRPr="002A37AB">
              <w:rPr>
                <w:rFonts w:ascii="Times New Roman" w:eastAsia="Times New Roman" w:hAnsi="Times New Roman"/>
                <w:bCs/>
                <w:color w:val="000000"/>
                <w:sz w:val="20"/>
                <w:szCs w:val="20"/>
                <w:lang w:val="en-GB"/>
              </w:rPr>
              <w:t xml:space="preserve">he receivables for variation margin paid in cash to the counterparty in derivatives transactions if the institution is required, under the applicable accounting framework, to recognise these receivables as an asset, provided that the conditions in points (a) to (e) of Article 429a(3) of </w:t>
            </w:r>
            <w:r w:rsidR="002A37AB">
              <w:rPr>
                <w:rFonts w:ascii="Times New Roman" w:eastAsia="Times New Roman" w:hAnsi="Times New Roman"/>
                <w:bCs/>
                <w:color w:val="000000"/>
                <w:sz w:val="20"/>
                <w:szCs w:val="20"/>
                <w:lang w:val="en-GB"/>
              </w:rPr>
              <w:t xml:space="preserve">Regulation (EU) No 575/2013 </w:t>
            </w:r>
            <w:r w:rsidR="002A37AB" w:rsidRPr="002A37AB">
              <w:rPr>
                <w:rFonts w:ascii="Times New Roman" w:eastAsia="Times New Roman" w:hAnsi="Times New Roman"/>
                <w:bCs/>
                <w:color w:val="000000"/>
                <w:sz w:val="20"/>
                <w:szCs w:val="20"/>
                <w:lang w:val="en-GB"/>
              </w:rPr>
              <w:t>are met.</w:t>
            </w:r>
          </w:p>
          <w:p w:rsidR="00EB7E70" w:rsidRDefault="00EB7E70" w:rsidP="002A37AB">
            <w:pPr>
              <w:tabs>
                <w:tab w:val="left" w:pos="0"/>
              </w:tabs>
              <w:jc w:val="both"/>
              <w:rPr>
                <w:rFonts w:ascii="Times New Roman" w:eastAsia="Times New Roman" w:hAnsi="Times New Roman"/>
                <w:bCs/>
                <w:color w:val="000000"/>
                <w:sz w:val="20"/>
                <w:szCs w:val="20"/>
                <w:lang w:val="en-GB"/>
              </w:rPr>
            </w:pPr>
          </w:p>
          <w:p w:rsidR="00EB7E70" w:rsidRDefault="00EB7E70" w:rsidP="002A37AB">
            <w:pPr>
              <w:tabs>
                <w:tab w:val="left" w:pos="0"/>
              </w:tabs>
              <w:jc w:val="both"/>
              <w:rPr>
                <w:rFonts w:ascii="Times New Roman" w:eastAsia="Times New Roman" w:hAnsi="Times New Roman"/>
                <w:bCs/>
                <w:color w:val="000000"/>
                <w:sz w:val="20"/>
                <w:szCs w:val="20"/>
                <w:lang w:val="en-GB"/>
              </w:rPr>
            </w:pPr>
            <w:r w:rsidRPr="00EB7E70">
              <w:rPr>
                <w:rFonts w:ascii="Times New Roman" w:eastAsia="Times New Roman" w:hAnsi="Times New Roman"/>
                <w:bCs/>
                <w:color w:val="000000"/>
                <w:sz w:val="20"/>
                <w:szCs w:val="20"/>
                <w:lang w:val="en-GB"/>
              </w:rPr>
              <w:t xml:space="preserve">The amount </w:t>
            </w:r>
            <w:r>
              <w:rPr>
                <w:rFonts w:ascii="Times New Roman" w:eastAsia="Times New Roman" w:hAnsi="Times New Roman"/>
                <w:bCs/>
                <w:color w:val="000000"/>
                <w:sz w:val="20"/>
                <w:szCs w:val="20"/>
                <w:lang w:val="en-GB"/>
              </w:rPr>
              <w:t>disclosed</w:t>
            </w:r>
            <w:r w:rsidR="00D93E6A">
              <w:rPr>
                <w:rFonts w:ascii="Times New Roman" w:eastAsia="Times New Roman" w:hAnsi="Times New Roman"/>
                <w:bCs/>
                <w:color w:val="000000"/>
                <w:sz w:val="20"/>
                <w:szCs w:val="20"/>
                <w:lang w:val="en-GB"/>
              </w:rPr>
              <w:t xml:space="preserve"> </w:t>
            </w:r>
            <w:r w:rsidR="00A0108C">
              <w:rPr>
                <w:rFonts w:ascii="Times New Roman" w:eastAsia="Times New Roman" w:hAnsi="Times New Roman"/>
                <w:bCs/>
                <w:color w:val="000000"/>
                <w:sz w:val="20"/>
                <w:szCs w:val="20"/>
                <w:lang w:val="en-GB"/>
              </w:rPr>
              <w:t>shall</w:t>
            </w:r>
            <w:r w:rsidRPr="00EB7E70">
              <w:rPr>
                <w:rFonts w:ascii="Times New Roman" w:eastAsia="Times New Roman" w:hAnsi="Times New Roman"/>
                <w:bCs/>
                <w:color w:val="000000"/>
                <w:sz w:val="20"/>
                <w:szCs w:val="20"/>
                <w:lang w:val="en-GB"/>
              </w:rPr>
              <w:t xml:space="preserve"> also be included in {</w:t>
            </w:r>
            <w:r>
              <w:rPr>
                <w:rFonts w:ascii="Times New Roman" w:eastAsia="Times New Roman" w:hAnsi="Times New Roman"/>
                <w:bCs/>
                <w:color w:val="000000"/>
                <w:sz w:val="20"/>
                <w:szCs w:val="20"/>
                <w:lang w:val="en-GB"/>
              </w:rPr>
              <w:t>LRCom</w:t>
            </w:r>
            <w:r w:rsidR="0091168B">
              <w:rPr>
                <w:rFonts w:ascii="Times New Roman" w:eastAsia="Times New Roman" w:hAnsi="Times New Roman"/>
                <w:bCs/>
                <w:color w:val="000000"/>
                <w:sz w:val="20"/>
                <w:szCs w:val="20"/>
                <w:lang w:val="en-GB"/>
              </w:rPr>
              <w:t>;</w:t>
            </w:r>
            <w:r w:rsidRPr="00EB7E70">
              <w:rPr>
                <w:rFonts w:ascii="Times New Roman" w:eastAsia="Times New Roman" w:hAnsi="Times New Roman"/>
                <w:bCs/>
                <w:color w:val="000000"/>
                <w:sz w:val="20"/>
                <w:szCs w:val="20"/>
                <w:lang w:val="en-GB"/>
              </w:rPr>
              <w:t>1}.</w:t>
            </w:r>
          </w:p>
          <w:p w:rsidR="00D93E6A" w:rsidRDefault="00D93E6A" w:rsidP="002A37AB">
            <w:pPr>
              <w:tabs>
                <w:tab w:val="left" w:pos="0"/>
              </w:tabs>
              <w:jc w:val="both"/>
              <w:rPr>
                <w:rFonts w:ascii="Times New Roman" w:eastAsia="Times New Roman" w:hAnsi="Times New Roman"/>
                <w:bCs/>
                <w:color w:val="000000"/>
                <w:sz w:val="20"/>
                <w:szCs w:val="20"/>
                <w:lang w:val="en-GB"/>
              </w:rPr>
            </w:pPr>
          </w:p>
          <w:p w:rsidR="00D93E6A" w:rsidRDefault="00D93E6A" w:rsidP="002A37A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 xml:space="preserve">Since it reduces the leverage ratio exposure measure </w:t>
            </w:r>
            <w:r w:rsidR="00A0108C">
              <w:rPr>
                <w:rFonts w:ascii="Times New Roman" w:eastAsia="Times New Roman" w:hAnsi="Times New Roman"/>
                <w:bCs/>
                <w:color w:val="000000"/>
                <w:sz w:val="20"/>
                <w:szCs w:val="20"/>
                <w:lang w:val="en-GB"/>
              </w:rPr>
              <w:t>i</w:t>
            </w:r>
            <w:r w:rsidR="00A0108C" w:rsidRPr="00A0108C">
              <w:rPr>
                <w:rFonts w:ascii="Times New Roman" w:eastAsia="Times New Roman" w:hAnsi="Times New Roman"/>
                <w:bCs/>
                <w:color w:val="000000"/>
                <w:sz w:val="20"/>
                <w:szCs w:val="20"/>
                <w:lang w:val="en-GB"/>
              </w:rPr>
              <w:t>nstitutions</w:t>
            </w:r>
            <w:r w:rsidR="00A0108C">
              <w:rPr>
                <w:rFonts w:ascii="Times New Roman" w:eastAsia="Times New Roman" w:hAnsi="Times New Roman"/>
                <w:bCs/>
                <w:color w:val="000000"/>
                <w:sz w:val="20"/>
                <w:szCs w:val="20"/>
                <w:lang w:val="en-GB"/>
              </w:rPr>
              <w:t xml:space="preserve"> shall place </w:t>
            </w:r>
            <w:r>
              <w:rPr>
                <w:rFonts w:ascii="Times New Roman" w:eastAsia="Times New Roman" w:hAnsi="Times New Roman"/>
                <w:bCs/>
                <w:color w:val="000000"/>
                <w:sz w:val="20"/>
                <w:szCs w:val="20"/>
                <w:lang w:val="en-GB"/>
              </w:rPr>
              <w:t xml:space="preserve">the value in this cell </w:t>
            </w:r>
            <w:r w:rsidR="00A0108C" w:rsidRPr="00A0108C">
              <w:rPr>
                <w:rFonts w:ascii="Times New Roman" w:eastAsia="Times New Roman" w:hAnsi="Times New Roman"/>
                <w:bCs/>
                <w:color w:val="000000"/>
                <w:sz w:val="20"/>
                <w:szCs w:val="20"/>
                <w:lang w:val="en-GB"/>
              </w:rPr>
              <w:t>between bracket</w:t>
            </w:r>
            <w:r w:rsidR="00A0108C">
              <w:rPr>
                <w:rFonts w:ascii="Times New Roman" w:eastAsia="Times New Roman" w:hAnsi="Times New Roman"/>
                <w:bCs/>
                <w:color w:val="000000"/>
                <w:sz w:val="20"/>
                <w:szCs w:val="20"/>
                <w:lang w:val="en-GB"/>
              </w:rPr>
              <w:t xml:space="preserve">s (which signifies that it  </w:t>
            </w:r>
            <w:r>
              <w:rPr>
                <w:rFonts w:ascii="Times New Roman" w:eastAsia="Times New Roman" w:hAnsi="Times New Roman"/>
                <w:bCs/>
                <w:color w:val="000000"/>
                <w:sz w:val="20"/>
                <w:szCs w:val="20"/>
                <w:lang w:val="en-GB"/>
              </w:rPr>
              <w:t xml:space="preserve">shall contribute negatively to </w:t>
            </w:r>
            <w:r w:rsidR="00CA5B33" w:rsidRPr="00D93E6A">
              <w:rPr>
                <w:rFonts w:ascii="Times New Roman" w:eastAsia="Times New Roman" w:hAnsi="Times New Roman"/>
                <w:bCs/>
                <w:color w:val="000000"/>
                <w:sz w:val="20"/>
                <w:szCs w:val="20"/>
                <w:lang w:val="en-GB"/>
              </w:rPr>
              <w:t xml:space="preserve">the </w:t>
            </w:r>
            <w:r w:rsidR="00CA5B33">
              <w:rPr>
                <w:rFonts w:ascii="Times New Roman" w:eastAsia="Times New Roman" w:hAnsi="Times New Roman"/>
                <w:bCs/>
                <w:color w:val="000000"/>
                <w:sz w:val="20"/>
                <w:szCs w:val="20"/>
                <w:lang w:val="en-GB"/>
              </w:rPr>
              <w:t>sum to be disclosed  in</w:t>
            </w:r>
            <w:r w:rsidR="00CA5B33" w:rsidRPr="00D93E6A">
              <w:rPr>
                <w:rFonts w:ascii="Times New Roman" w:eastAsia="Times New Roman" w:hAnsi="Times New Roman"/>
                <w:bCs/>
                <w:color w:val="000000"/>
                <w:sz w:val="20"/>
                <w:szCs w:val="20"/>
                <w:lang w:val="en-GB"/>
              </w:rPr>
              <w:t xml:space="preserve"> </w:t>
            </w:r>
            <w:r>
              <w:rPr>
                <w:rFonts w:ascii="Times New Roman" w:eastAsia="Times New Roman" w:hAnsi="Times New Roman"/>
                <w:bCs/>
                <w:color w:val="000000"/>
                <w:sz w:val="20"/>
                <w:szCs w:val="20"/>
                <w:lang w:val="en-GB"/>
              </w:rPr>
              <w:t>{LRCom</w:t>
            </w:r>
            <w:r w:rsidR="0091168B">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11}</w:t>
            </w:r>
            <w:r w:rsidR="00F22860">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w:t>
            </w:r>
          </w:p>
          <w:p w:rsidR="00A0108C" w:rsidRDefault="00A0108C" w:rsidP="002A37AB">
            <w:pPr>
              <w:tabs>
                <w:tab w:val="left" w:pos="0"/>
              </w:tabs>
              <w:jc w:val="both"/>
              <w:rPr>
                <w:rFonts w:ascii="Times New Roman" w:eastAsia="Times New Roman" w:hAnsi="Times New Roman"/>
                <w:bCs/>
                <w:color w:val="000000"/>
                <w:sz w:val="20"/>
                <w:szCs w:val="20"/>
                <w:lang w:val="en-GB"/>
              </w:rPr>
            </w:pPr>
          </w:p>
          <w:p w:rsidR="00A0108C" w:rsidRPr="00744CC4" w:rsidRDefault="00A0108C" w:rsidP="00A0108C">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{8}</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Default="0046149F" w:rsidP="00E3680B">
            <w:pPr>
              <w:tabs>
                <w:tab w:val="left" w:pos="0"/>
              </w:tabs>
              <w:jc w:val="both"/>
              <w:rPr>
                <w:rFonts w:ascii="Times New Roman" w:eastAsia="Times New Roman" w:hAnsi="Times New Roman"/>
                <w:bCs/>
                <w:color w:val="000000"/>
                <w:sz w:val="20"/>
                <w:szCs w:val="20"/>
                <w:lang w:val="en-GB"/>
              </w:rPr>
            </w:pPr>
            <w:r w:rsidRPr="0046149F">
              <w:rPr>
                <w:rFonts w:ascii="Times New Roman" w:eastAsia="Times New Roman" w:hAnsi="Times New Roman"/>
                <w:b/>
                <w:bCs/>
                <w:color w:val="000000"/>
                <w:sz w:val="20"/>
                <w:szCs w:val="20"/>
                <w:lang w:val="en-GB"/>
              </w:rPr>
              <w:t>(Exempted CCP leg of client-cleared trade exposures)</w:t>
            </w:r>
          </w:p>
          <w:p w:rsidR="0046149F" w:rsidRDefault="0046149F" w:rsidP="00E3680B">
            <w:pPr>
              <w:tabs>
                <w:tab w:val="left" w:pos="0"/>
              </w:tabs>
              <w:jc w:val="both"/>
              <w:rPr>
                <w:rFonts w:ascii="Times New Roman" w:eastAsia="Times New Roman" w:hAnsi="Times New Roman"/>
                <w:bCs/>
                <w:color w:val="000000"/>
                <w:sz w:val="20"/>
                <w:szCs w:val="20"/>
                <w:lang w:val="en-GB"/>
              </w:rPr>
            </w:pPr>
          </w:p>
          <w:p w:rsidR="0046149F" w:rsidRDefault="002B0C4F"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Article 429(11) of Regulation (EU) No 575/2013</w:t>
            </w:r>
          </w:p>
          <w:p w:rsidR="002B0C4F" w:rsidRDefault="002B0C4F" w:rsidP="00E3680B">
            <w:pPr>
              <w:tabs>
                <w:tab w:val="left" w:pos="0"/>
              </w:tabs>
              <w:jc w:val="both"/>
              <w:rPr>
                <w:rFonts w:ascii="Times New Roman" w:eastAsia="Times New Roman" w:hAnsi="Times New Roman"/>
                <w:bCs/>
                <w:color w:val="000000"/>
                <w:sz w:val="20"/>
                <w:szCs w:val="20"/>
                <w:lang w:val="en-GB"/>
              </w:rPr>
            </w:pPr>
          </w:p>
          <w:p w:rsidR="002B0C4F" w:rsidRDefault="002B0C4F"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Institutions shall disclose</w:t>
            </w:r>
            <w:r>
              <w:rPr>
                <w:rFonts w:ascii="Times New Roman" w:eastAsia="Times New Roman" w:hAnsi="Times New Roman"/>
                <w:bCs/>
                <w:color w:val="000000"/>
                <w:sz w:val="20"/>
                <w:szCs w:val="20"/>
                <w:lang w:val="en-GB"/>
              </w:rPr>
              <w:t xml:space="preserve"> the </w:t>
            </w:r>
            <w:r w:rsidR="00BE181A" w:rsidRPr="00BE181A">
              <w:rPr>
                <w:rFonts w:ascii="Times New Roman" w:eastAsia="Times New Roman" w:hAnsi="Times New Roman"/>
                <w:bCs/>
                <w:color w:val="000000"/>
                <w:sz w:val="20"/>
                <w:szCs w:val="20"/>
                <w:lang w:val="en-GB"/>
              </w:rPr>
              <w:t xml:space="preserve">exempted trade exposures to a QCCP from client-cleared derivatives transactions, provided that those items meet the conditions laid down in Article 306(1)(c) of </w:t>
            </w:r>
            <w:r w:rsidR="00BE181A">
              <w:rPr>
                <w:rFonts w:ascii="Times New Roman" w:eastAsia="Times New Roman" w:hAnsi="Times New Roman"/>
                <w:bCs/>
                <w:color w:val="000000"/>
                <w:sz w:val="20"/>
                <w:szCs w:val="20"/>
                <w:lang w:val="en-GB"/>
              </w:rPr>
              <w:t>Regulation (EU) No 575/2013</w:t>
            </w:r>
            <w:r w:rsidR="00BE181A" w:rsidRPr="00BE181A">
              <w:rPr>
                <w:rFonts w:ascii="Times New Roman" w:eastAsia="Times New Roman" w:hAnsi="Times New Roman"/>
                <w:bCs/>
                <w:color w:val="000000"/>
                <w:sz w:val="20"/>
                <w:szCs w:val="20"/>
                <w:lang w:val="en-GB"/>
              </w:rPr>
              <w:t>.</w:t>
            </w:r>
          </w:p>
          <w:p w:rsidR="00225EB4" w:rsidRDefault="00225EB4" w:rsidP="00E3680B">
            <w:pPr>
              <w:tabs>
                <w:tab w:val="left" w:pos="0"/>
              </w:tabs>
              <w:jc w:val="both"/>
              <w:rPr>
                <w:rFonts w:ascii="Times New Roman" w:eastAsia="Times New Roman" w:hAnsi="Times New Roman"/>
                <w:bCs/>
                <w:color w:val="000000"/>
                <w:sz w:val="20"/>
                <w:szCs w:val="20"/>
                <w:lang w:val="en-GB"/>
              </w:rPr>
            </w:pPr>
          </w:p>
          <w:p w:rsidR="00225EB4" w:rsidRDefault="00225EB4"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 xml:space="preserve">The </w:t>
            </w:r>
            <w:r w:rsidR="00EE0FDD">
              <w:rPr>
                <w:rFonts w:ascii="Times New Roman" w:eastAsia="Times New Roman" w:hAnsi="Times New Roman"/>
                <w:bCs/>
                <w:color w:val="000000"/>
                <w:sz w:val="20"/>
                <w:szCs w:val="20"/>
                <w:lang w:val="en-GB"/>
              </w:rPr>
              <w:t xml:space="preserve">part of the above-mentioned </w:t>
            </w:r>
            <w:r>
              <w:rPr>
                <w:rFonts w:ascii="Times New Roman" w:eastAsia="Times New Roman" w:hAnsi="Times New Roman"/>
                <w:bCs/>
                <w:color w:val="000000"/>
                <w:sz w:val="20"/>
                <w:szCs w:val="20"/>
                <w:lang w:val="en-GB"/>
              </w:rPr>
              <w:t xml:space="preserve">amount </w:t>
            </w:r>
            <w:r w:rsidR="00EE0FDD">
              <w:rPr>
                <w:rFonts w:ascii="Times New Roman" w:eastAsia="Times New Roman" w:hAnsi="Times New Roman"/>
                <w:bCs/>
                <w:color w:val="000000"/>
                <w:sz w:val="20"/>
                <w:szCs w:val="20"/>
                <w:lang w:val="en-GB"/>
              </w:rPr>
              <w:t>w</w:t>
            </w:r>
            <w:r w:rsidR="00F5792E">
              <w:rPr>
                <w:rFonts w:ascii="Times New Roman" w:eastAsia="Times New Roman" w:hAnsi="Times New Roman"/>
                <w:bCs/>
                <w:color w:val="000000"/>
                <w:sz w:val="20"/>
                <w:szCs w:val="20"/>
                <w:lang w:val="en-GB"/>
              </w:rPr>
              <w:t>h</w:t>
            </w:r>
            <w:r w:rsidR="00EE0FDD">
              <w:rPr>
                <w:rFonts w:ascii="Times New Roman" w:eastAsia="Times New Roman" w:hAnsi="Times New Roman"/>
                <w:bCs/>
                <w:color w:val="000000"/>
                <w:sz w:val="20"/>
                <w:szCs w:val="20"/>
                <w:lang w:val="en-GB"/>
              </w:rPr>
              <w:t xml:space="preserve">ich is </w:t>
            </w:r>
            <w:r>
              <w:rPr>
                <w:rFonts w:ascii="Times New Roman" w:eastAsia="Times New Roman" w:hAnsi="Times New Roman"/>
                <w:bCs/>
                <w:color w:val="000000"/>
                <w:sz w:val="20"/>
                <w:szCs w:val="20"/>
                <w:lang w:val="en-GB"/>
              </w:rPr>
              <w:t xml:space="preserve">associated with the replacement cost </w:t>
            </w:r>
            <w:r w:rsidRPr="00225EB4">
              <w:rPr>
                <w:rFonts w:ascii="Times New Roman" w:eastAsia="Times New Roman" w:hAnsi="Times New Roman"/>
                <w:bCs/>
                <w:color w:val="000000"/>
                <w:sz w:val="20"/>
                <w:szCs w:val="20"/>
                <w:lang w:val="en-GB"/>
              </w:rPr>
              <w:t xml:space="preserve">shall be </w:t>
            </w:r>
            <w:r w:rsidR="00F5792E">
              <w:rPr>
                <w:rFonts w:ascii="Times New Roman" w:eastAsia="Times New Roman" w:hAnsi="Times New Roman"/>
                <w:bCs/>
                <w:color w:val="000000"/>
                <w:sz w:val="20"/>
                <w:szCs w:val="20"/>
                <w:lang w:val="en-GB"/>
              </w:rPr>
              <w:t>disclosed</w:t>
            </w:r>
            <w:r w:rsidRPr="00225EB4">
              <w:rPr>
                <w:rFonts w:ascii="Times New Roman" w:eastAsia="Times New Roman" w:hAnsi="Times New Roman"/>
                <w:bCs/>
                <w:color w:val="000000"/>
                <w:sz w:val="20"/>
                <w:szCs w:val="20"/>
                <w:lang w:val="en-GB"/>
              </w:rPr>
              <w:t xml:space="preserve"> gross of cash variation margin.</w:t>
            </w:r>
          </w:p>
          <w:p w:rsidR="00F5792E" w:rsidRDefault="00F5792E" w:rsidP="00E3680B">
            <w:pPr>
              <w:tabs>
                <w:tab w:val="left" w:pos="0"/>
              </w:tabs>
              <w:jc w:val="both"/>
              <w:rPr>
                <w:rFonts w:ascii="Times New Roman" w:eastAsia="Times New Roman" w:hAnsi="Times New Roman"/>
                <w:bCs/>
                <w:color w:val="000000"/>
                <w:sz w:val="20"/>
                <w:szCs w:val="20"/>
                <w:lang w:val="en-GB"/>
              </w:rPr>
            </w:pPr>
          </w:p>
          <w:p w:rsidR="00F5792E" w:rsidRDefault="00F5792E"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 xml:space="preserve">The amount disclosed </w:t>
            </w:r>
            <w:r w:rsidR="00FD3B3E">
              <w:rPr>
                <w:rFonts w:ascii="Times New Roman" w:eastAsia="Times New Roman" w:hAnsi="Times New Roman"/>
                <w:bCs/>
                <w:color w:val="000000"/>
                <w:sz w:val="20"/>
                <w:szCs w:val="20"/>
                <w:lang w:val="en-GB"/>
              </w:rPr>
              <w:t xml:space="preserve">shall </w:t>
            </w:r>
            <w:r>
              <w:rPr>
                <w:rFonts w:ascii="Times New Roman" w:eastAsia="Times New Roman" w:hAnsi="Times New Roman"/>
                <w:bCs/>
                <w:color w:val="000000"/>
                <w:sz w:val="20"/>
                <w:szCs w:val="20"/>
                <w:lang w:val="en-GB"/>
              </w:rPr>
              <w:t xml:space="preserve">also be included, correspondingly, in: </w:t>
            </w:r>
            <w:r w:rsidRPr="00F5792E">
              <w:rPr>
                <w:rFonts w:ascii="Times New Roman" w:eastAsia="Times New Roman" w:hAnsi="Times New Roman"/>
                <w:bCs/>
                <w:color w:val="000000"/>
                <w:sz w:val="20"/>
                <w:szCs w:val="20"/>
                <w:lang w:val="en-GB"/>
              </w:rPr>
              <w:t>{LRCom</w:t>
            </w:r>
            <w:r w:rsidR="0091168B">
              <w:rPr>
                <w:rFonts w:ascii="Times New Roman" w:eastAsia="Times New Roman" w:hAnsi="Times New Roman"/>
                <w:bCs/>
                <w:color w:val="000000"/>
                <w:sz w:val="20"/>
                <w:szCs w:val="20"/>
                <w:lang w:val="en-GB"/>
              </w:rPr>
              <w:t>;</w:t>
            </w:r>
            <w:r w:rsidRPr="00F5792E">
              <w:rPr>
                <w:rFonts w:ascii="Times New Roman" w:eastAsia="Times New Roman" w:hAnsi="Times New Roman"/>
                <w:bCs/>
                <w:color w:val="000000"/>
                <w:sz w:val="20"/>
                <w:szCs w:val="20"/>
                <w:lang w:val="en-GB"/>
              </w:rPr>
              <w:t>1}</w:t>
            </w:r>
            <w:r>
              <w:rPr>
                <w:rFonts w:ascii="Times New Roman" w:eastAsia="Times New Roman" w:hAnsi="Times New Roman"/>
                <w:bCs/>
                <w:color w:val="000000"/>
                <w:sz w:val="20"/>
                <w:szCs w:val="20"/>
                <w:lang w:val="en-GB"/>
              </w:rPr>
              <w:t xml:space="preserve">, </w:t>
            </w:r>
            <w:r w:rsidRPr="00F5792E">
              <w:rPr>
                <w:rFonts w:ascii="Times New Roman" w:eastAsia="Times New Roman" w:hAnsi="Times New Roman"/>
                <w:bCs/>
                <w:color w:val="000000"/>
                <w:sz w:val="20"/>
                <w:szCs w:val="20"/>
                <w:lang w:val="en-GB"/>
              </w:rPr>
              <w:t>{LRCom</w:t>
            </w:r>
            <w:r w:rsidR="0091168B">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4</w:t>
            </w:r>
            <w:r w:rsidRPr="00F5792E">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 xml:space="preserve">, </w:t>
            </w:r>
            <w:r w:rsidRPr="00F5792E">
              <w:rPr>
                <w:rFonts w:ascii="Times New Roman" w:eastAsia="Times New Roman" w:hAnsi="Times New Roman"/>
                <w:bCs/>
                <w:color w:val="000000"/>
                <w:sz w:val="20"/>
                <w:szCs w:val="20"/>
                <w:lang w:val="en-GB"/>
              </w:rPr>
              <w:t>{LRCom</w:t>
            </w:r>
            <w:r w:rsidR="0091168B">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5</w:t>
            </w:r>
            <w:r w:rsidRPr="00F5792E">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 xml:space="preserve">, and </w:t>
            </w:r>
            <w:r w:rsidRPr="00F5792E">
              <w:rPr>
                <w:rFonts w:ascii="Times New Roman" w:eastAsia="Times New Roman" w:hAnsi="Times New Roman"/>
                <w:bCs/>
                <w:color w:val="000000"/>
                <w:sz w:val="20"/>
                <w:szCs w:val="20"/>
                <w:lang w:val="en-GB"/>
              </w:rPr>
              <w:t>{LRCom</w:t>
            </w:r>
            <w:r w:rsidR="0091168B">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EU-5a</w:t>
            </w:r>
            <w:r w:rsidRPr="00F5792E">
              <w:rPr>
                <w:rFonts w:ascii="Times New Roman" w:eastAsia="Times New Roman" w:hAnsi="Times New Roman"/>
                <w:bCs/>
                <w:color w:val="000000"/>
                <w:sz w:val="20"/>
                <w:szCs w:val="20"/>
                <w:lang w:val="en-GB"/>
              </w:rPr>
              <w:t>}.</w:t>
            </w:r>
          </w:p>
          <w:p w:rsidR="00D93E6A" w:rsidRDefault="00D93E6A" w:rsidP="00E3680B">
            <w:pPr>
              <w:tabs>
                <w:tab w:val="left" w:pos="0"/>
              </w:tabs>
              <w:jc w:val="both"/>
              <w:rPr>
                <w:rFonts w:ascii="Times New Roman" w:eastAsia="Times New Roman" w:hAnsi="Times New Roman"/>
                <w:bCs/>
                <w:color w:val="000000"/>
                <w:sz w:val="20"/>
                <w:szCs w:val="20"/>
                <w:lang w:val="en-GB"/>
              </w:rPr>
            </w:pPr>
          </w:p>
          <w:p w:rsidR="00D93E6A" w:rsidRDefault="00D93E6A" w:rsidP="00D93E6A">
            <w:pPr>
              <w:tabs>
                <w:tab w:val="left" w:pos="0"/>
              </w:tabs>
              <w:jc w:val="both"/>
              <w:rPr>
                <w:rFonts w:ascii="Times New Roman" w:eastAsia="Times New Roman" w:hAnsi="Times New Roman"/>
                <w:bCs/>
                <w:color w:val="000000"/>
                <w:sz w:val="20"/>
                <w:szCs w:val="20"/>
                <w:lang w:val="en-GB"/>
              </w:rPr>
            </w:pPr>
            <w:r w:rsidRPr="00D93E6A">
              <w:rPr>
                <w:rFonts w:ascii="Times New Roman" w:eastAsia="Times New Roman" w:hAnsi="Times New Roman"/>
                <w:bCs/>
                <w:color w:val="000000"/>
                <w:sz w:val="20"/>
                <w:szCs w:val="20"/>
                <w:lang w:val="en-GB"/>
              </w:rPr>
              <w:t xml:space="preserve">Since it reduces the leverage ratio exposure measure </w:t>
            </w:r>
            <w:r w:rsidR="00F22860">
              <w:rPr>
                <w:rFonts w:ascii="Times New Roman" w:eastAsia="Times New Roman" w:hAnsi="Times New Roman"/>
                <w:bCs/>
                <w:color w:val="000000"/>
                <w:sz w:val="20"/>
                <w:szCs w:val="20"/>
                <w:lang w:val="en-GB"/>
              </w:rPr>
              <w:t xml:space="preserve">institutions shall place </w:t>
            </w:r>
            <w:r w:rsidRPr="00D93E6A">
              <w:rPr>
                <w:rFonts w:ascii="Times New Roman" w:eastAsia="Times New Roman" w:hAnsi="Times New Roman"/>
                <w:bCs/>
                <w:color w:val="000000"/>
                <w:sz w:val="20"/>
                <w:szCs w:val="20"/>
                <w:lang w:val="en-GB"/>
              </w:rPr>
              <w:t>the value</w:t>
            </w:r>
            <w:r w:rsidR="00F22860">
              <w:rPr>
                <w:rFonts w:ascii="Times New Roman" w:eastAsia="Times New Roman" w:hAnsi="Times New Roman"/>
                <w:bCs/>
                <w:color w:val="000000"/>
                <w:sz w:val="20"/>
                <w:szCs w:val="20"/>
                <w:lang w:val="en-GB"/>
              </w:rPr>
              <w:t xml:space="preserve"> </w:t>
            </w:r>
            <w:r w:rsidRPr="00D93E6A">
              <w:rPr>
                <w:rFonts w:ascii="Times New Roman" w:eastAsia="Times New Roman" w:hAnsi="Times New Roman"/>
                <w:bCs/>
                <w:color w:val="000000"/>
                <w:sz w:val="20"/>
                <w:szCs w:val="20"/>
                <w:lang w:val="en-GB"/>
              </w:rPr>
              <w:t>in this cell</w:t>
            </w:r>
            <w:r w:rsidR="00F22860">
              <w:rPr>
                <w:rFonts w:ascii="Times New Roman" w:eastAsia="Times New Roman" w:hAnsi="Times New Roman"/>
                <w:bCs/>
                <w:color w:val="000000"/>
                <w:sz w:val="20"/>
                <w:szCs w:val="20"/>
                <w:lang w:val="en-GB"/>
              </w:rPr>
              <w:t xml:space="preserve"> between brackets (which signifies that it</w:t>
            </w:r>
            <w:r w:rsidRPr="00D93E6A">
              <w:rPr>
                <w:rFonts w:ascii="Times New Roman" w:eastAsia="Times New Roman" w:hAnsi="Times New Roman"/>
                <w:bCs/>
                <w:color w:val="000000"/>
                <w:sz w:val="20"/>
                <w:szCs w:val="20"/>
                <w:lang w:val="en-GB"/>
              </w:rPr>
              <w:t xml:space="preserve"> shall contribute negatively to the </w:t>
            </w:r>
            <w:r w:rsidR="00CA5B33">
              <w:rPr>
                <w:rFonts w:ascii="Times New Roman" w:eastAsia="Times New Roman" w:hAnsi="Times New Roman"/>
                <w:bCs/>
                <w:color w:val="000000"/>
                <w:sz w:val="20"/>
                <w:szCs w:val="20"/>
                <w:lang w:val="en-GB"/>
              </w:rPr>
              <w:t>sum to be disclosed  in</w:t>
            </w:r>
            <w:r w:rsidRPr="00D93E6A">
              <w:rPr>
                <w:rFonts w:ascii="Times New Roman" w:eastAsia="Times New Roman" w:hAnsi="Times New Roman"/>
                <w:bCs/>
                <w:color w:val="000000"/>
                <w:sz w:val="20"/>
                <w:szCs w:val="20"/>
                <w:lang w:val="en-GB"/>
              </w:rPr>
              <w:t xml:space="preserve"> {LRCom</w:t>
            </w:r>
            <w:r w:rsidR="0091168B">
              <w:rPr>
                <w:rFonts w:ascii="Times New Roman" w:eastAsia="Times New Roman" w:hAnsi="Times New Roman"/>
                <w:bCs/>
                <w:color w:val="000000"/>
                <w:sz w:val="20"/>
                <w:szCs w:val="20"/>
                <w:lang w:val="en-GB"/>
              </w:rPr>
              <w:t>;</w:t>
            </w:r>
            <w:r w:rsidRPr="00D93E6A">
              <w:rPr>
                <w:rFonts w:ascii="Times New Roman" w:eastAsia="Times New Roman" w:hAnsi="Times New Roman"/>
                <w:bCs/>
                <w:color w:val="000000"/>
                <w:sz w:val="20"/>
                <w:szCs w:val="20"/>
                <w:lang w:val="en-GB"/>
              </w:rPr>
              <w:t>11}</w:t>
            </w:r>
            <w:r w:rsidR="00F22860">
              <w:rPr>
                <w:rFonts w:ascii="Times New Roman" w:eastAsia="Times New Roman" w:hAnsi="Times New Roman"/>
                <w:bCs/>
                <w:color w:val="000000"/>
                <w:sz w:val="20"/>
                <w:szCs w:val="20"/>
                <w:lang w:val="en-GB"/>
              </w:rPr>
              <w:t>)</w:t>
            </w:r>
            <w:r w:rsidRPr="00D93E6A">
              <w:rPr>
                <w:rFonts w:ascii="Times New Roman" w:eastAsia="Times New Roman" w:hAnsi="Times New Roman"/>
                <w:bCs/>
                <w:color w:val="000000"/>
                <w:sz w:val="20"/>
                <w:szCs w:val="20"/>
                <w:lang w:val="en-GB"/>
              </w:rPr>
              <w:t>.</w:t>
            </w:r>
          </w:p>
          <w:p w:rsidR="00D93E6A" w:rsidRDefault="00D93E6A" w:rsidP="00E3680B">
            <w:pPr>
              <w:tabs>
                <w:tab w:val="left" w:pos="0"/>
              </w:tabs>
              <w:jc w:val="both"/>
              <w:rPr>
                <w:rFonts w:ascii="Times New Roman" w:eastAsia="Times New Roman" w:hAnsi="Times New Roman"/>
                <w:bCs/>
                <w:color w:val="000000"/>
                <w:sz w:val="20"/>
                <w:szCs w:val="20"/>
                <w:lang w:val="en-GB"/>
              </w:rPr>
            </w:pPr>
          </w:p>
          <w:p w:rsidR="002B0C4F" w:rsidRPr="0046149F" w:rsidRDefault="002B0C4F" w:rsidP="00E3680B">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{9}</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Default="0046149F" w:rsidP="00E3680B">
            <w:pPr>
              <w:tabs>
                <w:tab w:val="left" w:pos="0"/>
              </w:tabs>
              <w:jc w:val="both"/>
              <w:rPr>
                <w:rFonts w:ascii="Times New Roman" w:eastAsia="Times New Roman" w:hAnsi="Times New Roman"/>
                <w:bCs/>
                <w:color w:val="000000"/>
                <w:sz w:val="20"/>
                <w:szCs w:val="20"/>
                <w:lang w:val="en-GB"/>
              </w:rPr>
            </w:pPr>
            <w:r w:rsidRPr="0046149F">
              <w:rPr>
                <w:rFonts w:ascii="Times New Roman" w:eastAsia="Times New Roman" w:hAnsi="Times New Roman"/>
                <w:b/>
                <w:bCs/>
                <w:color w:val="000000"/>
                <w:sz w:val="20"/>
                <w:szCs w:val="20"/>
                <w:lang w:val="en-GB"/>
              </w:rPr>
              <w:t>Adjusted effective notional amount of written credit derivatives</w:t>
            </w:r>
          </w:p>
          <w:p w:rsidR="0046149F" w:rsidRDefault="0046149F" w:rsidP="00E3680B">
            <w:pPr>
              <w:tabs>
                <w:tab w:val="left" w:pos="0"/>
              </w:tabs>
              <w:jc w:val="both"/>
              <w:rPr>
                <w:rFonts w:ascii="Times New Roman" w:eastAsia="Times New Roman" w:hAnsi="Times New Roman"/>
                <w:bCs/>
                <w:color w:val="000000"/>
                <w:sz w:val="20"/>
                <w:szCs w:val="20"/>
                <w:lang w:val="en-GB"/>
              </w:rPr>
            </w:pPr>
          </w:p>
          <w:p w:rsidR="00562F4E" w:rsidRDefault="00562F4E" w:rsidP="00562F4E">
            <w:pPr>
              <w:tabs>
                <w:tab w:val="left" w:pos="0"/>
              </w:tabs>
              <w:jc w:val="both"/>
              <w:rPr>
                <w:rFonts w:ascii="Times New Roman" w:eastAsia="Times New Roman" w:hAnsi="Times New Roman"/>
                <w:bCs/>
                <w:color w:val="000000"/>
                <w:sz w:val="20"/>
                <w:szCs w:val="20"/>
                <w:lang w:val="en-GB"/>
              </w:rPr>
            </w:pPr>
            <w:r w:rsidRPr="00562F4E">
              <w:rPr>
                <w:rFonts w:ascii="Times New Roman" w:eastAsia="Times New Roman" w:hAnsi="Times New Roman"/>
                <w:bCs/>
                <w:color w:val="000000"/>
                <w:sz w:val="20"/>
                <w:szCs w:val="20"/>
                <w:lang w:val="en-GB"/>
              </w:rPr>
              <w:t xml:space="preserve">Article 429a(5) to (7) of </w:t>
            </w:r>
            <w:r>
              <w:rPr>
                <w:rFonts w:ascii="Times New Roman" w:eastAsia="Times New Roman" w:hAnsi="Times New Roman"/>
                <w:bCs/>
                <w:color w:val="000000"/>
                <w:sz w:val="20"/>
                <w:szCs w:val="20"/>
                <w:lang w:val="en-GB"/>
              </w:rPr>
              <w:t>Regulation (EU) No 575/2013</w:t>
            </w:r>
          </w:p>
          <w:p w:rsidR="00562F4E" w:rsidRPr="00562F4E" w:rsidRDefault="00562F4E" w:rsidP="00562F4E">
            <w:pPr>
              <w:tabs>
                <w:tab w:val="left" w:pos="0"/>
              </w:tabs>
              <w:jc w:val="both"/>
              <w:rPr>
                <w:rFonts w:ascii="Times New Roman" w:eastAsia="Times New Roman" w:hAnsi="Times New Roman"/>
                <w:bCs/>
                <w:color w:val="000000"/>
                <w:sz w:val="20"/>
                <w:szCs w:val="20"/>
                <w:lang w:val="en-GB"/>
              </w:rPr>
            </w:pPr>
          </w:p>
          <w:p w:rsidR="00562F4E" w:rsidRDefault="00562F4E" w:rsidP="00562F4E">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w:t>
            </w:r>
            <w:r>
              <w:rPr>
                <w:rFonts w:ascii="Times New Roman" w:eastAsia="Times New Roman" w:hAnsi="Times New Roman"/>
                <w:bCs/>
                <w:color w:val="000000"/>
                <w:sz w:val="20"/>
                <w:szCs w:val="20"/>
                <w:lang w:val="en-GB"/>
              </w:rPr>
              <w:t>the c</w:t>
            </w:r>
            <w:r w:rsidRPr="00562F4E">
              <w:rPr>
                <w:rFonts w:ascii="Times New Roman" w:eastAsia="Times New Roman" w:hAnsi="Times New Roman"/>
                <w:bCs/>
                <w:color w:val="000000"/>
                <w:sz w:val="20"/>
                <w:szCs w:val="20"/>
                <w:lang w:val="en-GB"/>
              </w:rPr>
              <w:t>apped notional value of written credit derivatives (i.e. where the institution is providing credit protection to a counterparty) as set out in Article 429a</w:t>
            </w:r>
            <w:r w:rsidR="00D67E32">
              <w:rPr>
                <w:rFonts w:ascii="Times New Roman" w:eastAsia="Times New Roman" w:hAnsi="Times New Roman"/>
                <w:bCs/>
                <w:color w:val="000000"/>
                <w:sz w:val="20"/>
                <w:szCs w:val="20"/>
                <w:lang w:val="en-GB"/>
              </w:rPr>
              <w:t xml:space="preserve"> (5) to (7)</w:t>
            </w:r>
            <w:r w:rsidRPr="00562F4E">
              <w:rPr>
                <w:rFonts w:ascii="Times New Roman" w:eastAsia="Times New Roman" w:hAnsi="Times New Roman"/>
                <w:bCs/>
                <w:color w:val="000000"/>
                <w:sz w:val="20"/>
                <w:szCs w:val="20"/>
                <w:lang w:val="en-GB"/>
              </w:rPr>
              <w:t xml:space="preserve"> of </w:t>
            </w:r>
            <w:r>
              <w:rPr>
                <w:rFonts w:ascii="Times New Roman" w:eastAsia="Times New Roman" w:hAnsi="Times New Roman"/>
                <w:bCs/>
                <w:color w:val="000000"/>
                <w:sz w:val="20"/>
                <w:szCs w:val="20"/>
                <w:lang w:val="en-GB"/>
              </w:rPr>
              <w:t>Regulation (EU) No 575/2013</w:t>
            </w:r>
            <w:r w:rsidRPr="00562F4E">
              <w:rPr>
                <w:rFonts w:ascii="Times New Roman" w:eastAsia="Times New Roman" w:hAnsi="Times New Roman"/>
                <w:bCs/>
                <w:color w:val="000000"/>
                <w:sz w:val="20"/>
                <w:szCs w:val="20"/>
                <w:lang w:val="en-GB"/>
              </w:rPr>
              <w:t>.</w:t>
            </w:r>
          </w:p>
          <w:p w:rsidR="0046149F" w:rsidRPr="0046149F" w:rsidRDefault="0046149F" w:rsidP="00E3680B">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{10}</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Default="0046149F" w:rsidP="00E3680B">
            <w:pPr>
              <w:tabs>
                <w:tab w:val="left" w:pos="0"/>
              </w:tabs>
              <w:jc w:val="both"/>
              <w:rPr>
                <w:rFonts w:ascii="Times New Roman" w:eastAsia="Times New Roman" w:hAnsi="Times New Roman"/>
                <w:b/>
                <w:bCs/>
                <w:color w:val="000000"/>
                <w:sz w:val="20"/>
                <w:szCs w:val="20"/>
                <w:lang w:val="en-GB"/>
              </w:rPr>
            </w:pPr>
            <w:r w:rsidRPr="0046149F">
              <w:rPr>
                <w:rFonts w:ascii="Times New Roman" w:eastAsia="Times New Roman" w:hAnsi="Times New Roman"/>
                <w:b/>
                <w:bCs/>
                <w:color w:val="000000"/>
                <w:sz w:val="20"/>
                <w:szCs w:val="20"/>
                <w:lang w:val="en-GB"/>
              </w:rPr>
              <w:t>(Adjusted effective notional offsets and add-on deductions for written credit derivatives)</w:t>
            </w:r>
          </w:p>
          <w:p w:rsidR="0046149F" w:rsidRDefault="0046149F" w:rsidP="00E3680B">
            <w:pPr>
              <w:tabs>
                <w:tab w:val="left" w:pos="0"/>
              </w:tabs>
              <w:jc w:val="both"/>
              <w:rPr>
                <w:rFonts w:ascii="Times New Roman" w:eastAsia="Times New Roman" w:hAnsi="Times New Roman"/>
                <w:bCs/>
                <w:color w:val="000000"/>
                <w:sz w:val="20"/>
                <w:szCs w:val="20"/>
                <w:lang w:val="en-GB"/>
              </w:rPr>
            </w:pPr>
          </w:p>
          <w:p w:rsidR="00562F4E" w:rsidRDefault="00562F4E" w:rsidP="00562F4E">
            <w:pPr>
              <w:tabs>
                <w:tab w:val="left" w:pos="0"/>
              </w:tabs>
              <w:jc w:val="both"/>
              <w:rPr>
                <w:rFonts w:ascii="Times New Roman" w:eastAsia="Times New Roman" w:hAnsi="Times New Roman"/>
                <w:bCs/>
                <w:color w:val="000000"/>
                <w:sz w:val="20"/>
                <w:szCs w:val="20"/>
                <w:lang w:val="en-GB"/>
              </w:rPr>
            </w:pPr>
            <w:r w:rsidRPr="00562F4E">
              <w:rPr>
                <w:rFonts w:ascii="Times New Roman" w:eastAsia="Times New Roman" w:hAnsi="Times New Roman"/>
                <w:bCs/>
                <w:color w:val="000000"/>
                <w:sz w:val="20"/>
                <w:szCs w:val="20"/>
                <w:lang w:val="en-GB"/>
              </w:rPr>
              <w:t>Article 429a(5) to (7) of Regulation (EU) No 575/2013</w:t>
            </w:r>
          </w:p>
          <w:p w:rsidR="00562F4E" w:rsidRPr="00562F4E" w:rsidRDefault="00562F4E" w:rsidP="00562F4E">
            <w:pPr>
              <w:tabs>
                <w:tab w:val="left" w:pos="0"/>
              </w:tabs>
              <w:jc w:val="both"/>
              <w:rPr>
                <w:rFonts w:ascii="Times New Roman" w:eastAsia="Times New Roman" w:hAnsi="Times New Roman"/>
                <w:bCs/>
                <w:color w:val="000000"/>
                <w:sz w:val="20"/>
                <w:szCs w:val="20"/>
                <w:lang w:val="en-GB"/>
              </w:rPr>
            </w:pPr>
          </w:p>
          <w:p w:rsidR="0046149F" w:rsidRDefault="00562F4E" w:rsidP="00562F4E">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w:t>
            </w:r>
            <w:r>
              <w:rPr>
                <w:rFonts w:ascii="Times New Roman" w:eastAsia="Times New Roman" w:hAnsi="Times New Roman"/>
                <w:bCs/>
                <w:color w:val="000000"/>
                <w:sz w:val="20"/>
                <w:szCs w:val="20"/>
                <w:lang w:val="en-GB"/>
              </w:rPr>
              <w:t>the c</w:t>
            </w:r>
            <w:r w:rsidRPr="00562F4E">
              <w:rPr>
                <w:rFonts w:ascii="Times New Roman" w:eastAsia="Times New Roman" w:hAnsi="Times New Roman"/>
                <w:bCs/>
                <w:color w:val="000000"/>
                <w:sz w:val="20"/>
                <w:szCs w:val="20"/>
                <w:lang w:val="en-GB"/>
              </w:rPr>
              <w:t>apped notional value of purchased credit derivatives (i.e. where the institution is buying credit protection from a counterparty) on the same reference names as those credit derivatives written by the institution, where the remaining maturity of the purchased protection is equal to or greater than the remaining maturity of the sold protection. Hence, the value shall not be gre</w:t>
            </w:r>
            <w:r>
              <w:rPr>
                <w:rFonts w:ascii="Times New Roman" w:eastAsia="Times New Roman" w:hAnsi="Times New Roman"/>
                <w:bCs/>
                <w:color w:val="000000"/>
                <w:sz w:val="20"/>
                <w:szCs w:val="20"/>
                <w:lang w:val="en-GB"/>
              </w:rPr>
              <w:t xml:space="preserve">ater than the value entered in </w:t>
            </w:r>
            <w:r w:rsidR="00F5792E">
              <w:rPr>
                <w:rFonts w:ascii="Times New Roman" w:eastAsia="Times New Roman" w:hAnsi="Times New Roman"/>
                <w:bCs/>
                <w:color w:val="000000"/>
                <w:sz w:val="20"/>
                <w:szCs w:val="20"/>
                <w:lang w:val="en-GB"/>
              </w:rPr>
              <w:t>{</w:t>
            </w:r>
            <w:r w:rsidR="00793FE8">
              <w:rPr>
                <w:rFonts w:ascii="Times New Roman" w:eastAsia="Times New Roman" w:hAnsi="Times New Roman"/>
                <w:bCs/>
                <w:color w:val="000000"/>
                <w:sz w:val="20"/>
                <w:szCs w:val="20"/>
                <w:lang w:val="en-GB"/>
              </w:rPr>
              <w:t>LRCom</w:t>
            </w:r>
            <w:r w:rsidR="0091168B">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9</w:t>
            </w:r>
            <w:r w:rsidR="00F5792E">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 xml:space="preserve"> </w:t>
            </w:r>
            <w:r w:rsidRPr="00562F4E">
              <w:rPr>
                <w:rFonts w:ascii="Times New Roman" w:eastAsia="Times New Roman" w:hAnsi="Times New Roman"/>
                <w:bCs/>
                <w:color w:val="000000"/>
                <w:sz w:val="20"/>
                <w:szCs w:val="20"/>
                <w:lang w:val="en-GB"/>
              </w:rPr>
              <w:t xml:space="preserve">for each reference name. </w:t>
            </w:r>
          </w:p>
          <w:p w:rsidR="00D93E6A" w:rsidRDefault="00D93E6A" w:rsidP="00562F4E">
            <w:pPr>
              <w:tabs>
                <w:tab w:val="left" w:pos="0"/>
              </w:tabs>
              <w:jc w:val="both"/>
              <w:rPr>
                <w:rFonts w:ascii="Times New Roman" w:eastAsia="Times New Roman" w:hAnsi="Times New Roman"/>
                <w:bCs/>
                <w:color w:val="000000"/>
                <w:sz w:val="20"/>
                <w:szCs w:val="20"/>
                <w:lang w:val="en-GB"/>
              </w:rPr>
            </w:pPr>
          </w:p>
          <w:p w:rsidR="00D93E6A" w:rsidRDefault="00D93E6A" w:rsidP="00562F4E">
            <w:pPr>
              <w:tabs>
                <w:tab w:val="left" w:pos="0"/>
              </w:tabs>
              <w:jc w:val="both"/>
              <w:rPr>
                <w:rFonts w:ascii="Times New Roman" w:eastAsia="Times New Roman" w:hAnsi="Times New Roman"/>
                <w:bCs/>
                <w:color w:val="000000"/>
                <w:sz w:val="20"/>
                <w:szCs w:val="20"/>
                <w:lang w:val="en-GB"/>
              </w:rPr>
            </w:pPr>
            <w:r w:rsidRPr="00D93E6A">
              <w:rPr>
                <w:rFonts w:ascii="Times New Roman" w:eastAsia="Times New Roman" w:hAnsi="Times New Roman"/>
                <w:bCs/>
                <w:color w:val="000000"/>
                <w:sz w:val="20"/>
                <w:szCs w:val="20"/>
                <w:lang w:val="en-GB"/>
              </w:rPr>
              <w:t xml:space="preserve">Since it reduces the leverage ratio exposure measure </w:t>
            </w:r>
            <w:r w:rsidR="00F22860">
              <w:rPr>
                <w:rFonts w:ascii="Times New Roman" w:eastAsia="Times New Roman" w:hAnsi="Times New Roman"/>
                <w:bCs/>
                <w:color w:val="000000"/>
                <w:sz w:val="20"/>
                <w:szCs w:val="20"/>
                <w:lang w:val="en-GB"/>
              </w:rPr>
              <w:t xml:space="preserve">institutions shall place </w:t>
            </w:r>
            <w:r w:rsidRPr="00D93E6A">
              <w:rPr>
                <w:rFonts w:ascii="Times New Roman" w:eastAsia="Times New Roman" w:hAnsi="Times New Roman"/>
                <w:bCs/>
                <w:color w:val="000000"/>
                <w:sz w:val="20"/>
                <w:szCs w:val="20"/>
                <w:lang w:val="en-GB"/>
              </w:rPr>
              <w:t xml:space="preserve">the value in this cell </w:t>
            </w:r>
            <w:r w:rsidR="00F22860">
              <w:rPr>
                <w:rFonts w:ascii="Times New Roman" w:eastAsia="Times New Roman" w:hAnsi="Times New Roman"/>
                <w:bCs/>
                <w:color w:val="000000"/>
                <w:sz w:val="20"/>
                <w:szCs w:val="20"/>
                <w:lang w:val="en-GB"/>
              </w:rPr>
              <w:t xml:space="preserve">between brackets (which signifies that it </w:t>
            </w:r>
            <w:r w:rsidRPr="00D93E6A">
              <w:rPr>
                <w:rFonts w:ascii="Times New Roman" w:eastAsia="Times New Roman" w:hAnsi="Times New Roman"/>
                <w:bCs/>
                <w:color w:val="000000"/>
                <w:sz w:val="20"/>
                <w:szCs w:val="20"/>
                <w:lang w:val="en-GB"/>
              </w:rPr>
              <w:t>shall contribute</w:t>
            </w:r>
            <w:r w:rsidR="00CA5B33">
              <w:rPr>
                <w:rFonts w:ascii="Times New Roman" w:eastAsia="Times New Roman" w:hAnsi="Times New Roman"/>
                <w:bCs/>
                <w:color w:val="000000"/>
                <w:sz w:val="20"/>
                <w:szCs w:val="20"/>
                <w:lang w:val="en-GB"/>
              </w:rPr>
              <w:t xml:space="preserve"> </w:t>
            </w:r>
            <w:r w:rsidRPr="00D93E6A">
              <w:rPr>
                <w:rFonts w:ascii="Times New Roman" w:eastAsia="Times New Roman" w:hAnsi="Times New Roman"/>
                <w:bCs/>
                <w:color w:val="000000"/>
                <w:sz w:val="20"/>
                <w:szCs w:val="20"/>
                <w:lang w:val="en-GB"/>
              </w:rPr>
              <w:t xml:space="preserve">negatively to </w:t>
            </w:r>
            <w:r w:rsidR="00CA5B33" w:rsidRPr="00D93E6A">
              <w:rPr>
                <w:rFonts w:ascii="Times New Roman" w:eastAsia="Times New Roman" w:hAnsi="Times New Roman"/>
                <w:bCs/>
                <w:color w:val="000000"/>
                <w:sz w:val="20"/>
                <w:szCs w:val="20"/>
                <w:lang w:val="en-GB"/>
              </w:rPr>
              <w:t xml:space="preserve">the </w:t>
            </w:r>
            <w:r w:rsidR="00CA5B33">
              <w:rPr>
                <w:rFonts w:ascii="Times New Roman" w:eastAsia="Times New Roman" w:hAnsi="Times New Roman"/>
                <w:bCs/>
                <w:color w:val="000000"/>
                <w:sz w:val="20"/>
                <w:szCs w:val="20"/>
                <w:lang w:val="en-GB"/>
              </w:rPr>
              <w:t>sum to be disclosed  in</w:t>
            </w:r>
            <w:r w:rsidR="00CA5B33" w:rsidRPr="00D93E6A">
              <w:rPr>
                <w:rFonts w:ascii="Times New Roman" w:eastAsia="Times New Roman" w:hAnsi="Times New Roman"/>
                <w:bCs/>
                <w:color w:val="000000"/>
                <w:sz w:val="20"/>
                <w:szCs w:val="20"/>
                <w:lang w:val="en-GB"/>
              </w:rPr>
              <w:t xml:space="preserve"> </w:t>
            </w:r>
            <w:r w:rsidRPr="00D93E6A">
              <w:rPr>
                <w:rFonts w:ascii="Times New Roman" w:eastAsia="Times New Roman" w:hAnsi="Times New Roman"/>
                <w:bCs/>
                <w:color w:val="000000"/>
                <w:sz w:val="20"/>
                <w:szCs w:val="20"/>
                <w:lang w:val="en-GB"/>
              </w:rPr>
              <w:t>{LRCom</w:t>
            </w:r>
            <w:r w:rsidR="0091168B">
              <w:rPr>
                <w:rFonts w:ascii="Times New Roman" w:eastAsia="Times New Roman" w:hAnsi="Times New Roman"/>
                <w:bCs/>
                <w:color w:val="000000"/>
                <w:sz w:val="20"/>
                <w:szCs w:val="20"/>
                <w:lang w:val="en-GB"/>
              </w:rPr>
              <w:t>;</w:t>
            </w:r>
            <w:r w:rsidRPr="00D93E6A">
              <w:rPr>
                <w:rFonts w:ascii="Times New Roman" w:eastAsia="Times New Roman" w:hAnsi="Times New Roman"/>
                <w:bCs/>
                <w:color w:val="000000"/>
                <w:sz w:val="20"/>
                <w:szCs w:val="20"/>
                <w:lang w:val="en-GB"/>
              </w:rPr>
              <w:t>11}</w:t>
            </w:r>
            <w:r w:rsidR="00F22860">
              <w:rPr>
                <w:rFonts w:ascii="Times New Roman" w:eastAsia="Times New Roman" w:hAnsi="Times New Roman"/>
                <w:bCs/>
                <w:color w:val="000000"/>
                <w:sz w:val="20"/>
                <w:szCs w:val="20"/>
                <w:lang w:val="en-GB"/>
              </w:rPr>
              <w:t>)</w:t>
            </w:r>
            <w:r w:rsidRPr="00D93E6A">
              <w:rPr>
                <w:rFonts w:ascii="Times New Roman" w:eastAsia="Times New Roman" w:hAnsi="Times New Roman"/>
                <w:bCs/>
                <w:color w:val="000000"/>
                <w:sz w:val="20"/>
                <w:szCs w:val="20"/>
                <w:lang w:val="en-GB"/>
              </w:rPr>
              <w:t>.</w:t>
            </w:r>
          </w:p>
          <w:p w:rsidR="00562F4E" w:rsidRPr="00E3680B" w:rsidRDefault="00562F4E" w:rsidP="00562F4E">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{11}</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
                <w:bCs/>
                <w:color w:val="000000"/>
                <w:sz w:val="20"/>
                <w:szCs w:val="20"/>
                <w:lang w:val="en-GB"/>
              </w:rPr>
              <w:t>Total derivatives exposures</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Sum of {LRCom;4}, {LRCom;5}, </w:t>
            </w:r>
            <w:r w:rsidR="00BC4575" w:rsidRPr="00E3680B">
              <w:rPr>
                <w:rFonts w:ascii="Times New Roman" w:eastAsia="Times New Roman" w:hAnsi="Times New Roman"/>
                <w:bCs/>
                <w:color w:val="000000"/>
                <w:sz w:val="20"/>
                <w:szCs w:val="20"/>
                <w:lang w:val="en-GB"/>
              </w:rPr>
              <w:t>{LRCom;</w:t>
            </w:r>
            <w:r w:rsidR="00BC4575">
              <w:rPr>
                <w:rFonts w:ascii="Times New Roman" w:eastAsia="Times New Roman" w:hAnsi="Times New Roman"/>
                <w:bCs/>
                <w:color w:val="000000"/>
                <w:sz w:val="20"/>
                <w:szCs w:val="20"/>
                <w:lang w:val="en-GB"/>
              </w:rPr>
              <w:t>EU-5a}, {LRCom;6</w:t>
            </w:r>
            <w:r w:rsidR="00BC4575" w:rsidRPr="00E3680B">
              <w:rPr>
                <w:rFonts w:ascii="Times New Roman" w:eastAsia="Times New Roman" w:hAnsi="Times New Roman"/>
                <w:bCs/>
                <w:color w:val="000000"/>
                <w:sz w:val="20"/>
                <w:szCs w:val="20"/>
                <w:lang w:val="en-GB"/>
              </w:rPr>
              <w:t>},</w:t>
            </w:r>
            <w:r w:rsidR="00BC4575">
              <w:rPr>
                <w:rFonts w:ascii="Times New Roman" w:eastAsia="Times New Roman" w:hAnsi="Times New Roman"/>
                <w:bCs/>
                <w:color w:val="000000"/>
                <w:sz w:val="20"/>
                <w:szCs w:val="20"/>
                <w:lang w:val="en-GB"/>
              </w:rPr>
              <w:t xml:space="preserve"> </w:t>
            </w:r>
            <w:r w:rsidR="00BC4575" w:rsidRPr="00E3680B">
              <w:rPr>
                <w:rFonts w:ascii="Times New Roman" w:eastAsia="Times New Roman" w:hAnsi="Times New Roman"/>
                <w:bCs/>
                <w:color w:val="000000"/>
                <w:sz w:val="20"/>
                <w:szCs w:val="20"/>
                <w:lang w:val="en-GB"/>
              </w:rPr>
              <w:t>{LRCom;</w:t>
            </w:r>
            <w:r w:rsidR="00BC4575">
              <w:rPr>
                <w:rFonts w:ascii="Times New Roman" w:eastAsia="Times New Roman" w:hAnsi="Times New Roman"/>
                <w:bCs/>
                <w:color w:val="000000"/>
                <w:sz w:val="20"/>
                <w:szCs w:val="20"/>
                <w:lang w:val="en-GB"/>
              </w:rPr>
              <w:t>7</w:t>
            </w:r>
            <w:r w:rsidR="00BC4575" w:rsidRPr="00E3680B">
              <w:rPr>
                <w:rFonts w:ascii="Times New Roman" w:eastAsia="Times New Roman" w:hAnsi="Times New Roman"/>
                <w:bCs/>
                <w:color w:val="000000"/>
                <w:sz w:val="20"/>
                <w:szCs w:val="20"/>
                <w:lang w:val="en-GB"/>
              </w:rPr>
              <w:t>}, {LRCom;</w:t>
            </w:r>
            <w:r w:rsidR="00BC4575">
              <w:rPr>
                <w:rFonts w:ascii="Times New Roman" w:eastAsia="Times New Roman" w:hAnsi="Times New Roman"/>
                <w:bCs/>
                <w:color w:val="000000"/>
                <w:sz w:val="20"/>
                <w:szCs w:val="20"/>
                <w:lang w:val="en-GB"/>
              </w:rPr>
              <w:t>8</w:t>
            </w:r>
            <w:r w:rsidR="00BC4575" w:rsidRPr="00E3680B">
              <w:rPr>
                <w:rFonts w:ascii="Times New Roman" w:eastAsia="Times New Roman" w:hAnsi="Times New Roman"/>
                <w:bCs/>
                <w:color w:val="000000"/>
                <w:sz w:val="20"/>
                <w:szCs w:val="20"/>
                <w:lang w:val="en-GB"/>
              </w:rPr>
              <w:t>},</w:t>
            </w:r>
            <w:r w:rsidR="00BC4575">
              <w:rPr>
                <w:rFonts w:ascii="Times New Roman" w:eastAsia="Times New Roman" w:hAnsi="Times New Roman"/>
                <w:bCs/>
                <w:color w:val="000000"/>
                <w:sz w:val="20"/>
                <w:szCs w:val="20"/>
                <w:lang w:val="en-GB"/>
              </w:rPr>
              <w:t xml:space="preserve"> </w:t>
            </w:r>
            <w:r w:rsidR="00BC4575" w:rsidRPr="00E3680B">
              <w:rPr>
                <w:rFonts w:ascii="Times New Roman" w:eastAsia="Times New Roman" w:hAnsi="Times New Roman"/>
                <w:bCs/>
                <w:color w:val="000000"/>
                <w:sz w:val="20"/>
                <w:szCs w:val="20"/>
                <w:lang w:val="en-GB"/>
              </w:rPr>
              <w:t>{LRCom;</w:t>
            </w:r>
            <w:r w:rsidR="00BC4575">
              <w:rPr>
                <w:rFonts w:ascii="Times New Roman" w:eastAsia="Times New Roman" w:hAnsi="Times New Roman"/>
                <w:bCs/>
                <w:color w:val="000000"/>
                <w:sz w:val="20"/>
                <w:szCs w:val="20"/>
                <w:lang w:val="en-GB"/>
              </w:rPr>
              <w:t>9</w:t>
            </w:r>
            <w:r w:rsidR="00BC4575" w:rsidRPr="00E3680B">
              <w:rPr>
                <w:rFonts w:ascii="Times New Roman" w:eastAsia="Times New Roman" w:hAnsi="Times New Roman"/>
                <w:bCs/>
                <w:color w:val="000000"/>
                <w:sz w:val="20"/>
                <w:szCs w:val="20"/>
                <w:lang w:val="en-GB"/>
              </w:rPr>
              <w:t>}</w:t>
            </w:r>
            <w:r w:rsidR="00BC4575">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and {LRCom;</w:t>
            </w:r>
            <w:r w:rsidR="00BC4575">
              <w:rPr>
                <w:rFonts w:ascii="Times New Roman" w:eastAsia="Times New Roman" w:hAnsi="Times New Roman"/>
                <w:bCs/>
                <w:color w:val="000000"/>
                <w:sz w:val="20"/>
                <w:szCs w:val="20"/>
                <w:lang w:val="en-GB"/>
              </w:rPr>
              <w:t>10</w:t>
            </w:r>
            <w:r w:rsidRPr="00E3680B">
              <w:rPr>
                <w:rFonts w:ascii="Times New Roman" w:eastAsia="Times New Roman" w:hAnsi="Times New Roman"/>
                <w:bCs/>
                <w:color w:val="000000"/>
                <w:sz w:val="20"/>
                <w:szCs w:val="20"/>
                <w:lang w:val="en-GB"/>
              </w:rPr>
              <w:t>}.</w:t>
            </w:r>
            <w:r w:rsidR="00CA5B33">
              <w:rPr>
                <w:rFonts w:ascii="Times New Roman" w:eastAsia="Times New Roman" w:hAnsi="Times New Roman"/>
                <w:bCs/>
                <w:color w:val="000000"/>
                <w:sz w:val="20"/>
                <w:szCs w:val="20"/>
                <w:lang w:val="en-GB"/>
              </w:rPr>
              <w:t xml:space="preserve"> </w:t>
            </w:r>
            <w:r w:rsidR="00CA5B33" w:rsidRPr="00CA5B33">
              <w:rPr>
                <w:rFonts w:ascii="Times New Roman" w:eastAsia="Times New Roman" w:hAnsi="Times New Roman"/>
                <w:bCs/>
                <w:color w:val="000000"/>
                <w:sz w:val="20"/>
                <w:szCs w:val="20"/>
                <w:lang w:val="en-GB"/>
              </w:rPr>
              <w:t xml:space="preserve">Institutions shall take into account that </w:t>
            </w:r>
            <w:r w:rsidR="00CA5B33">
              <w:rPr>
                <w:rFonts w:ascii="Times New Roman" w:eastAsia="Times New Roman" w:hAnsi="Times New Roman"/>
                <w:bCs/>
                <w:color w:val="000000"/>
                <w:sz w:val="20"/>
                <w:szCs w:val="20"/>
                <w:lang w:val="en-GB"/>
              </w:rPr>
              <w:t xml:space="preserve"> </w:t>
            </w:r>
            <w:r w:rsidR="00CA5B33" w:rsidRPr="00CA5B33">
              <w:rPr>
                <w:rFonts w:ascii="Times New Roman" w:eastAsia="Times New Roman" w:hAnsi="Times New Roman"/>
                <w:bCs/>
                <w:color w:val="000000"/>
                <w:sz w:val="20"/>
                <w:szCs w:val="20"/>
                <w:lang w:val="en-GB"/>
              </w:rPr>
              <w:t>{LRCom;</w:t>
            </w:r>
            <w:r w:rsidR="00CA5B33">
              <w:rPr>
                <w:rFonts w:ascii="Times New Roman" w:eastAsia="Times New Roman" w:hAnsi="Times New Roman"/>
                <w:bCs/>
                <w:color w:val="000000"/>
                <w:sz w:val="20"/>
                <w:szCs w:val="20"/>
                <w:lang w:val="en-GB"/>
              </w:rPr>
              <w:t>7</w:t>
            </w:r>
            <w:r w:rsidR="00CA5B33" w:rsidRPr="00CA5B33">
              <w:rPr>
                <w:rFonts w:ascii="Times New Roman" w:eastAsia="Times New Roman" w:hAnsi="Times New Roman"/>
                <w:bCs/>
                <w:color w:val="000000"/>
                <w:sz w:val="20"/>
                <w:szCs w:val="20"/>
                <w:lang w:val="en-GB"/>
              </w:rPr>
              <w:t>}</w:t>
            </w:r>
            <w:r w:rsidR="00CA5B33">
              <w:rPr>
                <w:rFonts w:ascii="Times New Roman" w:eastAsia="Times New Roman" w:hAnsi="Times New Roman"/>
                <w:bCs/>
                <w:color w:val="000000"/>
                <w:sz w:val="20"/>
                <w:szCs w:val="20"/>
                <w:lang w:val="en-GB"/>
              </w:rPr>
              <w:t>,</w:t>
            </w:r>
            <w:r w:rsidR="00CA5B33" w:rsidRPr="00CA5B33">
              <w:rPr>
                <w:rFonts w:ascii="Times New Roman" w:eastAsia="Times New Roman" w:hAnsi="Times New Roman"/>
                <w:bCs/>
                <w:color w:val="000000"/>
                <w:sz w:val="20"/>
                <w:szCs w:val="20"/>
                <w:lang w:val="en-GB"/>
              </w:rPr>
              <w:t xml:space="preserve"> {LRCom;</w:t>
            </w:r>
            <w:r w:rsidR="00CA5B33">
              <w:rPr>
                <w:rFonts w:ascii="Times New Roman" w:eastAsia="Times New Roman" w:hAnsi="Times New Roman"/>
                <w:bCs/>
                <w:color w:val="000000"/>
                <w:sz w:val="20"/>
                <w:szCs w:val="20"/>
                <w:lang w:val="en-GB"/>
              </w:rPr>
              <w:t>8</w:t>
            </w:r>
            <w:r w:rsidR="00CA5B33" w:rsidRPr="00CA5B33">
              <w:rPr>
                <w:rFonts w:ascii="Times New Roman" w:eastAsia="Times New Roman" w:hAnsi="Times New Roman"/>
                <w:bCs/>
                <w:color w:val="000000"/>
                <w:sz w:val="20"/>
                <w:szCs w:val="20"/>
                <w:lang w:val="en-GB"/>
              </w:rPr>
              <w:t>}</w:t>
            </w:r>
            <w:r w:rsidR="00CA5B33">
              <w:rPr>
                <w:rFonts w:ascii="Times New Roman" w:eastAsia="Times New Roman" w:hAnsi="Times New Roman"/>
                <w:bCs/>
                <w:color w:val="000000"/>
                <w:sz w:val="20"/>
                <w:szCs w:val="20"/>
                <w:lang w:val="en-GB"/>
              </w:rPr>
              <w:t>, and</w:t>
            </w:r>
            <w:r w:rsidR="00CA5B33" w:rsidRPr="00CA5B33">
              <w:rPr>
                <w:rFonts w:ascii="Times New Roman" w:eastAsia="Times New Roman" w:hAnsi="Times New Roman"/>
                <w:bCs/>
                <w:color w:val="000000"/>
                <w:sz w:val="20"/>
                <w:szCs w:val="20"/>
                <w:lang w:val="en-GB"/>
              </w:rPr>
              <w:t xml:space="preserve"> {LRCom;</w:t>
            </w:r>
            <w:r w:rsidR="00CA5B33">
              <w:rPr>
                <w:rFonts w:ascii="Times New Roman" w:eastAsia="Times New Roman" w:hAnsi="Times New Roman"/>
                <w:bCs/>
                <w:color w:val="000000"/>
                <w:sz w:val="20"/>
                <w:szCs w:val="20"/>
                <w:lang w:val="en-GB"/>
              </w:rPr>
              <w:t>10</w:t>
            </w:r>
            <w:r w:rsidR="00CA5B33" w:rsidRPr="00CA5B33">
              <w:rPr>
                <w:rFonts w:ascii="Times New Roman" w:eastAsia="Times New Roman" w:hAnsi="Times New Roman"/>
                <w:bCs/>
                <w:color w:val="000000"/>
                <w:sz w:val="20"/>
                <w:szCs w:val="20"/>
                <w:lang w:val="en-GB"/>
              </w:rPr>
              <w:t>} contribute negatively to this sum.</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tc>
      </w:tr>
      <w:tr w:rsidR="00E3680B" w:rsidRPr="00E3680B" w:rsidTr="00744CC4">
        <w:trPr>
          <w:trHeight w:val="304"/>
        </w:trPr>
        <w:tc>
          <w:tcPr>
            <w:tcW w:w="1418" w:type="dxa"/>
            <w:shd w:val="clear" w:color="auto" w:fill="auto"/>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{12}</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shd w:val="clear" w:color="auto" w:fill="auto"/>
          </w:tcPr>
          <w:p w:rsidR="00E3680B" w:rsidRDefault="00BA3DD0" w:rsidP="00E3680B">
            <w:pPr>
              <w:tabs>
                <w:tab w:val="left" w:pos="0"/>
              </w:tabs>
              <w:jc w:val="both"/>
              <w:rPr>
                <w:rFonts w:ascii="Times New Roman" w:eastAsia="Times New Roman" w:hAnsi="Times New Roman"/>
                <w:bCs/>
                <w:color w:val="000000"/>
                <w:sz w:val="20"/>
                <w:szCs w:val="20"/>
                <w:lang w:val="en-GB"/>
              </w:rPr>
            </w:pPr>
            <w:r w:rsidRPr="00BA3DD0">
              <w:rPr>
                <w:rFonts w:ascii="Times New Roman" w:eastAsia="Times New Roman" w:hAnsi="Times New Roman"/>
                <w:b/>
                <w:bCs/>
                <w:color w:val="000000"/>
                <w:sz w:val="20"/>
                <w:szCs w:val="20"/>
                <w:lang w:val="en-GB"/>
              </w:rPr>
              <w:t>Gross SFT assets (with no recognition of netting), after adjusting for sales accounting transactions</w:t>
            </w:r>
          </w:p>
          <w:p w:rsidR="00BA3DD0" w:rsidRDefault="00BA3DD0" w:rsidP="00E3680B">
            <w:pPr>
              <w:tabs>
                <w:tab w:val="left" w:pos="0"/>
              </w:tabs>
              <w:jc w:val="both"/>
              <w:rPr>
                <w:rFonts w:ascii="Times New Roman" w:eastAsia="Times New Roman" w:hAnsi="Times New Roman"/>
                <w:bCs/>
                <w:color w:val="000000"/>
                <w:sz w:val="20"/>
                <w:szCs w:val="20"/>
                <w:lang w:val="en-GB"/>
              </w:rPr>
            </w:pPr>
          </w:p>
          <w:p w:rsidR="00BA3DD0" w:rsidRDefault="00B87ABA"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Article</w:t>
            </w:r>
            <w:r w:rsidR="003D2DBB">
              <w:rPr>
                <w:rFonts w:ascii="Times New Roman" w:eastAsia="Times New Roman" w:hAnsi="Times New Roman"/>
                <w:bCs/>
                <w:color w:val="000000"/>
                <w:sz w:val="20"/>
                <w:szCs w:val="20"/>
                <w:lang w:val="en-GB"/>
              </w:rPr>
              <w:t>s 4(77), 206</w:t>
            </w:r>
            <w:r w:rsidR="00D67E32">
              <w:rPr>
                <w:rFonts w:ascii="Times New Roman" w:eastAsia="Times New Roman" w:hAnsi="Times New Roman"/>
                <w:bCs/>
                <w:color w:val="000000"/>
                <w:sz w:val="20"/>
                <w:szCs w:val="20"/>
                <w:lang w:val="en-GB"/>
              </w:rPr>
              <w:t xml:space="preserve"> and</w:t>
            </w:r>
            <w:r w:rsidR="00D530E5">
              <w:rPr>
                <w:rFonts w:ascii="Times New Roman" w:eastAsia="Times New Roman" w:hAnsi="Times New Roman"/>
                <w:bCs/>
                <w:color w:val="000000"/>
                <w:sz w:val="20"/>
                <w:szCs w:val="20"/>
                <w:lang w:val="en-GB"/>
              </w:rPr>
              <w:t xml:space="preserve"> 429b(5) of the Regulation</w:t>
            </w:r>
            <w:r w:rsidR="00D67E32">
              <w:rPr>
                <w:rFonts w:ascii="Times New Roman" w:eastAsia="Times New Roman" w:hAnsi="Times New Roman"/>
                <w:bCs/>
                <w:color w:val="000000"/>
                <w:sz w:val="20"/>
                <w:szCs w:val="20"/>
                <w:lang w:val="en-GB"/>
              </w:rPr>
              <w:t xml:space="preserve"> (EU) No</w:t>
            </w:r>
            <w:r w:rsidR="00D530E5">
              <w:rPr>
                <w:rFonts w:ascii="Times New Roman" w:eastAsia="Times New Roman" w:hAnsi="Times New Roman"/>
                <w:bCs/>
                <w:color w:val="000000"/>
                <w:sz w:val="20"/>
                <w:szCs w:val="20"/>
                <w:lang w:val="en-GB"/>
              </w:rPr>
              <w:t xml:space="preserve"> 575/2013</w:t>
            </w:r>
          </w:p>
          <w:p w:rsidR="00807AA2" w:rsidRDefault="00807AA2" w:rsidP="00E3680B">
            <w:pPr>
              <w:tabs>
                <w:tab w:val="left" w:pos="0"/>
              </w:tabs>
              <w:jc w:val="both"/>
              <w:rPr>
                <w:rFonts w:ascii="Times New Roman" w:eastAsia="Times New Roman" w:hAnsi="Times New Roman"/>
                <w:bCs/>
                <w:color w:val="000000"/>
                <w:sz w:val="20"/>
                <w:szCs w:val="20"/>
                <w:lang w:val="en-GB"/>
              </w:rPr>
            </w:pPr>
          </w:p>
          <w:p w:rsidR="00AD4F69" w:rsidRDefault="00807AA2"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Institutions shall disclose</w:t>
            </w:r>
            <w:r w:rsidR="003D2DBB">
              <w:rPr>
                <w:rFonts w:ascii="Times New Roman" w:eastAsia="Times New Roman" w:hAnsi="Times New Roman"/>
                <w:bCs/>
                <w:color w:val="000000"/>
                <w:sz w:val="20"/>
                <w:szCs w:val="20"/>
                <w:lang w:val="en-GB"/>
              </w:rPr>
              <w:t xml:space="preserve"> the </w:t>
            </w:r>
            <w:r w:rsidR="003D2DBB" w:rsidRPr="003D2DBB">
              <w:rPr>
                <w:rFonts w:ascii="Times New Roman" w:eastAsia="Times New Roman" w:hAnsi="Times New Roman"/>
                <w:bCs/>
                <w:color w:val="000000"/>
                <w:sz w:val="20"/>
                <w:szCs w:val="20"/>
                <w:lang w:val="en-GB"/>
              </w:rPr>
              <w:t xml:space="preserve">accounting balance sheet value under the applicable accounting framework of </w:t>
            </w:r>
            <w:r w:rsidR="0009671A">
              <w:rPr>
                <w:rFonts w:ascii="Times New Roman" w:eastAsia="Times New Roman" w:hAnsi="Times New Roman"/>
                <w:bCs/>
                <w:color w:val="000000"/>
                <w:sz w:val="20"/>
                <w:szCs w:val="20"/>
                <w:lang w:val="en-GB"/>
              </w:rPr>
              <w:t>SFTs</w:t>
            </w:r>
            <w:r w:rsidR="003D2DBB" w:rsidRPr="003D2DBB">
              <w:rPr>
                <w:rFonts w:ascii="Times New Roman" w:eastAsia="Times New Roman" w:hAnsi="Times New Roman"/>
                <w:bCs/>
                <w:color w:val="000000"/>
                <w:sz w:val="20"/>
                <w:szCs w:val="20"/>
                <w:lang w:val="en-GB"/>
              </w:rPr>
              <w:t xml:space="preserve"> that are</w:t>
            </w:r>
            <w:r w:rsidR="003D2DBB">
              <w:rPr>
                <w:rFonts w:ascii="Times New Roman" w:eastAsia="Times New Roman" w:hAnsi="Times New Roman"/>
                <w:bCs/>
                <w:color w:val="000000"/>
                <w:sz w:val="20"/>
                <w:szCs w:val="20"/>
                <w:lang w:val="en-GB"/>
              </w:rPr>
              <w:t xml:space="preserve"> both covered and not covered by a master netting agreement </w:t>
            </w:r>
            <w:r w:rsidR="003D2DBB" w:rsidRPr="003D2DBB">
              <w:rPr>
                <w:rFonts w:ascii="Times New Roman" w:eastAsia="Times New Roman" w:hAnsi="Times New Roman"/>
                <w:bCs/>
                <w:color w:val="000000"/>
                <w:sz w:val="20"/>
                <w:szCs w:val="20"/>
                <w:lang w:val="en-GB"/>
              </w:rPr>
              <w:t>eligible under Article 206</w:t>
            </w:r>
            <w:r w:rsidR="003D2DBB">
              <w:rPr>
                <w:rFonts w:ascii="Times New Roman" w:eastAsia="Times New Roman" w:hAnsi="Times New Roman"/>
                <w:bCs/>
                <w:color w:val="000000"/>
                <w:sz w:val="20"/>
                <w:szCs w:val="20"/>
                <w:lang w:val="en-GB"/>
              </w:rPr>
              <w:t xml:space="preserve"> of the Regulation 575/2013</w:t>
            </w:r>
            <w:r w:rsidR="003D2DBB" w:rsidRPr="003D2DBB">
              <w:rPr>
                <w:rFonts w:ascii="Times New Roman" w:eastAsia="Times New Roman" w:hAnsi="Times New Roman"/>
                <w:bCs/>
                <w:color w:val="000000"/>
                <w:sz w:val="20"/>
                <w:szCs w:val="20"/>
                <w:lang w:val="en-GB"/>
              </w:rPr>
              <w:t xml:space="preserve"> where the contracts are recognised as assets on the balance sheet assuming </w:t>
            </w:r>
            <w:r w:rsidR="00AD4F69" w:rsidRPr="00AD4F69">
              <w:rPr>
                <w:rFonts w:ascii="Times New Roman" w:eastAsia="Times New Roman" w:hAnsi="Times New Roman"/>
                <w:bCs/>
                <w:color w:val="000000"/>
                <w:sz w:val="20"/>
                <w:szCs w:val="20"/>
                <w:lang w:val="en-GB"/>
              </w:rPr>
              <w:t>no prudential</w:t>
            </w:r>
            <w:r w:rsidR="00AD4F69">
              <w:rPr>
                <w:rFonts w:ascii="Times New Roman" w:eastAsia="Times New Roman" w:hAnsi="Times New Roman"/>
                <w:bCs/>
                <w:color w:val="000000"/>
                <w:sz w:val="20"/>
                <w:szCs w:val="20"/>
                <w:lang w:val="en-GB"/>
              </w:rPr>
              <w:t xml:space="preserve"> or </w:t>
            </w:r>
            <w:r w:rsidR="003D2DBB" w:rsidRPr="003D2DBB">
              <w:rPr>
                <w:rFonts w:ascii="Times New Roman" w:eastAsia="Times New Roman" w:hAnsi="Times New Roman"/>
                <w:bCs/>
                <w:color w:val="000000"/>
                <w:sz w:val="20"/>
                <w:szCs w:val="20"/>
                <w:lang w:val="en-GB"/>
              </w:rPr>
              <w:t xml:space="preserve">accounting netting or risk mitigation effects (i.e. the accounting balance sheet value adjusted for the effects of accounting netting or risk mitigation). </w:t>
            </w:r>
          </w:p>
          <w:p w:rsidR="00AD4F69" w:rsidRDefault="00AD4F69" w:rsidP="00E3680B">
            <w:pPr>
              <w:tabs>
                <w:tab w:val="left" w:pos="0"/>
              </w:tabs>
              <w:jc w:val="both"/>
              <w:rPr>
                <w:rFonts w:ascii="Times New Roman" w:eastAsia="Times New Roman" w:hAnsi="Times New Roman"/>
                <w:bCs/>
                <w:color w:val="000000"/>
                <w:sz w:val="20"/>
                <w:szCs w:val="20"/>
                <w:lang w:val="en-GB"/>
              </w:rPr>
            </w:pPr>
          </w:p>
          <w:p w:rsidR="00807AA2" w:rsidRDefault="003D2DBB" w:rsidP="00E3680B">
            <w:pPr>
              <w:tabs>
                <w:tab w:val="left" w:pos="0"/>
              </w:tabs>
              <w:jc w:val="both"/>
              <w:rPr>
                <w:rFonts w:ascii="Times New Roman" w:eastAsia="Times New Roman" w:hAnsi="Times New Roman"/>
                <w:bCs/>
                <w:color w:val="000000"/>
                <w:sz w:val="20"/>
                <w:szCs w:val="20"/>
                <w:lang w:val="en-GB"/>
              </w:rPr>
            </w:pPr>
            <w:r w:rsidRPr="003D2DBB">
              <w:rPr>
                <w:rFonts w:ascii="Times New Roman" w:eastAsia="Times New Roman" w:hAnsi="Times New Roman"/>
                <w:bCs/>
                <w:color w:val="000000"/>
                <w:sz w:val="20"/>
                <w:szCs w:val="20"/>
                <w:lang w:val="en-GB"/>
              </w:rPr>
              <w:t>Furthermore, where sale accounting is achieved for a</w:t>
            </w:r>
            <w:r w:rsidR="004F4D01">
              <w:rPr>
                <w:rFonts w:ascii="Times New Roman" w:eastAsia="Times New Roman" w:hAnsi="Times New Roman"/>
                <w:bCs/>
                <w:color w:val="000000"/>
                <w:sz w:val="20"/>
                <w:szCs w:val="20"/>
                <w:lang w:val="en-GB"/>
              </w:rPr>
              <w:t xml:space="preserve"> </w:t>
            </w:r>
            <w:r w:rsidR="0009671A">
              <w:rPr>
                <w:rFonts w:ascii="Times New Roman" w:eastAsia="Times New Roman" w:hAnsi="Times New Roman"/>
                <w:bCs/>
                <w:color w:val="000000"/>
                <w:sz w:val="20"/>
                <w:szCs w:val="20"/>
                <w:lang w:val="en-GB"/>
              </w:rPr>
              <w:t xml:space="preserve">SFT </w:t>
            </w:r>
            <w:r w:rsidRPr="003D2DBB">
              <w:rPr>
                <w:rFonts w:ascii="Times New Roman" w:eastAsia="Times New Roman" w:hAnsi="Times New Roman"/>
                <w:bCs/>
                <w:color w:val="000000"/>
                <w:sz w:val="20"/>
                <w:szCs w:val="20"/>
                <w:lang w:val="en-GB"/>
              </w:rPr>
              <w:t>under the applicable accounting framework, institutions shall reverse all sales-related accounting entries</w:t>
            </w:r>
            <w:r>
              <w:rPr>
                <w:rFonts w:ascii="Times New Roman" w:eastAsia="Times New Roman" w:hAnsi="Times New Roman"/>
                <w:bCs/>
                <w:color w:val="000000"/>
                <w:sz w:val="20"/>
                <w:szCs w:val="20"/>
                <w:lang w:val="en-GB"/>
              </w:rPr>
              <w:t xml:space="preserve"> </w:t>
            </w:r>
            <w:r w:rsidR="0009671A">
              <w:rPr>
                <w:rFonts w:ascii="Times New Roman" w:eastAsia="Times New Roman" w:hAnsi="Times New Roman"/>
                <w:bCs/>
                <w:color w:val="000000"/>
                <w:sz w:val="20"/>
                <w:szCs w:val="20"/>
                <w:lang w:val="en-GB"/>
              </w:rPr>
              <w:t>in accordance with</w:t>
            </w:r>
            <w:r>
              <w:rPr>
                <w:rFonts w:ascii="Times New Roman" w:eastAsia="Times New Roman" w:hAnsi="Times New Roman"/>
                <w:bCs/>
                <w:color w:val="000000"/>
                <w:sz w:val="20"/>
                <w:szCs w:val="20"/>
                <w:lang w:val="en-GB"/>
              </w:rPr>
              <w:t xml:space="preserve"> Article 429b(5) of the Regulation (EU) No 575/2013</w:t>
            </w:r>
            <w:r w:rsidRPr="003D2DBB">
              <w:rPr>
                <w:rFonts w:ascii="Times New Roman" w:eastAsia="Times New Roman" w:hAnsi="Times New Roman"/>
                <w:bCs/>
                <w:color w:val="000000"/>
                <w:sz w:val="20"/>
                <w:szCs w:val="20"/>
                <w:lang w:val="en-GB"/>
              </w:rPr>
              <w:t>.</w:t>
            </w:r>
          </w:p>
          <w:p w:rsidR="003D2DBB" w:rsidRDefault="003D2DBB" w:rsidP="00E3680B">
            <w:pPr>
              <w:tabs>
                <w:tab w:val="left" w:pos="0"/>
              </w:tabs>
              <w:jc w:val="both"/>
              <w:rPr>
                <w:rFonts w:ascii="Times New Roman" w:eastAsia="Times New Roman" w:hAnsi="Times New Roman"/>
                <w:bCs/>
                <w:color w:val="000000"/>
                <w:sz w:val="20"/>
                <w:szCs w:val="20"/>
                <w:lang w:val="en-GB"/>
              </w:rPr>
            </w:pPr>
          </w:p>
          <w:p w:rsidR="003D2DBB" w:rsidRDefault="00AD4F69" w:rsidP="00E3680B">
            <w:pPr>
              <w:tabs>
                <w:tab w:val="left" w:pos="0"/>
              </w:tabs>
              <w:jc w:val="both"/>
              <w:rPr>
                <w:rFonts w:ascii="Times New Roman" w:eastAsia="Times New Roman" w:hAnsi="Times New Roman"/>
                <w:bCs/>
                <w:color w:val="000000"/>
                <w:sz w:val="20"/>
                <w:szCs w:val="20"/>
                <w:lang w:val="en-GB"/>
              </w:rPr>
            </w:pPr>
            <w:r w:rsidRPr="00AD4F69">
              <w:rPr>
                <w:rFonts w:ascii="Times New Roman" w:eastAsia="Times New Roman" w:hAnsi="Times New Roman"/>
                <w:bCs/>
                <w:color w:val="000000"/>
                <w:sz w:val="20"/>
                <w:szCs w:val="20"/>
                <w:lang w:val="en-GB"/>
              </w:rPr>
              <w:t xml:space="preserve">Institutions shall not include in this </w:t>
            </w:r>
            <w:r w:rsidR="0009671A">
              <w:rPr>
                <w:rFonts w:ascii="Times New Roman" w:eastAsia="Times New Roman" w:hAnsi="Times New Roman"/>
                <w:bCs/>
                <w:color w:val="000000"/>
                <w:sz w:val="20"/>
                <w:szCs w:val="20"/>
                <w:lang w:val="en-GB"/>
              </w:rPr>
              <w:t>cell</w:t>
            </w:r>
            <w:r w:rsidRPr="00AD4F69">
              <w:rPr>
                <w:rFonts w:ascii="Times New Roman" w:eastAsia="Times New Roman" w:hAnsi="Times New Roman"/>
                <w:bCs/>
                <w:color w:val="000000"/>
                <w:sz w:val="20"/>
                <w:szCs w:val="20"/>
                <w:lang w:val="en-GB"/>
              </w:rPr>
              <w:t xml:space="preserve"> cash received or any security that is provided to a counterparty via the aforementioned transactions and is retained on the balance sheet (i.e. the accounting criteria for derecognition are not met).</w:t>
            </w:r>
          </w:p>
          <w:p w:rsidR="00807AA2" w:rsidRPr="00744CC4" w:rsidRDefault="00807AA2" w:rsidP="00744CC4">
            <w:pPr>
              <w:pStyle w:val="Default"/>
              <w:jc w:val="both"/>
              <w:rPr>
                <w:rFonts w:ascii="Times New Roman" w:eastAsia="Times New Roman" w:hAnsi="Times New Roman"/>
                <w:bCs/>
                <w:sz w:val="20"/>
                <w:szCs w:val="20"/>
              </w:rPr>
            </w:pPr>
          </w:p>
        </w:tc>
      </w:tr>
      <w:tr w:rsidR="00E3680B" w:rsidRPr="00E3680B" w:rsidTr="00744CC4">
        <w:trPr>
          <w:trHeight w:val="304"/>
        </w:trPr>
        <w:tc>
          <w:tcPr>
            <w:tcW w:w="1418" w:type="dxa"/>
            <w:shd w:val="clear" w:color="auto" w:fill="auto"/>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{13}</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shd w:val="clear" w:color="auto" w:fill="auto"/>
          </w:tcPr>
          <w:p w:rsidR="00A51300" w:rsidRDefault="00A51300" w:rsidP="00E3680B">
            <w:pPr>
              <w:tabs>
                <w:tab w:val="left" w:pos="0"/>
              </w:tabs>
              <w:jc w:val="both"/>
              <w:rPr>
                <w:rFonts w:ascii="Times New Roman" w:eastAsia="Times New Roman" w:hAnsi="Times New Roman"/>
                <w:bCs/>
                <w:color w:val="000000"/>
                <w:sz w:val="20"/>
                <w:szCs w:val="20"/>
                <w:lang w:val="en-GB"/>
              </w:rPr>
            </w:pPr>
            <w:r w:rsidRPr="00A51300">
              <w:rPr>
                <w:rFonts w:ascii="Times New Roman" w:eastAsia="Times New Roman" w:hAnsi="Times New Roman"/>
                <w:b/>
                <w:bCs/>
                <w:color w:val="000000"/>
                <w:sz w:val="20"/>
                <w:szCs w:val="20"/>
                <w:lang w:val="en-GB"/>
              </w:rPr>
              <w:t>(Netted amounts of cash payables and cash receivables of gross SFT assets)</w:t>
            </w:r>
            <w:r w:rsidRPr="00A51300" w:rsidDel="00A51300">
              <w:rPr>
                <w:rFonts w:ascii="Times New Roman" w:eastAsia="Times New Roman" w:hAnsi="Times New Roman"/>
                <w:b/>
                <w:bCs/>
                <w:color w:val="000000"/>
                <w:sz w:val="20"/>
                <w:szCs w:val="20"/>
                <w:lang w:val="en-GB"/>
              </w:rPr>
              <w:t xml:space="preserve"> </w:t>
            </w:r>
          </w:p>
          <w:p w:rsidR="00A8277A" w:rsidRDefault="00A8277A" w:rsidP="00A8277A">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Articles 4(77), 206, 429(5)(d), 429(8)</w:t>
            </w:r>
            <w:r w:rsidR="00D67E32">
              <w:rPr>
                <w:rFonts w:ascii="Times New Roman" w:eastAsia="Times New Roman" w:hAnsi="Times New Roman"/>
                <w:bCs/>
                <w:color w:val="000000"/>
                <w:sz w:val="20"/>
                <w:szCs w:val="20"/>
                <w:lang w:val="en-GB"/>
              </w:rPr>
              <w:t xml:space="preserve"> and</w:t>
            </w:r>
            <w:r>
              <w:rPr>
                <w:rFonts w:ascii="Times New Roman" w:eastAsia="Times New Roman" w:hAnsi="Times New Roman"/>
                <w:bCs/>
                <w:color w:val="000000"/>
                <w:sz w:val="20"/>
                <w:szCs w:val="20"/>
                <w:lang w:val="en-GB"/>
              </w:rPr>
              <w:t xml:space="preserve"> 429b(5) of the Regulation </w:t>
            </w:r>
            <w:r w:rsidR="00D67E32">
              <w:rPr>
                <w:rFonts w:ascii="Times New Roman" w:eastAsia="Times New Roman" w:hAnsi="Times New Roman"/>
                <w:bCs/>
                <w:color w:val="000000"/>
                <w:sz w:val="20"/>
                <w:szCs w:val="20"/>
                <w:lang w:val="en-GB"/>
              </w:rPr>
              <w:t xml:space="preserve">(EU) No </w:t>
            </w:r>
            <w:r>
              <w:rPr>
                <w:rFonts w:ascii="Times New Roman" w:eastAsia="Times New Roman" w:hAnsi="Times New Roman"/>
                <w:bCs/>
                <w:color w:val="000000"/>
                <w:sz w:val="20"/>
                <w:szCs w:val="20"/>
                <w:lang w:val="en-GB"/>
              </w:rPr>
              <w:t>575/2013</w:t>
            </w:r>
          </w:p>
          <w:p w:rsidR="00A8277A" w:rsidRDefault="00A8277A" w:rsidP="00E3680B">
            <w:pPr>
              <w:tabs>
                <w:tab w:val="left" w:pos="0"/>
              </w:tabs>
              <w:jc w:val="both"/>
              <w:rPr>
                <w:rFonts w:ascii="Times New Roman" w:eastAsia="Times New Roman" w:hAnsi="Times New Roman"/>
                <w:bCs/>
                <w:color w:val="000000"/>
                <w:sz w:val="20"/>
                <w:szCs w:val="20"/>
                <w:lang w:val="en-GB"/>
              </w:rPr>
            </w:pPr>
          </w:p>
          <w:p w:rsidR="00A8016A" w:rsidRPr="00A51300" w:rsidRDefault="00A8016A"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Institutions shall disclose the</w:t>
            </w:r>
            <w:r w:rsidR="00B73E2D">
              <w:rPr>
                <w:rFonts w:ascii="Times New Roman" w:eastAsia="Times New Roman" w:hAnsi="Times New Roman"/>
                <w:bCs/>
                <w:color w:val="000000"/>
                <w:sz w:val="20"/>
                <w:szCs w:val="20"/>
                <w:lang w:val="en-GB"/>
              </w:rPr>
              <w:t xml:space="preserve"> cash payables</w:t>
            </w:r>
            <w:r>
              <w:rPr>
                <w:rFonts w:ascii="Times New Roman" w:eastAsia="Times New Roman" w:hAnsi="Times New Roman"/>
                <w:bCs/>
                <w:color w:val="000000"/>
                <w:sz w:val="20"/>
                <w:szCs w:val="20"/>
                <w:lang w:val="en-GB"/>
              </w:rPr>
              <w:t xml:space="preserve"> </w:t>
            </w:r>
            <w:r w:rsidR="00B410B3">
              <w:rPr>
                <w:rFonts w:ascii="Times New Roman" w:eastAsia="Times New Roman" w:hAnsi="Times New Roman"/>
                <w:bCs/>
                <w:color w:val="000000"/>
                <w:sz w:val="20"/>
                <w:szCs w:val="20"/>
                <w:lang w:val="en-GB"/>
              </w:rPr>
              <w:t>amount of</w:t>
            </w:r>
            <w:r w:rsidR="00B73E2D">
              <w:rPr>
                <w:rFonts w:ascii="Times New Roman" w:eastAsia="Times New Roman" w:hAnsi="Times New Roman"/>
                <w:bCs/>
                <w:color w:val="000000"/>
                <w:sz w:val="20"/>
                <w:szCs w:val="20"/>
                <w:lang w:val="en-GB"/>
              </w:rPr>
              <w:t xml:space="preserve"> </w:t>
            </w:r>
            <w:r w:rsidR="00B410B3">
              <w:rPr>
                <w:rFonts w:ascii="Times New Roman" w:eastAsia="Times New Roman" w:hAnsi="Times New Roman"/>
                <w:bCs/>
                <w:color w:val="000000"/>
                <w:sz w:val="20"/>
                <w:szCs w:val="20"/>
                <w:lang w:val="en-GB"/>
              </w:rPr>
              <w:t xml:space="preserve">gross </w:t>
            </w:r>
            <w:r w:rsidR="0009671A">
              <w:rPr>
                <w:rFonts w:ascii="Times New Roman" w:eastAsia="Times New Roman" w:hAnsi="Times New Roman"/>
                <w:bCs/>
                <w:color w:val="000000"/>
                <w:sz w:val="20"/>
                <w:szCs w:val="20"/>
                <w:lang w:val="en-GB"/>
              </w:rPr>
              <w:t>SFT</w:t>
            </w:r>
            <w:r w:rsidR="00B410B3">
              <w:rPr>
                <w:rFonts w:ascii="Times New Roman" w:eastAsia="Times New Roman" w:hAnsi="Times New Roman"/>
                <w:bCs/>
                <w:color w:val="000000"/>
                <w:sz w:val="20"/>
                <w:szCs w:val="20"/>
                <w:lang w:val="en-GB"/>
              </w:rPr>
              <w:t xml:space="preserve"> assets</w:t>
            </w:r>
            <w:r w:rsidR="00B73E2D">
              <w:rPr>
                <w:rFonts w:ascii="Times New Roman" w:eastAsia="Times New Roman" w:hAnsi="Times New Roman"/>
                <w:bCs/>
                <w:color w:val="000000"/>
                <w:sz w:val="20"/>
                <w:szCs w:val="20"/>
                <w:lang w:val="en-GB"/>
              </w:rPr>
              <w:t xml:space="preserve"> that have been netted in accordance with</w:t>
            </w:r>
            <w:r w:rsidR="00B410B3">
              <w:rPr>
                <w:rFonts w:ascii="Times New Roman" w:eastAsia="Times New Roman" w:hAnsi="Times New Roman"/>
                <w:bCs/>
                <w:color w:val="000000"/>
                <w:sz w:val="20"/>
                <w:szCs w:val="20"/>
                <w:lang w:val="en-GB"/>
              </w:rPr>
              <w:t xml:space="preserve"> Article 429(</w:t>
            </w:r>
            <w:r w:rsidR="00B73E2D">
              <w:rPr>
                <w:rFonts w:ascii="Times New Roman" w:eastAsia="Times New Roman" w:hAnsi="Times New Roman"/>
                <w:bCs/>
                <w:color w:val="000000"/>
                <w:sz w:val="20"/>
                <w:szCs w:val="20"/>
                <w:lang w:val="en-GB"/>
              </w:rPr>
              <w:t>8</w:t>
            </w:r>
            <w:r w:rsidR="00B410B3">
              <w:rPr>
                <w:rFonts w:ascii="Times New Roman" w:eastAsia="Times New Roman" w:hAnsi="Times New Roman"/>
                <w:bCs/>
                <w:color w:val="000000"/>
                <w:sz w:val="20"/>
                <w:szCs w:val="20"/>
                <w:lang w:val="en-GB"/>
              </w:rPr>
              <w:t xml:space="preserve">) of Regulation </w:t>
            </w:r>
            <w:r w:rsidR="00D67E32">
              <w:rPr>
                <w:rFonts w:ascii="Times New Roman" w:eastAsia="Times New Roman" w:hAnsi="Times New Roman"/>
                <w:bCs/>
                <w:color w:val="000000"/>
                <w:sz w:val="20"/>
                <w:szCs w:val="20"/>
                <w:lang w:val="en-GB"/>
              </w:rPr>
              <w:t xml:space="preserve">(EU) No </w:t>
            </w:r>
            <w:r w:rsidR="00B410B3">
              <w:rPr>
                <w:rFonts w:ascii="Times New Roman" w:eastAsia="Times New Roman" w:hAnsi="Times New Roman"/>
                <w:bCs/>
                <w:color w:val="000000"/>
                <w:sz w:val="20"/>
                <w:szCs w:val="20"/>
                <w:lang w:val="en-GB"/>
              </w:rPr>
              <w:t>575/2013</w:t>
            </w:r>
            <w:r w:rsidR="00A8277A">
              <w:rPr>
                <w:rFonts w:ascii="Times New Roman" w:eastAsia="Times New Roman" w:hAnsi="Times New Roman"/>
                <w:bCs/>
                <w:color w:val="000000"/>
                <w:sz w:val="20"/>
                <w:szCs w:val="20"/>
                <w:lang w:val="en-GB"/>
              </w:rPr>
              <w:t xml:space="preserve"> </w:t>
            </w:r>
          </w:p>
          <w:p w:rsidR="00F5373A" w:rsidRDefault="00F5373A" w:rsidP="0028798B">
            <w:pPr>
              <w:tabs>
                <w:tab w:val="left" w:pos="0"/>
              </w:tabs>
              <w:jc w:val="both"/>
              <w:rPr>
                <w:rFonts w:ascii="Times New Roman" w:eastAsia="Times New Roman" w:hAnsi="Times New Roman"/>
                <w:bCs/>
                <w:color w:val="000000"/>
                <w:sz w:val="20"/>
                <w:szCs w:val="20"/>
                <w:lang w:val="en-GB"/>
              </w:rPr>
            </w:pPr>
          </w:p>
          <w:p w:rsidR="0028798B" w:rsidRDefault="0028798B" w:rsidP="0028798B">
            <w:pPr>
              <w:tabs>
                <w:tab w:val="left" w:pos="0"/>
              </w:tabs>
              <w:jc w:val="both"/>
              <w:rPr>
                <w:rFonts w:ascii="Times New Roman" w:eastAsia="Times New Roman" w:hAnsi="Times New Roman"/>
                <w:bCs/>
                <w:color w:val="000000"/>
                <w:sz w:val="20"/>
                <w:szCs w:val="20"/>
                <w:lang w:val="en-GB"/>
              </w:rPr>
            </w:pPr>
            <w:r w:rsidRPr="00D93E6A">
              <w:rPr>
                <w:rFonts w:ascii="Times New Roman" w:eastAsia="Times New Roman" w:hAnsi="Times New Roman"/>
                <w:bCs/>
                <w:color w:val="000000"/>
                <w:sz w:val="20"/>
                <w:szCs w:val="20"/>
                <w:lang w:val="en-GB"/>
              </w:rPr>
              <w:t xml:space="preserve">Since it reduces the leverage ratio exposure measure </w:t>
            </w:r>
            <w:r w:rsidR="00F5373A">
              <w:rPr>
                <w:rFonts w:ascii="Times New Roman" w:eastAsia="Times New Roman" w:hAnsi="Times New Roman"/>
                <w:bCs/>
                <w:color w:val="000000"/>
                <w:sz w:val="20"/>
                <w:szCs w:val="20"/>
                <w:lang w:val="en-GB"/>
              </w:rPr>
              <w:t xml:space="preserve">institutions shall place </w:t>
            </w:r>
            <w:r w:rsidRPr="00D93E6A">
              <w:rPr>
                <w:rFonts w:ascii="Times New Roman" w:eastAsia="Times New Roman" w:hAnsi="Times New Roman"/>
                <w:bCs/>
                <w:color w:val="000000"/>
                <w:sz w:val="20"/>
                <w:szCs w:val="20"/>
                <w:lang w:val="en-GB"/>
              </w:rPr>
              <w:t xml:space="preserve">the valuein this cell </w:t>
            </w:r>
            <w:r w:rsidR="00F5373A">
              <w:rPr>
                <w:rFonts w:ascii="Times New Roman" w:eastAsia="Times New Roman" w:hAnsi="Times New Roman"/>
                <w:bCs/>
                <w:color w:val="000000"/>
                <w:sz w:val="20"/>
                <w:szCs w:val="20"/>
                <w:lang w:val="en-GB"/>
              </w:rPr>
              <w:t xml:space="preserve">between brackets (which signifies that it </w:t>
            </w:r>
            <w:r w:rsidRPr="00D93E6A">
              <w:rPr>
                <w:rFonts w:ascii="Times New Roman" w:eastAsia="Times New Roman" w:hAnsi="Times New Roman"/>
                <w:bCs/>
                <w:color w:val="000000"/>
                <w:sz w:val="20"/>
                <w:szCs w:val="20"/>
                <w:lang w:val="en-GB"/>
              </w:rPr>
              <w:t>shall contribute</w:t>
            </w:r>
            <w:r>
              <w:rPr>
                <w:rFonts w:ascii="Times New Roman" w:eastAsia="Times New Roman" w:hAnsi="Times New Roman"/>
                <w:bCs/>
                <w:color w:val="000000"/>
                <w:sz w:val="20"/>
                <w:szCs w:val="20"/>
                <w:lang w:val="en-GB"/>
              </w:rPr>
              <w:t xml:space="preserve"> </w:t>
            </w:r>
            <w:r w:rsidRPr="00D93E6A">
              <w:rPr>
                <w:rFonts w:ascii="Times New Roman" w:eastAsia="Times New Roman" w:hAnsi="Times New Roman"/>
                <w:bCs/>
                <w:color w:val="000000"/>
                <w:sz w:val="20"/>
                <w:szCs w:val="20"/>
                <w:lang w:val="en-GB"/>
              </w:rPr>
              <w:t xml:space="preserve">negatively to the </w:t>
            </w:r>
            <w:r>
              <w:rPr>
                <w:rFonts w:ascii="Times New Roman" w:eastAsia="Times New Roman" w:hAnsi="Times New Roman"/>
                <w:bCs/>
                <w:color w:val="000000"/>
                <w:sz w:val="20"/>
                <w:szCs w:val="20"/>
                <w:lang w:val="en-GB"/>
              </w:rPr>
              <w:t>sum to be disclosed  in</w:t>
            </w:r>
            <w:r w:rsidRPr="00D93E6A">
              <w:rPr>
                <w:rFonts w:ascii="Times New Roman" w:eastAsia="Times New Roman" w:hAnsi="Times New Roman"/>
                <w:bCs/>
                <w:color w:val="000000"/>
                <w:sz w:val="20"/>
                <w:szCs w:val="20"/>
                <w:lang w:val="en-GB"/>
              </w:rPr>
              <w:t xml:space="preserve"> {LRCom</w:t>
            </w:r>
            <w:r w:rsidR="0091168B">
              <w:rPr>
                <w:rFonts w:ascii="Times New Roman" w:eastAsia="Times New Roman" w:hAnsi="Times New Roman"/>
                <w:bCs/>
                <w:color w:val="000000"/>
                <w:sz w:val="20"/>
                <w:szCs w:val="20"/>
                <w:lang w:val="en-GB"/>
              </w:rPr>
              <w:t>;</w:t>
            </w:r>
            <w:r w:rsidRPr="00D93E6A">
              <w:rPr>
                <w:rFonts w:ascii="Times New Roman" w:eastAsia="Times New Roman" w:hAnsi="Times New Roman"/>
                <w:bCs/>
                <w:color w:val="000000"/>
                <w:sz w:val="20"/>
                <w:szCs w:val="20"/>
                <w:lang w:val="en-GB"/>
              </w:rPr>
              <w:t>1</w:t>
            </w:r>
            <w:r w:rsidR="00573588">
              <w:rPr>
                <w:rFonts w:ascii="Times New Roman" w:eastAsia="Times New Roman" w:hAnsi="Times New Roman"/>
                <w:bCs/>
                <w:color w:val="000000"/>
                <w:sz w:val="20"/>
                <w:szCs w:val="20"/>
                <w:lang w:val="en-GB"/>
              </w:rPr>
              <w:t>6</w:t>
            </w:r>
            <w:r w:rsidRPr="00D93E6A">
              <w:rPr>
                <w:rFonts w:ascii="Times New Roman" w:eastAsia="Times New Roman" w:hAnsi="Times New Roman"/>
                <w:bCs/>
                <w:color w:val="000000"/>
                <w:sz w:val="20"/>
                <w:szCs w:val="20"/>
                <w:lang w:val="en-GB"/>
              </w:rPr>
              <w:t>}</w:t>
            </w:r>
            <w:r w:rsidR="00F5373A">
              <w:rPr>
                <w:rFonts w:ascii="Times New Roman" w:eastAsia="Times New Roman" w:hAnsi="Times New Roman"/>
                <w:bCs/>
                <w:color w:val="000000"/>
                <w:sz w:val="20"/>
                <w:szCs w:val="20"/>
                <w:lang w:val="en-GB"/>
              </w:rPr>
              <w:t>)</w:t>
            </w:r>
            <w:r w:rsidRPr="00D93E6A">
              <w:rPr>
                <w:rFonts w:ascii="Times New Roman" w:eastAsia="Times New Roman" w:hAnsi="Times New Roman"/>
                <w:bCs/>
                <w:color w:val="000000"/>
                <w:sz w:val="20"/>
                <w:szCs w:val="20"/>
                <w:lang w:val="en-GB"/>
              </w:rPr>
              <w:t>.</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{14}</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Default="00A51300" w:rsidP="00E3680B">
            <w:pPr>
              <w:tabs>
                <w:tab w:val="left" w:pos="0"/>
              </w:tabs>
              <w:jc w:val="both"/>
              <w:rPr>
                <w:rFonts w:ascii="Times New Roman" w:eastAsia="Times New Roman" w:hAnsi="Times New Roman"/>
                <w:bCs/>
                <w:color w:val="000000"/>
                <w:sz w:val="20"/>
                <w:szCs w:val="20"/>
                <w:lang w:val="en-GB"/>
              </w:rPr>
            </w:pPr>
            <w:r w:rsidRPr="00A51300">
              <w:rPr>
                <w:rFonts w:ascii="Times New Roman" w:eastAsia="Times New Roman" w:hAnsi="Times New Roman"/>
                <w:b/>
                <w:bCs/>
                <w:color w:val="000000"/>
                <w:sz w:val="20"/>
                <w:szCs w:val="20"/>
                <w:lang w:val="en-GB"/>
              </w:rPr>
              <w:t>C</w:t>
            </w:r>
            <w:r w:rsidR="00420CD7">
              <w:rPr>
                <w:rFonts w:ascii="Times New Roman" w:eastAsia="Times New Roman" w:hAnsi="Times New Roman"/>
                <w:b/>
                <w:bCs/>
                <w:color w:val="000000"/>
                <w:sz w:val="20"/>
                <w:szCs w:val="20"/>
                <w:lang w:val="en-GB"/>
              </w:rPr>
              <w:t xml:space="preserve">ounterparty credit risk </w:t>
            </w:r>
            <w:r w:rsidRPr="00A51300">
              <w:rPr>
                <w:rFonts w:ascii="Times New Roman" w:eastAsia="Times New Roman" w:hAnsi="Times New Roman"/>
                <w:b/>
                <w:bCs/>
                <w:color w:val="000000"/>
                <w:sz w:val="20"/>
                <w:szCs w:val="20"/>
                <w:lang w:val="en-GB"/>
              </w:rPr>
              <w:t>exposure for SFT assets</w:t>
            </w:r>
            <w:r w:rsidRPr="00A51300" w:rsidDel="00A51300">
              <w:rPr>
                <w:rFonts w:ascii="Times New Roman" w:eastAsia="Times New Roman" w:hAnsi="Times New Roman"/>
                <w:b/>
                <w:bCs/>
                <w:color w:val="000000"/>
                <w:sz w:val="20"/>
                <w:szCs w:val="20"/>
                <w:lang w:val="en-GB"/>
              </w:rPr>
              <w:t xml:space="preserve"> </w:t>
            </w:r>
          </w:p>
          <w:p w:rsidR="00F85BD4" w:rsidRDefault="00F85BD4" w:rsidP="00F85BD4">
            <w:pPr>
              <w:tabs>
                <w:tab w:val="left" w:pos="0"/>
              </w:tabs>
              <w:jc w:val="both"/>
              <w:rPr>
                <w:rFonts w:ascii="Times New Roman" w:eastAsia="Times New Roman" w:hAnsi="Times New Roman"/>
                <w:bCs/>
                <w:color w:val="000000"/>
                <w:sz w:val="20"/>
                <w:szCs w:val="20"/>
                <w:lang w:val="en-GB"/>
              </w:rPr>
            </w:pPr>
            <w:r w:rsidRPr="00F85BD4">
              <w:rPr>
                <w:rFonts w:ascii="Times New Roman" w:eastAsia="Times New Roman" w:hAnsi="Times New Roman"/>
                <w:bCs/>
                <w:color w:val="000000"/>
                <w:sz w:val="20"/>
                <w:szCs w:val="20"/>
                <w:lang w:val="en-GB"/>
              </w:rPr>
              <w:t xml:space="preserve">Article 429b(1) of </w:t>
            </w:r>
            <w:r w:rsidRPr="00E3680B">
              <w:rPr>
                <w:rFonts w:ascii="Times New Roman" w:eastAsia="Times New Roman" w:hAnsi="Times New Roman"/>
                <w:bCs/>
                <w:color w:val="000000"/>
                <w:sz w:val="20"/>
                <w:szCs w:val="20"/>
                <w:lang w:val="en-GB"/>
              </w:rPr>
              <w:t>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p>
          <w:p w:rsidR="00F85BD4" w:rsidRPr="00F85BD4" w:rsidRDefault="00F85BD4" w:rsidP="00F85BD4">
            <w:pPr>
              <w:tabs>
                <w:tab w:val="left" w:pos="0"/>
              </w:tabs>
              <w:jc w:val="both"/>
              <w:rPr>
                <w:rFonts w:ascii="Times New Roman" w:eastAsia="Times New Roman" w:hAnsi="Times New Roman"/>
                <w:bCs/>
                <w:color w:val="000000"/>
                <w:sz w:val="20"/>
                <w:szCs w:val="20"/>
                <w:lang w:val="en-GB"/>
              </w:rPr>
            </w:pPr>
          </w:p>
          <w:p w:rsidR="00F85BD4" w:rsidRDefault="00F85BD4" w:rsidP="00F85BD4">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w:t>
            </w:r>
            <w:r>
              <w:rPr>
                <w:rFonts w:ascii="Times New Roman" w:eastAsia="Times New Roman" w:hAnsi="Times New Roman"/>
                <w:bCs/>
                <w:color w:val="000000"/>
                <w:sz w:val="20"/>
                <w:szCs w:val="20"/>
                <w:lang w:val="en-GB"/>
              </w:rPr>
              <w:t xml:space="preserve">the </w:t>
            </w:r>
            <w:r w:rsidRPr="00F85BD4">
              <w:rPr>
                <w:rFonts w:ascii="Times New Roman" w:eastAsia="Times New Roman" w:hAnsi="Times New Roman"/>
                <w:bCs/>
                <w:color w:val="000000"/>
                <w:sz w:val="20"/>
                <w:szCs w:val="20"/>
                <w:lang w:val="en-GB"/>
              </w:rPr>
              <w:t xml:space="preserve">add-on for counterparty credit risk of </w:t>
            </w:r>
            <w:r w:rsidR="0009671A">
              <w:rPr>
                <w:rFonts w:ascii="Times New Roman" w:eastAsia="Times New Roman" w:hAnsi="Times New Roman"/>
                <w:bCs/>
                <w:color w:val="000000"/>
                <w:sz w:val="20"/>
                <w:szCs w:val="20"/>
                <w:lang w:val="en-GB"/>
              </w:rPr>
              <w:t>SFTs</w:t>
            </w:r>
            <w:r w:rsidRPr="00F85BD4">
              <w:rPr>
                <w:rFonts w:ascii="Times New Roman" w:eastAsia="Times New Roman" w:hAnsi="Times New Roman"/>
                <w:bCs/>
                <w:color w:val="000000"/>
                <w:sz w:val="20"/>
                <w:szCs w:val="20"/>
                <w:lang w:val="en-GB"/>
              </w:rPr>
              <w:t xml:space="preserve"> including those that are off-balance sheet determined in accordance </w:t>
            </w:r>
            <w:r w:rsidR="00D67E32">
              <w:rPr>
                <w:rFonts w:ascii="Times New Roman" w:eastAsia="Times New Roman" w:hAnsi="Times New Roman"/>
                <w:bCs/>
                <w:color w:val="000000"/>
                <w:sz w:val="20"/>
                <w:szCs w:val="20"/>
                <w:lang w:val="en-GB"/>
              </w:rPr>
              <w:t xml:space="preserve">with </w:t>
            </w:r>
            <w:r w:rsidRPr="00F85BD4">
              <w:rPr>
                <w:rFonts w:ascii="Times New Roman" w:eastAsia="Times New Roman" w:hAnsi="Times New Roman"/>
                <w:bCs/>
                <w:color w:val="000000"/>
                <w:sz w:val="20"/>
                <w:szCs w:val="20"/>
                <w:lang w:val="en-GB"/>
              </w:rPr>
              <w:t>Article 429b</w:t>
            </w:r>
            <w:r w:rsidR="00D67E32">
              <w:rPr>
                <w:rFonts w:ascii="Times New Roman" w:eastAsia="Times New Roman" w:hAnsi="Times New Roman"/>
                <w:bCs/>
                <w:color w:val="000000"/>
                <w:sz w:val="20"/>
                <w:szCs w:val="20"/>
                <w:lang w:val="en-GB"/>
              </w:rPr>
              <w:t xml:space="preserve"> (2) or (3)</w:t>
            </w:r>
            <w:r w:rsidRPr="00F85BD4">
              <w:rPr>
                <w:rFonts w:ascii="Times New Roman" w:eastAsia="Times New Roman" w:hAnsi="Times New Roman"/>
                <w:bCs/>
                <w:color w:val="000000"/>
                <w:sz w:val="20"/>
                <w:szCs w:val="20"/>
                <w:lang w:val="en-GB"/>
              </w:rPr>
              <w:t xml:space="preserve"> of </w:t>
            </w:r>
            <w:r w:rsidR="00034308" w:rsidRPr="00E3680B">
              <w:rPr>
                <w:rFonts w:ascii="Times New Roman" w:eastAsia="Times New Roman" w:hAnsi="Times New Roman"/>
                <w:bCs/>
                <w:color w:val="000000"/>
                <w:sz w:val="20"/>
                <w:szCs w:val="20"/>
                <w:lang w:val="en-GB"/>
              </w:rPr>
              <w:t>Regulation</w:t>
            </w:r>
            <w:r w:rsidR="00034308" w:rsidRPr="00E3680B">
              <w:rPr>
                <w:rFonts w:ascii="Times New Roman" w:eastAsia="MS Mincho" w:hAnsi="Times New Roman"/>
                <w:color w:val="000000"/>
                <w:sz w:val="20"/>
                <w:szCs w:val="20"/>
                <w:lang w:val="it-IT" w:eastAsia="ja-JP"/>
              </w:rPr>
              <w:t xml:space="preserve"> </w:t>
            </w:r>
            <w:r w:rsidR="00034308" w:rsidRPr="00E3680B">
              <w:rPr>
                <w:rFonts w:ascii="Times New Roman" w:eastAsia="Times New Roman" w:hAnsi="Times New Roman"/>
                <w:bCs/>
                <w:color w:val="000000"/>
                <w:sz w:val="20"/>
                <w:szCs w:val="20"/>
                <w:lang w:val="en-GB"/>
              </w:rPr>
              <w:t>(EU) No 575/2013</w:t>
            </w:r>
            <w:r w:rsidRPr="00F85BD4">
              <w:rPr>
                <w:rFonts w:ascii="Times New Roman" w:eastAsia="Times New Roman" w:hAnsi="Times New Roman"/>
                <w:bCs/>
                <w:color w:val="000000"/>
                <w:sz w:val="20"/>
                <w:szCs w:val="20"/>
                <w:lang w:val="en-GB"/>
              </w:rPr>
              <w:t>, as applicable.</w:t>
            </w:r>
          </w:p>
          <w:p w:rsidR="00F85BD4" w:rsidRPr="00F85BD4" w:rsidRDefault="00F85BD4" w:rsidP="00F85BD4">
            <w:pPr>
              <w:tabs>
                <w:tab w:val="left" w:pos="0"/>
              </w:tabs>
              <w:jc w:val="both"/>
              <w:rPr>
                <w:rFonts w:ascii="Times New Roman" w:eastAsia="Times New Roman" w:hAnsi="Times New Roman"/>
                <w:bCs/>
                <w:color w:val="000000"/>
                <w:sz w:val="20"/>
                <w:szCs w:val="20"/>
                <w:lang w:val="en-GB"/>
              </w:rPr>
            </w:pPr>
          </w:p>
          <w:p w:rsidR="00F85BD4" w:rsidRDefault="00F85BD4" w:rsidP="00F85BD4">
            <w:pPr>
              <w:tabs>
                <w:tab w:val="left" w:pos="0"/>
              </w:tabs>
              <w:jc w:val="both"/>
              <w:rPr>
                <w:rFonts w:ascii="Times New Roman" w:eastAsia="Times New Roman" w:hAnsi="Times New Roman"/>
                <w:bCs/>
                <w:color w:val="000000"/>
                <w:sz w:val="20"/>
                <w:szCs w:val="20"/>
                <w:lang w:val="en-GB"/>
              </w:rPr>
            </w:pPr>
            <w:r w:rsidRPr="00F85BD4">
              <w:rPr>
                <w:rFonts w:ascii="Times New Roman" w:eastAsia="Times New Roman" w:hAnsi="Times New Roman"/>
                <w:bCs/>
                <w:color w:val="000000"/>
                <w:sz w:val="20"/>
                <w:szCs w:val="20"/>
                <w:lang w:val="en-GB"/>
              </w:rPr>
              <w:t xml:space="preserve">Institutions shall consider in this </w:t>
            </w:r>
            <w:r w:rsidR="0009671A">
              <w:rPr>
                <w:rFonts w:ascii="Times New Roman" w:eastAsia="Times New Roman" w:hAnsi="Times New Roman"/>
                <w:bCs/>
                <w:color w:val="000000"/>
                <w:sz w:val="20"/>
                <w:szCs w:val="20"/>
                <w:lang w:val="en-GB"/>
              </w:rPr>
              <w:t>cell</w:t>
            </w:r>
            <w:r w:rsidRPr="00F85BD4">
              <w:rPr>
                <w:rFonts w:ascii="Times New Roman" w:eastAsia="Times New Roman" w:hAnsi="Times New Roman"/>
                <w:bCs/>
                <w:color w:val="000000"/>
                <w:sz w:val="20"/>
                <w:szCs w:val="20"/>
                <w:lang w:val="en-GB"/>
              </w:rPr>
              <w:t xml:space="preserve"> transactions </w:t>
            </w:r>
            <w:r w:rsidR="0009671A">
              <w:rPr>
                <w:rFonts w:ascii="Times New Roman" w:eastAsia="Times New Roman" w:hAnsi="Times New Roman"/>
                <w:bCs/>
                <w:color w:val="000000"/>
                <w:sz w:val="20"/>
                <w:szCs w:val="20"/>
                <w:lang w:val="en-GB"/>
              </w:rPr>
              <w:t>in accordance with</w:t>
            </w:r>
            <w:r w:rsidRPr="00F85BD4">
              <w:rPr>
                <w:rFonts w:ascii="Times New Roman" w:eastAsia="Times New Roman" w:hAnsi="Times New Roman"/>
                <w:bCs/>
                <w:color w:val="000000"/>
                <w:sz w:val="20"/>
                <w:szCs w:val="20"/>
                <w:lang w:val="en-GB"/>
              </w:rPr>
              <w:t xml:space="preserve"> Article 429b(6)(c)</w:t>
            </w:r>
            <w:r w:rsidR="00034308">
              <w:rPr>
                <w:rFonts w:ascii="Times New Roman" w:eastAsia="Times New Roman" w:hAnsi="Times New Roman"/>
                <w:bCs/>
                <w:color w:val="000000"/>
                <w:sz w:val="20"/>
                <w:szCs w:val="20"/>
                <w:lang w:val="en-GB"/>
              </w:rPr>
              <w:t xml:space="preserve"> </w:t>
            </w:r>
            <w:r w:rsidR="00D67E32">
              <w:rPr>
                <w:rFonts w:ascii="Times New Roman" w:eastAsia="Times New Roman" w:hAnsi="Times New Roman"/>
                <w:bCs/>
                <w:color w:val="000000"/>
                <w:sz w:val="20"/>
                <w:szCs w:val="20"/>
                <w:lang w:val="en-GB"/>
              </w:rPr>
              <w:t xml:space="preserve">of </w:t>
            </w:r>
            <w:r w:rsidR="00034308" w:rsidRPr="00E3680B">
              <w:rPr>
                <w:rFonts w:ascii="Times New Roman" w:eastAsia="Times New Roman" w:hAnsi="Times New Roman"/>
                <w:bCs/>
                <w:color w:val="000000"/>
                <w:sz w:val="20"/>
                <w:szCs w:val="20"/>
                <w:lang w:val="en-GB"/>
              </w:rPr>
              <w:t>Regulation</w:t>
            </w:r>
            <w:r w:rsidR="00034308" w:rsidRPr="00E3680B">
              <w:rPr>
                <w:rFonts w:ascii="Times New Roman" w:eastAsia="MS Mincho" w:hAnsi="Times New Roman"/>
                <w:color w:val="000000"/>
                <w:sz w:val="20"/>
                <w:szCs w:val="20"/>
                <w:lang w:val="it-IT" w:eastAsia="ja-JP"/>
              </w:rPr>
              <w:t xml:space="preserve"> </w:t>
            </w:r>
            <w:r w:rsidR="00034308" w:rsidRPr="00E3680B">
              <w:rPr>
                <w:rFonts w:ascii="Times New Roman" w:eastAsia="Times New Roman" w:hAnsi="Times New Roman"/>
                <w:bCs/>
                <w:color w:val="000000"/>
                <w:sz w:val="20"/>
                <w:szCs w:val="20"/>
                <w:lang w:val="en-GB"/>
              </w:rPr>
              <w:t>(EU) No 575/2013</w:t>
            </w:r>
            <w:r w:rsidRPr="00F85BD4">
              <w:rPr>
                <w:rFonts w:ascii="Times New Roman" w:eastAsia="Times New Roman" w:hAnsi="Times New Roman"/>
                <w:bCs/>
                <w:color w:val="000000"/>
                <w:sz w:val="20"/>
                <w:szCs w:val="20"/>
                <w:lang w:val="en-GB"/>
              </w:rPr>
              <w:t>.</w:t>
            </w:r>
          </w:p>
          <w:p w:rsidR="00F85BD4" w:rsidRPr="00F85BD4" w:rsidRDefault="00F85BD4" w:rsidP="00F85BD4">
            <w:pPr>
              <w:tabs>
                <w:tab w:val="left" w:pos="0"/>
              </w:tabs>
              <w:jc w:val="both"/>
              <w:rPr>
                <w:rFonts w:ascii="Times New Roman" w:eastAsia="Times New Roman" w:hAnsi="Times New Roman"/>
                <w:bCs/>
                <w:color w:val="000000"/>
                <w:sz w:val="20"/>
                <w:szCs w:val="20"/>
                <w:lang w:val="en-GB"/>
              </w:rPr>
            </w:pPr>
          </w:p>
          <w:p w:rsidR="00A51300" w:rsidRDefault="00F85BD4" w:rsidP="00F85BD4">
            <w:pPr>
              <w:tabs>
                <w:tab w:val="left" w:pos="0"/>
              </w:tabs>
              <w:jc w:val="both"/>
              <w:rPr>
                <w:rFonts w:ascii="Times New Roman" w:eastAsia="Times New Roman" w:hAnsi="Times New Roman"/>
                <w:bCs/>
                <w:color w:val="000000"/>
                <w:sz w:val="20"/>
                <w:szCs w:val="20"/>
                <w:lang w:val="en-GB"/>
              </w:rPr>
            </w:pPr>
            <w:r w:rsidRPr="00F85BD4">
              <w:rPr>
                <w:rFonts w:ascii="Times New Roman" w:eastAsia="Times New Roman" w:hAnsi="Times New Roman"/>
                <w:bCs/>
                <w:color w:val="000000"/>
                <w:sz w:val="20"/>
                <w:szCs w:val="20"/>
                <w:lang w:val="en-GB"/>
              </w:rPr>
              <w:t xml:space="preserve">Institutions shall not include in this </w:t>
            </w:r>
            <w:r w:rsidR="0009671A">
              <w:rPr>
                <w:rFonts w:ascii="Times New Roman" w:eastAsia="Times New Roman" w:hAnsi="Times New Roman"/>
                <w:bCs/>
                <w:color w:val="000000"/>
                <w:sz w:val="20"/>
                <w:szCs w:val="20"/>
                <w:lang w:val="en-GB"/>
              </w:rPr>
              <w:t>cell</w:t>
            </w:r>
            <w:r w:rsidRPr="00F85BD4">
              <w:rPr>
                <w:rFonts w:ascii="Times New Roman" w:eastAsia="Times New Roman" w:hAnsi="Times New Roman"/>
                <w:bCs/>
                <w:color w:val="000000"/>
                <w:sz w:val="20"/>
                <w:szCs w:val="20"/>
                <w:lang w:val="en-GB"/>
              </w:rPr>
              <w:t xml:space="preserve"> agent</w:t>
            </w:r>
            <w:r w:rsidR="0009671A">
              <w:t xml:space="preserve"> </w:t>
            </w:r>
            <w:r w:rsidR="0009671A" w:rsidRPr="00B815F6">
              <w:rPr>
                <w:rFonts w:ascii="Times New Roman" w:eastAsia="Times New Roman" w:hAnsi="Times New Roman"/>
                <w:bCs/>
                <w:color w:val="000000"/>
                <w:sz w:val="20"/>
                <w:szCs w:val="20"/>
                <w:lang w:val="en-GB"/>
              </w:rPr>
              <w:t>SFTs</w:t>
            </w:r>
            <w:r w:rsidR="004F4D01" w:rsidRPr="004F4D01">
              <w:rPr>
                <w:rFonts w:ascii="Times New Roman" w:eastAsia="Times New Roman" w:hAnsi="Times New Roman"/>
                <w:bCs/>
                <w:color w:val="000000"/>
                <w:sz w:val="20"/>
                <w:szCs w:val="20"/>
                <w:lang w:val="en-GB"/>
              </w:rPr>
              <w:t xml:space="preserve"> </w:t>
            </w:r>
            <w:r w:rsidRPr="00F85BD4">
              <w:rPr>
                <w:rFonts w:ascii="Times New Roman" w:eastAsia="Times New Roman" w:hAnsi="Times New Roman"/>
                <w:bCs/>
                <w:color w:val="000000"/>
                <w:sz w:val="20"/>
                <w:szCs w:val="20"/>
                <w:lang w:val="en-GB"/>
              </w:rPr>
              <w:t xml:space="preserve">where the institution provides an indemnity or guarantee to a customer or counterparty limited to any difference between the value of the security or cash the customer has lent and the value of collateral the borrower has provided </w:t>
            </w:r>
            <w:r w:rsidR="0009671A">
              <w:rPr>
                <w:rFonts w:ascii="Times New Roman" w:eastAsia="Times New Roman" w:hAnsi="Times New Roman"/>
                <w:bCs/>
                <w:color w:val="000000"/>
                <w:sz w:val="20"/>
                <w:szCs w:val="20"/>
                <w:lang w:val="en-GB"/>
              </w:rPr>
              <w:t>in accordance with</w:t>
            </w:r>
            <w:r w:rsidRPr="00F85BD4">
              <w:rPr>
                <w:rFonts w:ascii="Times New Roman" w:eastAsia="Times New Roman" w:hAnsi="Times New Roman"/>
                <w:bCs/>
                <w:color w:val="000000"/>
                <w:sz w:val="20"/>
                <w:szCs w:val="20"/>
                <w:lang w:val="en-GB"/>
              </w:rPr>
              <w:t xml:space="preserve"> Article 429b(6)(a)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No 575/2013 </w:t>
            </w:r>
            <w:r w:rsidRPr="00F85BD4">
              <w:rPr>
                <w:rFonts w:ascii="Times New Roman" w:eastAsia="Times New Roman" w:hAnsi="Times New Roman"/>
                <w:bCs/>
                <w:color w:val="000000"/>
                <w:sz w:val="20"/>
                <w:szCs w:val="20"/>
                <w:lang w:val="en-GB"/>
              </w:rPr>
              <w:t>. Institutions shall instead include those items in {</w:t>
            </w:r>
            <w:r w:rsidR="00034308">
              <w:rPr>
                <w:rFonts w:ascii="Times New Roman" w:eastAsia="Times New Roman" w:hAnsi="Times New Roman"/>
                <w:bCs/>
                <w:color w:val="000000"/>
                <w:sz w:val="20"/>
                <w:szCs w:val="20"/>
                <w:lang w:val="en-GB"/>
              </w:rPr>
              <w:t>LRCom; 15</w:t>
            </w:r>
            <w:r w:rsidRPr="00F85BD4">
              <w:rPr>
                <w:rFonts w:ascii="Times New Roman" w:eastAsia="Times New Roman" w:hAnsi="Times New Roman"/>
                <w:bCs/>
                <w:color w:val="000000"/>
                <w:sz w:val="20"/>
                <w:szCs w:val="20"/>
                <w:lang w:val="en-GB"/>
              </w:rPr>
              <w:t>}.</w:t>
            </w:r>
          </w:p>
          <w:p w:rsidR="00A51300" w:rsidRPr="00E3680B" w:rsidRDefault="00A51300" w:rsidP="00E3680B">
            <w:pPr>
              <w:tabs>
                <w:tab w:val="left" w:pos="0"/>
              </w:tabs>
              <w:jc w:val="both"/>
              <w:rPr>
                <w:rFonts w:ascii="Times New Roman" w:eastAsia="Times New Roman" w:hAnsi="Times New Roman"/>
                <w:bCs/>
                <w:color w:val="000000"/>
                <w:sz w:val="20"/>
                <w:szCs w:val="20"/>
                <w:lang w:val="en-GB"/>
              </w:rPr>
            </w:pPr>
          </w:p>
        </w:tc>
      </w:tr>
      <w:tr w:rsidR="00DC1A1E" w:rsidRPr="00E3680B" w:rsidTr="0084732E">
        <w:trPr>
          <w:trHeight w:val="304"/>
        </w:trPr>
        <w:tc>
          <w:tcPr>
            <w:tcW w:w="1418" w:type="dxa"/>
          </w:tcPr>
          <w:p w:rsidR="00DC1A1E" w:rsidRPr="00E3680B" w:rsidRDefault="00DC1A1E" w:rsidP="00FE5DCD">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{EU-1</w:t>
            </w:r>
            <w:r>
              <w:rPr>
                <w:rFonts w:ascii="Times New Roman" w:eastAsia="Times New Roman" w:hAnsi="Times New Roman"/>
                <w:bCs/>
                <w:color w:val="000000"/>
                <w:sz w:val="20"/>
                <w:szCs w:val="20"/>
                <w:lang w:val="en-GB"/>
              </w:rPr>
              <w:t>4a</w:t>
            </w:r>
            <w:r w:rsidRPr="00E3680B">
              <w:rPr>
                <w:rFonts w:ascii="Times New Roman" w:eastAsia="Times New Roman" w:hAnsi="Times New Roman"/>
                <w:bCs/>
                <w:color w:val="000000"/>
                <w:sz w:val="20"/>
                <w:szCs w:val="20"/>
                <w:lang w:val="en-GB"/>
              </w:rPr>
              <w:t>}</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Pr="00E3680B" w:rsidRDefault="00DC1A1E" w:rsidP="00FE5DCD">
            <w:pPr>
              <w:tabs>
                <w:tab w:val="left" w:pos="0"/>
              </w:tabs>
              <w:jc w:val="both"/>
              <w:rPr>
                <w:rFonts w:ascii="Times New Roman" w:eastAsia="Times New Roman" w:hAnsi="Times New Roman"/>
                <w:b/>
                <w:bCs/>
                <w:color w:val="000000"/>
                <w:sz w:val="20"/>
                <w:szCs w:val="20"/>
                <w:lang w:val="en-GB"/>
              </w:rPr>
            </w:pPr>
            <w:r w:rsidRPr="00B73E2D">
              <w:rPr>
                <w:rFonts w:ascii="Times New Roman" w:eastAsia="Times New Roman" w:hAnsi="Times New Roman"/>
                <w:b/>
                <w:bCs/>
                <w:color w:val="000000"/>
                <w:sz w:val="20"/>
                <w:szCs w:val="20"/>
                <w:lang w:val="en-GB"/>
              </w:rPr>
              <w:t xml:space="preserve">Derogation for SFTs: </w:t>
            </w:r>
            <w:r w:rsidR="00B6123F">
              <w:rPr>
                <w:rFonts w:ascii="Times New Roman" w:eastAsia="Times New Roman" w:hAnsi="Times New Roman"/>
                <w:b/>
                <w:bCs/>
                <w:color w:val="000000"/>
                <w:sz w:val="20"/>
                <w:szCs w:val="20"/>
                <w:lang w:val="en-GB"/>
              </w:rPr>
              <w:t>C</w:t>
            </w:r>
            <w:r w:rsidR="00420CD7">
              <w:rPr>
                <w:rFonts w:ascii="Times New Roman" w:eastAsia="Times New Roman" w:hAnsi="Times New Roman"/>
                <w:b/>
                <w:bCs/>
                <w:color w:val="000000"/>
                <w:sz w:val="20"/>
                <w:szCs w:val="20"/>
                <w:lang w:val="en-GB"/>
              </w:rPr>
              <w:t>ounterparty credit risk</w:t>
            </w:r>
            <w:r w:rsidR="00B6123F">
              <w:rPr>
                <w:rFonts w:ascii="Times New Roman" w:eastAsia="Times New Roman" w:hAnsi="Times New Roman"/>
                <w:b/>
                <w:bCs/>
                <w:color w:val="000000"/>
                <w:sz w:val="20"/>
                <w:szCs w:val="20"/>
                <w:lang w:val="en-GB"/>
              </w:rPr>
              <w:t xml:space="preserve"> exposure </w:t>
            </w:r>
            <w:r w:rsidR="0009671A">
              <w:rPr>
                <w:rFonts w:ascii="Times New Roman" w:eastAsia="Times New Roman" w:hAnsi="Times New Roman"/>
                <w:b/>
                <w:bCs/>
                <w:color w:val="000000"/>
                <w:sz w:val="20"/>
                <w:szCs w:val="20"/>
                <w:lang w:val="en-GB"/>
              </w:rPr>
              <w:t>in accordance with</w:t>
            </w:r>
            <w:r w:rsidRPr="00B73E2D">
              <w:rPr>
                <w:rFonts w:ascii="Times New Roman" w:eastAsia="Times New Roman" w:hAnsi="Times New Roman"/>
                <w:b/>
                <w:bCs/>
                <w:color w:val="000000"/>
                <w:sz w:val="20"/>
                <w:szCs w:val="20"/>
                <w:lang w:val="en-GB"/>
              </w:rPr>
              <w:t xml:space="preserve"> </w:t>
            </w:r>
            <w:r w:rsidR="00A4227F">
              <w:rPr>
                <w:rFonts w:ascii="Times New Roman" w:eastAsia="Times New Roman" w:hAnsi="Times New Roman"/>
                <w:b/>
                <w:bCs/>
                <w:color w:val="000000"/>
                <w:sz w:val="20"/>
                <w:szCs w:val="20"/>
                <w:lang w:val="en-GB"/>
              </w:rPr>
              <w:t xml:space="preserve">Article </w:t>
            </w:r>
            <w:r w:rsidRPr="00B73E2D">
              <w:rPr>
                <w:rFonts w:ascii="Times New Roman" w:eastAsia="Times New Roman" w:hAnsi="Times New Roman"/>
                <w:b/>
                <w:bCs/>
                <w:color w:val="000000"/>
                <w:sz w:val="20"/>
                <w:szCs w:val="20"/>
                <w:lang w:val="en-GB"/>
              </w:rPr>
              <w:t>429b (4) and 222</w:t>
            </w:r>
            <w:r w:rsidRPr="00E3680B">
              <w:rPr>
                <w:rFonts w:ascii="Times New Roman" w:eastAsia="Times New Roman" w:hAnsi="Times New Roman"/>
                <w:b/>
                <w:bCs/>
                <w:color w:val="000000"/>
                <w:sz w:val="20"/>
                <w:szCs w:val="20"/>
                <w:lang w:val="en-GB"/>
              </w:rPr>
              <w:t xml:space="preserve"> of Regulation</w:t>
            </w:r>
            <w:r w:rsidRPr="00E3680B">
              <w:rPr>
                <w:rFonts w:ascii="Times New Roman" w:eastAsia="MS Mincho" w:hAnsi="Times New Roman"/>
                <w:color w:val="000000"/>
                <w:sz w:val="20"/>
                <w:szCs w:val="20"/>
                <w:lang w:val="it-IT" w:eastAsia="ja-JP"/>
              </w:rPr>
              <w:t xml:space="preserve"> </w:t>
            </w:r>
            <w:r w:rsidRPr="00AE2231">
              <w:rPr>
                <w:rFonts w:ascii="Times New Roman" w:eastAsia="Times New Roman" w:hAnsi="Times New Roman"/>
                <w:b/>
                <w:bCs/>
                <w:color w:val="000000"/>
                <w:sz w:val="20"/>
                <w:szCs w:val="20"/>
                <w:lang w:val="en-GB"/>
              </w:rPr>
              <w:t>(EU) No 575/2013</w:t>
            </w:r>
          </w:p>
          <w:p w:rsidR="00DC1A1E" w:rsidRPr="00E3680B" w:rsidRDefault="00DC1A1E" w:rsidP="00FE5DCD">
            <w:pPr>
              <w:tabs>
                <w:tab w:val="left" w:pos="0"/>
              </w:tabs>
              <w:spacing w:line="300" w:lineRule="exact"/>
              <w:jc w:val="both"/>
              <w:rPr>
                <w:rFonts w:ascii="Arial" w:eastAsia="Times New Roman" w:hAnsi="Arial"/>
                <w:bCs/>
                <w:color w:val="000000"/>
                <w:sz w:val="20"/>
                <w:szCs w:val="20"/>
                <w:lang w:val="en-GB"/>
              </w:rPr>
            </w:pPr>
          </w:p>
          <w:p w:rsidR="00DC1A1E" w:rsidRPr="00E3680B" w:rsidRDefault="00DC1A1E" w:rsidP="00FE5DCD">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Article</w:t>
            </w:r>
            <w:r>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429</w:t>
            </w:r>
            <w:r>
              <w:rPr>
                <w:rFonts w:ascii="Times New Roman" w:eastAsia="Times New Roman" w:hAnsi="Times New Roman"/>
                <w:bCs/>
                <w:color w:val="000000"/>
                <w:sz w:val="20"/>
                <w:szCs w:val="20"/>
                <w:lang w:val="en-GB"/>
              </w:rPr>
              <w:t>b</w:t>
            </w:r>
            <w:r w:rsidRPr="00E3680B">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4</w:t>
            </w:r>
            <w:r w:rsidRPr="00E3680B">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 xml:space="preserve"> and 222</w:t>
            </w:r>
            <w:r w:rsidRPr="00E3680B">
              <w:rPr>
                <w:rFonts w:ascii="Times New Roman" w:eastAsia="Times New Roman" w:hAnsi="Times New Roman"/>
                <w:bCs/>
                <w:color w:val="000000"/>
                <w:sz w:val="20"/>
                <w:szCs w:val="20"/>
                <w:lang w:val="en-GB"/>
              </w:rPr>
              <w:t xml:space="preserve">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p>
          <w:p w:rsidR="00DC1A1E" w:rsidRPr="00E3680B" w:rsidRDefault="00DC1A1E" w:rsidP="00FE5DCD">
            <w:pPr>
              <w:tabs>
                <w:tab w:val="left" w:pos="0"/>
              </w:tabs>
              <w:jc w:val="both"/>
              <w:rPr>
                <w:rFonts w:ascii="Times New Roman" w:eastAsia="Times New Roman" w:hAnsi="Times New Roman"/>
                <w:bCs/>
                <w:color w:val="000000"/>
                <w:sz w:val="20"/>
                <w:szCs w:val="20"/>
                <w:lang w:val="en-GB"/>
              </w:rPr>
            </w:pPr>
          </w:p>
          <w:p w:rsidR="00DC1A1E" w:rsidRPr="00E3680B" w:rsidRDefault="00DC1A1E" w:rsidP="00FE5DCD">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Pr>
                <w:rFonts w:ascii="Times New Roman" w:eastAsia="Times New Roman" w:hAnsi="Times New Roman"/>
                <w:bCs/>
                <w:color w:val="000000"/>
                <w:sz w:val="20"/>
                <w:szCs w:val="20"/>
                <w:lang w:val="en-GB"/>
              </w:rPr>
              <w:t xml:space="preserve">add-on </w:t>
            </w:r>
            <w:r w:rsidRPr="00857582">
              <w:rPr>
                <w:rFonts w:ascii="Times New Roman" w:eastAsia="Times New Roman" w:hAnsi="Times New Roman"/>
                <w:bCs/>
                <w:color w:val="000000"/>
                <w:sz w:val="20"/>
                <w:szCs w:val="20"/>
                <w:lang w:val="en-GB"/>
              </w:rPr>
              <w:t xml:space="preserve">for </w:t>
            </w:r>
            <w:r w:rsidR="0009671A" w:rsidRPr="0009671A">
              <w:rPr>
                <w:rFonts w:ascii="Times New Roman" w:eastAsia="Times New Roman" w:hAnsi="Times New Roman"/>
                <w:bCs/>
                <w:color w:val="000000"/>
                <w:sz w:val="20"/>
                <w:szCs w:val="20"/>
                <w:lang w:val="en-GB"/>
              </w:rPr>
              <w:t xml:space="preserve">SFTs </w:t>
            </w:r>
            <w:r w:rsidRPr="00857582">
              <w:rPr>
                <w:rFonts w:ascii="Times New Roman" w:eastAsia="Times New Roman" w:hAnsi="Times New Roman"/>
                <w:bCs/>
                <w:color w:val="000000"/>
                <w:sz w:val="20"/>
                <w:szCs w:val="20"/>
                <w:lang w:val="en-GB"/>
              </w:rPr>
              <w:t xml:space="preserve">including those that are off-balance sheet calculated in accordance with Article 222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r w:rsidRPr="00857582">
              <w:rPr>
                <w:rFonts w:ascii="Times New Roman" w:eastAsia="Times New Roman" w:hAnsi="Times New Roman"/>
                <w:bCs/>
                <w:color w:val="000000"/>
                <w:sz w:val="20"/>
                <w:szCs w:val="20"/>
                <w:lang w:val="en-GB"/>
              </w:rPr>
              <w:t>, subject to a 20% floor for the applicable risk weight</w:t>
            </w:r>
            <w:r>
              <w:rPr>
                <w:rFonts w:ascii="Times New Roman" w:eastAsia="Times New Roman" w:hAnsi="Times New Roman"/>
                <w:bCs/>
                <w:color w:val="000000"/>
                <w:sz w:val="20"/>
                <w:szCs w:val="20"/>
                <w:lang w:val="en-GB"/>
              </w:rPr>
              <w:t>.</w:t>
            </w:r>
            <w:r w:rsidRPr="00857582" w:rsidDel="00857582">
              <w:rPr>
                <w:rFonts w:ascii="Times New Roman" w:eastAsia="Times New Roman" w:hAnsi="Times New Roman"/>
                <w:bCs/>
                <w:color w:val="000000"/>
                <w:sz w:val="20"/>
                <w:szCs w:val="20"/>
                <w:lang w:val="en-GB"/>
              </w:rPr>
              <w:t xml:space="preserve"> </w:t>
            </w:r>
          </w:p>
          <w:p w:rsidR="00DC1A1E" w:rsidRDefault="00DC1A1E" w:rsidP="00FE5DCD">
            <w:pPr>
              <w:tabs>
                <w:tab w:val="left" w:pos="0"/>
              </w:tabs>
              <w:jc w:val="both"/>
              <w:rPr>
                <w:rFonts w:ascii="Times New Roman" w:eastAsia="Times New Roman" w:hAnsi="Times New Roman"/>
                <w:bCs/>
                <w:color w:val="000000"/>
                <w:sz w:val="20"/>
                <w:szCs w:val="20"/>
                <w:lang w:val="en-GB"/>
              </w:rPr>
            </w:pPr>
            <w:r w:rsidRPr="00E64BFE">
              <w:rPr>
                <w:rFonts w:ascii="Times New Roman" w:eastAsia="Times New Roman" w:hAnsi="Times New Roman"/>
                <w:bCs/>
                <w:color w:val="000000"/>
                <w:sz w:val="20"/>
                <w:szCs w:val="20"/>
                <w:lang w:val="en-GB"/>
              </w:rPr>
              <w:t xml:space="preserve">Institutions shall consider in this </w:t>
            </w:r>
            <w:r w:rsidR="0009671A">
              <w:rPr>
                <w:rFonts w:ascii="Times New Roman" w:eastAsia="Times New Roman" w:hAnsi="Times New Roman"/>
                <w:bCs/>
                <w:color w:val="000000"/>
                <w:sz w:val="20"/>
                <w:szCs w:val="20"/>
                <w:lang w:val="en-GB"/>
              </w:rPr>
              <w:t>cell</w:t>
            </w:r>
            <w:r w:rsidRPr="00E64BFE">
              <w:rPr>
                <w:rFonts w:ascii="Times New Roman" w:eastAsia="Times New Roman" w:hAnsi="Times New Roman"/>
                <w:bCs/>
                <w:color w:val="000000"/>
                <w:sz w:val="20"/>
                <w:szCs w:val="20"/>
                <w:lang w:val="en-GB"/>
              </w:rPr>
              <w:t xml:space="preserve"> transactions </w:t>
            </w:r>
            <w:r w:rsidR="0009671A">
              <w:rPr>
                <w:rFonts w:ascii="Times New Roman" w:eastAsia="Times New Roman" w:hAnsi="Times New Roman"/>
                <w:bCs/>
                <w:color w:val="000000"/>
                <w:sz w:val="20"/>
                <w:szCs w:val="20"/>
                <w:lang w:val="en-GB"/>
              </w:rPr>
              <w:t>in accordance with</w:t>
            </w:r>
            <w:r w:rsidRPr="00E64BFE">
              <w:rPr>
                <w:rFonts w:ascii="Times New Roman" w:eastAsia="Times New Roman" w:hAnsi="Times New Roman"/>
                <w:bCs/>
                <w:color w:val="000000"/>
                <w:sz w:val="20"/>
                <w:szCs w:val="20"/>
                <w:lang w:val="en-GB"/>
              </w:rPr>
              <w:t xml:space="preserve"> Article 429b(6)(c)</w:t>
            </w:r>
            <w:r>
              <w:rPr>
                <w:rFonts w:ascii="Times New Roman" w:eastAsia="Times New Roman" w:hAnsi="Times New Roman"/>
                <w:bCs/>
                <w:color w:val="000000"/>
                <w:sz w:val="20"/>
                <w:szCs w:val="20"/>
                <w:lang w:val="en-GB"/>
              </w:rPr>
              <w:t xml:space="preserve"> </w:t>
            </w:r>
            <w:r w:rsidR="00D67E32">
              <w:rPr>
                <w:rFonts w:ascii="Times New Roman" w:eastAsia="Times New Roman" w:hAnsi="Times New Roman"/>
                <w:bCs/>
                <w:color w:val="000000"/>
                <w:sz w:val="20"/>
                <w:szCs w:val="20"/>
                <w:lang w:val="en-GB"/>
              </w:rPr>
              <w:t xml:space="preserve">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r w:rsidRPr="00E64BFE">
              <w:rPr>
                <w:rFonts w:ascii="Times New Roman" w:eastAsia="Times New Roman" w:hAnsi="Times New Roman"/>
                <w:bCs/>
                <w:color w:val="000000"/>
                <w:sz w:val="20"/>
                <w:szCs w:val="20"/>
                <w:lang w:val="en-GB"/>
              </w:rPr>
              <w:t>.</w:t>
            </w:r>
          </w:p>
          <w:p w:rsidR="00DC1A1E" w:rsidRPr="00E64BFE" w:rsidRDefault="00DC1A1E" w:rsidP="00FE5DCD">
            <w:pPr>
              <w:tabs>
                <w:tab w:val="left" w:pos="0"/>
              </w:tabs>
              <w:jc w:val="both"/>
              <w:rPr>
                <w:rFonts w:ascii="Times New Roman" w:eastAsia="Times New Roman" w:hAnsi="Times New Roman"/>
                <w:bCs/>
                <w:color w:val="000000"/>
                <w:sz w:val="20"/>
                <w:szCs w:val="20"/>
                <w:lang w:val="en-GB"/>
              </w:rPr>
            </w:pPr>
          </w:p>
          <w:p w:rsidR="00DC1A1E" w:rsidRPr="00A51300" w:rsidRDefault="00DC1A1E" w:rsidP="00E3680B">
            <w:pPr>
              <w:tabs>
                <w:tab w:val="left" w:pos="0"/>
              </w:tabs>
              <w:jc w:val="both"/>
              <w:rPr>
                <w:rFonts w:ascii="Times New Roman" w:eastAsia="Times New Roman" w:hAnsi="Times New Roman"/>
                <w:b/>
                <w:bCs/>
                <w:color w:val="000000"/>
                <w:sz w:val="20"/>
                <w:szCs w:val="20"/>
                <w:lang w:val="en-GB"/>
              </w:rPr>
            </w:pPr>
            <w:r w:rsidRPr="00E64BFE">
              <w:rPr>
                <w:rFonts w:ascii="Times New Roman" w:eastAsia="Times New Roman" w:hAnsi="Times New Roman"/>
                <w:bCs/>
                <w:color w:val="000000"/>
                <w:sz w:val="20"/>
                <w:szCs w:val="20"/>
                <w:lang w:val="en-GB"/>
              </w:rPr>
              <w:t xml:space="preserve">Institutions shall not consider in this </w:t>
            </w:r>
            <w:r w:rsidR="0009671A">
              <w:rPr>
                <w:rFonts w:ascii="Times New Roman" w:eastAsia="Times New Roman" w:hAnsi="Times New Roman"/>
                <w:bCs/>
                <w:color w:val="000000"/>
                <w:sz w:val="20"/>
                <w:szCs w:val="20"/>
                <w:lang w:val="en-GB"/>
              </w:rPr>
              <w:t>cell</w:t>
            </w:r>
            <w:r w:rsidRPr="00E64BFE">
              <w:rPr>
                <w:rFonts w:ascii="Times New Roman" w:eastAsia="Times New Roman" w:hAnsi="Times New Roman"/>
                <w:bCs/>
                <w:color w:val="000000"/>
                <w:sz w:val="20"/>
                <w:szCs w:val="20"/>
                <w:lang w:val="en-GB"/>
              </w:rPr>
              <w:t xml:space="preserve"> transactions for which the add-on part of the leverage ratio exposure value is determined in accordance with the method defined in Article 429b(1)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r w:rsidRPr="00E64BFE">
              <w:rPr>
                <w:rFonts w:ascii="Times New Roman" w:eastAsia="Times New Roman" w:hAnsi="Times New Roman"/>
                <w:bCs/>
                <w:color w:val="000000"/>
                <w:sz w:val="20"/>
                <w:szCs w:val="20"/>
                <w:lang w:val="en-GB"/>
              </w:rPr>
              <w:t>.</w:t>
            </w: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{15}</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Default="00DC1A1E" w:rsidP="00E3680B">
            <w:pPr>
              <w:tabs>
                <w:tab w:val="left" w:pos="0"/>
              </w:tabs>
              <w:jc w:val="both"/>
              <w:rPr>
                <w:rFonts w:ascii="Times New Roman" w:eastAsia="Times New Roman" w:hAnsi="Times New Roman"/>
                <w:bCs/>
                <w:color w:val="000000"/>
                <w:sz w:val="20"/>
                <w:szCs w:val="20"/>
                <w:lang w:val="en-GB"/>
              </w:rPr>
            </w:pPr>
            <w:r w:rsidRPr="00A51300">
              <w:rPr>
                <w:rFonts w:ascii="Times New Roman" w:eastAsia="Times New Roman" w:hAnsi="Times New Roman"/>
                <w:b/>
                <w:bCs/>
                <w:color w:val="000000"/>
                <w:sz w:val="20"/>
                <w:szCs w:val="20"/>
                <w:lang w:val="en-GB"/>
              </w:rPr>
              <w:t>Agent transaction exposures</w:t>
            </w:r>
          </w:p>
          <w:p w:rsidR="00DC1A1E" w:rsidRDefault="00DC1A1E" w:rsidP="00E3680B">
            <w:pPr>
              <w:tabs>
                <w:tab w:val="left" w:pos="0"/>
              </w:tabs>
              <w:jc w:val="both"/>
              <w:rPr>
                <w:rFonts w:ascii="Times New Roman" w:eastAsia="Times New Roman" w:hAnsi="Times New Roman"/>
                <w:bCs/>
                <w:color w:val="000000"/>
                <w:sz w:val="20"/>
                <w:szCs w:val="20"/>
                <w:lang w:val="en-GB"/>
              </w:rPr>
            </w:pPr>
          </w:p>
          <w:p w:rsidR="00DC1A1E" w:rsidRDefault="00DC1A1E" w:rsidP="005C33A5">
            <w:pPr>
              <w:tabs>
                <w:tab w:val="left" w:pos="0"/>
              </w:tabs>
              <w:jc w:val="both"/>
              <w:rPr>
                <w:rFonts w:ascii="Times New Roman" w:eastAsia="Times New Roman" w:hAnsi="Times New Roman"/>
                <w:bCs/>
                <w:color w:val="000000"/>
                <w:sz w:val="20"/>
                <w:szCs w:val="20"/>
                <w:lang w:val="en-GB"/>
              </w:rPr>
            </w:pPr>
            <w:r w:rsidRPr="005C33A5">
              <w:rPr>
                <w:rFonts w:ascii="Times New Roman" w:eastAsia="Times New Roman" w:hAnsi="Times New Roman"/>
                <w:bCs/>
                <w:color w:val="000000"/>
                <w:sz w:val="20"/>
                <w:szCs w:val="20"/>
                <w:lang w:val="en-GB"/>
              </w:rPr>
              <w:t>Article 429b, (2), (3)</w:t>
            </w:r>
            <w:r w:rsidR="00D67E32">
              <w:rPr>
                <w:rFonts w:ascii="Times New Roman" w:eastAsia="Times New Roman" w:hAnsi="Times New Roman"/>
                <w:bCs/>
                <w:color w:val="000000"/>
                <w:sz w:val="20"/>
                <w:szCs w:val="20"/>
                <w:lang w:val="en-GB"/>
              </w:rPr>
              <w:t xml:space="preserve"> and (6)(a)</w:t>
            </w:r>
            <w:r w:rsidRPr="005C33A5">
              <w:rPr>
                <w:rFonts w:ascii="Times New Roman" w:eastAsia="Times New Roman" w:hAnsi="Times New Roman"/>
                <w:bCs/>
                <w:color w:val="000000"/>
                <w:sz w:val="20"/>
                <w:szCs w:val="20"/>
                <w:lang w:val="en-GB"/>
              </w:rPr>
              <w:t xml:space="preserve"> of </w:t>
            </w:r>
            <w:r w:rsidRPr="00E3680B">
              <w:rPr>
                <w:rFonts w:ascii="Times New Roman" w:eastAsia="Times New Roman" w:hAnsi="Times New Roman"/>
                <w:bCs/>
                <w:color w:val="000000"/>
                <w:sz w:val="20"/>
                <w:szCs w:val="20"/>
                <w:lang w:val="en-GB"/>
              </w:rPr>
              <w:t>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p>
          <w:p w:rsidR="00DC1A1E" w:rsidRPr="005C33A5" w:rsidRDefault="00DC1A1E" w:rsidP="005C33A5">
            <w:pPr>
              <w:tabs>
                <w:tab w:val="left" w:pos="0"/>
              </w:tabs>
              <w:jc w:val="both"/>
              <w:rPr>
                <w:rFonts w:ascii="Times New Roman" w:eastAsia="Times New Roman" w:hAnsi="Times New Roman"/>
                <w:bCs/>
                <w:color w:val="000000"/>
                <w:sz w:val="20"/>
                <w:szCs w:val="20"/>
                <w:lang w:val="en-GB"/>
              </w:rPr>
            </w:pPr>
          </w:p>
          <w:p w:rsidR="00DC1A1E" w:rsidRDefault="00DC1A1E" w:rsidP="005C33A5">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w:t>
            </w:r>
            <w:r>
              <w:rPr>
                <w:rFonts w:ascii="Times New Roman" w:eastAsia="Times New Roman" w:hAnsi="Times New Roman"/>
                <w:bCs/>
                <w:color w:val="000000"/>
                <w:sz w:val="20"/>
                <w:szCs w:val="20"/>
                <w:lang w:val="en-GB"/>
              </w:rPr>
              <w:t xml:space="preserve">the </w:t>
            </w:r>
            <w:r w:rsidRPr="005C33A5">
              <w:rPr>
                <w:rFonts w:ascii="Times New Roman" w:eastAsia="Times New Roman" w:hAnsi="Times New Roman"/>
                <w:bCs/>
                <w:color w:val="000000"/>
                <w:sz w:val="20"/>
                <w:szCs w:val="20"/>
                <w:lang w:val="en-GB"/>
              </w:rPr>
              <w:t>exposure value for  agent</w:t>
            </w:r>
            <w:r w:rsidR="004F4D01">
              <w:t xml:space="preserve"> </w:t>
            </w:r>
            <w:r w:rsidR="0009671A" w:rsidRPr="0009671A">
              <w:rPr>
                <w:rFonts w:ascii="Times New Roman" w:eastAsia="Times New Roman" w:hAnsi="Times New Roman"/>
                <w:bCs/>
                <w:color w:val="000000"/>
                <w:sz w:val="20"/>
                <w:szCs w:val="20"/>
                <w:lang w:val="en-GB"/>
              </w:rPr>
              <w:t>SFTs</w:t>
            </w:r>
            <w:r w:rsidR="004F4D01">
              <w:rPr>
                <w:rFonts w:ascii="Times New Roman" w:eastAsia="Times New Roman" w:hAnsi="Times New Roman"/>
                <w:bCs/>
                <w:color w:val="000000"/>
                <w:sz w:val="20"/>
                <w:szCs w:val="20"/>
                <w:lang w:val="en-GB"/>
              </w:rPr>
              <w:t xml:space="preserve"> </w:t>
            </w:r>
            <w:r w:rsidRPr="005C33A5">
              <w:rPr>
                <w:rFonts w:ascii="Times New Roman" w:eastAsia="Times New Roman" w:hAnsi="Times New Roman"/>
                <w:bCs/>
                <w:color w:val="000000"/>
                <w:sz w:val="20"/>
                <w:szCs w:val="20"/>
                <w:lang w:val="en-GB"/>
              </w:rPr>
              <w:t xml:space="preserve">where the institution provides an indemnity or guarantee to a customer or counterparty limited to any difference between the value of the security or cash the customer has lent and the value of collateral the borrower has provided </w:t>
            </w:r>
            <w:r w:rsidR="0009671A">
              <w:rPr>
                <w:rFonts w:ascii="Times New Roman" w:eastAsia="Times New Roman" w:hAnsi="Times New Roman"/>
                <w:bCs/>
                <w:color w:val="000000"/>
                <w:sz w:val="20"/>
                <w:szCs w:val="20"/>
                <w:lang w:val="en-GB"/>
              </w:rPr>
              <w:t>in accordance with</w:t>
            </w:r>
            <w:r w:rsidRPr="005C33A5">
              <w:rPr>
                <w:rFonts w:ascii="Times New Roman" w:eastAsia="Times New Roman" w:hAnsi="Times New Roman"/>
                <w:bCs/>
                <w:color w:val="000000"/>
                <w:sz w:val="20"/>
                <w:szCs w:val="20"/>
                <w:lang w:val="en-GB"/>
              </w:rPr>
              <w:t xml:space="preserve"> Article 429b(6)(a) of </w:t>
            </w:r>
            <w:r w:rsidRPr="00E3680B">
              <w:rPr>
                <w:rFonts w:ascii="Times New Roman" w:eastAsia="Times New Roman" w:hAnsi="Times New Roman"/>
                <w:bCs/>
                <w:color w:val="000000"/>
                <w:sz w:val="20"/>
                <w:szCs w:val="20"/>
                <w:lang w:val="en-GB"/>
              </w:rPr>
              <w:t>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r w:rsidRPr="005C33A5">
              <w:rPr>
                <w:rFonts w:ascii="Times New Roman" w:eastAsia="Times New Roman" w:hAnsi="Times New Roman"/>
                <w:bCs/>
                <w:color w:val="000000"/>
                <w:sz w:val="20"/>
                <w:szCs w:val="20"/>
                <w:lang w:val="en-GB"/>
              </w:rPr>
              <w:t xml:space="preserve">, consists only of the add-on determined in accordance with Article 429b(2) or (3) of </w:t>
            </w:r>
            <w:r w:rsidRPr="00E3680B">
              <w:rPr>
                <w:rFonts w:ascii="Times New Roman" w:eastAsia="Times New Roman" w:hAnsi="Times New Roman"/>
                <w:bCs/>
                <w:color w:val="000000"/>
                <w:sz w:val="20"/>
                <w:szCs w:val="20"/>
                <w:lang w:val="en-GB"/>
              </w:rPr>
              <w:t>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r w:rsidRPr="005C33A5">
              <w:rPr>
                <w:rFonts w:ascii="Times New Roman" w:eastAsia="Times New Roman" w:hAnsi="Times New Roman"/>
                <w:bCs/>
                <w:color w:val="000000"/>
                <w:sz w:val="20"/>
                <w:szCs w:val="20"/>
                <w:lang w:val="en-GB"/>
              </w:rPr>
              <w:t>, as applicable.</w:t>
            </w:r>
          </w:p>
          <w:p w:rsidR="00DC1A1E" w:rsidRPr="005C33A5" w:rsidRDefault="00DC1A1E" w:rsidP="005C33A5">
            <w:pPr>
              <w:tabs>
                <w:tab w:val="left" w:pos="0"/>
              </w:tabs>
              <w:jc w:val="both"/>
              <w:rPr>
                <w:rFonts w:ascii="Times New Roman" w:eastAsia="Times New Roman" w:hAnsi="Times New Roman"/>
                <w:bCs/>
                <w:color w:val="000000"/>
                <w:sz w:val="20"/>
                <w:szCs w:val="20"/>
                <w:lang w:val="en-GB"/>
              </w:rPr>
            </w:pPr>
          </w:p>
          <w:p w:rsidR="00DC1A1E" w:rsidRDefault="00DC1A1E" w:rsidP="005C33A5">
            <w:pPr>
              <w:tabs>
                <w:tab w:val="left" w:pos="0"/>
              </w:tabs>
              <w:jc w:val="both"/>
              <w:rPr>
                <w:rFonts w:ascii="Times New Roman" w:eastAsia="Times New Roman" w:hAnsi="Times New Roman"/>
                <w:bCs/>
                <w:color w:val="000000"/>
                <w:sz w:val="20"/>
                <w:szCs w:val="20"/>
                <w:lang w:val="en-GB"/>
              </w:rPr>
            </w:pPr>
            <w:r w:rsidRPr="005C33A5">
              <w:rPr>
                <w:rFonts w:ascii="Times New Roman" w:eastAsia="Times New Roman" w:hAnsi="Times New Roman"/>
                <w:bCs/>
                <w:color w:val="000000"/>
                <w:sz w:val="20"/>
                <w:szCs w:val="20"/>
                <w:lang w:val="en-GB"/>
              </w:rPr>
              <w:t xml:space="preserve">Institutions shall not include in this </w:t>
            </w:r>
            <w:r w:rsidR="0009671A">
              <w:rPr>
                <w:rFonts w:ascii="Times New Roman" w:eastAsia="Times New Roman" w:hAnsi="Times New Roman"/>
                <w:bCs/>
                <w:color w:val="000000"/>
                <w:sz w:val="20"/>
                <w:szCs w:val="20"/>
                <w:lang w:val="en-GB"/>
              </w:rPr>
              <w:t>cell</w:t>
            </w:r>
            <w:r w:rsidRPr="005C33A5">
              <w:rPr>
                <w:rFonts w:ascii="Times New Roman" w:eastAsia="Times New Roman" w:hAnsi="Times New Roman"/>
                <w:bCs/>
                <w:color w:val="000000"/>
                <w:sz w:val="20"/>
                <w:szCs w:val="20"/>
                <w:lang w:val="en-GB"/>
              </w:rPr>
              <w:t xml:space="preserve"> transactions </w:t>
            </w:r>
            <w:r w:rsidR="0009671A">
              <w:rPr>
                <w:rFonts w:ascii="Times New Roman" w:eastAsia="Times New Roman" w:hAnsi="Times New Roman"/>
                <w:bCs/>
                <w:color w:val="000000"/>
                <w:sz w:val="20"/>
                <w:szCs w:val="20"/>
                <w:lang w:val="en-GB"/>
              </w:rPr>
              <w:t>in accordance with</w:t>
            </w:r>
            <w:r w:rsidRPr="005C33A5">
              <w:rPr>
                <w:rFonts w:ascii="Times New Roman" w:eastAsia="Times New Roman" w:hAnsi="Times New Roman"/>
                <w:bCs/>
                <w:color w:val="000000"/>
                <w:sz w:val="20"/>
                <w:szCs w:val="20"/>
                <w:lang w:val="en-GB"/>
              </w:rPr>
              <w:t xml:space="preserve"> Article 429b(6)(c)</w:t>
            </w:r>
            <w:r>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r w:rsidRPr="005C33A5">
              <w:rPr>
                <w:rFonts w:ascii="Times New Roman" w:eastAsia="Times New Roman" w:hAnsi="Times New Roman"/>
                <w:bCs/>
                <w:color w:val="000000"/>
                <w:sz w:val="20"/>
                <w:szCs w:val="20"/>
                <w:lang w:val="en-GB"/>
              </w:rPr>
              <w:t>.</w:t>
            </w:r>
          </w:p>
          <w:p w:rsidR="00DC1A1E" w:rsidRPr="00A51300" w:rsidRDefault="00DC1A1E" w:rsidP="00E3680B">
            <w:pPr>
              <w:tabs>
                <w:tab w:val="left" w:pos="0"/>
              </w:tabs>
              <w:jc w:val="both"/>
              <w:rPr>
                <w:rFonts w:ascii="Times New Roman" w:eastAsia="Times New Roman" w:hAnsi="Times New Roman"/>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{EU-15a}</w:t>
            </w:r>
          </w:p>
        </w:tc>
        <w:tc>
          <w:tcPr>
            <w:tcW w:w="7590" w:type="dxa"/>
          </w:tcPr>
          <w:p w:rsidR="00DC1A1E" w:rsidRDefault="00DC1A1E" w:rsidP="00E3680B">
            <w:pPr>
              <w:tabs>
                <w:tab w:val="left" w:pos="0"/>
              </w:tabs>
              <w:jc w:val="both"/>
              <w:rPr>
                <w:rFonts w:ascii="Times New Roman" w:eastAsia="Times New Roman" w:hAnsi="Times New Roman"/>
                <w:bCs/>
                <w:color w:val="000000"/>
                <w:sz w:val="20"/>
                <w:szCs w:val="20"/>
                <w:lang w:val="en-GB"/>
              </w:rPr>
            </w:pPr>
            <w:r w:rsidRPr="00BF373C">
              <w:rPr>
                <w:rFonts w:ascii="Times New Roman" w:eastAsia="Times New Roman" w:hAnsi="Times New Roman"/>
                <w:b/>
                <w:bCs/>
                <w:color w:val="000000"/>
                <w:sz w:val="20"/>
                <w:szCs w:val="20"/>
                <w:lang w:val="en-GB"/>
              </w:rPr>
              <w:t>(Exempted CCP leg of client-cleared SFT exposure)</w:t>
            </w:r>
          </w:p>
          <w:p w:rsidR="00DC1A1E" w:rsidRDefault="00DC1A1E" w:rsidP="00E3680B">
            <w:pPr>
              <w:tabs>
                <w:tab w:val="left" w:pos="0"/>
              </w:tabs>
              <w:jc w:val="both"/>
              <w:rPr>
                <w:rFonts w:ascii="Times New Roman" w:eastAsia="Times New Roman" w:hAnsi="Times New Roman"/>
                <w:bCs/>
                <w:color w:val="000000"/>
                <w:sz w:val="20"/>
                <w:szCs w:val="20"/>
                <w:lang w:val="en-GB"/>
              </w:rPr>
            </w:pPr>
          </w:p>
          <w:p w:rsidR="00DC1A1E" w:rsidRDefault="00DC1A1E" w:rsidP="00790B3D">
            <w:pPr>
              <w:tabs>
                <w:tab w:val="left" w:pos="0"/>
              </w:tabs>
              <w:jc w:val="both"/>
              <w:rPr>
                <w:rFonts w:ascii="Times New Roman" w:eastAsia="Times New Roman" w:hAnsi="Times New Roman"/>
                <w:bCs/>
                <w:color w:val="000000"/>
                <w:sz w:val="20"/>
                <w:szCs w:val="20"/>
                <w:lang w:val="en-GB"/>
              </w:rPr>
            </w:pPr>
            <w:r w:rsidRPr="00790B3D">
              <w:rPr>
                <w:rFonts w:ascii="Times New Roman" w:eastAsia="Times New Roman" w:hAnsi="Times New Roman"/>
                <w:bCs/>
                <w:color w:val="000000"/>
                <w:sz w:val="20"/>
                <w:szCs w:val="20"/>
                <w:lang w:val="en-GB"/>
              </w:rPr>
              <w:t>Articles 429(11)</w:t>
            </w:r>
            <w:r w:rsidR="00D67E32">
              <w:rPr>
                <w:rFonts w:ascii="Times New Roman" w:eastAsia="Times New Roman" w:hAnsi="Times New Roman"/>
                <w:bCs/>
                <w:color w:val="000000"/>
                <w:sz w:val="20"/>
                <w:szCs w:val="20"/>
                <w:lang w:val="en-GB"/>
              </w:rPr>
              <w:t xml:space="preserve"> and</w:t>
            </w:r>
            <w:r w:rsidRPr="00790B3D">
              <w:rPr>
                <w:rFonts w:ascii="Times New Roman" w:eastAsia="Times New Roman" w:hAnsi="Times New Roman"/>
                <w:bCs/>
                <w:color w:val="000000"/>
                <w:sz w:val="20"/>
                <w:szCs w:val="20"/>
                <w:lang w:val="en-GB"/>
              </w:rPr>
              <w:t xml:space="preserve"> 306(1)(c) of </w:t>
            </w:r>
            <w:r w:rsidRPr="00E3680B">
              <w:rPr>
                <w:rFonts w:ascii="Times New Roman" w:eastAsia="Times New Roman" w:hAnsi="Times New Roman"/>
                <w:bCs/>
                <w:color w:val="000000"/>
                <w:sz w:val="20"/>
                <w:szCs w:val="20"/>
                <w:lang w:val="en-GB"/>
              </w:rPr>
              <w:t>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p>
          <w:p w:rsidR="00DC1A1E" w:rsidRPr="00790B3D" w:rsidRDefault="00DC1A1E" w:rsidP="00790B3D">
            <w:pPr>
              <w:tabs>
                <w:tab w:val="left" w:pos="0"/>
              </w:tabs>
              <w:jc w:val="both"/>
              <w:rPr>
                <w:rFonts w:ascii="Times New Roman" w:eastAsia="Times New Roman" w:hAnsi="Times New Roman"/>
                <w:bCs/>
                <w:color w:val="000000"/>
                <w:sz w:val="20"/>
                <w:szCs w:val="20"/>
                <w:lang w:val="en-GB"/>
              </w:rPr>
            </w:pPr>
          </w:p>
          <w:p w:rsidR="00DC1A1E" w:rsidRDefault="00DC1A1E" w:rsidP="00790B3D">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w:t>
            </w:r>
            <w:r>
              <w:rPr>
                <w:rFonts w:ascii="Times New Roman" w:eastAsia="Times New Roman" w:hAnsi="Times New Roman"/>
                <w:bCs/>
                <w:color w:val="000000"/>
                <w:sz w:val="20"/>
                <w:szCs w:val="20"/>
                <w:lang w:val="en-GB"/>
              </w:rPr>
              <w:t>t</w:t>
            </w:r>
            <w:r w:rsidRPr="00790B3D">
              <w:rPr>
                <w:rFonts w:ascii="Times New Roman" w:eastAsia="Times New Roman" w:hAnsi="Times New Roman"/>
                <w:bCs/>
                <w:color w:val="000000"/>
                <w:sz w:val="20"/>
                <w:szCs w:val="20"/>
                <w:lang w:val="en-GB"/>
              </w:rPr>
              <w:t xml:space="preserve">he exempted CCP leg of client-cleared trade exposures of </w:t>
            </w:r>
            <w:r w:rsidR="0009671A" w:rsidRPr="0009671A">
              <w:rPr>
                <w:rFonts w:ascii="Times New Roman" w:eastAsia="Times New Roman" w:hAnsi="Times New Roman"/>
                <w:bCs/>
                <w:color w:val="000000"/>
                <w:sz w:val="20"/>
                <w:szCs w:val="20"/>
                <w:lang w:val="en-GB"/>
              </w:rPr>
              <w:t>SFTs</w:t>
            </w:r>
            <w:r w:rsidRPr="00790B3D">
              <w:rPr>
                <w:rFonts w:ascii="Times New Roman" w:eastAsia="Times New Roman" w:hAnsi="Times New Roman"/>
                <w:bCs/>
                <w:color w:val="000000"/>
                <w:sz w:val="20"/>
                <w:szCs w:val="20"/>
                <w:lang w:val="en-GB"/>
              </w:rPr>
              <w:t xml:space="preserve">, provided that those items meet the conditions laid down in Article 306(1)(c) of </w:t>
            </w:r>
            <w:r w:rsidRPr="00E3680B">
              <w:rPr>
                <w:rFonts w:ascii="Times New Roman" w:eastAsia="Times New Roman" w:hAnsi="Times New Roman"/>
                <w:bCs/>
                <w:color w:val="000000"/>
                <w:sz w:val="20"/>
                <w:szCs w:val="20"/>
                <w:lang w:val="en-GB"/>
              </w:rPr>
              <w:t>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r w:rsidRPr="00790B3D">
              <w:rPr>
                <w:rFonts w:ascii="Times New Roman" w:eastAsia="Times New Roman" w:hAnsi="Times New Roman"/>
                <w:bCs/>
                <w:color w:val="000000"/>
                <w:sz w:val="20"/>
                <w:szCs w:val="20"/>
                <w:lang w:val="en-GB"/>
              </w:rPr>
              <w:t>.</w:t>
            </w:r>
          </w:p>
          <w:p w:rsidR="00DC1A1E" w:rsidRPr="00790B3D" w:rsidRDefault="00DC1A1E" w:rsidP="00790B3D">
            <w:pPr>
              <w:tabs>
                <w:tab w:val="left" w:pos="0"/>
              </w:tabs>
              <w:jc w:val="both"/>
              <w:rPr>
                <w:rFonts w:ascii="Times New Roman" w:eastAsia="Times New Roman" w:hAnsi="Times New Roman"/>
                <w:bCs/>
                <w:color w:val="000000"/>
                <w:sz w:val="20"/>
                <w:szCs w:val="20"/>
                <w:lang w:val="en-GB"/>
              </w:rPr>
            </w:pPr>
          </w:p>
          <w:p w:rsidR="00DC1A1E" w:rsidRDefault="00DC1A1E" w:rsidP="00790B3D">
            <w:pPr>
              <w:tabs>
                <w:tab w:val="left" w:pos="0"/>
              </w:tabs>
              <w:jc w:val="both"/>
              <w:rPr>
                <w:rFonts w:ascii="Times New Roman" w:eastAsia="Times New Roman" w:hAnsi="Times New Roman"/>
                <w:bCs/>
                <w:color w:val="000000"/>
                <w:sz w:val="20"/>
                <w:szCs w:val="20"/>
                <w:lang w:val="en-GB"/>
              </w:rPr>
            </w:pPr>
            <w:r w:rsidRPr="00790B3D">
              <w:rPr>
                <w:rFonts w:ascii="Times New Roman" w:eastAsia="Times New Roman" w:hAnsi="Times New Roman"/>
                <w:bCs/>
                <w:color w:val="000000"/>
                <w:sz w:val="20"/>
                <w:szCs w:val="20"/>
                <w:lang w:val="en-GB"/>
              </w:rPr>
              <w:t xml:space="preserve">Where the exempted leg to the CCP is a security it shall not be </w:t>
            </w:r>
            <w:r>
              <w:rPr>
                <w:rFonts w:ascii="Times New Roman" w:eastAsia="Times New Roman" w:hAnsi="Times New Roman"/>
                <w:bCs/>
                <w:color w:val="000000"/>
                <w:sz w:val="20"/>
                <w:szCs w:val="20"/>
                <w:lang w:val="en-GB"/>
              </w:rPr>
              <w:t>included</w:t>
            </w:r>
            <w:r w:rsidRPr="00790B3D">
              <w:rPr>
                <w:rFonts w:ascii="Times New Roman" w:eastAsia="Times New Roman" w:hAnsi="Times New Roman"/>
                <w:bCs/>
                <w:color w:val="000000"/>
                <w:sz w:val="20"/>
                <w:szCs w:val="20"/>
                <w:lang w:val="en-GB"/>
              </w:rPr>
              <w:t xml:space="preserve"> in this cell unless it is a repledged security that under the applicable accounting framework (i.e. </w:t>
            </w:r>
            <w:r w:rsidR="0009671A">
              <w:rPr>
                <w:rFonts w:ascii="Times New Roman" w:eastAsia="Times New Roman" w:hAnsi="Times New Roman"/>
                <w:bCs/>
                <w:color w:val="000000"/>
                <w:sz w:val="20"/>
                <w:szCs w:val="20"/>
                <w:lang w:val="en-GB"/>
              </w:rPr>
              <w:t>in accordance with</w:t>
            </w:r>
            <w:r w:rsidRPr="00790B3D">
              <w:rPr>
                <w:rFonts w:ascii="Times New Roman" w:eastAsia="Times New Roman" w:hAnsi="Times New Roman"/>
                <w:bCs/>
                <w:color w:val="000000"/>
                <w:sz w:val="20"/>
                <w:szCs w:val="20"/>
                <w:lang w:val="en-GB"/>
              </w:rPr>
              <w:t xml:space="preserve"> the first sentence of Article 111(1) of </w:t>
            </w:r>
            <w:r w:rsidRPr="00E3680B">
              <w:rPr>
                <w:rFonts w:ascii="Times New Roman" w:eastAsia="Times New Roman" w:hAnsi="Times New Roman"/>
                <w:bCs/>
                <w:color w:val="000000"/>
                <w:sz w:val="20"/>
                <w:szCs w:val="20"/>
                <w:lang w:val="en-GB"/>
              </w:rPr>
              <w:t>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r w:rsidRPr="00790B3D">
              <w:rPr>
                <w:rFonts w:ascii="Times New Roman" w:eastAsia="Times New Roman" w:hAnsi="Times New Roman"/>
                <w:bCs/>
                <w:color w:val="000000"/>
                <w:sz w:val="20"/>
                <w:szCs w:val="20"/>
                <w:lang w:val="en-GB"/>
              </w:rPr>
              <w:t>) is included at full value.</w:t>
            </w:r>
          </w:p>
          <w:p w:rsidR="00573588" w:rsidRDefault="00573588" w:rsidP="00790B3D">
            <w:pPr>
              <w:tabs>
                <w:tab w:val="left" w:pos="0"/>
              </w:tabs>
              <w:jc w:val="both"/>
              <w:rPr>
                <w:rFonts w:ascii="Times New Roman" w:eastAsia="Times New Roman" w:hAnsi="Times New Roman"/>
                <w:bCs/>
                <w:color w:val="000000"/>
                <w:sz w:val="20"/>
                <w:szCs w:val="20"/>
                <w:lang w:val="en-GB"/>
              </w:rPr>
            </w:pPr>
          </w:p>
          <w:p w:rsidR="00573588" w:rsidRDefault="00573588" w:rsidP="00790B3D">
            <w:pPr>
              <w:tabs>
                <w:tab w:val="left" w:pos="0"/>
              </w:tabs>
              <w:jc w:val="both"/>
              <w:rPr>
                <w:rFonts w:ascii="Times New Roman" w:eastAsia="Times New Roman" w:hAnsi="Times New Roman"/>
                <w:bCs/>
                <w:color w:val="000000"/>
                <w:sz w:val="20"/>
                <w:szCs w:val="20"/>
                <w:lang w:val="en-GB"/>
              </w:rPr>
            </w:pPr>
            <w:r w:rsidRPr="00573588">
              <w:rPr>
                <w:rFonts w:ascii="Times New Roman" w:eastAsia="Times New Roman" w:hAnsi="Times New Roman"/>
                <w:bCs/>
                <w:color w:val="000000"/>
                <w:sz w:val="20"/>
                <w:szCs w:val="20"/>
                <w:lang w:val="en-GB"/>
              </w:rPr>
              <w:t>Since it reduces the leverage ratio exposure measure</w:t>
            </w:r>
            <w:r w:rsidR="00F5373A">
              <w:rPr>
                <w:rFonts w:ascii="Times New Roman" w:eastAsia="Times New Roman" w:hAnsi="Times New Roman"/>
                <w:bCs/>
                <w:color w:val="000000"/>
                <w:sz w:val="20"/>
                <w:szCs w:val="20"/>
                <w:lang w:val="en-GB"/>
              </w:rPr>
              <w:t xml:space="preserve"> institutions shall place</w:t>
            </w:r>
            <w:r w:rsidRPr="00573588">
              <w:rPr>
                <w:rFonts w:ascii="Times New Roman" w:eastAsia="Times New Roman" w:hAnsi="Times New Roman"/>
                <w:bCs/>
                <w:color w:val="000000"/>
                <w:sz w:val="20"/>
                <w:szCs w:val="20"/>
                <w:lang w:val="en-GB"/>
              </w:rPr>
              <w:t xml:space="preserve"> the value in this cell </w:t>
            </w:r>
            <w:r w:rsidR="00F5373A">
              <w:rPr>
                <w:rFonts w:ascii="Times New Roman" w:eastAsia="Times New Roman" w:hAnsi="Times New Roman"/>
                <w:bCs/>
                <w:color w:val="000000"/>
                <w:sz w:val="20"/>
                <w:szCs w:val="20"/>
                <w:lang w:val="en-GB"/>
              </w:rPr>
              <w:t xml:space="preserve">between brackets (which signifies that it </w:t>
            </w:r>
            <w:r w:rsidRPr="00573588">
              <w:rPr>
                <w:rFonts w:ascii="Times New Roman" w:eastAsia="Times New Roman" w:hAnsi="Times New Roman"/>
                <w:bCs/>
                <w:color w:val="000000"/>
                <w:sz w:val="20"/>
                <w:szCs w:val="20"/>
                <w:lang w:val="en-GB"/>
              </w:rPr>
              <w:t>shall contribute negatively to the sum to be disclosed  in {LRCom</w:t>
            </w:r>
            <w:r w:rsidR="0091168B">
              <w:rPr>
                <w:rFonts w:ascii="Times New Roman" w:eastAsia="Times New Roman" w:hAnsi="Times New Roman"/>
                <w:bCs/>
                <w:color w:val="000000"/>
                <w:sz w:val="20"/>
                <w:szCs w:val="20"/>
                <w:lang w:val="en-GB"/>
              </w:rPr>
              <w:t>;</w:t>
            </w:r>
            <w:r w:rsidRPr="00573588">
              <w:rPr>
                <w:rFonts w:ascii="Times New Roman" w:eastAsia="Times New Roman" w:hAnsi="Times New Roman"/>
                <w:bCs/>
                <w:color w:val="000000"/>
                <w:sz w:val="20"/>
                <w:szCs w:val="20"/>
                <w:lang w:val="en-GB"/>
              </w:rPr>
              <w:t>1</w:t>
            </w:r>
            <w:r>
              <w:rPr>
                <w:rFonts w:ascii="Times New Roman" w:eastAsia="Times New Roman" w:hAnsi="Times New Roman"/>
                <w:bCs/>
                <w:color w:val="000000"/>
                <w:sz w:val="20"/>
                <w:szCs w:val="20"/>
                <w:lang w:val="en-GB"/>
              </w:rPr>
              <w:t>6</w:t>
            </w:r>
            <w:r w:rsidRPr="00573588">
              <w:rPr>
                <w:rFonts w:ascii="Times New Roman" w:eastAsia="Times New Roman" w:hAnsi="Times New Roman"/>
                <w:bCs/>
                <w:color w:val="000000"/>
                <w:sz w:val="20"/>
                <w:szCs w:val="20"/>
                <w:lang w:val="en-GB"/>
              </w:rPr>
              <w:t>}</w:t>
            </w:r>
            <w:r w:rsidR="00F5373A">
              <w:rPr>
                <w:rFonts w:ascii="Times New Roman" w:eastAsia="Times New Roman" w:hAnsi="Times New Roman"/>
                <w:bCs/>
                <w:color w:val="000000"/>
                <w:sz w:val="20"/>
                <w:szCs w:val="20"/>
                <w:lang w:val="en-GB"/>
              </w:rPr>
              <w:t>)</w:t>
            </w:r>
            <w:r w:rsidRPr="00573588">
              <w:rPr>
                <w:rFonts w:ascii="Times New Roman" w:eastAsia="Times New Roman" w:hAnsi="Times New Roman"/>
                <w:bCs/>
                <w:color w:val="000000"/>
                <w:sz w:val="20"/>
                <w:szCs w:val="20"/>
                <w:lang w:val="en-GB"/>
              </w:rPr>
              <w:t>.</w:t>
            </w:r>
          </w:p>
          <w:p w:rsidR="00DC1A1E" w:rsidRPr="00744CC4" w:rsidRDefault="00DC1A1E" w:rsidP="00790B3D">
            <w:pPr>
              <w:tabs>
                <w:tab w:val="left" w:pos="0"/>
              </w:tabs>
              <w:jc w:val="both"/>
              <w:rPr>
                <w:rFonts w:ascii="Times New Roman" w:eastAsia="Times New Roman" w:hAnsi="Times New Roman"/>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{16}</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Pr="00E3680B" w:rsidRDefault="00DC1A1E"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 xml:space="preserve">Total </w:t>
            </w:r>
            <w:r w:rsidR="0009671A">
              <w:rPr>
                <w:rFonts w:ascii="Times New Roman" w:eastAsia="Times New Roman" w:hAnsi="Times New Roman"/>
                <w:b/>
                <w:bCs/>
                <w:color w:val="000000"/>
                <w:sz w:val="20"/>
                <w:szCs w:val="20"/>
                <w:lang w:val="en-GB"/>
              </w:rPr>
              <w:t>SFT</w:t>
            </w:r>
            <w:r w:rsidRPr="00E3680B">
              <w:rPr>
                <w:rFonts w:ascii="Times New Roman" w:eastAsia="Times New Roman" w:hAnsi="Times New Roman"/>
                <w:b/>
                <w:bCs/>
                <w:color w:val="000000"/>
                <w:sz w:val="20"/>
                <w:szCs w:val="20"/>
                <w:lang w:val="en-GB"/>
              </w:rPr>
              <w:t xml:space="preserve"> exposures</w:t>
            </w:r>
          </w:p>
          <w:p w:rsidR="00DC1A1E" w:rsidRDefault="00DC1A1E" w:rsidP="00E3680B">
            <w:pPr>
              <w:tabs>
                <w:tab w:val="left" w:pos="0"/>
              </w:tabs>
              <w:jc w:val="both"/>
              <w:rPr>
                <w:rFonts w:ascii="Times New Roman" w:eastAsia="Times New Roman" w:hAnsi="Times New Roman"/>
                <w:bCs/>
                <w:color w:val="000000"/>
                <w:sz w:val="20"/>
                <w:szCs w:val="20"/>
                <w:lang w:val="en-GB"/>
              </w:rPr>
            </w:pPr>
            <w:r w:rsidRPr="00455097">
              <w:rPr>
                <w:rFonts w:ascii="Times New Roman" w:eastAsia="Times New Roman" w:hAnsi="Times New Roman"/>
                <w:bCs/>
                <w:color w:val="000000"/>
                <w:sz w:val="20"/>
                <w:szCs w:val="20"/>
                <w:lang w:val="en-GB"/>
              </w:rPr>
              <w:t>Institutions shall disclose the sum of</w:t>
            </w:r>
            <w:r>
              <w:rPr>
                <w:rFonts w:ascii="Times New Roman" w:eastAsia="Times New Roman" w:hAnsi="Times New Roman"/>
                <w:bCs/>
                <w:color w:val="000000"/>
                <w:sz w:val="20"/>
                <w:szCs w:val="20"/>
                <w:lang w:val="en-GB"/>
              </w:rPr>
              <w:t xml:space="preserve"> {LRCom; 12}, {LRCom;EU-12a}, {LRCom;13}, {LRCom;14}, {LRCom;15} and {LRCom;EU-15a}.</w:t>
            </w:r>
          </w:p>
          <w:p w:rsidR="00573588" w:rsidRDefault="00573588" w:rsidP="00E3680B">
            <w:pPr>
              <w:tabs>
                <w:tab w:val="left" w:pos="0"/>
              </w:tabs>
              <w:jc w:val="both"/>
              <w:rPr>
                <w:rFonts w:ascii="Times New Roman" w:eastAsia="Times New Roman" w:hAnsi="Times New Roman"/>
                <w:bCs/>
                <w:color w:val="000000"/>
                <w:sz w:val="20"/>
                <w:szCs w:val="20"/>
                <w:lang w:val="en-GB"/>
              </w:rPr>
            </w:pPr>
          </w:p>
          <w:p w:rsidR="00573588" w:rsidRDefault="00573588" w:rsidP="00E3680B">
            <w:pPr>
              <w:tabs>
                <w:tab w:val="left" w:pos="0"/>
              </w:tabs>
              <w:jc w:val="both"/>
              <w:rPr>
                <w:rFonts w:ascii="Times New Roman" w:eastAsia="Times New Roman" w:hAnsi="Times New Roman"/>
                <w:bCs/>
                <w:color w:val="000000"/>
                <w:sz w:val="20"/>
                <w:szCs w:val="20"/>
                <w:lang w:val="en-GB"/>
              </w:rPr>
            </w:pPr>
            <w:r w:rsidRPr="00573588">
              <w:rPr>
                <w:rFonts w:ascii="Times New Roman" w:eastAsia="Times New Roman" w:hAnsi="Times New Roman"/>
                <w:bCs/>
                <w:color w:val="000000"/>
                <w:sz w:val="20"/>
                <w:szCs w:val="20"/>
                <w:lang w:val="en-GB"/>
              </w:rPr>
              <w:t>Institutions shall take into account that {LRCom;</w:t>
            </w:r>
            <w:r>
              <w:rPr>
                <w:rFonts w:ascii="Times New Roman" w:eastAsia="Times New Roman" w:hAnsi="Times New Roman"/>
                <w:bCs/>
                <w:color w:val="000000"/>
                <w:sz w:val="20"/>
                <w:szCs w:val="20"/>
                <w:lang w:val="en-GB"/>
              </w:rPr>
              <w:t>13</w:t>
            </w:r>
            <w:r w:rsidRPr="00573588">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 xml:space="preserve"> and </w:t>
            </w:r>
            <w:r w:rsidRPr="00573588">
              <w:rPr>
                <w:rFonts w:ascii="Times New Roman" w:eastAsia="Times New Roman" w:hAnsi="Times New Roman"/>
                <w:bCs/>
                <w:color w:val="000000"/>
                <w:sz w:val="20"/>
                <w:szCs w:val="20"/>
                <w:lang w:val="en-GB"/>
              </w:rPr>
              <w:t>{LRCom;</w:t>
            </w:r>
            <w:r>
              <w:rPr>
                <w:rFonts w:ascii="Times New Roman" w:eastAsia="Times New Roman" w:hAnsi="Times New Roman"/>
                <w:bCs/>
                <w:color w:val="000000"/>
                <w:sz w:val="20"/>
                <w:szCs w:val="20"/>
                <w:lang w:val="en-GB"/>
              </w:rPr>
              <w:t>EU-15a</w:t>
            </w:r>
            <w:r w:rsidRPr="00573588">
              <w:rPr>
                <w:rFonts w:ascii="Times New Roman" w:eastAsia="Times New Roman" w:hAnsi="Times New Roman"/>
                <w:bCs/>
                <w:color w:val="000000"/>
                <w:sz w:val="20"/>
                <w:szCs w:val="20"/>
                <w:lang w:val="en-GB"/>
              </w:rPr>
              <w:t>} contribute negatively to this sum.</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{17}</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
                <w:bCs/>
                <w:color w:val="000000"/>
                <w:sz w:val="20"/>
                <w:szCs w:val="20"/>
                <w:lang w:val="en-GB"/>
              </w:rPr>
              <w:t>Off-balance sheet exposures at gross notional amount:</w:t>
            </w:r>
          </w:p>
          <w:p w:rsidR="00DC1A1E" w:rsidRDefault="00DC1A1E" w:rsidP="00E3680B">
            <w:pPr>
              <w:tabs>
                <w:tab w:val="left" w:pos="0"/>
              </w:tabs>
              <w:jc w:val="both"/>
              <w:rPr>
                <w:rFonts w:ascii="Times New Roman" w:eastAsia="Times New Roman" w:hAnsi="Times New Roman"/>
                <w:bCs/>
                <w:color w:val="000000"/>
                <w:sz w:val="20"/>
                <w:szCs w:val="20"/>
                <w:lang w:val="en-GB"/>
              </w:rPr>
            </w:pP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Article 429 (10) of 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Institutions shall disclose the nominal value of all off-balance sheet items as defined in Arti</w:t>
            </w:r>
            <w:r>
              <w:rPr>
                <w:rFonts w:ascii="Times New Roman" w:eastAsia="Times New Roman" w:hAnsi="Times New Roman"/>
                <w:bCs/>
                <w:color w:val="000000"/>
                <w:sz w:val="20"/>
                <w:szCs w:val="20"/>
                <w:lang w:val="en-GB"/>
              </w:rPr>
              <w:t>c</w:t>
            </w:r>
            <w:r w:rsidRPr="00E3680B">
              <w:rPr>
                <w:rFonts w:ascii="Times New Roman" w:eastAsia="Times New Roman" w:hAnsi="Times New Roman"/>
                <w:bCs/>
                <w:color w:val="000000"/>
                <w:sz w:val="20"/>
                <w:szCs w:val="20"/>
                <w:lang w:val="en-GB"/>
              </w:rPr>
              <w:t xml:space="preserve">le 429(10)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 before any adjustment for conversion factors.</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p w:rsidR="00DC1A1E" w:rsidRPr="00E3680B" w:rsidRDefault="00DC1A1E" w:rsidP="00E3680B">
            <w:pPr>
              <w:tabs>
                <w:tab w:val="left" w:pos="0"/>
              </w:tabs>
              <w:jc w:val="both"/>
              <w:rPr>
                <w:rFonts w:ascii="Times New Roman" w:eastAsia="Times New Roman" w:hAnsi="Times New Roman"/>
                <w:b/>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{18}</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Pr="00E3680B" w:rsidRDefault="00DC1A1E"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Adjustments for conversion to credit equivalent amounts</w:t>
            </w:r>
          </w:p>
          <w:p w:rsidR="00DC1A1E" w:rsidRDefault="00DC1A1E" w:rsidP="00E3680B">
            <w:pPr>
              <w:tabs>
                <w:tab w:val="left" w:pos="0"/>
              </w:tabs>
              <w:jc w:val="both"/>
              <w:rPr>
                <w:rFonts w:ascii="Times New Roman" w:eastAsia="Times New Roman" w:hAnsi="Times New Roman"/>
                <w:bCs/>
                <w:color w:val="000000"/>
                <w:sz w:val="20"/>
                <w:szCs w:val="20"/>
                <w:lang w:val="en-GB"/>
              </w:rPr>
            </w:pP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Article 429(10) of </w:t>
            </w:r>
            <w:r w:rsidRPr="00E3680B">
              <w:rPr>
                <w:rFonts w:ascii="Times New Roman" w:eastAsia="MS Mincho" w:hAnsi="Times New Roman"/>
                <w:color w:val="000000"/>
                <w:sz w:val="20"/>
                <w:szCs w:val="20"/>
                <w:lang w:val="it-IT" w:eastAsia="ja-JP"/>
              </w:rPr>
              <w:t xml:space="preserve">Regulation </w:t>
            </w:r>
            <w:r w:rsidRPr="00E3680B">
              <w:rPr>
                <w:rFonts w:ascii="Times New Roman" w:eastAsia="Times New Roman" w:hAnsi="Times New Roman"/>
                <w:bCs/>
                <w:color w:val="000000"/>
                <w:sz w:val="20"/>
                <w:szCs w:val="20"/>
                <w:lang w:val="en-GB"/>
              </w:rPr>
              <w:t>(EU) No 575/2013</w:t>
            </w:r>
          </w:p>
          <w:p w:rsidR="00DC1A1E" w:rsidRPr="00E3680B" w:rsidRDefault="00DC1A1E" w:rsidP="00E3680B">
            <w:pPr>
              <w:autoSpaceDE w:val="0"/>
              <w:autoSpaceDN w:val="0"/>
              <w:adjustRightInd w:val="0"/>
              <w:rPr>
                <w:rFonts w:ascii="Times New Roman" w:eastAsia="Calibri" w:hAnsi="Times New Roman"/>
                <w:b/>
                <w:bCs/>
                <w:color w:val="000000"/>
                <w:sz w:val="20"/>
                <w:szCs w:val="20"/>
                <w:lang w:val="en-GB"/>
              </w:rPr>
            </w:pPr>
          </w:p>
          <w:p w:rsidR="00573588" w:rsidRDefault="00DC1A1E" w:rsidP="00E3680B">
            <w:pPr>
              <w:tabs>
                <w:tab w:val="left" w:pos="0"/>
              </w:tabs>
              <w:jc w:val="both"/>
              <w:rPr>
                <w:rFonts w:ascii="Times New Roman" w:eastAsia="Times New Roman" w:hAnsi="Times New Roman"/>
                <w:bCs/>
                <w:sz w:val="20"/>
                <w:szCs w:val="20"/>
                <w:lang w:val="en-GB"/>
              </w:rPr>
            </w:pPr>
            <w:r w:rsidRPr="00E3680B">
              <w:rPr>
                <w:rFonts w:ascii="Times New Roman" w:eastAsia="Times New Roman" w:hAnsi="Times New Roman"/>
                <w:bCs/>
                <w:sz w:val="20"/>
                <w:szCs w:val="20"/>
                <w:lang w:val="en-GB"/>
              </w:rPr>
              <w:t xml:space="preserve">Institutions shall include the difference in value between the nominal value of off-balance sheet items as disclosed on </w:t>
            </w:r>
            <w:r>
              <w:rPr>
                <w:rFonts w:ascii="Times New Roman" w:eastAsia="Times New Roman" w:hAnsi="Times New Roman"/>
                <w:bCs/>
                <w:sz w:val="20"/>
                <w:szCs w:val="20"/>
                <w:lang w:val="en-GB"/>
              </w:rPr>
              <w:t>{</w:t>
            </w:r>
            <w:r w:rsidRPr="00E3680B">
              <w:rPr>
                <w:rFonts w:ascii="Times New Roman" w:eastAsia="Times New Roman" w:hAnsi="Times New Roman"/>
                <w:bCs/>
                <w:sz w:val="20"/>
                <w:szCs w:val="20"/>
                <w:lang w:val="en-GB"/>
              </w:rPr>
              <w:t>LRCom</w:t>
            </w:r>
            <w:r>
              <w:rPr>
                <w:rFonts w:ascii="Times New Roman" w:eastAsia="Times New Roman" w:hAnsi="Times New Roman"/>
                <w:bCs/>
                <w:sz w:val="20"/>
                <w:szCs w:val="20"/>
                <w:lang w:val="en-GB"/>
              </w:rPr>
              <w:t>;</w:t>
            </w:r>
            <w:r w:rsidRPr="00E3680B">
              <w:rPr>
                <w:rFonts w:ascii="Times New Roman" w:eastAsia="Times New Roman" w:hAnsi="Times New Roman"/>
                <w:bCs/>
                <w:sz w:val="20"/>
                <w:szCs w:val="20"/>
                <w:lang w:val="en-GB"/>
              </w:rPr>
              <w:t xml:space="preserve">17} and the leverage ratio exposure value of off-balance sheet items as included in </w:t>
            </w:r>
            <w:r>
              <w:rPr>
                <w:rFonts w:ascii="Times New Roman" w:eastAsia="Times New Roman" w:hAnsi="Times New Roman"/>
                <w:bCs/>
                <w:sz w:val="20"/>
                <w:szCs w:val="20"/>
                <w:lang w:val="en-GB"/>
              </w:rPr>
              <w:t>{</w:t>
            </w:r>
            <w:r w:rsidRPr="00E3680B">
              <w:rPr>
                <w:rFonts w:ascii="Times New Roman" w:eastAsia="Times New Roman" w:hAnsi="Times New Roman"/>
                <w:bCs/>
                <w:sz w:val="20"/>
                <w:szCs w:val="20"/>
                <w:lang w:val="en-GB"/>
              </w:rPr>
              <w:t>LRCom</w:t>
            </w:r>
            <w:r>
              <w:rPr>
                <w:rFonts w:ascii="Times New Roman" w:eastAsia="Times New Roman" w:hAnsi="Times New Roman"/>
                <w:bCs/>
                <w:sz w:val="20"/>
                <w:szCs w:val="20"/>
                <w:lang w:val="en-GB"/>
              </w:rPr>
              <w:t>;</w:t>
            </w:r>
            <w:r w:rsidRPr="00E3680B">
              <w:rPr>
                <w:rFonts w:ascii="Times New Roman" w:eastAsia="Times New Roman" w:hAnsi="Times New Roman"/>
                <w:bCs/>
                <w:sz w:val="20"/>
                <w:szCs w:val="20"/>
                <w:lang w:val="en-GB"/>
              </w:rPr>
              <w:t xml:space="preserve">19}. </w:t>
            </w:r>
          </w:p>
          <w:p w:rsidR="00573588" w:rsidRDefault="00573588" w:rsidP="00E3680B">
            <w:pPr>
              <w:tabs>
                <w:tab w:val="left" w:pos="0"/>
              </w:tabs>
              <w:jc w:val="both"/>
              <w:rPr>
                <w:rFonts w:ascii="Times New Roman" w:eastAsia="Times New Roman" w:hAnsi="Times New Roman"/>
                <w:bCs/>
                <w:sz w:val="20"/>
                <w:szCs w:val="20"/>
                <w:lang w:val="en-GB"/>
              </w:rPr>
            </w:pPr>
          </w:p>
          <w:p w:rsidR="00573588" w:rsidRDefault="00573588" w:rsidP="00573588">
            <w:pPr>
              <w:tabs>
                <w:tab w:val="left" w:pos="0"/>
              </w:tabs>
              <w:jc w:val="both"/>
              <w:rPr>
                <w:rFonts w:ascii="Times New Roman" w:eastAsia="Times New Roman" w:hAnsi="Times New Roman"/>
                <w:bCs/>
                <w:color w:val="000000"/>
                <w:sz w:val="20"/>
                <w:szCs w:val="20"/>
                <w:lang w:val="en-GB"/>
              </w:rPr>
            </w:pPr>
            <w:r w:rsidRPr="00573588">
              <w:rPr>
                <w:rFonts w:ascii="Times New Roman" w:eastAsia="Times New Roman" w:hAnsi="Times New Roman"/>
                <w:bCs/>
                <w:color w:val="000000"/>
                <w:sz w:val="20"/>
                <w:szCs w:val="20"/>
                <w:lang w:val="en-GB"/>
              </w:rPr>
              <w:t>Since it reduces the leverage ratio exposure measure the value disclosed in this cell shall contribute negatively to the sum to be disclosed  in {LRCom</w:t>
            </w:r>
            <w:r w:rsidR="0091168B">
              <w:rPr>
                <w:rFonts w:ascii="Times New Roman" w:eastAsia="Times New Roman" w:hAnsi="Times New Roman"/>
                <w:bCs/>
                <w:color w:val="000000"/>
                <w:sz w:val="20"/>
                <w:szCs w:val="20"/>
                <w:lang w:val="en-GB"/>
              </w:rPr>
              <w:t>;</w:t>
            </w:r>
            <w:r w:rsidRPr="00573588">
              <w:rPr>
                <w:rFonts w:ascii="Times New Roman" w:eastAsia="Times New Roman" w:hAnsi="Times New Roman"/>
                <w:bCs/>
                <w:color w:val="000000"/>
                <w:sz w:val="20"/>
                <w:szCs w:val="20"/>
                <w:lang w:val="en-GB"/>
              </w:rPr>
              <w:t>1</w:t>
            </w:r>
            <w:r>
              <w:rPr>
                <w:rFonts w:ascii="Times New Roman" w:eastAsia="Times New Roman" w:hAnsi="Times New Roman"/>
                <w:bCs/>
                <w:color w:val="000000"/>
                <w:sz w:val="20"/>
                <w:szCs w:val="20"/>
                <w:lang w:val="en-GB"/>
              </w:rPr>
              <w:t>9</w:t>
            </w:r>
            <w:r w:rsidRPr="00573588">
              <w:rPr>
                <w:rFonts w:ascii="Times New Roman" w:eastAsia="Times New Roman" w:hAnsi="Times New Roman"/>
                <w:bCs/>
                <w:color w:val="000000"/>
                <w:sz w:val="20"/>
                <w:szCs w:val="20"/>
                <w:lang w:val="en-GB"/>
              </w:rPr>
              <w:t>}.</w:t>
            </w:r>
          </w:p>
          <w:p w:rsidR="00573588" w:rsidRPr="00E3680B" w:rsidRDefault="00573588" w:rsidP="00E3680B">
            <w:pPr>
              <w:tabs>
                <w:tab w:val="left" w:pos="0"/>
              </w:tabs>
              <w:jc w:val="both"/>
              <w:rPr>
                <w:rFonts w:ascii="Times New Roman" w:eastAsia="Times New Roman" w:hAnsi="Times New Roman"/>
                <w:bCs/>
                <w:sz w:val="20"/>
                <w:szCs w:val="20"/>
                <w:lang w:val="en-GB"/>
              </w:rPr>
            </w:pPr>
          </w:p>
          <w:p w:rsidR="00DC1A1E" w:rsidRPr="00E3680B" w:rsidRDefault="00DC1A1E" w:rsidP="00E3680B">
            <w:pPr>
              <w:rPr>
                <w:rFonts w:ascii="Times New Roman" w:hAnsi="Times New Roman"/>
                <w:bCs/>
                <w:sz w:val="20"/>
                <w:szCs w:val="20"/>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{19}</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Default="00DC1A1E" w:rsidP="00E3680B">
            <w:pPr>
              <w:tabs>
                <w:tab w:val="left" w:pos="0"/>
              </w:tabs>
              <w:jc w:val="both"/>
              <w:rPr>
                <w:rFonts w:ascii="Times New Roman" w:eastAsia="Times New Roman" w:hAnsi="Times New Roman"/>
                <w:b/>
                <w:bCs/>
                <w:color w:val="000000"/>
                <w:sz w:val="20"/>
                <w:szCs w:val="20"/>
                <w:lang w:val="en-GB"/>
              </w:rPr>
            </w:pPr>
            <w:r>
              <w:rPr>
                <w:rFonts w:ascii="Times New Roman" w:eastAsia="Times New Roman" w:hAnsi="Times New Roman"/>
                <w:b/>
                <w:bCs/>
                <w:color w:val="000000"/>
                <w:sz w:val="20"/>
                <w:szCs w:val="20"/>
                <w:lang w:val="en-GB"/>
              </w:rPr>
              <w:t xml:space="preserve">Other </w:t>
            </w:r>
            <w:r w:rsidRPr="00E3680B">
              <w:rPr>
                <w:rFonts w:ascii="Times New Roman" w:eastAsia="Times New Roman" w:hAnsi="Times New Roman"/>
                <w:b/>
                <w:bCs/>
                <w:color w:val="000000"/>
                <w:sz w:val="20"/>
                <w:szCs w:val="20"/>
                <w:lang w:val="en-GB"/>
              </w:rPr>
              <w:t>off-balance sheet exposures</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Article</w:t>
            </w:r>
            <w:r>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429(10)</w:t>
            </w:r>
            <w:r>
              <w:rPr>
                <w:rFonts w:ascii="Times New Roman" w:eastAsia="Times New Roman" w:hAnsi="Times New Roman"/>
                <w:bCs/>
                <w:color w:val="000000"/>
                <w:sz w:val="20"/>
                <w:szCs w:val="20"/>
                <w:lang w:val="en-GB"/>
              </w:rPr>
              <w:t>, 111(1)</w:t>
            </w:r>
            <w:r w:rsidR="00D67E32">
              <w:rPr>
                <w:rFonts w:ascii="Times New Roman" w:eastAsia="Times New Roman" w:hAnsi="Times New Roman"/>
                <w:bCs/>
                <w:color w:val="000000"/>
                <w:sz w:val="20"/>
                <w:szCs w:val="20"/>
                <w:lang w:val="en-GB"/>
              </w:rPr>
              <w:t xml:space="preserve"> and</w:t>
            </w:r>
            <w:r>
              <w:rPr>
                <w:rFonts w:ascii="Times New Roman" w:eastAsia="Times New Roman" w:hAnsi="Times New Roman"/>
                <w:bCs/>
                <w:color w:val="000000"/>
                <w:sz w:val="20"/>
                <w:szCs w:val="20"/>
                <w:lang w:val="en-GB"/>
              </w:rPr>
              <w:t xml:space="preserve"> 166(9)</w:t>
            </w:r>
            <w:r w:rsidRPr="00E3680B">
              <w:rPr>
                <w:rFonts w:ascii="Times New Roman" w:eastAsia="Times New Roman" w:hAnsi="Times New Roman"/>
                <w:bCs/>
                <w:color w:val="000000"/>
                <w:sz w:val="20"/>
                <w:szCs w:val="20"/>
                <w:lang w:val="en-GB"/>
              </w:rPr>
              <w:t xml:space="preserve"> of 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(EU) No 575/2013</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p w:rsidR="00DC1A1E"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Institutions shall disclose the leverage ratio exposure values for off-balance sheet items determined in accordance with Article 429(10) of Regulation</w:t>
            </w:r>
            <w:r w:rsidRPr="00E3680B">
              <w:rPr>
                <w:rFonts w:ascii="Times New Roman" w:eastAsia="MS Mincho" w:hAnsi="Times New Roman"/>
                <w:color w:val="000000"/>
                <w:sz w:val="20"/>
                <w:szCs w:val="20"/>
                <w:lang w:val="it-IT" w:eastAsia="ja-JP"/>
              </w:rPr>
              <w:t xml:space="preserve"> </w:t>
            </w:r>
            <w:r w:rsidRPr="00E3680B">
              <w:rPr>
                <w:rFonts w:ascii="Times New Roman" w:eastAsia="Times New Roman" w:hAnsi="Times New Roman"/>
                <w:bCs/>
                <w:color w:val="000000"/>
                <w:sz w:val="20"/>
                <w:szCs w:val="20"/>
                <w:lang w:val="en-GB"/>
              </w:rPr>
              <w:t xml:space="preserve">(EU) No 575/2013 taking into account the relevant conversion factors. </w:t>
            </w:r>
          </w:p>
          <w:p w:rsidR="00573588" w:rsidRDefault="00573588" w:rsidP="00E3680B">
            <w:pPr>
              <w:tabs>
                <w:tab w:val="left" w:pos="0"/>
              </w:tabs>
              <w:jc w:val="both"/>
              <w:rPr>
                <w:rFonts w:ascii="Times New Roman" w:eastAsia="Times New Roman" w:hAnsi="Times New Roman"/>
                <w:bCs/>
                <w:color w:val="000000"/>
                <w:sz w:val="20"/>
                <w:szCs w:val="20"/>
                <w:lang w:val="en-GB"/>
              </w:rPr>
            </w:pPr>
          </w:p>
          <w:p w:rsidR="00573588" w:rsidRPr="00E3680B" w:rsidRDefault="00573588" w:rsidP="00E3680B">
            <w:pPr>
              <w:tabs>
                <w:tab w:val="left" w:pos="0"/>
              </w:tabs>
              <w:jc w:val="both"/>
              <w:rPr>
                <w:rFonts w:ascii="Times New Roman" w:eastAsia="Times New Roman" w:hAnsi="Times New Roman"/>
                <w:bCs/>
                <w:color w:val="000000"/>
                <w:sz w:val="20"/>
                <w:szCs w:val="20"/>
                <w:lang w:val="en-GB"/>
              </w:rPr>
            </w:pPr>
            <w:r w:rsidRPr="00573588">
              <w:rPr>
                <w:rFonts w:ascii="Times New Roman" w:eastAsia="Times New Roman" w:hAnsi="Times New Roman"/>
                <w:bCs/>
                <w:color w:val="000000"/>
                <w:sz w:val="20"/>
                <w:szCs w:val="20"/>
                <w:lang w:val="en-GB"/>
              </w:rPr>
              <w:t>Institutions shall take into account that {LRCom;1</w:t>
            </w:r>
            <w:r>
              <w:rPr>
                <w:rFonts w:ascii="Times New Roman" w:eastAsia="Times New Roman" w:hAnsi="Times New Roman"/>
                <w:bCs/>
                <w:color w:val="000000"/>
                <w:sz w:val="20"/>
                <w:szCs w:val="20"/>
                <w:lang w:val="en-GB"/>
              </w:rPr>
              <w:t>8</w:t>
            </w:r>
            <w:r w:rsidRPr="00573588">
              <w:rPr>
                <w:rFonts w:ascii="Times New Roman" w:eastAsia="Times New Roman" w:hAnsi="Times New Roman"/>
                <w:bCs/>
                <w:color w:val="000000"/>
                <w:sz w:val="20"/>
                <w:szCs w:val="20"/>
                <w:lang w:val="en-GB"/>
              </w:rPr>
              <w:t>} contribute</w:t>
            </w:r>
            <w:r>
              <w:rPr>
                <w:rFonts w:ascii="Times New Roman" w:eastAsia="Times New Roman" w:hAnsi="Times New Roman"/>
                <w:bCs/>
                <w:color w:val="000000"/>
                <w:sz w:val="20"/>
                <w:szCs w:val="20"/>
                <w:lang w:val="en-GB"/>
              </w:rPr>
              <w:t>s</w:t>
            </w:r>
            <w:r w:rsidRPr="00573588">
              <w:rPr>
                <w:rFonts w:ascii="Times New Roman" w:eastAsia="Times New Roman" w:hAnsi="Times New Roman"/>
                <w:bCs/>
                <w:color w:val="000000"/>
                <w:sz w:val="20"/>
                <w:szCs w:val="20"/>
                <w:lang w:val="en-GB"/>
              </w:rPr>
              <w:t xml:space="preserve"> negatively to this sum.</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{EU-19a}</w:t>
            </w:r>
          </w:p>
        </w:tc>
        <w:tc>
          <w:tcPr>
            <w:tcW w:w="7590" w:type="dxa"/>
          </w:tcPr>
          <w:p w:rsidR="00DC1A1E" w:rsidRDefault="0087584C" w:rsidP="00096A29">
            <w:pPr>
              <w:tabs>
                <w:tab w:val="left" w:pos="0"/>
              </w:tabs>
              <w:jc w:val="both"/>
              <w:rPr>
                <w:rFonts w:ascii="Times New Roman" w:eastAsia="Times New Roman" w:hAnsi="Times New Roman"/>
                <w:b/>
                <w:bCs/>
                <w:color w:val="000000"/>
                <w:sz w:val="20"/>
                <w:szCs w:val="20"/>
                <w:lang w:val="en-GB"/>
              </w:rPr>
            </w:pPr>
            <w:r>
              <w:rPr>
                <w:rFonts w:ascii="Times New Roman" w:eastAsia="Times New Roman" w:hAnsi="Times New Roman"/>
                <w:b/>
                <w:bCs/>
                <w:color w:val="000000"/>
                <w:sz w:val="20"/>
                <w:szCs w:val="20"/>
                <w:lang w:val="en-GB"/>
              </w:rPr>
              <w:t>(</w:t>
            </w:r>
            <w:r w:rsidR="00DC1A1E" w:rsidRPr="003615FE">
              <w:rPr>
                <w:rFonts w:ascii="Times New Roman" w:eastAsia="Times New Roman" w:hAnsi="Times New Roman"/>
                <w:b/>
                <w:bCs/>
                <w:color w:val="000000"/>
                <w:sz w:val="20"/>
                <w:szCs w:val="20"/>
                <w:lang w:val="en-GB"/>
              </w:rPr>
              <w:t>Exempt</w:t>
            </w:r>
            <w:r w:rsidR="00A234C6">
              <w:rPr>
                <w:rFonts w:ascii="Times New Roman" w:eastAsia="Times New Roman" w:hAnsi="Times New Roman"/>
                <w:b/>
                <w:bCs/>
                <w:color w:val="000000"/>
                <w:sz w:val="20"/>
                <w:szCs w:val="20"/>
                <w:lang w:val="en-GB"/>
              </w:rPr>
              <w:t>ion of</w:t>
            </w:r>
            <w:r w:rsidR="00DC1A1E" w:rsidRPr="003615FE">
              <w:rPr>
                <w:rFonts w:ascii="Times New Roman" w:eastAsia="Times New Roman" w:hAnsi="Times New Roman"/>
                <w:b/>
                <w:bCs/>
                <w:color w:val="000000"/>
                <w:sz w:val="20"/>
                <w:szCs w:val="20"/>
                <w:lang w:val="en-GB"/>
              </w:rPr>
              <w:t xml:space="preserve"> in</w:t>
            </w:r>
            <w:r w:rsidR="00DC1A1E">
              <w:rPr>
                <w:rFonts w:ascii="Times New Roman" w:eastAsia="Times New Roman" w:hAnsi="Times New Roman"/>
                <w:b/>
                <w:bCs/>
                <w:color w:val="000000"/>
                <w:sz w:val="20"/>
                <w:szCs w:val="20"/>
                <w:lang w:val="en-GB"/>
              </w:rPr>
              <w:t>tragroup exposures</w:t>
            </w:r>
            <w:r w:rsidR="00E02B1C">
              <w:rPr>
                <w:rFonts w:ascii="Times New Roman" w:eastAsia="Times New Roman" w:hAnsi="Times New Roman"/>
                <w:b/>
                <w:bCs/>
                <w:color w:val="000000"/>
                <w:sz w:val="20"/>
                <w:szCs w:val="20"/>
                <w:lang w:val="en-GB"/>
              </w:rPr>
              <w:t xml:space="preserve"> </w:t>
            </w:r>
            <w:r w:rsidR="00DC1A1E">
              <w:rPr>
                <w:rFonts w:ascii="Times New Roman" w:eastAsia="Times New Roman" w:hAnsi="Times New Roman"/>
                <w:b/>
                <w:bCs/>
                <w:color w:val="000000"/>
                <w:sz w:val="20"/>
                <w:szCs w:val="20"/>
                <w:lang w:val="en-GB"/>
              </w:rPr>
              <w:t>(solo basis)</w:t>
            </w:r>
            <w:r>
              <w:t xml:space="preserve"> </w:t>
            </w:r>
            <w:r w:rsidR="0009671A">
              <w:rPr>
                <w:rFonts w:ascii="Times New Roman" w:eastAsia="Times New Roman" w:hAnsi="Times New Roman"/>
                <w:b/>
                <w:bCs/>
                <w:color w:val="000000"/>
                <w:sz w:val="20"/>
                <w:szCs w:val="20"/>
                <w:lang w:val="en-GB"/>
              </w:rPr>
              <w:t>in accordance with</w:t>
            </w:r>
            <w:r w:rsidRPr="0087584C">
              <w:rPr>
                <w:rFonts w:ascii="Times New Roman" w:eastAsia="Times New Roman" w:hAnsi="Times New Roman"/>
                <w:b/>
                <w:bCs/>
                <w:color w:val="000000"/>
                <w:sz w:val="20"/>
                <w:szCs w:val="20"/>
                <w:lang w:val="en-GB"/>
              </w:rPr>
              <w:t xml:space="preserve"> Article 429(7)</w:t>
            </w:r>
            <w:r>
              <w:rPr>
                <w:rFonts w:ascii="Times New Roman" w:eastAsia="Times New Roman" w:hAnsi="Times New Roman"/>
                <w:b/>
                <w:bCs/>
                <w:color w:val="000000"/>
                <w:sz w:val="20"/>
                <w:szCs w:val="20"/>
                <w:lang w:val="en-GB"/>
              </w:rPr>
              <w:t xml:space="preserve"> </w:t>
            </w:r>
            <w:r w:rsidRPr="0087584C">
              <w:rPr>
                <w:rFonts w:ascii="Times New Roman" w:eastAsia="Times New Roman" w:hAnsi="Times New Roman"/>
                <w:b/>
                <w:bCs/>
                <w:color w:val="000000"/>
                <w:sz w:val="20"/>
                <w:szCs w:val="20"/>
                <w:lang w:val="en-GB"/>
              </w:rPr>
              <w:t>of Regulation (EU) No 575/2013</w:t>
            </w:r>
            <w:r w:rsidR="00737DC7">
              <w:rPr>
                <w:rFonts w:ascii="Times New Roman" w:eastAsia="Times New Roman" w:hAnsi="Times New Roman"/>
                <w:b/>
                <w:bCs/>
                <w:color w:val="000000"/>
                <w:sz w:val="20"/>
                <w:szCs w:val="20"/>
                <w:lang w:val="en-GB"/>
              </w:rPr>
              <w:t xml:space="preserve"> (on and off balance sheet)</w:t>
            </w:r>
            <w:r>
              <w:rPr>
                <w:rFonts w:ascii="Times New Roman" w:eastAsia="Times New Roman" w:hAnsi="Times New Roman"/>
                <w:b/>
                <w:bCs/>
                <w:color w:val="000000"/>
                <w:sz w:val="20"/>
                <w:szCs w:val="20"/>
                <w:lang w:val="en-GB"/>
              </w:rPr>
              <w:t>)</w:t>
            </w:r>
          </w:p>
          <w:p w:rsidR="00DC1A1E" w:rsidRDefault="00DC1A1E" w:rsidP="00096A29">
            <w:pPr>
              <w:tabs>
                <w:tab w:val="left" w:pos="0"/>
              </w:tabs>
              <w:jc w:val="both"/>
              <w:rPr>
                <w:rFonts w:ascii="Times New Roman" w:eastAsia="Times New Roman" w:hAnsi="Times New Roman"/>
                <w:b/>
                <w:bCs/>
                <w:color w:val="000000"/>
                <w:sz w:val="20"/>
                <w:szCs w:val="20"/>
                <w:lang w:val="en-GB"/>
              </w:rPr>
            </w:pPr>
          </w:p>
          <w:p w:rsidR="00DC1A1E" w:rsidRDefault="00DC1A1E" w:rsidP="00096A29">
            <w:pPr>
              <w:tabs>
                <w:tab w:val="left" w:pos="0"/>
              </w:tabs>
              <w:jc w:val="both"/>
              <w:rPr>
                <w:rFonts w:ascii="Times New Roman" w:eastAsia="Times New Roman" w:hAnsi="Times New Roman"/>
                <w:bCs/>
                <w:color w:val="000000"/>
                <w:sz w:val="20"/>
                <w:szCs w:val="20"/>
                <w:lang w:val="en-GB"/>
              </w:rPr>
            </w:pPr>
            <w:r w:rsidRPr="003615FE">
              <w:rPr>
                <w:rFonts w:ascii="Times New Roman" w:eastAsia="Times New Roman" w:hAnsi="Times New Roman"/>
                <w:bCs/>
                <w:color w:val="000000"/>
                <w:sz w:val="20"/>
                <w:szCs w:val="20"/>
                <w:lang w:val="en-GB"/>
              </w:rPr>
              <w:t>Articles 429(7)</w:t>
            </w:r>
            <w:r w:rsidR="00D67E32">
              <w:rPr>
                <w:rFonts w:ascii="Times New Roman" w:eastAsia="Times New Roman" w:hAnsi="Times New Roman"/>
                <w:bCs/>
                <w:color w:val="000000"/>
                <w:sz w:val="20"/>
                <w:szCs w:val="20"/>
                <w:lang w:val="en-GB"/>
              </w:rPr>
              <w:t xml:space="preserve"> and</w:t>
            </w:r>
            <w:r w:rsidRPr="003615FE">
              <w:rPr>
                <w:rFonts w:ascii="Times New Roman" w:eastAsia="Times New Roman" w:hAnsi="Times New Roman"/>
                <w:bCs/>
                <w:color w:val="000000"/>
                <w:sz w:val="20"/>
                <w:szCs w:val="20"/>
                <w:lang w:val="en-GB"/>
              </w:rPr>
              <w:t xml:space="preserve"> 113(6) of </w:t>
            </w:r>
            <w:r>
              <w:rPr>
                <w:rFonts w:ascii="Times New Roman" w:eastAsia="Times New Roman" w:hAnsi="Times New Roman"/>
                <w:bCs/>
                <w:color w:val="000000"/>
                <w:sz w:val="20"/>
                <w:szCs w:val="20"/>
                <w:lang w:val="en-GB"/>
              </w:rPr>
              <w:t>Regulation (EU) No 575/2013</w:t>
            </w:r>
          </w:p>
          <w:p w:rsidR="00DC1A1E" w:rsidRDefault="00DC1A1E" w:rsidP="00096A29">
            <w:pPr>
              <w:tabs>
                <w:tab w:val="left" w:pos="0"/>
              </w:tabs>
              <w:jc w:val="both"/>
              <w:rPr>
                <w:rFonts w:ascii="Times New Roman" w:eastAsia="Times New Roman" w:hAnsi="Times New Roman"/>
                <w:bCs/>
                <w:color w:val="000000"/>
                <w:sz w:val="20"/>
                <w:szCs w:val="20"/>
                <w:lang w:val="en-GB"/>
              </w:rPr>
            </w:pPr>
          </w:p>
          <w:p w:rsidR="006E7EA9" w:rsidRPr="006E7EA9" w:rsidRDefault="006E7EA9" w:rsidP="006E7EA9">
            <w:pPr>
              <w:tabs>
                <w:tab w:val="left" w:pos="0"/>
              </w:tabs>
              <w:jc w:val="both"/>
              <w:rPr>
                <w:rFonts w:ascii="Times New Roman" w:eastAsia="Times New Roman" w:hAnsi="Times New Roman"/>
                <w:bCs/>
                <w:color w:val="000000"/>
                <w:sz w:val="20"/>
                <w:szCs w:val="20"/>
                <w:lang w:val="en-GB"/>
              </w:rPr>
            </w:pPr>
            <w:r>
              <w:rPr>
                <w:rFonts w:ascii="Times New Roman" w:hAnsi="Times New Roman"/>
                <w:bCs/>
              </w:rPr>
              <w:t>Institutions shall disclose the e</w:t>
            </w:r>
            <w:r w:rsidRPr="006E7EA9">
              <w:rPr>
                <w:rFonts w:ascii="Times New Roman" w:eastAsia="Times New Roman" w:hAnsi="Times New Roman"/>
                <w:bCs/>
                <w:color w:val="000000"/>
                <w:sz w:val="20"/>
                <w:szCs w:val="20"/>
                <w:lang w:val="en-GB"/>
              </w:rPr>
              <w:t xml:space="preserve">xposures that have not been consolidated on the applicable level of consolidation, that can benefit from the treatment laid down in Article 113(6)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N0 575/2013 </w:t>
            </w:r>
            <w:r w:rsidRPr="006E7EA9">
              <w:rPr>
                <w:rFonts w:ascii="Times New Roman" w:eastAsia="Times New Roman" w:hAnsi="Times New Roman"/>
                <w:bCs/>
                <w:color w:val="000000"/>
                <w:sz w:val="20"/>
                <w:szCs w:val="20"/>
                <w:lang w:val="en-GB"/>
              </w:rPr>
              <w:t xml:space="preserve">, provided that all the conditions set out in points (a) to (e) of Article 113(6) of </w:t>
            </w:r>
            <w:r w:rsidR="00DB0A9C" w:rsidRPr="00E3680B">
              <w:rPr>
                <w:rFonts w:ascii="Times New Roman" w:eastAsia="Times New Roman" w:hAnsi="Times New Roman"/>
                <w:bCs/>
                <w:color w:val="000000"/>
                <w:sz w:val="20"/>
                <w:szCs w:val="20"/>
              </w:rPr>
              <w:t>Regulation</w:t>
            </w:r>
            <w:r w:rsidR="00DB0A9C" w:rsidRPr="00E3680B">
              <w:rPr>
                <w:rFonts w:ascii="Times New Roman" w:eastAsia="MS Mincho" w:hAnsi="Times New Roman"/>
                <w:color w:val="000000"/>
                <w:sz w:val="20"/>
                <w:szCs w:val="20"/>
                <w:lang w:val="it-IT" w:eastAsia="ja-JP"/>
              </w:rPr>
              <w:t xml:space="preserve"> </w:t>
            </w:r>
            <w:r w:rsidR="00DB0A9C">
              <w:rPr>
                <w:rFonts w:ascii="Times New Roman" w:eastAsia="Times New Roman" w:hAnsi="Times New Roman"/>
                <w:bCs/>
                <w:color w:val="000000"/>
                <w:sz w:val="20"/>
                <w:szCs w:val="20"/>
                <w:lang w:val="en-GB"/>
              </w:rPr>
              <w:t xml:space="preserve">(EU) N0 575/2013 </w:t>
            </w:r>
            <w:r w:rsidRPr="006E7EA9">
              <w:rPr>
                <w:rFonts w:ascii="Times New Roman" w:eastAsia="Times New Roman" w:hAnsi="Times New Roman"/>
                <w:bCs/>
                <w:color w:val="000000"/>
                <w:sz w:val="20"/>
                <w:szCs w:val="20"/>
                <w:lang w:val="en-GB"/>
              </w:rPr>
              <w:t xml:space="preserve"> are met and where the competent authorities have given their approval.</w:t>
            </w:r>
          </w:p>
          <w:p w:rsidR="006E7EA9" w:rsidRPr="006E7EA9" w:rsidRDefault="006E7EA9" w:rsidP="006E7EA9">
            <w:pPr>
              <w:tabs>
                <w:tab w:val="left" w:pos="0"/>
              </w:tabs>
              <w:jc w:val="both"/>
              <w:rPr>
                <w:rFonts w:ascii="Times New Roman" w:eastAsia="Times New Roman" w:hAnsi="Times New Roman"/>
                <w:bCs/>
                <w:color w:val="000000"/>
                <w:sz w:val="20"/>
                <w:szCs w:val="20"/>
                <w:lang w:val="en-GB"/>
              </w:rPr>
            </w:pPr>
          </w:p>
          <w:p w:rsidR="00DC1A1E" w:rsidRDefault="006E7EA9" w:rsidP="00096A29">
            <w:pPr>
              <w:tabs>
                <w:tab w:val="left" w:pos="0"/>
              </w:tabs>
              <w:jc w:val="both"/>
              <w:rPr>
                <w:rFonts w:ascii="Times New Roman" w:eastAsia="Times New Roman" w:hAnsi="Times New Roman"/>
                <w:bCs/>
                <w:color w:val="000000"/>
                <w:sz w:val="20"/>
                <w:szCs w:val="20"/>
                <w:lang w:val="en-GB"/>
              </w:rPr>
            </w:pPr>
            <w:r w:rsidRPr="006E7EA9">
              <w:rPr>
                <w:rFonts w:ascii="Times New Roman" w:eastAsia="Times New Roman" w:hAnsi="Times New Roman"/>
                <w:bCs/>
                <w:color w:val="000000"/>
                <w:sz w:val="20"/>
                <w:szCs w:val="20"/>
                <w:lang w:val="en-GB"/>
              </w:rPr>
              <w:t xml:space="preserve">The amount </w:t>
            </w:r>
            <w:r w:rsidR="008032A0">
              <w:rPr>
                <w:rFonts w:ascii="Times New Roman" w:eastAsia="Times New Roman" w:hAnsi="Times New Roman"/>
                <w:bCs/>
                <w:color w:val="000000"/>
                <w:sz w:val="20"/>
                <w:szCs w:val="20"/>
                <w:lang w:val="en-GB"/>
              </w:rPr>
              <w:t>disclosed</w:t>
            </w:r>
            <w:r w:rsidRPr="006E7EA9">
              <w:rPr>
                <w:rFonts w:ascii="Times New Roman" w:eastAsia="Times New Roman" w:hAnsi="Times New Roman"/>
                <w:bCs/>
                <w:color w:val="000000"/>
                <w:sz w:val="20"/>
                <w:szCs w:val="20"/>
                <w:lang w:val="en-GB"/>
              </w:rPr>
              <w:t xml:space="preserve"> must also be included in the applicable cells above as if no exemption applies.</w:t>
            </w:r>
          </w:p>
          <w:p w:rsidR="007A4E17" w:rsidRDefault="007A4E17" w:rsidP="006E7EA9">
            <w:pPr>
              <w:tabs>
                <w:tab w:val="left" w:pos="0"/>
              </w:tabs>
              <w:jc w:val="both"/>
              <w:rPr>
                <w:rFonts w:ascii="Times New Roman" w:eastAsia="Times New Roman" w:hAnsi="Times New Roman"/>
                <w:bCs/>
                <w:color w:val="000000"/>
                <w:sz w:val="20"/>
                <w:szCs w:val="20"/>
                <w:lang w:val="en-GB"/>
              </w:rPr>
            </w:pPr>
          </w:p>
          <w:p w:rsidR="007A4E17" w:rsidRDefault="007A4E17" w:rsidP="006E7EA9">
            <w:pPr>
              <w:tabs>
                <w:tab w:val="left" w:pos="0"/>
              </w:tabs>
              <w:jc w:val="both"/>
              <w:rPr>
                <w:rFonts w:ascii="Times New Roman" w:eastAsia="Times New Roman" w:hAnsi="Times New Roman"/>
                <w:bCs/>
                <w:color w:val="000000"/>
                <w:sz w:val="20"/>
                <w:szCs w:val="20"/>
                <w:lang w:val="en-GB"/>
              </w:rPr>
            </w:pPr>
            <w:r w:rsidRPr="007A4E17">
              <w:rPr>
                <w:rFonts w:ascii="Times New Roman" w:eastAsia="Times New Roman" w:hAnsi="Times New Roman"/>
                <w:bCs/>
                <w:color w:val="000000"/>
                <w:sz w:val="20"/>
                <w:szCs w:val="20"/>
                <w:lang w:val="en-GB"/>
              </w:rPr>
              <w:t xml:space="preserve">Since it reduces the leverage ratio exposure measure </w:t>
            </w:r>
            <w:r w:rsidR="00F5373A">
              <w:rPr>
                <w:rFonts w:ascii="Times New Roman" w:eastAsia="Times New Roman" w:hAnsi="Times New Roman"/>
                <w:bCs/>
                <w:color w:val="000000"/>
                <w:sz w:val="20"/>
                <w:szCs w:val="20"/>
                <w:lang w:val="en-GB"/>
              </w:rPr>
              <w:t xml:space="preserve">institutions shall place </w:t>
            </w:r>
            <w:r w:rsidRPr="007A4E17">
              <w:rPr>
                <w:rFonts w:ascii="Times New Roman" w:eastAsia="Times New Roman" w:hAnsi="Times New Roman"/>
                <w:bCs/>
                <w:color w:val="000000"/>
                <w:sz w:val="20"/>
                <w:szCs w:val="20"/>
                <w:lang w:val="en-GB"/>
              </w:rPr>
              <w:t>the value in this cell</w:t>
            </w:r>
            <w:r w:rsidR="00F5373A">
              <w:rPr>
                <w:rFonts w:ascii="Times New Roman" w:eastAsia="Times New Roman" w:hAnsi="Times New Roman"/>
                <w:bCs/>
                <w:color w:val="000000"/>
                <w:sz w:val="20"/>
                <w:szCs w:val="20"/>
                <w:lang w:val="en-GB"/>
              </w:rPr>
              <w:t xml:space="preserve"> between brackets (which signifies that it</w:t>
            </w:r>
            <w:r w:rsidRPr="007A4E17">
              <w:rPr>
                <w:rFonts w:ascii="Times New Roman" w:eastAsia="Times New Roman" w:hAnsi="Times New Roman"/>
                <w:bCs/>
                <w:color w:val="000000"/>
                <w:sz w:val="20"/>
                <w:szCs w:val="20"/>
                <w:lang w:val="en-GB"/>
              </w:rPr>
              <w:t xml:space="preserve"> shall contribute negatively to the sum to be disclosed  in {LRCom</w:t>
            </w:r>
            <w:r w:rsidR="0091168B">
              <w:rPr>
                <w:rFonts w:ascii="Times New Roman" w:eastAsia="Times New Roman" w:hAnsi="Times New Roman"/>
                <w:bCs/>
                <w:color w:val="000000"/>
                <w:sz w:val="20"/>
                <w:szCs w:val="20"/>
                <w:lang w:val="en-GB"/>
              </w:rPr>
              <w:t>;</w:t>
            </w:r>
            <w:r>
              <w:rPr>
                <w:rFonts w:ascii="Times New Roman" w:eastAsia="Times New Roman" w:hAnsi="Times New Roman"/>
                <w:bCs/>
                <w:color w:val="000000"/>
                <w:sz w:val="20"/>
                <w:szCs w:val="20"/>
                <w:lang w:val="en-GB"/>
              </w:rPr>
              <w:t>21</w:t>
            </w:r>
            <w:r w:rsidRPr="007A4E17">
              <w:rPr>
                <w:rFonts w:ascii="Times New Roman" w:eastAsia="Times New Roman" w:hAnsi="Times New Roman"/>
                <w:bCs/>
                <w:color w:val="000000"/>
                <w:sz w:val="20"/>
                <w:szCs w:val="20"/>
                <w:lang w:val="en-GB"/>
              </w:rPr>
              <w:t>}</w:t>
            </w:r>
            <w:r w:rsidR="00F5373A">
              <w:rPr>
                <w:rFonts w:ascii="Times New Roman" w:eastAsia="Times New Roman" w:hAnsi="Times New Roman"/>
                <w:bCs/>
                <w:color w:val="000000"/>
                <w:sz w:val="20"/>
                <w:szCs w:val="20"/>
                <w:lang w:val="en-GB"/>
              </w:rPr>
              <w:t>)</w:t>
            </w:r>
            <w:r w:rsidRPr="007A4E17">
              <w:rPr>
                <w:rFonts w:ascii="Times New Roman" w:eastAsia="Times New Roman" w:hAnsi="Times New Roman"/>
                <w:bCs/>
                <w:color w:val="000000"/>
                <w:sz w:val="20"/>
                <w:szCs w:val="20"/>
                <w:lang w:val="en-GB"/>
              </w:rPr>
              <w:t>.</w:t>
            </w:r>
          </w:p>
          <w:p w:rsidR="00DC1A1E" w:rsidRPr="00744CC4" w:rsidRDefault="00DC1A1E" w:rsidP="00715CAC">
            <w:pPr>
              <w:tabs>
                <w:tab w:val="left" w:pos="0"/>
              </w:tabs>
              <w:jc w:val="both"/>
              <w:rPr>
                <w:rFonts w:ascii="Times New Roman" w:eastAsia="Times New Roman" w:hAnsi="Times New Roman"/>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{EU-19b}</w:t>
            </w:r>
          </w:p>
        </w:tc>
        <w:tc>
          <w:tcPr>
            <w:tcW w:w="7590" w:type="dxa"/>
          </w:tcPr>
          <w:p w:rsidR="00DC1A1E" w:rsidRDefault="0087584C" w:rsidP="00096A29">
            <w:pPr>
              <w:tabs>
                <w:tab w:val="left" w:pos="0"/>
              </w:tabs>
              <w:jc w:val="both"/>
              <w:rPr>
                <w:rFonts w:ascii="Times New Roman" w:eastAsia="Times New Roman" w:hAnsi="Times New Roman"/>
                <w:b/>
                <w:bCs/>
                <w:color w:val="000000"/>
                <w:sz w:val="20"/>
                <w:szCs w:val="20"/>
                <w:lang w:val="en-GB"/>
              </w:rPr>
            </w:pPr>
            <w:r>
              <w:rPr>
                <w:rFonts w:ascii="Times New Roman" w:eastAsia="Times New Roman" w:hAnsi="Times New Roman"/>
                <w:b/>
                <w:bCs/>
                <w:color w:val="000000"/>
                <w:sz w:val="20"/>
                <w:szCs w:val="20"/>
                <w:lang w:val="en-GB"/>
              </w:rPr>
              <w:t>(</w:t>
            </w:r>
            <w:r w:rsidR="00DC1A1E" w:rsidRPr="00B54E74">
              <w:rPr>
                <w:rFonts w:ascii="Times New Roman" w:eastAsia="Times New Roman" w:hAnsi="Times New Roman"/>
                <w:b/>
                <w:bCs/>
                <w:color w:val="000000"/>
                <w:sz w:val="20"/>
                <w:szCs w:val="20"/>
                <w:lang w:val="en-GB"/>
              </w:rPr>
              <w:t xml:space="preserve">Exposures exempted </w:t>
            </w:r>
            <w:r w:rsidR="0009671A">
              <w:rPr>
                <w:rFonts w:ascii="Times New Roman" w:eastAsia="Times New Roman" w:hAnsi="Times New Roman"/>
                <w:b/>
                <w:bCs/>
                <w:color w:val="000000"/>
                <w:sz w:val="20"/>
                <w:szCs w:val="20"/>
                <w:lang w:val="en-GB"/>
              </w:rPr>
              <w:t>in accordance with</w:t>
            </w:r>
            <w:r w:rsidR="00DC1A1E" w:rsidRPr="00B54E74">
              <w:rPr>
                <w:rFonts w:ascii="Times New Roman" w:eastAsia="Times New Roman" w:hAnsi="Times New Roman"/>
                <w:b/>
                <w:bCs/>
                <w:color w:val="000000"/>
                <w:sz w:val="20"/>
                <w:szCs w:val="20"/>
                <w:lang w:val="en-GB"/>
              </w:rPr>
              <w:t xml:space="preserve"> </w:t>
            </w:r>
            <w:r w:rsidR="00DC1A1E">
              <w:rPr>
                <w:rFonts w:ascii="Times New Roman" w:eastAsia="Times New Roman" w:hAnsi="Times New Roman"/>
                <w:b/>
                <w:bCs/>
                <w:color w:val="000000"/>
                <w:sz w:val="20"/>
                <w:szCs w:val="20"/>
                <w:lang w:val="en-GB"/>
              </w:rPr>
              <w:t xml:space="preserve">Article </w:t>
            </w:r>
            <w:r w:rsidR="00DC1A1E" w:rsidRPr="00B54E74">
              <w:rPr>
                <w:rFonts w:ascii="Times New Roman" w:eastAsia="Times New Roman" w:hAnsi="Times New Roman"/>
                <w:b/>
                <w:bCs/>
                <w:color w:val="000000"/>
                <w:sz w:val="20"/>
                <w:szCs w:val="20"/>
                <w:lang w:val="en-GB"/>
              </w:rPr>
              <w:t>429(14)</w:t>
            </w:r>
            <w:r>
              <w:rPr>
                <w:rFonts w:ascii="Times New Roman" w:eastAsia="Times New Roman" w:hAnsi="Times New Roman"/>
                <w:b/>
                <w:bCs/>
                <w:color w:val="000000"/>
                <w:sz w:val="20"/>
                <w:szCs w:val="20"/>
                <w:lang w:val="en-GB"/>
              </w:rPr>
              <w:t xml:space="preserve"> </w:t>
            </w:r>
            <w:r w:rsidRPr="0087584C">
              <w:rPr>
                <w:rFonts w:ascii="Times New Roman" w:eastAsia="Times New Roman" w:hAnsi="Times New Roman"/>
                <w:b/>
                <w:bCs/>
                <w:color w:val="000000"/>
                <w:sz w:val="20"/>
                <w:szCs w:val="20"/>
                <w:lang w:val="en-GB"/>
              </w:rPr>
              <w:t>of Regulation (EU) No 575/2013</w:t>
            </w:r>
            <w:r w:rsidR="00737DC7">
              <w:rPr>
                <w:rFonts w:ascii="Times New Roman" w:eastAsia="Times New Roman" w:hAnsi="Times New Roman"/>
                <w:b/>
                <w:bCs/>
                <w:color w:val="000000"/>
                <w:sz w:val="20"/>
                <w:szCs w:val="20"/>
                <w:lang w:val="en-GB"/>
              </w:rPr>
              <w:t xml:space="preserve"> (on and off balance sheet)</w:t>
            </w:r>
            <w:r>
              <w:rPr>
                <w:rFonts w:ascii="Times New Roman" w:eastAsia="Times New Roman" w:hAnsi="Times New Roman"/>
                <w:b/>
                <w:bCs/>
                <w:color w:val="000000"/>
                <w:sz w:val="20"/>
                <w:szCs w:val="20"/>
                <w:lang w:val="en-GB"/>
              </w:rPr>
              <w:t>)</w:t>
            </w:r>
          </w:p>
          <w:p w:rsidR="00DC1A1E" w:rsidRPr="00BC2450" w:rsidRDefault="00DC1A1E" w:rsidP="00096A29">
            <w:pPr>
              <w:tabs>
                <w:tab w:val="left" w:pos="0"/>
              </w:tabs>
              <w:jc w:val="both"/>
              <w:rPr>
                <w:rFonts w:ascii="Times New Roman" w:eastAsia="Times New Roman" w:hAnsi="Times New Roman"/>
                <w:bCs/>
                <w:color w:val="000000"/>
                <w:sz w:val="20"/>
                <w:szCs w:val="20"/>
                <w:lang w:val="en-GB"/>
              </w:rPr>
            </w:pPr>
          </w:p>
          <w:p w:rsidR="00DC1A1E" w:rsidRPr="00BC2450" w:rsidRDefault="00DC1A1E" w:rsidP="00096A29">
            <w:pPr>
              <w:tabs>
                <w:tab w:val="left" w:pos="0"/>
              </w:tabs>
              <w:jc w:val="both"/>
              <w:rPr>
                <w:rFonts w:ascii="Times New Roman" w:eastAsia="Times New Roman" w:hAnsi="Times New Roman"/>
                <w:bCs/>
                <w:color w:val="000000"/>
                <w:sz w:val="20"/>
                <w:szCs w:val="20"/>
                <w:lang w:val="en-GB"/>
              </w:rPr>
            </w:pPr>
            <w:r w:rsidRPr="00BC2450">
              <w:rPr>
                <w:rFonts w:ascii="Times New Roman" w:eastAsia="Times New Roman" w:hAnsi="Times New Roman"/>
                <w:bCs/>
                <w:color w:val="000000"/>
                <w:sz w:val="20"/>
                <w:szCs w:val="20"/>
                <w:lang w:val="en-GB"/>
              </w:rPr>
              <w:t>Article 429(14) of Regulation (EU) No 575/2013</w:t>
            </w:r>
          </w:p>
          <w:p w:rsidR="00DC1A1E" w:rsidRDefault="00DC1A1E" w:rsidP="00096A29">
            <w:pPr>
              <w:tabs>
                <w:tab w:val="left" w:pos="0"/>
              </w:tabs>
              <w:jc w:val="both"/>
              <w:rPr>
                <w:rFonts w:ascii="Times New Roman" w:eastAsia="Times New Roman" w:hAnsi="Times New Roman"/>
                <w:bCs/>
                <w:color w:val="000000"/>
                <w:sz w:val="20"/>
                <w:szCs w:val="20"/>
                <w:lang w:val="en-GB"/>
              </w:rPr>
            </w:pPr>
          </w:p>
          <w:p w:rsidR="006E7EA9" w:rsidRDefault="006E7EA9" w:rsidP="006E7EA9">
            <w:pPr>
              <w:pStyle w:val="BodyText1"/>
              <w:spacing w:line="240" w:lineRule="auto"/>
              <w:rPr>
                <w:rFonts w:ascii="Times New Roman" w:hAnsi="Times New Roman"/>
                <w:bCs/>
              </w:rPr>
            </w:pPr>
            <w:r>
              <w:rPr>
                <w:rFonts w:ascii="Times New Roman" w:hAnsi="Times New Roman"/>
                <w:bCs/>
              </w:rPr>
              <w:t xml:space="preserve">Institutions shall disclose the exposures exempted </w:t>
            </w:r>
            <w:r w:rsidR="0009671A">
              <w:rPr>
                <w:rFonts w:ascii="Times New Roman" w:hAnsi="Times New Roman"/>
                <w:bCs/>
              </w:rPr>
              <w:t>in accordance with</w:t>
            </w:r>
            <w:r>
              <w:rPr>
                <w:rFonts w:ascii="Times New Roman" w:hAnsi="Times New Roman"/>
                <w:bCs/>
              </w:rPr>
              <w:t xml:space="preserve"> 429(14) of </w:t>
            </w:r>
            <w:r w:rsidR="00DB0A9C" w:rsidRPr="00E3680B">
              <w:rPr>
                <w:rFonts w:ascii="Times New Roman" w:hAnsi="Times New Roman"/>
                <w:bCs/>
              </w:rPr>
              <w:t>Regulation</w:t>
            </w:r>
            <w:r w:rsidR="00DB0A9C" w:rsidRPr="00E3680B">
              <w:rPr>
                <w:rFonts w:ascii="Times New Roman" w:eastAsia="MS Mincho" w:hAnsi="Times New Roman"/>
                <w:lang w:val="it-IT" w:eastAsia="ja-JP"/>
              </w:rPr>
              <w:t xml:space="preserve"> </w:t>
            </w:r>
            <w:r w:rsidR="00DB0A9C">
              <w:rPr>
                <w:rFonts w:ascii="Times New Roman" w:hAnsi="Times New Roman"/>
                <w:bCs/>
              </w:rPr>
              <w:t xml:space="preserve">(EU) N0 575/2013 </w:t>
            </w:r>
            <w:r>
              <w:rPr>
                <w:rFonts w:ascii="Times New Roman" w:hAnsi="Times New Roman"/>
                <w:bCs/>
              </w:rPr>
              <w:t xml:space="preserve"> subject to the therein stated conditions being met</w:t>
            </w:r>
            <w:r w:rsidR="00694611">
              <w:rPr>
                <w:rFonts w:ascii="Times New Roman" w:hAnsi="Times New Roman"/>
                <w:bCs/>
              </w:rPr>
              <w:t xml:space="preserve"> </w:t>
            </w:r>
            <w:r w:rsidR="00694611" w:rsidRPr="006E7EA9">
              <w:rPr>
                <w:rFonts w:ascii="Times New Roman" w:hAnsi="Times New Roman"/>
                <w:bCs/>
              </w:rPr>
              <w:t>and where the competent authorities have given their approval</w:t>
            </w:r>
            <w:r>
              <w:rPr>
                <w:rFonts w:ascii="Times New Roman" w:hAnsi="Times New Roman"/>
                <w:bCs/>
              </w:rPr>
              <w:t>.</w:t>
            </w:r>
          </w:p>
          <w:p w:rsidR="00DC1A1E" w:rsidRDefault="00DC1A1E" w:rsidP="00096A29">
            <w:pPr>
              <w:tabs>
                <w:tab w:val="left" w:pos="0"/>
              </w:tabs>
              <w:jc w:val="both"/>
              <w:rPr>
                <w:rFonts w:ascii="Times New Roman" w:eastAsia="Times New Roman" w:hAnsi="Times New Roman"/>
                <w:bCs/>
                <w:color w:val="000000"/>
                <w:sz w:val="20"/>
                <w:szCs w:val="20"/>
                <w:lang w:val="en-GB"/>
              </w:rPr>
            </w:pPr>
          </w:p>
          <w:p w:rsidR="006E7EA9" w:rsidRDefault="006E7EA9" w:rsidP="006E7EA9">
            <w:pPr>
              <w:pStyle w:val="BodyText1"/>
              <w:spacing w:line="240" w:lineRule="auto"/>
              <w:rPr>
                <w:rFonts w:ascii="Times New Roman" w:hAnsi="Times New Roman"/>
                <w:bCs/>
              </w:rPr>
            </w:pPr>
            <w:r w:rsidRPr="00433F12">
              <w:rPr>
                <w:rFonts w:ascii="Times New Roman" w:hAnsi="Times New Roman"/>
                <w:bCs/>
              </w:rPr>
              <w:t xml:space="preserve">The amount </w:t>
            </w:r>
            <w:r w:rsidR="008032A0">
              <w:rPr>
                <w:rFonts w:ascii="Times New Roman" w:hAnsi="Times New Roman"/>
                <w:bCs/>
              </w:rPr>
              <w:t>disclosed</w:t>
            </w:r>
            <w:r w:rsidRPr="00433F12">
              <w:rPr>
                <w:rFonts w:ascii="Times New Roman" w:hAnsi="Times New Roman"/>
                <w:bCs/>
              </w:rPr>
              <w:t xml:space="preserve"> must als</w:t>
            </w:r>
            <w:r>
              <w:rPr>
                <w:rFonts w:ascii="Times New Roman" w:hAnsi="Times New Roman"/>
                <w:bCs/>
              </w:rPr>
              <w:t>o be included in the applicable cells above as if no exemption applies</w:t>
            </w:r>
            <w:r w:rsidRPr="00433F12">
              <w:rPr>
                <w:rFonts w:ascii="Times New Roman" w:hAnsi="Times New Roman"/>
                <w:bCs/>
              </w:rPr>
              <w:t>.</w:t>
            </w:r>
          </w:p>
          <w:p w:rsidR="00F5373A" w:rsidRDefault="00F5373A" w:rsidP="006E7EA9">
            <w:pPr>
              <w:pStyle w:val="BodyText1"/>
              <w:spacing w:line="240" w:lineRule="auto"/>
              <w:rPr>
                <w:rFonts w:ascii="Times New Roman" w:hAnsi="Times New Roman"/>
                <w:bCs/>
              </w:rPr>
            </w:pPr>
          </w:p>
          <w:p w:rsidR="00DC1A1E" w:rsidRPr="00744CC4" w:rsidRDefault="007A4E17" w:rsidP="00F5373A">
            <w:pPr>
              <w:tabs>
                <w:tab w:val="left" w:pos="0"/>
              </w:tabs>
              <w:jc w:val="both"/>
              <w:rPr>
                <w:rFonts w:ascii="Times New Roman" w:eastAsia="Times New Roman" w:hAnsi="Times New Roman"/>
                <w:bCs/>
                <w:color w:val="000000"/>
                <w:sz w:val="20"/>
                <w:szCs w:val="20"/>
                <w:lang w:val="en-GB"/>
              </w:rPr>
            </w:pPr>
            <w:r w:rsidRPr="007A4E17">
              <w:rPr>
                <w:rFonts w:ascii="Times New Roman" w:eastAsia="Times New Roman" w:hAnsi="Times New Roman"/>
                <w:bCs/>
                <w:color w:val="000000"/>
                <w:sz w:val="20"/>
                <w:szCs w:val="20"/>
                <w:lang w:val="en-GB"/>
              </w:rPr>
              <w:t xml:space="preserve">Since it reduces the leverage ratio exposure measure </w:t>
            </w:r>
            <w:r w:rsidR="00F5373A">
              <w:rPr>
                <w:rFonts w:ascii="Times New Roman" w:eastAsia="Times New Roman" w:hAnsi="Times New Roman"/>
                <w:bCs/>
                <w:color w:val="000000"/>
                <w:sz w:val="20"/>
                <w:szCs w:val="20"/>
                <w:lang w:val="en-GB"/>
              </w:rPr>
              <w:t xml:space="preserve">institutions shall place </w:t>
            </w:r>
            <w:r w:rsidRPr="007A4E17">
              <w:rPr>
                <w:rFonts w:ascii="Times New Roman" w:eastAsia="Times New Roman" w:hAnsi="Times New Roman"/>
                <w:bCs/>
                <w:color w:val="000000"/>
                <w:sz w:val="20"/>
                <w:szCs w:val="20"/>
                <w:lang w:val="en-GB"/>
              </w:rPr>
              <w:t>the value in this cell</w:t>
            </w:r>
            <w:r w:rsidR="00F5373A">
              <w:rPr>
                <w:rFonts w:ascii="Times New Roman" w:eastAsia="Times New Roman" w:hAnsi="Times New Roman"/>
                <w:bCs/>
                <w:color w:val="000000"/>
                <w:sz w:val="20"/>
                <w:szCs w:val="20"/>
                <w:lang w:val="en-GB"/>
              </w:rPr>
              <w:t xml:space="preserve"> between brackets (which signifies that it</w:t>
            </w:r>
            <w:r w:rsidRPr="007A4E17">
              <w:rPr>
                <w:rFonts w:ascii="Times New Roman" w:eastAsia="Times New Roman" w:hAnsi="Times New Roman"/>
                <w:bCs/>
                <w:color w:val="000000"/>
                <w:sz w:val="20"/>
                <w:szCs w:val="20"/>
                <w:lang w:val="en-GB"/>
              </w:rPr>
              <w:t xml:space="preserve"> shall contribute negatively to the sum to be disclosed  in {LRCom</w:t>
            </w:r>
            <w:r w:rsidR="0091168B">
              <w:rPr>
                <w:rFonts w:ascii="Times New Roman" w:eastAsia="Times New Roman" w:hAnsi="Times New Roman"/>
                <w:bCs/>
                <w:color w:val="000000"/>
                <w:sz w:val="20"/>
                <w:szCs w:val="20"/>
                <w:lang w:val="en-GB"/>
              </w:rPr>
              <w:t>;</w:t>
            </w:r>
            <w:r w:rsidRPr="007A4E17">
              <w:rPr>
                <w:rFonts w:ascii="Times New Roman" w:eastAsia="Times New Roman" w:hAnsi="Times New Roman"/>
                <w:bCs/>
                <w:color w:val="000000"/>
                <w:sz w:val="20"/>
                <w:szCs w:val="20"/>
                <w:lang w:val="en-GB"/>
              </w:rPr>
              <w:t>21}</w:t>
            </w:r>
            <w:r w:rsidR="00F5373A">
              <w:rPr>
                <w:rFonts w:ascii="Times New Roman" w:eastAsia="Times New Roman" w:hAnsi="Times New Roman"/>
                <w:bCs/>
                <w:color w:val="000000"/>
                <w:sz w:val="20"/>
                <w:szCs w:val="20"/>
                <w:lang w:val="en-GB"/>
              </w:rPr>
              <w:t>)</w:t>
            </w:r>
            <w:r w:rsidRPr="007A4E17">
              <w:rPr>
                <w:rFonts w:ascii="Times New Roman" w:eastAsia="Times New Roman" w:hAnsi="Times New Roman"/>
                <w:bCs/>
                <w:color w:val="000000"/>
                <w:sz w:val="20"/>
                <w:szCs w:val="20"/>
                <w:lang w:val="en-GB"/>
              </w:rPr>
              <w:t>.</w:t>
            </w: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{20}</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
                <w:bCs/>
                <w:color w:val="000000"/>
                <w:sz w:val="20"/>
                <w:szCs w:val="20"/>
                <w:lang w:val="en-GB"/>
              </w:rPr>
              <w:t>Tier 1 capital</w:t>
            </w:r>
          </w:p>
          <w:p w:rsidR="00DC1A1E" w:rsidRDefault="00DC1A1E" w:rsidP="00744CC4">
            <w:pPr>
              <w:tabs>
                <w:tab w:val="left" w:pos="0"/>
              </w:tabs>
              <w:jc w:val="both"/>
              <w:rPr>
                <w:rFonts w:ascii="Times New Roman" w:eastAsia="Times New Roman" w:hAnsi="Times New Roman"/>
                <w:bCs/>
                <w:sz w:val="20"/>
                <w:szCs w:val="20"/>
                <w:lang w:val="en-GB"/>
              </w:rPr>
            </w:pPr>
          </w:p>
          <w:p w:rsidR="00DC1A1E" w:rsidRPr="00744CC4" w:rsidRDefault="00DC1A1E" w:rsidP="00744CC4">
            <w:pPr>
              <w:tabs>
                <w:tab w:val="left" w:pos="0"/>
              </w:tabs>
              <w:jc w:val="both"/>
              <w:rPr>
                <w:rFonts w:ascii="Times New Roman" w:eastAsia="Times New Roman" w:hAnsi="Times New Roman"/>
                <w:bCs/>
                <w:sz w:val="20"/>
                <w:szCs w:val="20"/>
                <w:lang w:val="en-GB"/>
              </w:rPr>
            </w:pPr>
            <w:r w:rsidRPr="00744CC4">
              <w:rPr>
                <w:rFonts w:ascii="Times New Roman" w:eastAsia="Times New Roman" w:hAnsi="Times New Roman"/>
                <w:bCs/>
                <w:sz w:val="20"/>
                <w:szCs w:val="20"/>
                <w:lang w:val="en-GB"/>
              </w:rPr>
              <w:t>Articles 429(3) and 499(1) and (2) of Regulation (EU) No 575/2013</w:t>
            </w:r>
          </w:p>
          <w:p w:rsidR="00DC1A1E" w:rsidRPr="00744CC4" w:rsidRDefault="00DC1A1E" w:rsidP="00744CC4">
            <w:pPr>
              <w:tabs>
                <w:tab w:val="left" w:pos="0"/>
              </w:tabs>
              <w:jc w:val="both"/>
              <w:rPr>
                <w:rFonts w:ascii="Times New Roman" w:eastAsia="Times New Roman" w:hAnsi="Times New Roman"/>
                <w:bCs/>
                <w:sz w:val="20"/>
                <w:szCs w:val="20"/>
                <w:lang w:val="en-GB"/>
              </w:rPr>
            </w:pPr>
          </w:p>
          <w:p w:rsidR="00DC1A1E" w:rsidRPr="00744CC4" w:rsidRDefault="00DC1A1E" w:rsidP="00E3680B">
            <w:pPr>
              <w:tabs>
                <w:tab w:val="left" w:pos="0"/>
              </w:tabs>
              <w:jc w:val="both"/>
              <w:rPr>
                <w:rFonts w:ascii="Times New Roman" w:eastAsia="Times New Roman" w:hAnsi="Times New Roman"/>
                <w:bCs/>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Pr="00744CC4">
              <w:rPr>
                <w:rFonts w:ascii="Times New Roman" w:eastAsia="Times New Roman" w:hAnsi="Times New Roman"/>
                <w:bCs/>
                <w:sz w:val="20"/>
                <w:szCs w:val="20"/>
                <w:lang w:val="en-GB"/>
              </w:rPr>
              <w:t xml:space="preserve">amount of Tier 1 capital calculated </w:t>
            </w:r>
            <w:r w:rsidR="0009671A">
              <w:rPr>
                <w:rFonts w:ascii="Times New Roman" w:eastAsia="Times New Roman" w:hAnsi="Times New Roman"/>
                <w:bCs/>
                <w:sz w:val="20"/>
                <w:szCs w:val="20"/>
                <w:lang w:val="en-GB"/>
              </w:rPr>
              <w:t>in accordance with</w:t>
            </w:r>
            <w:r w:rsidRPr="00744CC4">
              <w:rPr>
                <w:rFonts w:ascii="Times New Roman" w:eastAsia="Times New Roman" w:hAnsi="Times New Roman"/>
                <w:bCs/>
                <w:sz w:val="20"/>
                <w:szCs w:val="20"/>
                <w:lang w:val="en-GB"/>
              </w:rPr>
              <w:t xml:space="preserve"> the choice that the institution has made pursuant to Article 499(2) of Regulation (EU) No 575/2013, as disclosed by {LRCom;EU-23}.</w:t>
            </w:r>
          </w:p>
          <w:p w:rsidR="00DC1A1E" w:rsidRPr="00744CC4" w:rsidRDefault="00DC1A1E" w:rsidP="00744CC4">
            <w:pPr>
              <w:tabs>
                <w:tab w:val="left" w:pos="0"/>
              </w:tabs>
              <w:jc w:val="both"/>
              <w:rPr>
                <w:rFonts w:ascii="Times New Roman" w:eastAsia="Times New Roman" w:hAnsi="Times New Roman"/>
                <w:bCs/>
                <w:sz w:val="20"/>
                <w:szCs w:val="20"/>
                <w:lang w:val="en-GB"/>
              </w:rPr>
            </w:pPr>
          </w:p>
          <w:p w:rsidR="00DC1A1E" w:rsidRPr="00744CC4" w:rsidRDefault="00DC1A1E" w:rsidP="00E3680B">
            <w:pPr>
              <w:tabs>
                <w:tab w:val="left" w:pos="0"/>
              </w:tabs>
              <w:jc w:val="both"/>
              <w:rPr>
                <w:rFonts w:ascii="Times New Roman" w:eastAsia="Times New Roman" w:hAnsi="Times New Roman"/>
                <w:bCs/>
                <w:sz w:val="20"/>
                <w:szCs w:val="20"/>
                <w:lang w:val="en-GB"/>
              </w:rPr>
            </w:pPr>
            <w:r w:rsidRPr="00744CC4">
              <w:rPr>
                <w:rFonts w:ascii="Times New Roman" w:eastAsia="Times New Roman" w:hAnsi="Times New Roman"/>
                <w:bCs/>
                <w:sz w:val="20"/>
                <w:szCs w:val="20"/>
                <w:lang w:val="en-GB"/>
              </w:rPr>
              <w:t xml:space="preserve">More specifically, where the institution has chosen to disclose Tier 1 capital in accordance with Article 499(1)(a) of Regulation (EU) No 575/2013, it shall disclose the amount of Tier 1 capital as calculated </w:t>
            </w:r>
            <w:r w:rsidR="0009671A">
              <w:rPr>
                <w:rFonts w:ascii="Times New Roman" w:eastAsia="Times New Roman" w:hAnsi="Times New Roman"/>
                <w:bCs/>
                <w:sz w:val="20"/>
                <w:szCs w:val="20"/>
                <w:lang w:val="en-GB"/>
              </w:rPr>
              <w:t>in accordance with</w:t>
            </w:r>
            <w:r w:rsidRPr="00744CC4">
              <w:rPr>
                <w:rFonts w:ascii="Times New Roman" w:eastAsia="Times New Roman" w:hAnsi="Times New Roman"/>
                <w:bCs/>
                <w:sz w:val="20"/>
                <w:szCs w:val="20"/>
                <w:lang w:val="en-GB"/>
              </w:rPr>
              <w:t xml:space="preserve"> Article 25 of Regulation (EU) No 575/2013, without taking into account the derogations laid down in Chapters 1 and 2 of Title I of Part Ten of Regulation (EU) No 575/2013.</w:t>
            </w:r>
          </w:p>
          <w:p w:rsidR="00DC1A1E" w:rsidRPr="00744CC4" w:rsidRDefault="00DC1A1E" w:rsidP="00E3680B">
            <w:pPr>
              <w:tabs>
                <w:tab w:val="left" w:pos="0"/>
              </w:tabs>
              <w:jc w:val="both"/>
              <w:rPr>
                <w:rFonts w:ascii="Times New Roman" w:eastAsia="Times New Roman" w:hAnsi="Times New Roman"/>
                <w:bCs/>
                <w:sz w:val="20"/>
                <w:szCs w:val="20"/>
                <w:lang w:val="en-GB"/>
              </w:rPr>
            </w:pPr>
          </w:p>
          <w:p w:rsidR="00DC1A1E" w:rsidRPr="00744CC4" w:rsidRDefault="00DC1A1E" w:rsidP="00E3680B">
            <w:pPr>
              <w:tabs>
                <w:tab w:val="left" w:pos="0"/>
              </w:tabs>
              <w:jc w:val="both"/>
              <w:rPr>
                <w:rFonts w:ascii="Times New Roman" w:eastAsia="Times New Roman" w:hAnsi="Times New Roman"/>
                <w:bCs/>
                <w:sz w:val="20"/>
                <w:szCs w:val="20"/>
                <w:lang w:val="en-GB"/>
              </w:rPr>
            </w:pPr>
            <w:r w:rsidRPr="00744CC4">
              <w:rPr>
                <w:rFonts w:ascii="Times New Roman" w:eastAsia="Times New Roman" w:hAnsi="Times New Roman"/>
                <w:bCs/>
                <w:sz w:val="20"/>
                <w:szCs w:val="20"/>
                <w:lang w:val="en-GB"/>
              </w:rPr>
              <w:t xml:space="preserve">In contrast, where the institution has chosen to disclose Tier 1 capital in accordance with Article 499(1)(b) of Regulation (EU) No 575/2013, it shall disclose the amount of Tier 1 capital as calculated </w:t>
            </w:r>
            <w:r w:rsidR="0009671A">
              <w:rPr>
                <w:rFonts w:ascii="Times New Roman" w:eastAsia="Times New Roman" w:hAnsi="Times New Roman"/>
                <w:bCs/>
                <w:sz w:val="20"/>
                <w:szCs w:val="20"/>
                <w:lang w:val="en-GB"/>
              </w:rPr>
              <w:t>in accordance with</w:t>
            </w:r>
            <w:r w:rsidRPr="00744CC4">
              <w:rPr>
                <w:rFonts w:ascii="Times New Roman" w:eastAsia="Times New Roman" w:hAnsi="Times New Roman"/>
                <w:bCs/>
                <w:sz w:val="20"/>
                <w:szCs w:val="20"/>
                <w:lang w:val="en-GB"/>
              </w:rPr>
              <w:t xml:space="preserve"> Article 25 of Regulation (EU) No 575/2013, after taking into account the derogations laid down in Chapters 1 and 2 of Title I of Part Ten of  Regulation (EU) No 575/2013.</w:t>
            </w:r>
          </w:p>
          <w:p w:rsidR="00DC1A1E" w:rsidRPr="00744CC4" w:rsidRDefault="00DC1A1E" w:rsidP="00E3680B">
            <w:pPr>
              <w:tabs>
                <w:tab w:val="left" w:pos="0"/>
              </w:tabs>
              <w:jc w:val="both"/>
              <w:rPr>
                <w:rFonts w:ascii="Times New Roman" w:eastAsia="Times New Roman" w:hAnsi="Times New Roman"/>
                <w:bCs/>
                <w:sz w:val="20"/>
                <w:szCs w:val="20"/>
                <w:lang w:val="en-GB"/>
              </w:rPr>
            </w:pP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{21}</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
                <w:bCs/>
                <w:color w:val="000000"/>
                <w:sz w:val="20"/>
                <w:szCs w:val="20"/>
                <w:lang w:val="en-GB"/>
              </w:rPr>
              <w:t>Total exposures</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p w:rsidR="00DC1A1E" w:rsidRDefault="00DC1A1E"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Institutions shall disclose t</w:t>
            </w:r>
            <w:r w:rsidRPr="00E3680B">
              <w:rPr>
                <w:rFonts w:ascii="Times New Roman" w:eastAsia="Times New Roman" w:hAnsi="Times New Roman"/>
                <w:bCs/>
                <w:color w:val="000000"/>
                <w:sz w:val="20"/>
                <w:szCs w:val="20"/>
                <w:lang w:val="en-GB"/>
              </w:rPr>
              <w:t xml:space="preserve">he sum of {LRCom;3}, {LRCom;11}, {LRCom;16}, {LRCom;19}, </w:t>
            </w:r>
            <w:r>
              <w:rPr>
                <w:rFonts w:ascii="Times New Roman" w:eastAsia="Times New Roman" w:hAnsi="Times New Roman"/>
                <w:bCs/>
                <w:color w:val="000000"/>
                <w:sz w:val="20"/>
                <w:szCs w:val="20"/>
                <w:lang w:val="en-GB"/>
              </w:rPr>
              <w:t>{LRCom;</w:t>
            </w:r>
            <w:r w:rsidR="00FE6605">
              <w:rPr>
                <w:rFonts w:ascii="Times New Roman" w:eastAsia="Times New Roman" w:hAnsi="Times New Roman"/>
                <w:bCs/>
                <w:color w:val="000000"/>
                <w:sz w:val="20"/>
                <w:szCs w:val="20"/>
                <w:lang w:val="en-GB"/>
              </w:rPr>
              <w:t>EU-</w:t>
            </w:r>
            <w:r>
              <w:rPr>
                <w:rFonts w:ascii="Times New Roman" w:eastAsia="Times New Roman" w:hAnsi="Times New Roman"/>
                <w:bCs/>
                <w:color w:val="000000"/>
                <w:sz w:val="20"/>
                <w:szCs w:val="20"/>
                <w:lang w:val="en-GB"/>
              </w:rPr>
              <w:t xml:space="preserve">19a} </w:t>
            </w:r>
            <w:r w:rsidRPr="00E3680B">
              <w:rPr>
                <w:rFonts w:ascii="Times New Roman" w:eastAsia="Times New Roman" w:hAnsi="Times New Roman"/>
                <w:bCs/>
                <w:color w:val="000000"/>
                <w:sz w:val="20"/>
                <w:szCs w:val="20"/>
                <w:lang w:val="en-GB"/>
              </w:rPr>
              <w:t>and {LRCom;EU-</w:t>
            </w:r>
            <w:r>
              <w:rPr>
                <w:rFonts w:ascii="Times New Roman" w:eastAsia="Times New Roman" w:hAnsi="Times New Roman"/>
                <w:bCs/>
                <w:color w:val="000000"/>
                <w:sz w:val="20"/>
                <w:szCs w:val="20"/>
                <w:lang w:val="en-GB"/>
              </w:rPr>
              <w:t>19b</w:t>
            </w:r>
            <w:r w:rsidRPr="00E3680B">
              <w:rPr>
                <w:rFonts w:ascii="Times New Roman" w:eastAsia="Times New Roman" w:hAnsi="Times New Roman"/>
                <w:bCs/>
                <w:color w:val="000000"/>
                <w:sz w:val="20"/>
                <w:szCs w:val="20"/>
                <w:lang w:val="en-GB"/>
              </w:rPr>
              <w:t>}.</w:t>
            </w:r>
          </w:p>
          <w:p w:rsidR="00FE6605" w:rsidRDefault="00FE6605" w:rsidP="00E3680B">
            <w:pPr>
              <w:tabs>
                <w:tab w:val="left" w:pos="0"/>
              </w:tabs>
              <w:jc w:val="both"/>
              <w:rPr>
                <w:rFonts w:ascii="Times New Roman" w:eastAsia="Times New Roman" w:hAnsi="Times New Roman"/>
                <w:bCs/>
                <w:color w:val="000000"/>
                <w:sz w:val="20"/>
                <w:szCs w:val="20"/>
                <w:lang w:val="en-GB"/>
              </w:rPr>
            </w:pPr>
          </w:p>
          <w:p w:rsidR="00FE6605" w:rsidRPr="00E3680B" w:rsidRDefault="00FE6605" w:rsidP="00E3680B">
            <w:pPr>
              <w:tabs>
                <w:tab w:val="left" w:pos="0"/>
              </w:tabs>
              <w:jc w:val="both"/>
              <w:rPr>
                <w:rFonts w:ascii="Times New Roman" w:eastAsia="Times New Roman" w:hAnsi="Times New Roman"/>
                <w:bCs/>
                <w:color w:val="000000"/>
                <w:sz w:val="20"/>
                <w:szCs w:val="20"/>
                <w:lang w:val="en-GB"/>
              </w:rPr>
            </w:pPr>
            <w:r w:rsidRPr="00FE6605">
              <w:rPr>
                <w:rFonts w:ascii="Times New Roman" w:eastAsia="Times New Roman" w:hAnsi="Times New Roman"/>
                <w:bCs/>
                <w:color w:val="000000"/>
                <w:sz w:val="20"/>
                <w:szCs w:val="20"/>
                <w:lang w:val="en-GB"/>
              </w:rPr>
              <w:t>Institutions shall take into account that {LRCom;</w:t>
            </w:r>
            <w:r>
              <w:rPr>
                <w:rFonts w:ascii="Times New Roman" w:eastAsia="Times New Roman" w:hAnsi="Times New Roman"/>
                <w:bCs/>
                <w:color w:val="000000"/>
                <w:sz w:val="20"/>
                <w:szCs w:val="20"/>
                <w:lang w:val="en-GB"/>
              </w:rPr>
              <w:t xml:space="preserve"> EU-19a</w:t>
            </w:r>
            <w:r w:rsidRPr="00FE6605">
              <w:rPr>
                <w:rFonts w:ascii="Times New Roman" w:eastAsia="Times New Roman" w:hAnsi="Times New Roman"/>
                <w:bCs/>
                <w:color w:val="000000"/>
                <w:sz w:val="20"/>
                <w:szCs w:val="20"/>
                <w:lang w:val="en-GB"/>
              </w:rPr>
              <w:t xml:space="preserve">} and {LRCom; </w:t>
            </w:r>
            <w:r>
              <w:rPr>
                <w:rFonts w:ascii="Times New Roman" w:eastAsia="Times New Roman" w:hAnsi="Times New Roman"/>
                <w:bCs/>
                <w:color w:val="000000"/>
                <w:sz w:val="20"/>
                <w:szCs w:val="20"/>
                <w:lang w:val="en-GB"/>
              </w:rPr>
              <w:t>EU-19b</w:t>
            </w:r>
            <w:r w:rsidRPr="00FE6605">
              <w:rPr>
                <w:rFonts w:ascii="Times New Roman" w:eastAsia="Times New Roman" w:hAnsi="Times New Roman"/>
                <w:bCs/>
                <w:color w:val="000000"/>
                <w:sz w:val="20"/>
                <w:szCs w:val="20"/>
                <w:lang w:val="en-GB"/>
              </w:rPr>
              <w:t>} contribute negatively to this sum.</w:t>
            </w:r>
          </w:p>
          <w:p w:rsidR="00DC1A1E" w:rsidRPr="00E3680B" w:rsidRDefault="00DC1A1E" w:rsidP="00E3680B">
            <w:pPr>
              <w:tabs>
                <w:tab w:val="left" w:pos="0"/>
              </w:tabs>
              <w:jc w:val="both"/>
              <w:rPr>
                <w:rFonts w:ascii="Times New Roman" w:eastAsia="Times New Roman" w:hAnsi="Times New Roman"/>
                <w:b/>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{22}</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
                <w:bCs/>
                <w:color w:val="000000"/>
                <w:sz w:val="20"/>
                <w:szCs w:val="20"/>
                <w:lang w:val="en-GB"/>
              </w:rPr>
              <w:t>L</w:t>
            </w:r>
            <w:r w:rsidRPr="00E3680B">
              <w:rPr>
                <w:rFonts w:ascii="Times New Roman" w:eastAsia="Times New Roman" w:hAnsi="Times New Roman"/>
                <w:b/>
                <w:bCs/>
                <w:color w:val="000000"/>
                <w:sz w:val="20"/>
                <w:szCs w:val="20"/>
                <w:lang w:val="en-GB"/>
              </w:rPr>
              <w:t xml:space="preserve">everage ratio </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 xml:space="preserve">Institutions shall disclose </w:t>
            </w:r>
            <w:r w:rsidRPr="00E3680B">
              <w:rPr>
                <w:rFonts w:ascii="Times New Roman" w:eastAsia="Times New Roman" w:hAnsi="Times New Roman"/>
                <w:bCs/>
                <w:color w:val="000000"/>
                <w:sz w:val="20"/>
                <w:szCs w:val="20"/>
                <w:lang w:val="en-GB"/>
              </w:rPr>
              <w:t>{LRCom;20}</w:t>
            </w:r>
            <w:r>
              <w:rPr>
                <w:rFonts w:ascii="Times New Roman" w:eastAsia="Times New Roman" w:hAnsi="Times New Roman"/>
                <w:bCs/>
                <w:color w:val="000000"/>
                <w:sz w:val="20"/>
                <w:szCs w:val="20"/>
                <w:lang w:val="en-GB"/>
              </w:rPr>
              <w:t xml:space="preserve"> </w:t>
            </w:r>
            <w:r w:rsidR="0091168B">
              <w:rPr>
                <w:rFonts w:ascii="Times New Roman" w:eastAsia="Times New Roman" w:hAnsi="Times New Roman"/>
                <w:bCs/>
                <w:color w:val="000000"/>
                <w:sz w:val="20"/>
                <w:szCs w:val="20"/>
                <w:lang w:val="en-GB"/>
              </w:rPr>
              <w:t>divided by</w:t>
            </w:r>
            <w:r w:rsidRPr="00E3680B">
              <w:rPr>
                <w:rFonts w:ascii="Times New Roman" w:eastAsia="Times New Roman" w:hAnsi="Times New Roman"/>
                <w:bCs/>
                <w:color w:val="000000"/>
                <w:sz w:val="20"/>
                <w:szCs w:val="20"/>
                <w:lang w:val="en-GB"/>
              </w:rPr>
              <w:t xml:space="preserve"> {LRCom;21} expressed as a percentage.</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{EU-23}</w:t>
            </w:r>
          </w:p>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
                <w:bCs/>
                <w:color w:val="000000"/>
                <w:sz w:val="20"/>
                <w:szCs w:val="20"/>
                <w:lang w:val="en-GB"/>
              </w:rPr>
              <w:t xml:space="preserve">Choice on transitional arrangements for the definition of the capital measure </w:t>
            </w:r>
          </w:p>
          <w:p w:rsidR="00DC1A1E" w:rsidRDefault="00DC1A1E" w:rsidP="00E3680B">
            <w:pPr>
              <w:tabs>
                <w:tab w:val="left" w:pos="0"/>
              </w:tabs>
              <w:jc w:val="both"/>
              <w:rPr>
                <w:rFonts w:ascii="Times New Roman" w:eastAsia="Times New Roman" w:hAnsi="Times New Roman"/>
                <w:bCs/>
                <w:color w:val="000000"/>
                <w:sz w:val="20"/>
                <w:szCs w:val="20"/>
                <w:lang w:val="en-GB"/>
              </w:rPr>
            </w:pP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Article 499(2) of Regulation (EU) No 575/2013</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I</w:t>
            </w:r>
            <w:r w:rsidRPr="00E3680B">
              <w:rPr>
                <w:rFonts w:ascii="Times New Roman" w:eastAsia="Times New Roman" w:hAnsi="Times New Roman"/>
                <w:bCs/>
                <w:color w:val="000000"/>
                <w:sz w:val="20"/>
                <w:szCs w:val="20"/>
                <w:lang w:val="en-GB"/>
              </w:rPr>
              <w:t>nstitution</w:t>
            </w:r>
            <w:r>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shall specify </w:t>
            </w:r>
            <w:r>
              <w:rPr>
                <w:rFonts w:ascii="Times New Roman" w:eastAsia="Times New Roman" w:hAnsi="Times New Roman"/>
                <w:bCs/>
                <w:color w:val="000000"/>
                <w:sz w:val="20"/>
                <w:szCs w:val="20"/>
                <w:lang w:val="en-GB"/>
              </w:rPr>
              <w:t>their</w:t>
            </w:r>
            <w:r w:rsidRPr="00E3680B">
              <w:rPr>
                <w:rFonts w:ascii="Times New Roman" w:eastAsia="Times New Roman" w:hAnsi="Times New Roman"/>
                <w:bCs/>
                <w:color w:val="000000"/>
                <w:sz w:val="20"/>
                <w:szCs w:val="20"/>
                <w:lang w:val="en-GB"/>
              </w:rPr>
              <w:t xml:space="preserve"> choice of transitional arrangements for capital for the purpose of disclosure requirements by </w:t>
            </w:r>
            <w:r w:rsidR="00683322">
              <w:rPr>
                <w:rFonts w:ascii="Times New Roman" w:eastAsia="Times New Roman" w:hAnsi="Times New Roman"/>
                <w:bCs/>
                <w:color w:val="000000"/>
                <w:sz w:val="20"/>
                <w:szCs w:val="20"/>
                <w:lang w:val="en-GB"/>
              </w:rPr>
              <w:t xml:space="preserve">disclosing </w:t>
            </w:r>
            <w:r w:rsidRPr="00E3680B">
              <w:rPr>
                <w:rFonts w:ascii="Times New Roman" w:eastAsia="Times New Roman" w:hAnsi="Times New Roman"/>
                <w:bCs/>
                <w:color w:val="000000"/>
                <w:sz w:val="20"/>
                <w:szCs w:val="20"/>
                <w:lang w:val="en-GB"/>
              </w:rPr>
              <w:t xml:space="preserve">one of the following two </w:t>
            </w:r>
            <w:r w:rsidR="00683322">
              <w:rPr>
                <w:rFonts w:ascii="Times New Roman" w:eastAsia="Times New Roman" w:hAnsi="Times New Roman"/>
                <w:bCs/>
                <w:color w:val="000000"/>
                <w:sz w:val="20"/>
                <w:szCs w:val="20"/>
                <w:lang w:val="en-GB"/>
              </w:rPr>
              <w:t>labels</w:t>
            </w:r>
            <w:r w:rsidRPr="00E3680B">
              <w:rPr>
                <w:rFonts w:ascii="Times New Roman" w:eastAsia="Times New Roman" w:hAnsi="Times New Roman"/>
                <w:bCs/>
                <w:color w:val="000000"/>
                <w:sz w:val="20"/>
                <w:szCs w:val="20"/>
                <w:lang w:val="en-GB"/>
              </w:rPr>
              <w:t>:</w:t>
            </w:r>
          </w:p>
          <w:p w:rsidR="00D67E32" w:rsidRDefault="00683322" w:rsidP="00753DC6">
            <w:pPr>
              <w:numPr>
                <w:ilvl w:val="0"/>
                <w:numId w:val="38"/>
              </w:num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 xml:space="preserve">“Fully phased in” if the institution chooses to disclose the leverage ratio in accordance with Article 499(1)(a) </w:t>
            </w:r>
            <w:r w:rsidRPr="00683322">
              <w:rPr>
                <w:rFonts w:ascii="Times New Roman" w:eastAsia="Times New Roman" w:hAnsi="Times New Roman"/>
                <w:bCs/>
                <w:color w:val="000000"/>
                <w:sz w:val="20"/>
                <w:szCs w:val="20"/>
                <w:lang w:val="en-GB"/>
              </w:rPr>
              <w:t>of Regulation (EU) No 575/2013</w:t>
            </w:r>
          </w:p>
          <w:p w:rsidR="00DC1A1E" w:rsidRPr="00D67E32" w:rsidRDefault="00683322" w:rsidP="00753DC6">
            <w:pPr>
              <w:numPr>
                <w:ilvl w:val="0"/>
                <w:numId w:val="38"/>
              </w:numPr>
              <w:tabs>
                <w:tab w:val="left" w:pos="0"/>
              </w:tabs>
              <w:jc w:val="both"/>
              <w:rPr>
                <w:rFonts w:ascii="Times New Roman" w:eastAsia="Times New Roman" w:hAnsi="Times New Roman"/>
                <w:bCs/>
                <w:color w:val="000000"/>
                <w:sz w:val="20"/>
                <w:szCs w:val="20"/>
                <w:lang w:val="en-GB"/>
              </w:rPr>
            </w:pPr>
            <w:r w:rsidRPr="00D67E32">
              <w:rPr>
                <w:rFonts w:ascii="Times New Roman" w:eastAsia="Times New Roman" w:hAnsi="Times New Roman"/>
                <w:bCs/>
                <w:color w:val="000000"/>
                <w:sz w:val="20"/>
                <w:szCs w:val="20"/>
                <w:lang w:val="en-GB"/>
              </w:rPr>
              <w:t>“</w:t>
            </w:r>
            <w:r w:rsidR="00DC1A1E" w:rsidRPr="00D43C67">
              <w:rPr>
                <w:rFonts w:ascii="Times New Roman" w:eastAsia="Times New Roman" w:hAnsi="Times New Roman"/>
                <w:bCs/>
                <w:color w:val="000000"/>
                <w:sz w:val="20"/>
                <w:szCs w:val="20"/>
                <w:lang w:val="en-GB"/>
              </w:rPr>
              <w:t>Transitional</w:t>
            </w:r>
            <w:r w:rsidRPr="00D43C67">
              <w:rPr>
                <w:rFonts w:ascii="Times New Roman" w:eastAsia="Times New Roman" w:hAnsi="Times New Roman"/>
                <w:bCs/>
                <w:color w:val="000000"/>
                <w:sz w:val="20"/>
                <w:szCs w:val="20"/>
                <w:lang w:val="en-GB"/>
              </w:rPr>
              <w:t xml:space="preserve">” </w:t>
            </w:r>
            <w:r w:rsidRPr="00A42A6A">
              <w:rPr>
                <w:rFonts w:ascii="Times New Roman" w:eastAsia="Times New Roman" w:hAnsi="Times New Roman"/>
                <w:bCs/>
                <w:color w:val="000000"/>
                <w:sz w:val="20"/>
                <w:szCs w:val="20"/>
                <w:lang w:val="en-GB"/>
              </w:rPr>
              <w:t>if the institution chooses to disclose the leverage ratio in accordance with Article 499(1)(</w:t>
            </w:r>
            <w:r w:rsidRPr="00D67E32">
              <w:rPr>
                <w:rFonts w:ascii="Times New Roman" w:eastAsia="Times New Roman" w:hAnsi="Times New Roman"/>
                <w:bCs/>
                <w:color w:val="000000"/>
                <w:sz w:val="20"/>
                <w:szCs w:val="20"/>
                <w:lang w:val="en-GB"/>
              </w:rPr>
              <w:t>b) of Regulation (EU) No 575/2013</w:t>
            </w:r>
          </w:p>
          <w:p w:rsidR="00DC1A1E" w:rsidRPr="00E3680B" w:rsidRDefault="00DC1A1E" w:rsidP="00E3680B">
            <w:pPr>
              <w:tabs>
                <w:tab w:val="left" w:pos="0"/>
              </w:tabs>
              <w:jc w:val="both"/>
              <w:rPr>
                <w:rFonts w:ascii="Times New Roman" w:eastAsia="Times New Roman" w:hAnsi="Times New Roman"/>
                <w:bCs/>
                <w:color w:val="000000"/>
                <w:sz w:val="20"/>
                <w:szCs w:val="20"/>
                <w:lang w:val="en-GB"/>
              </w:rPr>
            </w:pPr>
          </w:p>
        </w:tc>
      </w:tr>
      <w:tr w:rsidR="00DC1A1E" w:rsidRPr="00E3680B" w:rsidTr="0084732E">
        <w:trPr>
          <w:trHeight w:val="304"/>
        </w:trPr>
        <w:tc>
          <w:tcPr>
            <w:tcW w:w="1418" w:type="dxa"/>
          </w:tcPr>
          <w:p w:rsidR="00DC1A1E" w:rsidRPr="00E3680B" w:rsidRDefault="00DC1A1E"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{EU-24}</w:t>
            </w:r>
          </w:p>
        </w:tc>
        <w:tc>
          <w:tcPr>
            <w:tcW w:w="7590" w:type="dxa"/>
          </w:tcPr>
          <w:p w:rsidR="00DC1A1E" w:rsidRPr="00E3680B" w:rsidRDefault="00DC1A1E"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Amount of derecognised fiduciary items in accordance with Article 429(1</w:t>
            </w:r>
            <w:r>
              <w:rPr>
                <w:rFonts w:ascii="Times New Roman" w:eastAsia="Times New Roman" w:hAnsi="Times New Roman"/>
                <w:b/>
                <w:bCs/>
                <w:color w:val="000000"/>
                <w:sz w:val="20"/>
                <w:szCs w:val="20"/>
                <w:lang w:val="en-GB"/>
              </w:rPr>
              <w:t>3</w:t>
            </w:r>
            <w:r w:rsidRPr="00E3680B">
              <w:rPr>
                <w:rFonts w:ascii="Times New Roman" w:eastAsia="Times New Roman" w:hAnsi="Times New Roman"/>
                <w:b/>
                <w:bCs/>
                <w:color w:val="000000"/>
                <w:sz w:val="20"/>
                <w:szCs w:val="20"/>
                <w:lang w:val="en-GB"/>
              </w:rPr>
              <w:t>) of Regulation (EU) No 575/2013</w:t>
            </w:r>
          </w:p>
          <w:p w:rsidR="00DC1A1E" w:rsidRPr="00E3680B" w:rsidRDefault="00DC1A1E" w:rsidP="00E3680B">
            <w:pPr>
              <w:tabs>
                <w:tab w:val="left" w:pos="0"/>
              </w:tabs>
              <w:jc w:val="both"/>
              <w:rPr>
                <w:rFonts w:ascii="Times New Roman" w:eastAsia="Times New Roman" w:hAnsi="Times New Roman"/>
                <w:b/>
                <w:bCs/>
                <w:color w:val="000000"/>
                <w:sz w:val="20"/>
                <w:szCs w:val="20"/>
                <w:lang w:val="en-GB"/>
              </w:rPr>
            </w:pPr>
          </w:p>
          <w:p w:rsidR="00DC1A1E" w:rsidRPr="00E3680B" w:rsidRDefault="00DC1A1E" w:rsidP="00444C05">
            <w:pPr>
              <w:tabs>
                <w:tab w:val="left" w:pos="0"/>
              </w:tabs>
              <w:jc w:val="both"/>
              <w:rPr>
                <w:rFonts w:ascii="Times New Roman" w:eastAsia="Times New Roman" w:hAnsi="Times New Roman"/>
                <w:b/>
                <w:bCs/>
                <w:color w:val="000000"/>
                <w:sz w:val="20"/>
                <w:szCs w:val="20"/>
                <w:lang w:val="en-GB"/>
              </w:rPr>
            </w:pPr>
            <w:r>
              <w:rPr>
                <w:rFonts w:ascii="Times New Roman" w:eastAsia="Times New Roman" w:hAnsi="Times New Roman"/>
                <w:bCs/>
                <w:color w:val="000000"/>
                <w:sz w:val="20"/>
                <w:szCs w:val="20"/>
                <w:lang w:val="en-GB"/>
              </w:rPr>
              <w:t>Institutions shall disclose t</w:t>
            </w:r>
            <w:r w:rsidRPr="00E3680B">
              <w:rPr>
                <w:rFonts w:ascii="Times New Roman" w:eastAsia="Times New Roman" w:hAnsi="Times New Roman"/>
                <w:bCs/>
                <w:color w:val="000000"/>
                <w:sz w:val="20"/>
                <w:szCs w:val="20"/>
                <w:lang w:val="en-GB"/>
              </w:rPr>
              <w:t xml:space="preserve">he amount of derecognised fiduciary items </w:t>
            </w:r>
            <w:r w:rsidR="0009671A">
              <w:rPr>
                <w:rFonts w:ascii="Times New Roman" w:eastAsia="Times New Roman" w:hAnsi="Times New Roman"/>
                <w:bCs/>
                <w:color w:val="000000"/>
                <w:sz w:val="20"/>
                <w:szCs w:val="20"/>
                <w:lang w:val="en-GB"/>
              </w:rPr>
              <w:t>in accordance with</w:t>
            </w:r>
            <w:r w:rsidRPr="00E3680B">
              <w:rPr>
                <w:rFonts w:ascii="Times New Roman" w:eastAsia="Times New Roman" w:hAnsi="Times New Roman"/>
                <w:bCs/>
                <w:color w:val="000000"/>
                <w:sz w:val="20"/>
                <w:szCs w:val="20"/>
                <w:lang w:val="en-GB"/>
              </w:rPr>
              <w:t xml:space="preserve"> Article 429(1</w:t>
            </w:r>
            <w:r>
              <w:rPr>
                <w:rFonts w:ascii="Times New Roman" w:eastAsia="Times New Roman" w:hAnsi="Times New Roman"/>
                <w:bCs/>
                <w:color w:val="000000"/>
                <w:sz w:val="20"/>
                <w:szCs w:val="20"/>
                <w:lang w:val="en-GB"/>
              </w:rPr>
              <w:t>3</w:t>
            </w:r>
            <w:r w:rsidRPr="00E3680B">
              <w:rPr>
                <w:rFonts w:ascii="Times New Roman" w:eastAsia="Times New Roman" w:hAnsi="Times New Roman"/>
                <w:bCs/>
                <w:color w:val="000000"/>
                <w:sz w:val="20"/>
                <w:szCs w:val="20"/>
                <w:lang w:val="en-GB"/>
              </w:rPr>
              <w:t>) Regulation (EU) No 575/2013.</w:t>
            </w:r>
          </w:p>
        </w:tc>
      </w:tr>
    </w:tbl>
    <w:p w:rsidR="00E3680B" w:rsidRPr="00E3680B" w:rsidRDefault="00E3680B" w:rsidP="00E3680B"/>
    <w:p w:rsidR="00E3680B" w:rsidRPr="00E3680B" w:rsidRDefault="00E3680B" w:rsidP="00E3680B"/>
    <w:p w:rsidR="00E3680B" w:rsidRPr="00E3680B" w:rsidRDefault="00055435" w:rsidP="00E3680B">
      <w:r>
        <w:br w:type="page"/>
      </w:r>
    </w:p>
    <w:p w:rsidR="00E3680B" w:rsidRPr="00E3680B" w:rsidRDefault="00E3680B" w:rsidP="00E3680B">
      <w:pPr>
        <w:numPr>
          <w:ilvl w:val="0"/>
          <w:numId w:val="20"/>
        </w:numPr>
        <w:tabs>
          <w:tab w:val="left" w:pos="0"/>
        </w:tabs>
        <w:spacing w:line="300" w:lineRule="exact"/>
        <w:jc w:val="both"/>
        <w:outlineLvl w:val="1"/>
        <w:rPr>
          <w:rFonts w:ascii="Times New Roman" w:eastAsia="Times New Roman" w:hAnsi="Times New Roman"/>
          <w:b/>
          <w:color w:val="000000"/>
          <w:sz w:val="20"/>
          <w:szCs w:val="20"/>
          <w:lang w:val="en-GB"/>
        </w:rPr>
      </w:pPr>
      <w:r w:rsidRPr="00E3680B">
        <w:rPr>
          <w:rFonts w:ascii="Times New Roman" w:eastAsia="Times New Roman" w:hAnsi="Times New Roman"/>
          <w:b/>
          <w:color w:val="000000"/>
          <w:sz w:val="20"/>
          <w:szCs w:val="20"/>
          <w:lang w:val="en-GB"/>
        </w:rPr>
        <w:t xml:space="preserve">Table </w:t>
      </w:r>
      <w:r w:rsidRPr="00E3680B">
        <w:rPr>
          <w:rFonts w:ascii="Times New Roman" w:eastAsia="Times New Roman" w:hAnsi="Times New Roman"/>
          <w:b/>
          <w:sz w:val="20"/>
          <w:szCs w:val="20"/>
          <w:lang w:val="en-GB"/>
        </w:rPr>
        <w:t>LRSpl:</w:t>
      </w:r>
      <w:r w:rsidRPr="00E3680B">
        <w:rPr>
          <w:rFonts w:ascii="Times New Roman" w:eastAsia="Times New Roman" w:hAnsi="Times New Roman"/>
          <w:b/>
          <w:color w:val="000000"/>
          <w:sz w:val="20"/>
          <w:szCs w:val="20"/>
          <w:lang w:val="en-GB"/>
        </w:rPr>
        <w:t xml:space="preserve"> Split-up of on-balance sheet exposures (excluding derivatives and SFTs) </w:t>
      </w:r>
    </w:p>
    <w:p w:rsidR="00E3680B" w:rsidRPr="00E3680B" w:rsidRDefault="00E3680B" w:rsidP="00E3680B">
      <w:pPr>
        <w:tabs>
          <w:tab w:val="left" w:pos="0"/>
        </w:tabs>
        <w:jc w:val="both"/>
        <w:rPr>
          <w:rFonts w:ascii="Times New Roman" w:eastAsia="Times New Roman" w:hAnsi="Times New Roman"/>
          <w:color w:val="000000"/>
          <w:sz w:val="20"/>
          <w:szCs w:val="20"/>
          <w:lang w:val="en-GB"/>
        </w:rPr>
      </w:pPr>
    </w:p>
    <w:p w:rsidR="00E3680B" w:rsidRPr="00E3680B" w:rsidRDefault="00E3680B" w:rsidP="00B815F6">
      <w:pPr>
        <w:numPr>
          <w:ilvl w:val="0"/>
          <w:numId w:val="19"/>
        </w:numPr>
        <w:spacing w:after="240"/>
        <w:jc w:val="both"/>
        <w:rPr>
          <w:rFonts w:ascii="Times New Roman" w:eastAsia="Times New Roman" w:hAnsi="Times New Roman"/>
          <w:color w:val="000000"/>
          <w:sz w:val="20"/>
          <w:szCs w:val="20"/>
          <w:lang w:val="en-GB"/>
        </w:rPr>
      </w:pPr>
      <w:r w:rsidRPr="00E3680B">
        <w:rPr>
          <w:rFonts w:ascii="Times New Roman" w:eastAsia="Times New Roman" w:hAnsi="Times New Roman"/>
          <w:color w:val="000000"/>
          <w:sz w:val="20"/>
          <w:szCs w:val="20"/>
          <w:lang w:val="en-GB"/>
        </w:rPr>
        <w:t xml:space="preserve">Institutions shall apply the instructions provided in this section in order to complete table </w:t>
      </w:r>
      <w:r w:rsidR="00444C05" w:rsidRPr="00E3680B">
        <w:rPr>
          <w:rFonts w:ascii="Times New Roman" w:eastAsia="Times New Roman" w:hAnsi="Times New Roman"/>
          <w:color w:val="000000"/>
          <w:sz w:val="20"/>
          <w:szCs w:val="20"/>
          <w:lang w:val="en-GB"/>
        </w:rPr>
        <w:t>LRS</w:t>
      </w:r>
      <w:r w:rsidR="00444C05">
        <w:rPr>
          <w:rFonts w:ascii="Times New Roman" w:eastAsia="Times New Roman" w:hAnsi="Times New Roman"/>
          <w:color w:val="000000"/>
          <w:sz w:val="20"/>
          <w:szCs w:val="20"/>
          <w:lang w:val="en-GB"/>
        </w:rPr>
        <w:t>pl</w:t>
      </w:r>
      <w:r w:rsidR="00444C05" w:rsidRPr="00E3680B">
        <w:rPr>
          <w:rFonts w:ascii="Times New Roman" w:eastAsia="Times New Roman" w:hAnsi="Times New Roman"/>
          <w:color w:val="000000"/>
          <w:sz w:val="20"/>
          <w:szCs w:val="20"/>
          <w:lang w:val="en-GB"/>
        </w:rPr>
        <w:t xml:space="preserve"> </w:t>
      </w:r>
      <w:r w:rsidRPr="00E3680B">
        <w:rPr>
          <w:rFonts w:ascii="Times New Roman" w:eastAsia="Times New Roman" w:hAnsi="Times New Roman"/>
          <w:color w:val="000000"/>
          <w:sz w:val="20"/>
          <w:szCs w:val="20"/>
          <w:lang w:val="en-GB"/>
        </w:rPr>
        <w:t>of Annex I.</w:t>
      </w:r>
    </w:p>
    <w:p w:rsidR="00E3680B" w:rsidRPr="00E3680B" w:rsidRDefault="00E3680B" w:rsidP="00E3680B">
      <w:pPr>
        <w:tabs>
          <w:tab w:val="left" w:pos="0"/>
        </w:tabs>
        <w:ind w:left="720"/>
        <w:jc w:val="both"/>
        <w:rPr>
          <w:rFonts w:ascii="Times New Roman" w:eastAsia="Times New Roman" w:hAnsi="Times New Roman"/>
          <w:color w:val="000000"/>
          <w:sz w:val="20"/>
          <w:szCs w:val="20"/>
          <w:lang w:val="en-GB"/>
        </w:rPr>
      </w:pPr>
    </w:p>
    <w:p w:rsidR="00E3680B" w:rsidRPr="00E3680B" w:rsidRDefault="00E3680B" w:rsidP="00E3680B">
      <w:pPr>
        <w:tabs>
          <w:tab w:val="left" w:pos="0"/>
        </w:tabs>
        <w:jc w:val="both"/>
        <w:rPr>
          <w:rFonts w:ascii="Times New Roman" w:eastAsia="Times New Roman" w:hAnsi="Times New Roman"/>
          <w:color w:val="000000"/>
          <w:sz w:val="20"/>
          <w:szCs w:val="20"/>
          <w:lang w:val="en-GB"/>
        </w:rPr>
      </w:pPr>
    </w:p>
    <w:p w:rsidR="00E3680B" w:rsidRPr="00E3680B" w:rsidRDefault="00E3680B" w:rsidP="00E3680B">
      <w:pPr>
        <w:tabs>
          <w:tab w:val="left" w:pos="0"/>
        </w:tabs>
        <w:ind w:left="720"/>
        <w:jc w:val="both"/>
        <w:rPr>
          <w:rFonts w:ascii="Times New Roman" w:eastAsia="Times New Roman" w:hAnsi="Times New Roman"/>
          <w:color w:val="000000"/>
          <w:sz w:val="20"/>
          <w:szCs w:val="20"/>
          <w:lang w:val="en-GB"/>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590"/>
      </w:tblGrid>
      <w:tr w:rsidR="00E3680B" w:rsidRPr="00E3680B" w:rsidTr="0084732E">
        <w:trPr>
          <w:trHeight w:val="304"/>
        </w:trPr>
        <w:tc>
          <w:tcPr>
            <w:tcW w:w="1418"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color w:val="000000"/>
                <w:sz w:val="20"/>
                <w:szCs w:val="20"/>
                <w:lang w:val="en-GB"/>
              </w:rPr>
            </w:pPr>
          </w:p>
        </w:tc>
        <w:tc>
          <w:tcPr>
            <w:tcW w:w="7590"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u w:val="single"/>
                <w:lang w:val="en-GB"/>
              </w:rPr>
            </w:pPr>
            <w:r w:rsidRPr="00E3680B">
              <w:rPr>
                <w:rFonts w:ascii="Times New Roman" w:eastAsia="Times New Roman" w:hAnsi="Times New Roman"/>
                <w:color w:val="000000"/>
                <w:sz w:val="20"/>
                <w:szCs w:val="20"/>
                <w:lang w:val="en-GB"/>
              </w:rPr>
              <w:t>Legal references and instructions</w:t>
            </w:r>
          </w:p>
        </w:tc>
      </w:tr>
      <w:tr w:rsidR="00E3680B" w:rsidRPr="00E3680B" w:rsidTr="0084732E">
        <w:trPr>
          <w:trHeight w:val="304"/>
        </w:trPr>
        <w:tc>
          <w:tcPr>
            <w:tcW w:w="1418"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
                <w:color w:val="000000"/>
                <w:sz w:val="20"/>
                <w:szCs w:val="20"/>
                <w:lang w:val="en-GB"/>
              </w:rPr>
            </w:pPr>
            <w:r w:rsidRPr="00E3680B">
              <w:rPr>
                <w:rFonts w:ascii="Times New Roman" w:eastAsia="Times New Roman" w:hAnsi="Times New Roman"/>
                <w:b/>
                <w:color w:val="000000"/>
                <w:sz w:val="20"/>
                <w:szCs w:val="20"/>
                <w:lang w:val="en-GB"/>
              </w:rPr>
              <w:t xml:space="preserve">Row </w:t>
            </w:r>
          </w:p>
          <w:p w:rsidR="00E3680B" w:rsidRPr="00E3680B" w:rsidRDefault="00E3680B" w:rsidP="00E3680B">
            <w:pPr>
              <w:tabs>
                <w:tab w:val="left" w:pos="0"/>
              </w:tabs>
              <w:spacing w:line="300" w:lineRule="exact"/>
              <w:jc w:val="both"/>
              <w:rPr>
                <w:rFonts w:ascii="Times New Roman" w:eastAsia="Times New Roman" w:hAnsi="Times New Roman"/>
                <w:b/>
                <w:color w:val="000000"/>
                <w:sz w:val="20"/>
                <w:szCs w:val="20"/>
                <w:lang w:val="en-GB"/>
              </w:rPr>
            </w:pPr>
          </w:p>
        </w:tc>
        <w:tc>
          <w:tcPr>
            <w:tcW w:w="7590"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{EU-1}</w:t>
            </w: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Total on-balance sheet exposures (excluding derivatives and SFTs), of which</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Pr="00E3680B" w:rsidRDefault="0083485B" w:rsidP="00E3680B">
            <w:pPr>
              <w:tabs>
                <w:tab w:val="left" w:pos="0"/>
              </w:tabs>
              <w:spacing w:line="300" w:lineRule="exact"/>
              <w:jc w:val="both"/>
              <w:rPr>
                <w:rFonts w:ascii="Times New Roman" w:eastAsia="Times New Roman" w:hAnsi="Times New Roman"/>
                <w:bCs/>
                <w:color w:val="000000"/>
                <w:sz w:val="20"/>
                <w:szCs w:val="20"/>
                <w:lang w:val="en-GB"/>
              </w:rPr>
            </w:pPr>
            <w:r w:rsidRPr="0083485B">
              <w:rPr>
                <w:rFonts w:ascii="Times New Roman" w:eastAsia="Times New Roman" w:hAnsi="Times New Roman"/>
                <w:bCs/>
                <w:color w:val="000000"/>
                <w:sz w:val="20"/>
                <w:szCs w:val="20"/>
                <w:lang w:val="en-GB"/>
              </w:rPr>
              <w:t xml:space="preserve">Institutions shall disclose </w:t>
            </w:r>
            <w:r>
              <w:rPr>
                <w:rFonts w:ascii="Times New Roman" w:eastAsia="Times New Roman" w:hAnsi="Times New Roman"/>
                <w:bCs/>
                <w:color w:val="000000"/>
                <w:sz w:val="20"/>
                <w:szCs w:val="20"/>
                <w:lang w:val="en-GB"/>
              </w:rPr>
              <w:t>t</w:t>
            </w:r>
            <w:r w:rsidR="00E3680B" w:rsidRPr="00E3680B">
              <w:rPr>
                <w:rFonts w:ascii="Times New Roman" w:eastAsia="Times New Roman" w:hAnsi="Times New Roman"/>
                <w:bCs/>
                <w:color w:val="000000"/>
                <w:sz w:val="20"/>
                <w:szCs w:val="20"/>
                <w:lang w:val="en-GB"/>
              </w:rPr>
              <w:t>he sum of {LRSpl; EU-2} and {LRSpl; EU-3}.</w:t>
            </w:r>
          </w:p>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{EU-2}</w:t>
            </w: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Trading book exposures</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exposures as defined in </w:t>
            </w:r>
            <w:r w:rsidR="00EE3775">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 xml:space="preserve">Annex XI of </w:t>
            </w:r>
            <w:r w:rsidR="00EE3775">
              <w:rPr>
                <w:rFonts w:ascii="Times New Roman" w:eastAsia="Times New Roman" w:hAnsi="Times New Roman"/>
                <w:bCs/>
                <w:color w:val="000000"/>
                <w:sz w:val="20"/>
                <w:szCs w:val="20"/>
                <w:lang w:val="en-GB"/>
              </w:rPr>
              <w:t>Commission Implementing Regulation (EU) No 680/2014</w:t>
            </w:r>
            <w:r w:rsidRPr="00E3680B">
              <w:rPr>
                <w:rFonts w:ascii="Times New Roman" w:eastAsia="Times New Roman" w:hAnsi="Times New Roman"/>
                <w:bCs/>
                <w:color w:val="000000"/>
                <w:sz w:val="20"/>
                <w:szCs w:val="20"/>
                <w:lang w:val="en-GB"/>
              </w:rPr>
              <w:t xml:space="preserve"> </w:t>
            </w:r>
            <w:r w:rsidR="00EE3775">
              <w:rPr>
                <w:rFonts w:ascii="Times New Roman" w:eastAsia="Times New Roman" w:hAnsi="Times New Roman"/>
                <w:bCs/>
                <w:color w:val="000000"/>
                <w:sz w:val="20"/>
                <w:szCs w:val="20"/>
                <w:lang w:val="en-GB"/>
              </w:rPr>
              <w:t>{</w:t>
            </w:r>
            <w:r w:rsidRPr="00E3680B">
              <w:rPr>
                <w:rFonts w:ascii="Times New Roman" w:eastAsia="Times New Roman" w:hAnsi="Times New Roman"/>
                <w:bCs/>
                <w:color w:val="000000"/>
                <w:sz w:val="20"/>
                <w:szCs w:val="20"/>
                <w:lang w:val="en-GB"/>
              </w:rPr>
              <w:t>LR4;070;010}, which is the total exposure value of assets belonging to the trading book excluding derivatives and SFTs.</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{EU-3}</w:t>
            </w: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Banking book exposures, of which</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Default="0083485B"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Cs/>
                <w:color w:val="000000"/>
                <w:sz w:val="20"/>
                <w:szCs w:val="20"/>
                <w:lang w:val="en-GB"/>
              </w:rPr>
              <w:t>Institutions shall disclose t</w:t>
            </w:r>
            <w:r w:rsidR="00E3680B" w:rsidRPr="00E3680B">
              <w:rPr>
                <w:rFonts w:ascii="Times New Roman" w:eastAsia="Times New Roman" w:hAnsi="Times New Roman"/>
                <w:bCs/>
                <w:color w:val="000000"/>
                <w:sz w:val="20"/>
                <w:szCs w:val="20"/>
                <w:lang w:val="en-GB"/>
              </w:rPr>
              <w:t xml:space="preserve">he sum of {LRSpl; EU-4}, {LRSpl; EU-5}, {LRSpl; EU-6}, {LRSpl; EU-7}, {LRSpl; EU-8}, {LRSpl; EU-9}, {LRSpl; EU-10}, {LRSpl; EU-11} </w:t>
            </w:r>
            <w:r w:rsidR="00D67E32">
              <w:rPr>
                <w:rFonts w:ascii="Times New Roman" w:eastAsia="Times New Roman" w:hAnsi="Times New Roman"/>
                <w:bCs/>
                <w:color w:val="000000"/>
                <w:sz w:val="20"/>
                <w:szCs w:val="20"/>
                <w:lang w:val="en-GB"/>
              </w:rPr>
              <w:t xml:space="preserve">and </w:t>
            </w:r>
            <w:r w:rsidR="00E3680B" w:rsidRPr="00E3680B">
              <w:rPr>
                <w:rFonts w:ascii="Times New Roman" w:eastAsia="Times New Roman" w:hAnsi="Times New Roman"/>
                <w:bCs/>
                <w:color w:val="000000"/>
                <w:sz w:val="20"/>
                <w:szCs w:val="20"/>
                <w:lang w:val="en-GB"/>
              </w:rPr>
              <w:t>{LRSpl; EU-12}.</w:t>
            </w:r>
          </w:p>
          <w:p w:rsidR="00EE3775" w:rsidRPr="00E3680B" w:rsidRDefault="00EE3775" w:rsidP="00E3680B">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{EU-4}</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Covered Bonds</w:t>
            </w:r>
          </w:p>
          <w:p w:rsidR="00E3680B" w:rsidRPr="00E3680B" w:rsidRDefault="00E3680B" w:rsidP="00E3680B">
            <w:pPr>
              <w:tabs>
                <w:tab w:val="left" w:pos="0"/>
              </w:tabs>
              <w:jc w:val="both"/>
              <w:rPr>
                <w:rFonts w:ascii="Times New Roman" w:eastAsia="Times New Roman" w:hAnsi="Times New Roman"/>
                <w:b/>
                <w:bCs/>
                <w:color w:val="000000"/>
                <w:sz w:val="20"/>
                <w:szCs w:val="20"/>
                <w:u w:val="single"/>
                <w:lang w:val="en-GB"/>
              </w:rPr>
            </w:pPr>
          </w:p>
          <w:p w:rsid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00D67E32">
              <w:rPr>
                <w:rFonts w:ascii="Times New Roman" w:eastAsia="Times New Roman" w:hAnsi="Times New Roman"/>
                <w:bCs/>
                <w:color w:val="000000"/>
                <w:sz w:val="20"/>
                <w:szCs w:val="20"/>
                <w:lang w:val="en-GB"/>
              </w:rPr>
              <w:t xml:space="preserve">sum of </w:t>
            </w:r>
            <w:r w:rsidRPr="00E3680B">
              <w:rPr>
                <w:rFonts w:ascii="Times New Roman" w:eastAsia="Times New Roman" w:hAnsi="Times New Roman"/>
                <w:bCs/>
                <w:color w:val="000000"/>
                <w:sz w:val="20"/>
                <w:szCs w:val="20"/>
                <w:lang w:val="en-GB"/>
              </w:rPr>
              <w:t xml:space="preserve">exposures as defined in </w:t>
            </w:r>
            <w:r w:rsidR="00EE3775">
              <w:rPr>
                <w:rFonts w:ascii="Times New Roman" w:eastAsia="Times New Roman" w:hAnsi="Times New Roman"/>
                <w:bCs/>
                <w:color w:val="000000"/>
                <w:sz w:val="20"/>
                <w:szCs w:val="20"/>
                <w:lang w:val="en-GB"/>
              </w:rPr>
              <w:t xml:space="preserve"> </w:t>
            </w:r>
            <w:r w:rsidR="00EE3775" w:rsidRPr="00E3680B">
              <w:rPr>
                <w:rFonts w:ascii="Times New Roman" w:eastAsia="Times New Roman" w:hAnsi="Times New Roman"/>
                <w:bCs/>
                <w:color w:val="000000"/>
                <w:sz w:val="20"/>
                <w:szCs w:val="20"/>
                <w:lang w:val="en-GB"/>
              </w:rPr>
              <w:t xml:space="preserve">Annex XI of </w:t>
            </w:r>
            <w:r w:rsidR="00EE3775">
              <w:rPr>
                <w:rFonts w:ascii="Times New Roman" w:eastAsia="Times New Roman" w:hAnsi="Times New Roman"/>
                <w:bCs/>
                <w:color w:val="000000"/>
                <w:sz w:val="20"/>
                <w:szCs w:val="20"/>
                <w:lang w:val="en-GB"/>
              </w:rPr>
              <w:t>Commission Implementing Regulation (EU) No 680/2014{</w:t>
            </w:r>
            <w:r w:rsidRPr="00E3680B">
              <w:rPr>
                <w:rFonts w:ascii="Times New Roman" w:eastAsia="Times New Roman" w:hAnsi="Times New Roman"/>
                <w:bCs/>
                <w:color w:val="000000"/>
                <w:sz w:val="20"/>
                <w:szCs w:val="20"/>
                <w:lang w:val="en-GB"/>
              </w:rPr>
              <w:t>LR4;080;010} and {LR4;080;020}, which is the total exposure value of assets that are in the form of covered bonds.</w:t>
            </w:r>
            <w:r w:rsidR="00F95A91">
              <w:rPr>
                <w:rFonts w:ascii="Times New Roman" w:eastAsia="Times New Roman" w:hAnsi="Times New Roman"/>
                <w:bCs/>
                <w:color w:val="000000"/>
                <w:sz w:val="20"/>
                <w:szCs w:val="20"/>
                <w:lang w:val="en-GB"/>
              </w:rPr>
              <w:t xml:space="preserve"> </w:t>
            </w:r>
          </w:p>
          <w:p w:rsidR="00EE3775" w:rsidRPr="00E3680B" w:rsidRDefault="00EE3775" w:rsidP="00E3680B">
            <w:pPr>
              <w:tabs>
                <w:tab w:val="left" w:pos="0"/>
              </w:tabs>
              <w:jc w:val="both"/>
              <w:rPr>
                <w:rFonts w:ascii="Times New Roman" w:eastAsia="Times New Roman" w:hAnsi="Times New Roman"/>
                <w:bCs/>
                <w:color w:val="000000"/>
                <w:sz w:val="20"/>
                <w:szCs w:val="20"/>
                <w:u w:val="single"/>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EU-5}</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Exposures treated as sovereigns</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00D67E32">
              <w:rPr>
                <w:rFonts w:ascii="Times New Roman" w:eastAsia="Times New Roman" w:hAnsi="Times New Roman"/>
                <w:bCs/>
                <w:color w:val="000000"/>
                <w:sz w:val="20"/>
                <w:szCs w:val="20"/>
                <w:lang w:val="en-GB"/>
              </w:rPr>
              <w:t xml:space="preserve">sum of </w:t>
            </w:r>
            <w:r w:rsidRPr="00E3680B">
              <w:rPr>
                <w:rFonts w:ascii="Times New Roman" w:eastAsia="Times New Roman" w:hAnsi="Times New Roman"/>
                <w:bCs/>
                <w:color w:val="000000"/>
                <w:sz w:val="20"/>
                <w:szCs w:val="20"/>
                <w:lang w:val="en-GB"/>
              </w:rPr>
              <w:t>exposure</w:t>
            </w:r>
            <w:r w:rsidR="00D67E32">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as defined in </w:t>
            </w:r>
            <w:r w:rsidR="007837E9" w:rsidRPr="00E3680B">
              <w:rPr>
                <w:rFonts w:ascii="Times New Roman" w:eastAsia="Times New Roman" w:hAnsi="Times New Roman"/>
                <w:bCs/>
                <w:color w:val="000000"/>
                <w:sz w:val="20"/>
                <w:szCs w:val="20"/>
                <w:lang w:val="en-GB"/>
              </w:rPr>
              <w:t xml:space="preserve">Annex XI of </w:t>
            </w:r>
            <w:r w:rsidR="007837E9">
              <w:rPr>
                <w:rFonts w:ascii="Times New Roman" w:eastAsia="Times New Roman" w:hAnsi="Times New Roman"/>
                <w:bCs/>
                <w:color w:val="000000"/>
                <w:sz w:val="20"/>
                <w:szCs w:val="20"/>
                <w:lang w:val="en-GB"/>
              </w:rPr>
              <w:t xml:space="preserve">Commission Implementing Regulation (EU) No 680/2014 </w:t>
            </w:r>
            <w:r w:rsidRPr="00E3680B">
              <w:rPr>
                <w:rFonts w:ascii="Times New Roman" w:eastAsia="Times New Roman" w:hAnsi="Times New Roman"/>
                <w:bCs/>
                <w:color w:val="000000"/>
                <w:sz w:val="20"/>
                <w:szCs w:val="20"/>
                <w:lang w:val="en-GB"/>
              </w:rPr>
              <w:t>{LR4;090;010} and {LR4;090;020}, which is the total exposure value towards entities that are treated as sovereigns under Regulation (EU) No 575/2013.</w:t>
            </w:r>
          </w:p>
          <w:p w:rsidR="00EE3775" w:rsidRPr="00E3680B" w:rsidRDefault="00EE3775" w:rsidP="00E3680B">
            <w:pPr>
              <w:tabs>
                <w:tab w:val="left" w:pos="0"/>
              </w:tabs>
              <w:jc w:val="both"/>
              <w:rPr>
                <w:rFonts w:ascii="Times New Roman" w:eastAsia="Times New Roman" w:hAnsi="Times New Roman"/>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{EU-6}</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Exposures to regional governments, MDB, international organisations and PSE NOT treated as sovereigns</w:t>
            </w:r>
            <w:r w:rsidRPr="00E3680B" w:rsidDel="009B65D7">
              <w:rPr>
                <w:rFonts w:ascii="Times New Roman" w:eastAsia="Times New Roman" w:hAnsi="Times New Roman"/>
                <w:b/>
                <w:bCs/>
                <w:color w:val="000000"/>
                <w:sz w:val="20"/>
                <w:szCs w:val="20"/>
                <w:lang w:val="en-GB"/>
              </w:rPr>
              <w:t xml:space="preserve"> </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p w:rsidR="00E3680B" w:rsidRPr="00E3680B" w:rsidRDefault="00E3680B" w:rsidP="009E5871">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00D67E32">
              <w:rPr>
                <w:rFonts w:ascii="Times New Roman" w:eastAsia="Times New Roman" w:hAnsi="Times New Roman"/>
                <w:bCs/>
                <w:color w:val="000000"/>
                <w:sz w:val="20"/>
                <w:szCs w:val="20"/>
                <w:lang w:val="en-GB"/>
              </w:rPr>
              <w:t xml:space="preserve">sum of </w:t>
            </w:r>
            <w:r w:rsidRPr="00E3680B">
              <w:rPr>
                <w:rFonts w:ascii="Times New Roman" w:eastAsia="Times New Roman" w:hAnsi="Times New Roman"/>
                <w:bCs/>
                <w:color w:val="000000"/>
                <w:sz w:val="20"/>
                <w:szCs w:val="20"/>
                <w:lang w:val="en-GB"/>
              </w:rPr>
              <w:t>exposure</w:t>
            </w:r>
            <w:r w:rsidR="00D67E32">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as defined in</w:t>
            </w:r>
            <w:r w:rsidR="0068474E">
              <w:rPr>
                <w:rFonts w:ascii="Times New Roman" w:eastAsia="Times New Roman" w:hAnsi="Times New Roman"/>
                <w:bCs/>
                <w:color w:val="000000"/>
                <w:sz w:val="20"/>
                <w:szCs w:val="20"/>
                <w:lang w:val="en-GB"/>
              </w:rPr>
              <w:t xml:space="preserve"> </w:t>
            </w:r>
            <w:r w:rsidR="0068474E" w:rsidRPr="00E3680B">
              <w:rPr>
                <w:rFonts w:ascii="Times New Roman" w:eastAsia="Times New Roman" w:hAnsi="Times New Roman"/>
                <w:bCs/>
                <w:color w:val="000000"/>
                <w:sz w:val="20"/>
                <w:szCs w:val="20"/>
                <w:lang w:val="en-GB"/>
              </w:rPr>
              <w:t xml:space="preserve">Annex XI of </w:t>
            </w:r>
            <w:r w:rsidR="0068474E">
              <w:rPr>
                <w:rFonts w:ascii="Times New Roman" w:eastAsia="Times New Roman" w:hAnsi="Times New Roman"/>
                <w:bCs/>
                <w:color w:val="000000"/>
                <w:sz w:val="20"/>
                <w:szCs w:val="20"/>
                <w:lang w:val="en-GB"/>
              </w:rPr>
              <w:t>Commission Implementing Regulation (EU) No 680/2014</w:t>
            </w:r>
            <w:r w:rsidRPr="00E3680B">
              <w:rPr>
                <w:rFonts w:ascii="Times New Roman" w:eastAsia="Times New Roman" w:hAnsi="Times New Roman"/>
                <w:bCs/>
                <w:color w:val="000000"/>
                <w:sz w:val="20"/>
                <w:szCs w:val="20"/>
                <w:lang w:val="en-GB"/>
              </w:rPr>
              <w:t xml:space="preserve"> {LR4;140;010} and {LR4;140;020}, which is the total exposure value towards to regional governments and local authorities, multilateral development banks, international organisations and public sector entities that are not treated as sovereigns under Regulation (EU) No 575/2013..</w:t>
            </w: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EU-7}</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Institutions</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Default="00E3680B" w:rsidP="0068474E">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00D67E32">
              <w:rPr>
                <w:rFonts w:ascii="Times New Roman" w:eastAsia="Times New Roman" w:hAnsi="Times New Roman"/>
                <w:bCs/>
                <w:color w:val="000000"/>
                <w:sz w:val="20"/>
                <w:szCs w:val="20"/>
                <w:lang w:val="en-GB"/>
              </w:rPr>
              <w:t xml:space="preserve">sum of </w:t>
            </w:r>
            <w:r w:rsidRPr="00E3680B">
              <w:rPr>
                <w:rFonts w:ascii="Times New Roman" w:eastAsia="Times New Roman" w:hAnsi="Times New Roman"/>
                <w:bCs/>
                <w:color w:val="000000"/>
                <w:sz w:val="20"/>
                <w:szCs w:val="20"/>
                <w:lang w:val="en-GB"/>
              </w:rPr>
              <w:t>exposure</w:t>
            </w:r>
            <w:r w:rsidR="00D67E32">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as defined in </w:t>
            </w:r>
            <w:r w:rsidR="0068474E" w:rsidRPr="00E3680B">
              <w:rPr>
                <w:rFonts w:ascii="Times New Roman" w:eastAsia="Times New Roman" w:hAnsi="Times New Roman"/>
                <w:bCs/>
                <w:color w:val="000000"/>
                <w:sz w:val="20"/>
                <w:szCs w:val="20"/>
                <w:lang w:val="en-GB"/>
              </w:rPr>
              <w:t xml:space="preserve">Annex XI of </w:t>
            </w:r>
            <w:r w:rsidR="0068474E">
              <w:rPr>
                <w:rFonts w:ascii="Times New Roman" w:eastAsia="Times New Roman" w:hAnsi="Times New Roman"/>
                <w:bCs/>
                <w:color w:val="000000"/>
                <w:sz w:val="20"/>
                <w:szCs w:val="20"/>
                <w:lang w:val="en-GB"/>
              </w:rPr>
              <w:t xml:space="preserve">Commission Implementing Regulation (EU) No 680/2014 </w:t>
            </w:r>
            <w:r w:rsidRPr="00E3680B">
              <w:rPr>
                <w:rFonts w:ascii="Times New Roman" w:eastAsia="Times New Roman" w:hAnsi="Times New Roman"/>
                <w:bCs/>
                <w:color w:val="000000"/>
                <w:sz w:val="20"/>
                <w:szCs w:val="20"/>
                <w:lang w:val="en-GB"/>
              </w:rPr>
              <w:t>{LR4;180;010} and {LR4;180;020} which is the exposure value of exposures towards institutions.</w:t>
            </w:r>
          </w:p>
          <w:p w:rsidR="0068474E" w:rsidRPr="00E3680B" w:rsidRDefault="0068474E" w:rsidP="0068474E">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{EU-8}</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 xml:space="preserve">Secured by mortgages of immovable properties </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00D67E32">
              <w:rPr>
                <w:rFonts w:ascii="Times New Roman" w:eastAsia="Times New Roman" w:hAnsi="Times New Roman"/>
                <w:bCs/>
                <w:color w:val="000000"/>
                <w:sz w:val="20"/>
                <w:szCs w:val="20"/>
                <w:lang w:val="en-GB"/>
              </w:rPr>
              <w:t xml:space="preserve">sum of </w:t>
            </w:r>
            <w:r w:rsidRPr="00E3680B">
              <w:rPr>
                <w:rFonts w:ascii="Times New Roman" w:eastAsia="Times New Roman" w:hAnsi="Times New Roman"/>
                <w:bCs/>
                <w:color w:val="000000"/>
                <w:sz w:val="20"/>
                <w:szCs w:val="20"/>
                <w:lang w:val="en-GB"/>
              </w:rPr>
              <w:t>exposure</w:t>
            </w:r>
            <w:r w:rsidR="00D67E32">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as defined in</w:t>
            </w:r>
            <w:r w:rsidR="0068474E">
              <w:rPr>
                <w:rFonts w:ascii="Times New Roman" w:eastAsia="Times New Roman" w:hAnsi="Times New Roman"/>
                <w:bCs/>
                <w:color w:val="000000"/>
                <w:sz w:val="20"/>
                <w:szCs w:val="20"/>
                <w:lang w:val="en-GB"/>
              </w:rPr>
              <w:t xml:space="preserve"> </w:t>
            </w:r>
            <w:r w:rsidR="0068474E" w:rsidRPr="00E3680B">
              <w:rPr>
                <w:rFonts w:ascii="Times New Roman" w:eastAsia="Times New Roman" w:hAnsi="Times New Roman"/>
                <w:bCs/>
                <w:color w:val="000000"/>
                <w:sz w:val="20"/>
                <w:szCs w:val="20"/>
                <w:lang w:val="en-GB"/>
              </w:rPr>
              <w:t xml:space="preserve">Annex XI of </w:t>
            </w:r>
            <w:r w:rsidR="0068474E">
              <w:rPr>
                <w:rFonts w:ascii="Times New Roman" w:eastAsia="Times New Roman" w:hAnsi="Times New Roman"/>
                <w:bCs/>
                <w:color w:val="000000"/>
                <w:sz w:val="20"/>
                <w:szCs w:val="20"/>
                <w:lang w:val="en-GB"/>
              </w:rPr>
              <w:t>Commission Implementing Regulation (EU) No 680/2014</w:t>
            </w:r>
            <w:r w:rsidRPr="00E3680B">
              <w:rPr>
                <w:rFonts w:ascii="Times New Roman" w:eastAsia="Times New Roman" w:hAnsi="Times New Roman"/>
                <w:bCs/>
                <w:color w:val="000000"/>
                <w:sz w:val="20"/>
                <w:szCs w:val="20"/>
                <w:lang w:val="en-GB"/>
              </w:rPr>
              <w:t xml:space="preserve"> { LR4;190;010} and {LR4;190;020} which is the exposure value of assets that are exposures secured by mortgages on immovable properties.</w:t>
            </w:r>
          </w:p>
          <w:p w:rsidR="00EE3775" w:rsidRPr="00E3680B" w:rsidRDefault="00EE3775" w:rsidP="00E3680B">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EU-9}</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Retail exposures</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00D67E32">
              <w:rPr>
                <w:rFonts w:ascii="Times New Roman" w:eastAsia="Times New Roman" w:hAnsi="Times New Roman"/>
                <w:bCs/>
                <w:color w:val="000000"/>
                <w:sz w:val="20"/>
                <w:szCs w:val="20"/>
                <w:lang w:val="en-GB"/>
              </w:rPr>
              <w:t xml:space="preserve">sum of </w:t>
            </w:r>
            <w:r w:rsidRPr="00E3680B">
              <w:rPr>
                <w:rFonts w:ascii="Times New Roman" w:eastAsia="Times New Roman" w:hAnsi="Times New Roman"/>
                <w:bCs/>
                <w:color w:val="000000"/>
                <w:sz w:val="20"/>
                <w:szCs w:val="20"/>
                <w:lang w:val="en-GB"/>
              </w:rPr>
              <w:t>exposure</w:t>
            </w:r>
            <w:r w:rsidR="00D67E32">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as defined </w:t>
            </w:r>
            <w:r w:rsidR="0068474E" w:rsidRPr="00E3680B">
              <w:rPr>
                <w:rFonts w:ascii="Times New Roman" w:eastAsia="Times New Roman" w:hAnsi="Times New Roman"/>
                <w:bCs/>
                <w:color w:val="000000"/>
                <w:sz w:val="20"/>
                <w:szCs w:val="20"/>
                <w:lang w:val="en-GB"/>
              </w:rPr>
              <w:t xml:space="preserve">in Annex XI of </w:t>
            </w:r>
            <w:r w:rsidR="0068474E">
              <w:rPr>
                <w:rFonts w:ascii="Times New Roman" w:eastAsia="Times New Roman" w:hAnsi="Times New Roman"/>
                <w:bCs/>
                <w:color w:val="000000"/>
                <w:sz w:val="20"/>
                <w:szCs w:val="20"/>
                <w:lang w:val="en-GB"/>
              </w:rPr>
              <w:t>Commission Implementing Regulation (EU) No 680/2014</w:t>
            </w:r>
            <w:r w:rsidRPr="00E3680B">
              <w:rPr>
                <w:rFonts w:ascii="Times New Roman" w:eastAsia="Times New Roman" w:hAnsi="Times New Roman"/>
                <w:bCs/>
                <w:color w:val="000000"/>
                <w:sz w:val="20"/>
                <w:szCs w:val="20"/>
                <w:lang w:val="en-GB"/>
              </w:rPr>
              <w:t>{LR4;210;010} and {LR4;210;020} which is the total exposure value of assets that are retail exposure.</w:t>
            </w:r>
          </w:p>
          <w:p w:rsidR="00EE3775" w:rsidRPr="00E3680B" w:rsidRDefault="00EE3775" w:rsidP="00E3680B">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{EU-10}</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Corporate</w:t>
            </w:r>
          </w:p>
          <w:p w:rsidR="00E3680B" w:rsidRPr="00E3680B" w:rsidRDefault="00E3680B" w:rsidP="00E3680B">
            <w:pPr>
              <w:tabs>
                <w:tab w:val="left" w:pos="0"/>
              </w:tabs>
              <w:jc w:val="both"/>
              <w:rPr>
                <w:rFonts w:ascii="Arial" w:eastAsia="Times New Roman" w:hAnsi="Arial"/>
                <w:bCs/>
                <w:color w:val="000000"/>
                <w:sz w:val="20"/>
                <w:szCs w:val="20"/>
                <w:lang w:val="en-GB"/>
              </w:rPr>
            </w:pPr>
          </w:p>
          <w:p w:rsid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00D67E32">
              <w:rPr>
                <w:rFonts w:ascii="Times New Roman" w:eastAsia="Times New Roman" w:hAnsi="Times New Roman"/>
                <w:bCs/>
                <w:color w:val="000000"/>
                <w:sz w:val="20"/>
                <w:szCs w:val="20"/>
                <w:lang w:val="en-GB"/>
              </w:rPr>
              <w:t xml:space="preserve">sum of </w:t>
            </w:r>
            <w:r w:rsidRPr="00E3680B">
              <w:rPr>
                <w:rFonts w:ascii="Times New Roman" w:eastAsia="Times New Roman" w:hAnsi="Times New Roman"/>
                <w:bCs/>
                <w:color w:val="000000"/>
                <w:sz w:val="20"/>
                <w:szCs w:val="20"/>
                <w:lang w:val="en-GB"/>
              </w:rPr>
              <w:t>exposure</w:t>
            </w:r>
            <w:r w:rsidR="00D67E32">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as defined in</w:t>
            </w:r>
            <w:r w:rsidR="0068474E">
              <w:rPr>
                <w:rFonts w:ascii="Times New Roman" w:eastAsia="Times New Roman" w:hAnsi="Times New Roman"/>
                <w:bCs/>
                <w:color w:val="000000"/>
                <w:sz w:val="20"/>
                <w:szCs w:val="20"/>
                <w:lang w:val="en-GB"/>
              </w:rPr>
              <w:t xml:space="preserve"> </w:t>
            </w:r>
            <w:r w:rsidR="0068474E" w:rsidRPr="00E3680B">
              <w:rPr>
                <w:rFonts w:ascii="Times New Roman" w:eastAsia="Times New Roman" w:hAnsi="Times New Roman"/>
                <w:bCs/>
                <w:color w:val="000000"/>
                <w:sz w:val="20"/>
                <w:szCs w:val="20"/>
                <w:lang w:val="en-GB"/>
              </w:rPr>
              <w:t xml:space="preserve">Annex XI of </w:t>
            </w:r>
            <w:r w:rsidR="0068474E">
              <w:rPr>
                <w:rFonts w:ascii="Times New Roman" w:eastAsia="Times New Roman" w:hAnsi="Times New Roman"/>
                <w:bCs/>
                <w:color w:val="000000"/>
                <w:sz w:val="20"/>
                <w:szCs w:val="20"/>
                <w:lang w:val="en-GB"/>
              </w:rPr>
              <w:t>Commission Implementing Regulation (EU) No 680/2014</w:t>
            </w:r>
            <w:r w:rsidRPr="00E3680B">
              <w:rPr>
                <w:rFonts w:ascii="Times New Roman" w:eastAsia="Times New Roman" w:hAnsi="Times New Roman"/>
                <w:bCs/>
                <w:color w:val="000000"/>
                <w:sz w:val="20"/>
                <w:szCs w:val="20"/>
                <w:lang w:val="en-GB"/>
              </w:rPr>
              <w:t xml:space="preserve"> {LR4;230;010} and {LR4;230;020} which is the total exposure value of assets that are corporate exposure (i.e. financial and non-financial).</w:t>
            </w:r>
          </w:p>
          <w:p w:rsidR="00EE3775" w:rsidRPr="00E3680B" w:rsidRDefault="00EE3775" w:rsidP="00E3680B">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EU-11}</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
                <w:bCs/>
                <w:color w:val="000000"/>
                <w:sz w:val="20"/>
                <w:szCs w:val="20"/>
                <w:lang w:val="en-GB"/>
              </w:rPr>
              <w:t>Exposures in default</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p>
          <w:p w:rsid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00D67E32">
              <w:rPr>
                <w:rFonts w:ascii="Times New Roman" w:eastAsia="Times New Roman" w:hAnsi="Times New Roman"/>
                <w:bCs/>
                <w:color w:val="000000"/>
                <w:sz w:val="20"/>
                <w:szCs w:val="20"/>
                <w:lang w:val="en-GB"/>
              </w:rPr>
              <w:t xml:space="preserve">sum of </w:t>
            </w:r>
            <w:r w:rsidRPr="00E3680B">
              <w:rPr>
                <w:rFonts w:ascii="Times New Roman" w:eastAsia="Times New Roman" w:hAnsi="Times New Roman"/>
                <w:bCs/>
                <w:color w:val="000000"/>
                <w:sz w:val="20"/>
                <w:szCs w:val="20"/>
                <w:lang w:val="en-GB"/>
              </w:rPr>
              <w:t>exposure</w:t>
            </w:r>
            <w:r w:rsidR="00D67E32">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as defined in </w:t>
            </w:r>
            <w:r w:rsidR="0068474E" w:rsidRPr="00E3680B">
              <w:rPr>
                <w:rFonts w:ascii="Times New Roman" w:eastAsia="Times New Roman" w:hAnsi="Times New Roman"/>
                <w:bCs/>
                <w:color w:val="000000"/>
                <w:sz w:val="20"/>
                <w:szCs w:val="20"/>
                <w:lang w:val="en-GB"/>
              </w:rPr>
              <w:t xml:space="preserve">Annex XI of </w:t>
            </w:r>
            <w:r w:rsidR="0068474E">
              <w:rPr>
                <w:rFonts w:ascii="Times New Roman" w:eastAsia="Times New Roman" w:hAnsi="Times New Roman"/>
                <w:bCs/>
                <w:color w:val="000000"/>
                <w:sz w:val="20"/>
                <w:szCs w:val="20"/>
                <w:lang w:val="en-GB"/>
              </w:rPr>
              <w:t xml:space="preserve">Commission Implementing Regulation (EU) No 680/2014 </w:t>
            </w:r>
            <w:r w:rsidRPr="00E3680B">
              <w:rPr>
                <w:rFonts w:ascii="Times New Roman" w:eastAsia="Times New Roman" w:hAnsi="Times New Roman"/>
                <w:bCs/>
                <w:color w:val="000000"/>
                <w:sz w:val="20"/>
                <w:szCs w:val="20"/>
                <w:lang w:val="en-GB"/>
              </w:rPr>
              <w:t>{LR4;280;010} and {LR4;280;020} which is the total exposure value of assets that are in default.</w:t>
            </w:r>
          </w:p>
          <w:p w:rsidR="00EE3775" w:rsidRPr="00E3680B" w:rsidRDefault="00EE3775" w:rsidP="00E3680B">
            <w:pPr>
              <w:tabs>
                <w:tab w:val="left" w:pos="0"/>
              </w:tabs>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{EU-12}</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E3680B" w:rsidP="00E3680B">
            <w:pPr>
              <w:tabs>
                <w:tab w:val="left" w:pos="0"/>
              </w:tabs>
              <w:jc w:val="both"/>
              <w:rPr>
                <w:rFonts w:ascii="Times New Roman" w:eastAsia="Times New Roman" w:hAnsi="Times New Roman"/>
                <w:b/>
                <w:bCs/>
                <w:color w:val="000000"/>
                <w:sz w:val="20"/>
                <w:szCs w:val="20"/>
              </w:rPr>
            </w:pPr>
            <w:r w:rsidRPr="00E3680B">
              <w:rPr>
                <w:rFonts w:ascii="Times New Roman" w:eastAsia="Times New Roman" w:hAnsi="Times New Roman"/>
                <w:b/>
                <w:bCs/>
                <w:color w:val="000000"/>
                <w:sz w:val="20"/>
                <w:szCs w:val="20"/>
              </w:rPr>
              <w:t>Other exposures (e.g. equity, securitisations, and other non-credit obligations assets)</w:t>
            </w:r>
          </w:p>
          <w:p w:rsidR="00E3680B" w:rsidRPr="00E3680B" w:rsidRDefault="00E3680B" w:rsidP="00E3680B">
            <w:pPr>
              <w:tabs>
                <w:tab w:val="left" w:pos="0"/>
              </w:tabs>
              <w:jc w:val="both"/>
              <w:rPr>
                <w:rFonts w:ascii="Times New Roman" w:eastAsia="Times New Roman" w:hAnsi="Times New Roman"/>
                <w:b/>
                <w:bCs/>
                <w:color w:val="000000"/>
                <w:sz w:val="20"/>
                <w:szCs w:val="20"/>
              </w:rPr>
            </w:pPr>
          </w:p>
          <w:p w:rsidR="00EE3775"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Institutions shall disclose the </w:t>
            </w:r>
            <w:r w:rsidR="00D67E32">
              <w:rPr>
                <w:rFonts w:ascii="Times New Roman" w:eastAsia="Times New Roman" w:hAnsi="Times New Roman"/>
                <w:bCs/>
                <w:color w:val="000000"/>
                <w:sz w:val="20"/>
                <w:szCs w:val="20"/>
                <w:lang w:val="en-GB"/>
              </w:rPr>
              <w:t xml:space="preserve">sum of </w:t>
            </w:r>
            <w:r w:rsidRPr="00E3680B">
              <w:rPr>
                <w:rFonts w:ascii="Times New Roman" w:eastAsia="Times New Roman" w:hAnsi="Times New Roman"/>
                <w:bCs/>
                <w:color w:val="000000"/>
                <w:sz w:val="20"/>
                <w:szCs w:val="20"/>
                <w:lang w:val="en-GB"/>
              </w:rPr>
              <w:t>exposure</w:t>
            </w:r>
            <w:r w:rsidR="00D67E32">
              <w:rPr>
                <w:rFonts w:ascii="Times New Roman" w:eastAsia="Times New Roman" w:hAnsi="Times New Roman"/>
                <w:bCs/>
                <w:color w:val="000000"/>
                <w:sz w:val="20"/>
                <w:szCs w:val="20"/>
                <w:lang w:val="en-GB"/>
              </w:rPr>
              <w:t>s</w:t>
            </w:r>
            <w:r w:rsidRPr="00E3680B">
              <w:rPr>
                <w:rFonts w:ascii="Times New Roman" w:eastAsia="Times New Roman" w:hAnsi="Times New Roman"/>
                <w:bCs/>
                <w:color w:val="000000"/>
                <w:sz w:val="20"/>
                <w:szCs w:val="20"/>
                <w:lang w:val="en-GB"/>
              </w:rPr>
              <w:t xml:space="preserve"> as defined in </w:t>
            </w:r>
            <w:r w:rsidR="0068474E" w:rsidRPr="00E3680B">
              <w:rPr>
                <w:rFonts w:ascii="Times New Roman" w:eastAsia="Times New Roman" w:hAnsi="Times New Roman"/>
                <w:bCs/>
                <w:color w:val="000000"/>
                <w:sz w:val="20"/>
                <w:szCs w:val="20"/>
                <w:lang w:val="en-GB"/>
              </w:rPr>
              <w:t xml:space="preserve">Annex XI of </w:t>
            </w:r>
            <w:r w:rsidR="0068474E">
              <w:rPr>
                <w:rFonts w:ascii="Times New Roman" w:eastAsia="Times New Roman" w:hAnsi="Times New Roman"/>
                <w:bCs/>
                <w:color w:val="000000"/>
                <w:sz w:val="20"/>
                <w:szCs w:val="20"/>
                <w:lang w:val="en-GB"/>
              </w:rPr>
              <w:t xml:space="preserve">Commission Implementing Regulation (EU) No 680/2014 </w:t>
            </w:r>
            <w:r w:rsidRPr="00E3680B">
              <w:rPr>
                <w:rFonts w:ascii="Times New Roman" w:eastAsia="Times New Roman" w:hAnsi="Times New Roman"/>
                <w:bCs/>
                <w:color w:val="000000"/>
                <w:sz w:val="20"/>
                <w:szCs w:val="20"/>
                <w:lang w:val="en-GB"/>
              </w:rPr>
              <w:t xml:space="preserve">{LR4;290;010} and {LR4;290;020} which is the total exposure value of other non-trading book exposures (e.g. equity, securitisations and non-credit obligation assets) under  Regulation (EU) No 575/2013. Institutions shall include assets that are deducted in determining Tier 1 capital and therefore are disclosed in {LRCom; 2} unless these assets are included in {LRSpl; EU-2} to {LRSpl; EU-12}. </w:t>
            </w:r>
          </w:p>
          <w:p w:rsidR="00E3680B" w:rsidRPr="00E3680B" w:rsidRDefault="00E3680B" w:rsidP="00E3680B">
            <w:pPr>
              <w:tabs>
                <w:tab w:val="left" w:pos="0"/>
              </w:tabs>
              <w:jc w:val="both"/>
              <w:rPr>
                <w:rFonts w:ascii="Times New Roman" w:eastAsia="Times New Roman" w:hAnsi="Times New Roman"/>
                <w:b/>
                <w:bCs/>
                <w:color w:val="000000"/>
                <w:sz w:val="20"/>
                <w:szCs w:val="20"/>
                <w:lang w:val="en-GB"/>
              </w:rPr>
            </w:pPr>
            <w:r w:rsidRPr="00E3680B">
              <w:rPr>
                <w:rFonts w:ascii="Times New Roman" w:eastAsia="Times New Roman" w:hAnsi="Times New Roman"/>
                <w:bCs/>
                <w:color w:val="000000"/>
                <w:sz w:val="20"/>
                <w:szCs w:val="20"/>
                <w:lang w:val="en-GB"/>
              </w:rPr>
              <w:t xml:space="preserve"> </w:t>
            </w:r>
          </w:p>
        </w:tc>
      </w:tr>
    </w:tbl>
    <w:p w:rsidR="00E3680B" w:rsidRPr="00E3680B" w:rsidRDefault="00E3680B" w:rsidP="00E3680B">
      <w:pPr>
        <w:tabs>
          <w:tab w:val="left" w:pos="0"/>
        </w:tabs>
        <w:jc w:val="both"/>
        <w:rPr>
          <w:rFonts w:ascii="Times New Roman" w:eastAsia="Times New Roman" w:hAnsi="Times New Roman"/>
          <w:color w:val="000000"/>
          <w:sz w:val="20"/>
          <w:szCs w:val="20"/>
          <w:lang w:val="en-GB"/>
        </w:rPr>
      </w:pPr>
    </w:p>
    <w:p w:rsidR="00E3680B" w:rsidRPr="00E3680B" w:rsidRDefault="00E3680B" w:rsidP="00E3680B">
      <w:pPr>
        <w:tabs>
          <w:tab w:val="left" w:pos="0"/>
        </w:tabs>
        <w:spacing w:line="300" w:lineRule="exact"/>
        <w:jc w:val="both"/>
        <w:rPr>
          <w:rFonts w:ascii="Times New Roman" w:eastAsia="Times New Roman" w:hAnsi="Times New Roman"/>
          <w:color w:val="000000"/>
          <w:sz w:val="20"/>
          <w:szCs w:val="20"/>
          <w:lang w:val="en-GB"/>
        </w:rPr>
      </w:pPr>
    </w:p>
    <w:p w:rsidR="00E3680B" w:rsidRPr="00E3680B" w:rsidRDefault="00055435" w:rsidP="00E3680B">
      <w:r>
        <w:br w:type="page"/>
      </w:r>
    </w:p>
    <w:p w:rsidR="00E3680B" w:rsidRPr="00E3680B" w:rsidRDefault="00E3680B" w:rsidP="00E3680B">
      <w:pPr>
        <w:numPr>
          <w:ilvl w:val="0"/>
          <w:numId w:val="21"/>
        </w:numPr>
        <w:tabs>
          <w:tab w:val="left" w:pos="0"/>
        </w:tabs>
        <w:spacing w:line="300" w:lineRule="exact"/>
        <w:jc w:val="both"/>
        <w:outlineLvl w:val="1"/>
        <w:rPr>
          <w:rFonts w:ascii="Times New Roman" w:eastAsia="Times New Roman" w:hAnsi="Times New Roman"/>
          <w:b/>
          <w:color w:val="000000"/>
          <w:sz w:val="20"/>
          <w:szCs w:val="20"/>
          <w:lang w:val="en-GB"/>
        </w:rPr>
      </w:pPr>
      <w:r w:rsidRPr="00E3680B">
        <w:rPr>
          <w:rFonts w:ascii="Times New Roman" w:eastAsia="Times New Roman" w:hAnsi="Times New Roman"/>
          <w:b/>
          <w:color w:val="000000"/>
          <w:sz w:val="20"/>
          <w:szCs w:val="20"/>
          <w:lang w:val="en-GB"/>
        </w:rPr>
        <w:t>Table LRQua: Free format text boxes for disclosure on qualitative items</w:t>
      </w:r>
    </w:p>
    <w:p w:rsidR="00E3680B" w:rsidRPr="00E3680B" w:rsidRDefault="00E3680B" w:rsidP="00E3680B">
      <w:pPr>
        <w:tabs>
          <w:tab w:val="left" w:pos="0"/>
        </w:tabs>
        <w:jc w:val="both"/>
        <w:rPr>
          <w:rFonts w:ascii="Times New Roman" w:eastAsia="Times New Roman" w:hAnsi="Times New Roman"/>
          <w:color w:val="000000"/>
          <w:sz w:val="20"/>
          <w:szCs w:val="20"/>
          <w:lang w:val="en-GB"/>
        </w:rPr>
      </w:pPr>
    </w:p>
    <w:p w:rsidR="00E3680B" w:rsidRPr="00E3680B" w:rsidRDefault="00E3680B" w:rsidP="00E3680B"/>
    <w:p w:rsidR="00E3680B" w:rsidRPr="00E3680B" w:rsidRDefault="00E3680B" w:rsidP="00B815F6">
      <w:pPr>
        <w:numPr>
          <w:ilvl w:val="0"/>
          <w:numId w:val="19"/>
        </w:numPr>
        <w:spacing w:after="240"/>
        <w:jc w:val="both"/>
        <w:rPr>
          <w:rFonts w:ascii="Times New Roman" w:eastAsia="Times New Roman" w:hAnsi="Times New Roman"/>
          <w:color w:val="000000"/>
          <w:sz w:val="20"/>
          <w:szCs w:val="20"/>
          <w:lang w:val="en-GB"/>
        </w:rPr>
      </w:pPr>
      <w:r w:rsidRPr="00E3680B">
        <w:rPr>
          <w:rFonts w:ascii="Times New Roman" w:eastAsia="Times New Roman" w:hAnsi="Times New Roman"/>
          <w:color w:val="000000"/>
          <w:sz w:val="20"/>
          <w:szCs w:val="20"/>
          <w:lang w:val="en-GB"/>
        </w:rPr>
        <w:t>Institutions shall complete table LRQua of Annex I by applying the following.</w:t>
      </w:r>
    </w:p>
    <w:p w:rsidR="00E3680B" w:rsidRPr="00E3680B" w:rsidRDefault="00E3680B" w:rsidP="00E3680B">
      <w:pPr>
        <w:tabs>
          <w:tab w:val="left" w:pos="0"/>
        </w:tabs>
        <w:spacing w:line="300" w:lineRule="exact"/>
        <w:jc w:val="both"/>
        <w:rPr>
          <w:rFonts w:ascii="Times New Roman" w:eastAsia="Times New Roman" w:hAnsi="Times New Roman"/>
          <w:color w:val="000000"/>
          <w:sz w:val="20"/>
          <w:szCs w:val="20"/>
          <w:lang w:val="en-GB"/>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590"/>
      </w:tblGrid>
      <w:tr w:rsidR="00E3680B" w:rsidRPr="00E3680B" w:rsidTr="0084732E">
        <w:trPr>
          <w:trHeight w:val="304"/>
        </w:trPr>
        <w:tc>
          <w:tcPr>
            <w:tcW w:w="1418"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color w:val="000000"/>
                <w:sz w:val="20"/>
                <w:szCs w:val="20"/>
                <w:lang w:val="en-GB"/>
              </w:rPr>
            </w:pPr>
          </w:p>
        </w:tc>
        <w:tc>
          <w:tcPr>
            <w:tcW w:w="7590"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u w:val="single"/>
                <w:lang w:val="en-GB"/>
              </w:rPr>
            </w:pPr>
            <w:r w:rsidRPr="00E3680B">
              <w:rPr>
                <w:rFonts w:ascii="Times New Roman" w:eastAsia="Times New Roman" w:hAnsi="Times New Roman"/>
                <w:color w:val="000000"/>
                <w:sz w:val="20"/>
                <w:szCs w:val="20"/>
                <w:lang w:val="en-GB"/>
              </w:rPr>
              <w:t>Legal references and instructions</w:t>
            </w:r>
          </w:p>
        </w:tc>
      </w:tr>
      <w:tr w:rsidR="00E3680B" w:rsidRPr="00E3680B" w:rsidTr="0084732E">
        <w:trPr>
          <w:trHeight w:val="304"/>
        </w:trPr>
        <w:tc>
          <w:tcPr>
            <w:tcW w:w="1418"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
                <w:color w:val="000000"/>
                <w:sz w:val="20"/>
                <w:szCs w:val="20"/>
                <w:lang w:val="en-GB"/>
              </w:rPr>
            </w:pPr>
            <w:r w:rsidRPr="00E3680B">
              <w:rPr>
                <w:rFonts w:ascii="Times New Roman" w:eastAsia="Times New Roman" w:hAnsi="Times New Roman"/>
                <w:b/>
                <w:color w:val="000000"/>
                <w:sz w:val="20"/>
                <w:szCs w:val="20"/>
                <w:lang w:val="en-GB"/>
              </w:rPr>
              <w:t xml:space="preserve">Row </w:t>
            </w:r>
          </w:p>
          <w:p w:rsidR="00E3680B" w:rsidRPr="00E3680B" w:rsidRDefault="00E3680B" w:rsidP="00E3680B">
            <w:pPr>
              <w:tabs>
                <w:tab w:val="left" w:pos="0"/>
              </w:tabs>
              <w:spacing w:line="300" w:lineRule="exact"/>
              <w:jc w:val="both"/>
              <w:rPr>
                <w:rFonts w:ascii="Times New Roman" w:eastAsia="Times New Roman" w:hAnsi="Times New Roman"/>
                <w:b/>
                <w:color w:val="000000"/>
                <w:sz w:val="20"/>
                <w:szCs w:val="20"/>
                <w:lang w:val="en-GB"/>
              </w:rPr>
            </w:pPr>
          </w:p>
        </w:tc>
        <w:tc>
          <w:tcPr>
            <w:tcW w:w="7590" w:type="dxa"/>
            <w:shd w:val="clear" w:color="auto" w:fill="D9D9D9"/>
          </w:tcPr>
          <w:p w:rsidR="00E3680B" w:rsidRPr="00E3680B" w:rsidRDefault="00E3680B" w:rsidP="00E3680B">
            <w:pPr>
              <w:tabs>
                <w:tab w:val="left" w:pos="0"/>
              </w:tabs>
              <w:spacing w:line="300" w:lineRule="exact"/>
              <w:jc w:val="both"/>
              <w:rPr>
                <w:rFonts w:ascii="Times New Roman" w:eastAsia="Times New Roman" w:hAnsi="Times New Roman"/>
                <w:b/>
                <w:bCs/>
                <w:color w:val="000000"/>
                <w:sz w:val="20"/>
                <w:szCs w:val="20"/>
                <w:lang w:val="en-GB"/>
              </w:rPr>
            </w:pP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1 }</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83485B" w:rsidP="00E3680B">
            <w:pPr>
              <w:tabs>
                <w:tab w:val="left" w:pos="0"/>
              </w:tabs>
              <w:jc w:val="both"/>
              <w:rPr>
                <w:rFonts w:ascii="Times New Roman" w:eastAsia="Times New Roman" w:hAnsi="Times New Roman"/>
                <w:b/>
                <w:bCs/>
                <w:color w:val="000000"/>
                <w:sz w:val="20"/>
                <w:szCs w:val="20"/>
                <w:lang w:val="en-GB"/>
              </w:rPr>
            </w:pPr>
            <w:r>
              <w:rPr>
                <w:rFonts w:ascii="Times New Roman" w:eastAsia="Times New Roman" w:hAnsi="Times New Roman"/>
                <w:b/>
                <w:bCs/>
                <w:color w:val="000000"/>
                <w:sz w:val="20"/>
                <w:szCs w:val="20"/>
                <w:lang w:val="en-GB"/>
              </w:rPr>
              <w:t>D</w:t>
            </w:r>
            <w:r w:rsidR="00E3680B" w:rsidRPr="00E3680B">
              <w:rPr>
                <w:rFonts w:ascii="Times New Roman" w:eastAsia="Times New Roman" w:hAnsi="Times New Roman"/>
                <w:b/>
                <w:bCs/>
                <w:color w:val="000000"/>
                <w:sz w:val="20"/>
                <w:szCs w:val="20"/>
                <w:lang w:val="en-GB"/>
              </w:rPr>
              <w:t>escription of the processes used to manage the risk of excessive leverage</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Article 451(1)(d) of Regulation</w:t>
            </w:r>
            <w:r w:rsidR="0068474E">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(EU) No 575/2013</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‘Processes used to manage the risk of excessive leverage’ shall </w:t>
            </w:r>
            <w:r w:rsidR="0083485B">
              <w:rPr>
                <w:rFonts w:ascii="Times New Roman" w:eastAsia="Times New Roman" w:hAnsi="Times New Roman"/>
                <w:bCs/>
                <w:color w:val="000000"/>
                <w:sz w:val="20"/>
                <w:szCs w:val="20"/>
                <w:lang w:val="en-GB"/>
              </w:rPr>
              <w:t>include</w:t>
            </w:r>
            <w:r w:rsidRPr="00E3680B">
              <w:rPr>
                <w:rFonts w:ascii="Times New Roman" w:eastAsia="Times New Roman" w:hAnsi="Times New Roman"/>
                <w:bCs/>
                <w:color w:val="000000"/>
                <w:sz w:val="20"/>
                <w:szCs w:val="20"/>
                <w:lang w:val="en-GB"/>
              </w:rPr>
              <w:t xml:space="preserve"> any relevant information on: </w:t>
            </w:r>
          </w:p>
          <w:p w:rsidR="00E3680B" w:rsidRPr="00E3680B" w:rsidRDefault="00E3680B" w:rsidP="00744CC4">
            <w:pPr>
              <w:numPr>
                <w:ilvl w:val="0"/>
                <w:numId w:val="34"/>
              </w:num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procedures and resources used to assess the risk of excessive leverage;</w:t>
            </w:r>
          </w:p>
          <w:p w:rsidR="00E3680B" w:rsidRPr="00E3680B" w:rsidRDefault="00E3680B" w:rsidP="00744CC4">
            <w:pPr>
              <w:numPr>
                <w:ilvl w:val="0"/>
                <w:numId w:val="34"/>
              </w:num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quantitative tools, if any, used to assess the risk of excessive leverage including details on potential internal targets and whether other indicators than the leverage ratio </w:t>
            </w:r>
            <w:r w:rsidR="0068474E" w:rsidRPr="00E3680B">
              <w:rPr>
                <w:rFonts w:ascii="Times New Roman" w:eastAsia="Times New Roman" w:hAnsi="Times New Roman"/>
                <w:bCs/>
                <w:color w:val="000000"/>
                <w:sz w:val="20"/>
                <w:szCs w:val="20"/>
                <w:lang w:val="en-GB"/>
              </w:rPr>
              <w:t>of Regulation</w:t>
            </w:r>
            <w:r w:rsidR="0068474E">
              <w:rPr>
                <w:rFonts w:ascii="Times New Roman" w:eastAsia="Times New Roman" w:hAnsi="Times New Roman"/>
                <w:bCs/>
                <w:color w:val="000000"/>
                <w:sz w:val="20"/>
                <w:szCs w:val="20"/>
                <w:lang w:val="en-GB"/>
              </w:rPr>
              <w:t xml:space="preserve"> </w:t>
            </w:r>
            <w:r w:rsidR="0068474E" w:rsidRPr="00E3680B">
              <w:rPr>
                <w:rFonts w:ascii="Times New Roman" w:eastAsia="Times New Roman" w:hAnsi="Times New Roman"/>
                <w:bCs/>
                <w:color w:val="000000"/>
                <w:sz w:val="20"/>
                <w:szCs w:val="20"/>
                <w:lang w:val="en-GB"/>
              </w:rPr>
              <w:t>(EU) No 575/2013</w:t>
            </w:r>
            <w:r w:rsidR="0068474E">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are being used;</w:t>
            </w:r>
          </w:p>
          <w:p w:rsidR="00E3680B" w:rsidRPr="00E3680B" w:rsidRDefault="00E3680B" w:rsidP="00744CC4">
            <w:pPr>
              <w:numPr>
                <w:ilvl w:val="0"/>
                <w:numId w:val="34"/>
              </w:num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ways of how maturity mismatches and asset encumbrance are taken into account in managing the risk of excessive leverage; </w:t>
            </w:r>
          </w:p>
          <w:p w:rsidR="00E3680B" w:rsidRPr="00E3680B" w:rsidRDefault="00E3680B" w:rsidP="00744CC4">
            <w:pPr>
              <w:numPr>
                <w:ilvl w:val="0"/>
                <w:numId w:val="34"/>
              </w:num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processes for reacting to leverage ratio changes, including processes and timelines for potential increase of Tier 1 capital to manage the risk of excessive leverage; or processes and timelines for adjusting the leverage ratio denominator (exposure measure) to manage the risk of excessive leverage.</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u w:val="single"/>
                <w:lang w:val="en-GB"/>
              </w:rPr>
            </w:pPr>
            <w:r w:rsidRPr="00E3680B">
              <w:rPr>
                <w:rFonts w:ascii="Times New Roman" w:eastAsia="Times New Roman" w:hAnsi="Times New Roman"/>
                <w:bCs/>
                <w:color w:val="000000"/>
                <w:sz w:val="20"/>
                <w:szCs w:val="20"/>
                <w:lang w:val="en-GB"/>
              </w:rPr>
              <w:t xml:space="preserve"> </w:t>
            </w:r>
          </w:p>
        </w:tc>
      </w:tr>
      <w:tr w:rsidR="00E3680B" w:rsidRPr="00E3680B" w:rsidTr="0084732E">
        <w:trPr>
          <w:trHeight w:val="304"/>
        </w:trPr>
        <w:tc>
          <w:tcPr>
            <w:tcW w:w="1418" w:type="dxa"/>
          </w:tcPr>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2 }</w:t>
            </w:r>
          </w:p>
          <w:p w:rsidR="00E3680B" w:rsidRPr="00E3680B" w:rsidRDefault="00E3680B" w:rsidP="00E3680B">
            <w:pPr>
              <w:tabs>
                <w:tab w:val="left" w:pos="0"/>
              </w:tabs>
              <w:spacing w:line="300" w:lineRule="exact"/>
              <w:jc w:val="both"/>
              <w:rPr>
                <w:rFonts w:ascii="Times New Roman" w:eastAsia="Times New Roman" w:hAnsi="Times New Roman"/>
                <w:bCs/>
                <w:color w:val="000000"/>
                <w:sz w:val="20"/>
                <w:szCs w:val="20"/>
                <w:lang w:val="en-GB"/>
              </w:rPr>
            </w:pPr>
          </w:p>
        </w:tc>
        <w:tc>
          <w:tcPr>
            <w:tcW w:w="7590" w:type="dxa"/>
          </w:tcPr>
          <w:p w:rsidR="00E3680B" w:rsidRPr="00E3680B" w:rsidRDefault="0083485B" w:rsidP="00E3680B">
            <w:pPr>
              <w:tabs>
                <w:tab w:val="left" w:pos="0"/>
              </w:tabs>
              <w:jc w:val="both"/>
              <w:rPr>
                <w:rFonts w:ascii="Times New Roman" w:eastAsia="Times New Roman" w:hAnsi="Times New Roman"/>
                <w:bCs/>
                <w:color w:val="000000"/>
                <w:sz w:val="20"/>
                <w:szCs w:val="20"/>
                <w:lang w:val="en-GB"/>
              </w:rPr>
            </w:pPr>
            <w:r>
              <w:rPr>
                <w:rFonts w:ascii="Times New Roman" w:eastAsia="Times New Roman" w:hAnsi="Times New Roman"/>
                <w:b/>
                <w:bCs/>
                <w:color w:val="000000"/>
                <w:sz w:val="20"/>
                <w:szCs w:val="20"/>
                <w:lang w:val="en-GB"/>
              </w:rPr>
              <w:t>D</w:t>
            </w:r>
            <w:r w:rsidR="00E3680B" w:rsidRPr="00E3680B">
              <w:rPr>
                <w:rFonts w:ascii="Times New Roman" w:eastAsia="Times New Roman" w:hAnsi="Times New Roman"/>
                <w:b/>
                <w:bCs/>
                <w:color w:val="000000"/>
                <w:sz w:val="20"/>
                <w:szCs w:val="20"/>
                <w:lang w:val="en-GB"/>
              </w:rPr>
              <w:t>escription of the factors that had an impact on the leverage ratio during the period to which the disclosed leverage ratio refers</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Article 451(1)(e) of Regulation</w:t>
            </w:r>
            <w:r w:rsidR="0068474E">
              <w:rPr>
                <w:rFonts w:ascii="Times New Roman" w:eastAsia="Times New Roman" w:hAnsi="Times New Roman"/>
                <w:bCs/>
                <w:color w:val="000000"/>
                <w:sz w:val="20"/>
                <w:szCs w:val="20"/>
                <w:lang w:val="en-GB"/>
              </w:rPr>
              <w:t xml:space="preserve"> </w:t>
            </w:r>
            <w:r w:rsidRPr="00E3680B">
              <w:rPr>
                <w:rFonts w:ascii="Times New Roman" w:eastAsia="Times New Roman" w:hAnsi="Times New Roman"/>
                <w:bCs/>
                <w:color w:val="000000"/>
                <w:sz w:val="20"/>
                <w:szCs w:val="20"/>
                <w:lang w:val="en-GB"/>
              </w:rPr>
              <w:t>(EU) No 575/2013</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‘Disclosure of factors that had an impact on the leverage ratio during the period to which the disclosed leverage ratio refers’ shall include any material information on:</w:t>
            </w:r>
          </w:p>
          <w:p w:rsidR="00E3680B" w:rsidRPr="00E3680B" w:rsidRDefault="00E3680B" w:rsidP="00744CC4">
            <w:pPr>
              <w:numPr>
                <w:ilvl w:val="0"/>
                <w:numId w:val="35"/>
              </w:num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quantification of the change in the leverage ratio since the previous disclosure reference date </w:t>
            </w:r>
          </w:p>
          <w:p w:rsidR="00E3680B" w:rsidRPr="00E3680B" w:rsidRDefault="00E3680B" w:rsidP="00744CC4">
            <w:pPr>
              <w:numPr>
                <w:ilvl w:val="0"/>
                <w:numId w:val="35"/>
              </w:num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the main drivers of the leverage ratio since the previous disclosure reference date with explanatory comments on:</w:t>
            </w:r>
          </w:p>
          <w:p w:rsidR="00E3680B" w:rsidRPr="00E3680B" w:rsidRDefault="00E3680B" w:rsidP="00744CC4">
            <w:pPr>
              <w:numPr>
                <w:ilvl w:val="1"/>
                <w:numId w:val="36"/>
              </w:num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 xml:space="preserve">the nature of the change and whether it was a change in the numerator of the ratio, in the denominator of the ratio or in both; </w:t>
            </w:r>
          </w:p>
          <w:p w:rsidR="00E3680B" w:rsidRPr="00E3680B" w:rsidRDefault="00E3680B" w:rsidP="00744CC4">
            <w:pPr>
              <w:numPr>
                <w:ilvl w:val="1"/>
                <w:numId w:val="36"/>
              </w:num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whether it resulted from an internal strategic decision and, where so, whether that strategic decision was aimed directly at the leverage ratio or whether it impacted the leverage ratio only indirectly;</w:t>
            </w:r>
          </w:p>
          <w:p w:rsidR="00E3680B" w:rsidRPr="00E3680B" w:rsidRDefault="00E3680B" w:rsidP="00744CC4">
            <w:pPr>
              <w:numPr>
                <w:ilvl w:val="1"/>
                <w:numId w:val="36"/>
              </w:numPr>
              <w:tabs>
                <w:tab w:val="left" w:pos="0"/>
              </w:tabs>
              <w:jc w:val="both"/>
              <w:rPr>
                <w:rFonts w:ascii="Times New Roman" w:eastAsia="Times New Roman" w:hAnsi="Times New Roman"/>
                <w:bCs/>
                <w:color w:val="000000"/>
                <w:sz w:val="20"/>
                <w:szCs w:val="20"/>
                <w:lang w:val="en-GB"/>
              </w:rPr>
            </w:pPr>
            <w:r w:rsidRPr="00E3680B">
              <w:rPr>
                <w:rFonts w:ascii="Times New Roman" w:eastAsia="Times New Roman" w:hAnsi="Times New Roman"/>
                <w:bCs/>
                <w:color w:val="000000"/>
                <w:sz w:val="20"/>
                <w:szCs w:val="20"/>
                <w:lang w:val="en-GB"/>
              </w:rPr>
              <w:t>the most significant external factors related to the economic and financial environments that had an impact on the leverage ratio.</w:t>
            </w:r>
          </w:p>
          <w:p w:rsidR="00E3680B" w:rsidRPr="00E3680B" w:rsidRDefault="00E3680B" w:rsidP="00E3680B">
            <w:pPr>
              <w:tabs>
                <w:tab w:val="left" w:pos="0"/>
              </w:tabs>
              <w:jc w:val="both"/>
              <w:rPr>
                <w:rFonts w:ascii="Times New Roman" w:eastAsia="Times New Roman" w:hAnsi="Times New Roman"/>
                <w:bCs/>
                <w:color w:val="000000"/>
                <w:sz w:val="20"/>
                <w:szCs w:val="20"/>
                <w:lang w:val="en-GB"/>
              </w:rPr>
            </w:pPr>
          </w:p>
        </w:tc>
      </w:tr>
    </w:tbl>
    <w:p w:rsidR="00E3680B" w:rsidRPr="00E3680B" w:rsidRDefault="00E3680B" w:rsidP="00E3680B"/>
    <w:p w:rsidR="00E3680B" w:rsidRPr="00E3680B" w:rsidRDefault="00E3680B" w:rsidP="00E3680B">
      <w:pPr>
        <w:spacing w:before="240" w:after="240"/>
        <w:rPr>
          <w:b/>
          <w:color w:val="2F5773"/>
          <w:sz w:val="24"/>
          <w:lang w:val="en-GB"/>
        </w:rPr>
      </w:pPr>
    </w:p>
    <w:p w:rsidR="00341101" w:rsidRPr="00612352" w:rsidRDefault="00341101" w:rsidP="00E3680B">
      <w:pPr>
        <w:rPr>
          <w:lang w:val="en-GB"/>
        </w:rPr>
      </w:pPr>
    </w:p>
    <w:bookmarkEnd w:id="1"/>
    <w:bookmarkEnd w:id="2"/>
    <w:p w:rsidR="00272697" w:rsidRPr="00612352" w:rsidRDefault="00272697" w:rsidP="003D2687">
      <w:pPr>
        <w:rPr>
          <w:lang w:val="en-GB"/>
        </w:rPr>
      </w:pPr>
    </w:p>
    <w:sectPr w:rsidR="00272697" w:rsidRPr="00612352" w:rsidSect="00B55FAB">
      <w:headerReference w:type="even" r:id="rId9"/>
      <w:footerReference w:type="even" r:id="rId10"/>
      <w:footerReference w:type="default" r:id="rId11"/>
      <w:headerReference w:type="first" r:id="rId12"/>
      <w:pgSz w:w="11900" w:h="16840"/>
      <w:pgMar w:top="2268" w:right="1418"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0E" w:rsidRDefault="00983D0E" w:rsidP="00A00E34">
      <w:r>
        <w:separator/>
      </w:r>
    </w:p>
    <w:p w:rsidR="00983D0E" w:rsidRDefault="00983D0E"/>
  </w:endnote>
  <w:endnote w:type="continuationSeparator" w:id="0">
    <w:p w:rsidR="00983D0E" w:rsidRDefault="00983D0E" w:rsidP="00A00E34">
      <w:r>
        <w:continuationSeparator/>
      </w:r>
    </w:p>
    <w:p w:rsidR="00983D0E" w:rsidRDefault="00983D0E"/>
  </w:endnote>
  <w:endnote w:type="continuationNotice" w:id="1">
    <w:p w:rsidR="00983D0E" w:rsidRDefault="00983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1A" w:rsidRDefault="0009671A"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71A" w:rsidRDefault="0009671A" w:rsidP="006103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1A" w:rsidRDefault="0009671A"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227F">
      <w:rPr>
        <w:rStyle w:val="PageNumber"/>
        <w:noProof/>
      </w:rPr>
      <w:t>12</w:t>
    </w:r>
    <w:r>
      <w:rPr>
        <w:rStyle w:val="PageNumber"/>
      </w:rPr>
      <w:fldChar w:fldCharType="end"/>
    </w:r>
  </w:p>
  <w:p w:rsidR="0009671A" w:rsidRDefault="00983D0E" w:rsidP="00610305">
    <w:pPr>
      <w:pStyle w:val="Footer"/>
      <w:ind w:right="360"/>
    </w:pPr>
    <w:r>
      <w:rPr>
        <w:noProof/>
        <w:lang w:val="en-GB" w:eastAsia="en-GB"/>
      </w:rPr>
      <w:pict>
        <v:line id="Straight Connector 11" o:spid="_x0000_s2049" style="position:absolute;z-index:-251657728;visibility:visible;mso-wrap-distance-top:-3e-5mm;mso-wrap-distance-bottom:-3e-5mm;mso-position-vertical-relative:page;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tc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Q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becBbB2DbAOr265bgP7rwHu+FW9NWcDB6+DJxrkyZ3oB9y3j8m8Eepxbrqf8+5VRk25jwZlXt6Oc&#10;7xJceDva++M0L+rnvYX/+IU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HiyrXDQCAACKBAAADgAAAAAAAAAAAAAAAAAu&#10;AgAAZHJzL2Uyb0RvYy54bWxQSwECLQAUAAYACAAAACEAhpMb/NwAAAANAQAADwAAAAAAAAAAAAAA&#10;AACOBAAAZHJzL2Rvd25yZXYueG1sUEsFBgAAAAAEAAQA8wAAAJcFAAAAAA==&#10;" strokecolor="#2f5773" strokeweight="1pt">
          <o:lock v:ext="edit" shapetype="f"/>
          <w10:wrap anchory="page"/>
          <w10:anchorlock/>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0E" w:rsidRPr="00DB5E8F" w:rsidRDefault="00983D0E">
      <w:pPr>
        <w:rPr>
          <w:sz w:val="12"/>
          <w:szCs w:val="12"/>
        </w:rPr>
      </w:pPr>
      <w:r w:rsidRPr="00DB5E8F">
        <w:rPr>
          <w:sz w:val="12"/>
          <w:szCs w:val="12"/>
        </w:rPr>
        <w:separator/>
      </w:r>
    </w:p>
  </w:footnote>
  <w:footnote w:type="continuationSeparator" w:id="0">
    <w:p w:rsidR="00983D0E" w:rsidRDefault="00983D0E" w:rsidP="00A00E34">
      <w:r>
        <w:continuationSeparator/>
      </w:r>
    </w:p>
    <w:p w:rsidR="00983D0E" w:rsidRDefault="00983D0E"/>
  </w:footnote>
  <w:footnote w:type="continuationNotice" w:id="1">
    <w:p w:rsidR="00983D0E" w:rsidRDefault="00983D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1A" w:rsidRDefault="0009671A" w:rsidP="00693E85">
    <w:pPr>
      <w:tabs>
        <w:tab w:val="center" w:pos="4390"/>
        <w:tab w:val="right" w:pos="8781"/>
      </w:tabs>
    </w:pPr>
    <w:r>
      <w:t>[Type text]</w:t>
    </w:r>
    <w:r>
      <w:tab/>
      <w:t>[Type text]</w:t>
    </w:r>
    <w:r>
      <w:tab/>
      <w:t>[Type text]</w:t>
    </w:r>
  </w:p>
  <w:p w:rsidR="0009671A" w:rsidRDefault="000967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1A" w:rsidRDefault="0009671A" w:rsidP="00E677EF">
    <w:pPr>
      <w:pStyle w:val="Runningtitle"/>
    </w:pPr>
    <w:r w:rsidRPr="001834D4">
      <w:t xml:space="preserve">running </w:t>
    </w:r>
    <w:r>
      <w:t>title comes here in running title style</w:t>
    </w:r>
    <w:r w:rsidR="00983D0E">
      <w:rPr>
        <w:cap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laceholder" o:spid="_x0000_s2052" type="#_x0000_t75" style="position:absolute;margin-left:370.25pt;margin-top:35.45pt;width:152.9pt;height:56.65pt;z-index:-251658752;visibility:visible;mso-position-horizontal-relative:page;mso-position-vertical-relative:page" o:allowoverlap="f">
          <v:imagedata r:id="rId1" o:title=""/>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35FBE"/>
    <w:multiLevelType w:val="hybridMultilevel"/>
    <w:tmpl w:val="F2C89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94EB9"/>
    <w:multiLevelType w:val="multilevel"/>
    <w:tmpl w:val="596AD0C0"/>
    <w:lvl w:ilvl="0">
      <w:start w:val="4"/>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5">
    <w:nsid w:val="076B4358"/>
    <w:multiLevelType w:val="hybridMultilevel"/>
    <w:tmpl w:val="4BD808FA"/>
    <w:lvl w:ilvl="0" w:tplc="F138A3F8">
      <w:start w:val="3"/>
      <w:numFmt w:val="decimal"/>
      <w:lvlText w:val="%1."/>
      <w:lvlJc w:val="left"/>
      <w:pPr>
        <w:ind w:left="720" w:hanging="360"/>
      </w:pPr>
      <w:rPr>
        <w:rFonts w:cs="Times New Roman" w:hint="default"/>
      </w:rPr>
    </w:lvl>
    <w:lvl w:ilvl="1" w:tplc="A7D655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502B0"/>
    <w:multiLevelType w:val="hybridMultilevel"/>
    <w:tmpl w:val="9CC0F512"/>
    <w:lvl w:ilvl="0" w:tplc="74CA008A">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000C9"/>
    <w:multiLevelType w:val="hybridMultilevel"/>
    <w:tmpl w:val="40102D98"/>
    <w:lvl w:ilvl="0" w:tplc="8334F3D2">
      <w:start w:val="1"/>
      <w:numFmt w:val="decimal"/>
      <w:pStyle w:val="EBAParagraphNumberedIA"/>
      <w:lvlText w:val="%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5D795D"/>
    <w:multiLevelType w:val="hybridMultilevel"/>
    <w:tmpl w:val="51E41B9E"/>
    <w:lvl w:ilvl="0" w:tplc="ABA6AF86">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B0E46"/>
    <w:multiLevelType w:val="multilevel"/>
    <w:tmpl w:val="34364CAC"/>
    <w:lvl w:ilvl="0">
      <w:start w:val="1"/>
      <w:numFmt w:val="decimal"/>
      <w:pStyle w:val="Numberedheadinglevel1"/>
      <w:lvlText w:val="%1."/>
      <w:lvlJc w:val="left"/>
      <w:pPr>
        <w:ind w:left="567" w:hanging="567"/>
      </w:pPr>
      <w:rPr>
        <w:rFonts w:ascii="Arial" w:hAnsi="Arial" w:cs="Times New Roman" w:hint="default"/>
        <w:b w:val="0"/>
        <w:i w:val="0"/>
        <w:caps w:val="0"/>
        <w:strike w:val="0"/>
        <w:dstrike w:val="0"/>
        <w:vanish w:val="0"/>
        <w:color w:val="48748F"/>
        <w:sz w:val="28"/>
        <w:u w:val="none"/>
        <w:vertAlign w:val="baseline"/>
      </w:rPr>
    </w:lvl>
    <w:lvl w:ilvl="1">
      <w:start w:val="1"/>
      <w:numFmt w:val="decimal"/>
      <w:pStyle w:val="Numberedheadinglevel2"/>
      <w:lvlText w:val="%1.%2"/>
      <w:lvlJc w:val="left"/>
      <w:pPr>
        <w:tabs>
          <w:tab w:val="num" w:pos="227"/>
        </w:tabs>
        <w:ind w:left="567" w:hanging="567"/>
      </w:pPr>
      <w:rPr>
        <w:rFonts w:ascii="Arial" w:hAnsi="Arial" w:cs="Times New Roman" w:hint="default"/>
        <w:b w:val="0"/>
        <w:i w:val="0"/>
        <w:caps w:val="0"/>
        <w:strike w:val="0"/>
        <w:dstrike w:val="0"/>
        <w:vanish w:val="0"/>
        <w:color w:val="48748F"/>
        <w:sz w:val="24"/>
        <w:u w:val="none"/>
        <w:vertAlign w:val="baseline"/>
      </w:rPr>
    </w:lvl>
    <w:lvl w:ilvl="2">
      <w:start w:val="1"/>
      <w:numFmt w:val="decimal"/>
      <w:pStyle w:val="Numberedheadinglevel3"/>
      <w:lvlText w:val="%1.%2.%3"/>
      <w:lvlJc w:val="left"/>
      <w:pPr>
        <w:ind w:left="567" w:hanging="567"/>
      </w:pPr>
      <w:rPr>
        <w:rFonts w:ascii="Arial" w:hAnsi="Arial" w:cs="Times New Roman" w:hint="default"/>
        <w:b w:val="0"/>
        <w:i w:val="0"/>
        <w:caps w:val="0"/>
        <w:strike w:val="0"/>
        <w:dstrike w:val="0"/>
        <w:vanish w:val="0"/>
        <w:color w:val="48748F"/>
        <w:sz w:val="20"/>
        <w:u w:val="none"/>
        <w:vertAlign w:val="baseline"/>
      </w:rPr>
    </w:lvl>
    <w:lvl w:ilvl="3">
      <w:start w:val="1"/>
      <w:numFmt w:val="decimal"/>
      <w:lvlText w:val="(%4)"/>
      <w:lvlJc w:val="left"/>
      <w:pPr>
        <w:ind w:left="567" w:hanging="567"/>
      </w:pPr>
      <w:rPr>
        <w:rFonts w:cs="Times New Roman" w:hint="default"/>
      </w:rPr>
    </w:lvl>
    <w:lvl w:ilvl="4">
      <w:start w:val="1"/>
      <w:numFmt w:val="lowerLetter"/>
      <w:lvlText w:val="(%5)"/>
      <w:lvlJc w:val="left"/>
      <w:pPr>
        <w:ind w:left="567" w:hanging="567"/>
      </w:pPr>
      <w:rPr>
        <w:rFonts w:cs="Times New Roman" w:hint="default"/>
      </w:rPr>
    </w:lvl>
    <w:lvl w:ilvl="5">
      <w:start w:val="1"/>
      <w:numFmt w:val="lowerRoman"/>
      <w:lvlText w:val="(%6)"/>
      <w:lvlJc w:val="left"/>
      <w:pPr>
        <w:ind w:left="567" w:hanging="567"/>
      </w:pPr>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567" w:hanging="567"/>
      </w:pPr>
      <w:rPr>
        <w:rFonts w:cs="Times New Roman" w:hint="default"/>
      </w:rPr>
    </w:lvl>
    <w:lvl w:ilvl="8">
      <w:start w:val="1"/>
      <w:numFmt w:val="lowerRoman"/>
      <w:lvlText w:val="%9."/>
      <w:lvlJc w:val="left"/>
      <w:pPr>
        <w:ind w:left="567" w:hanging="567"/>
      </w:pPr>
      <w:rPr>
        <w:rFonts w:cs="Times New Roman" w:hint="default"/>
      </w:rPr>
    </w:lvl>
  </w:abstractNum>
  <w:abstractNum w:abstractNumId="10">
    <w:nsid w:val="2033092A"/>
    <w:multiLevelType w:val="hybridMultilevel"/>
    <w:tmpl w:val="8C1C97C4"/>
    <w:lvl w:ilvl="0" w:tplc="6068F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AC3B14"/>
    <w:multiLevelType w:val="hybridMultilevel"/>
    <w:tmpl w:val="820CAD68"/>
    <w:lvl w:ilvl="0" w:tplc="F2622852">
      <w:start w:val="1"/>
      <w:numFmt w:val="decimal"/>
      <w:lvlText w:val="%1."/>
      <w:lvlJc w:val="left"/>
      <w:pPr>
        <w:ind w:left="720" w:hanging="360"/>
      </w:pPr>
      <w:rPr>
        <w:rFonts w:cs="Times New Roman"/>
        <w:color w:val="auto"/>
      </w:rPr>
    </w:lvl>
    <w:lvl w:ilvl="1" w:tplc="08090001">
      <w:start w:val="1"/>
      <w:numFmt w:val="bullet"/>
      <w:lvlText w:val=""/>
      <w:lvlJc w:val="left"/>
      <w:pPr>
        <w:ind w:left="1440" w:hanging="360"/>
      </w:pPr>
      <w:rPr>
        <w:rFonts w:ascii="Symbol" w:hAnsi="Symbol" w:hint="default"/>
      </w:rPr>
    </w:lvl>
    <w:lvl w:ilvl="2" w:tplc="A93E4722">
      <w:start w:val="429"/>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AB81771"/>
    <w:multiLevelType w:val="hybridMultilevel"/>
    <w:tmpl w:val="1A2430B2"/>
    <w:lvl w:ilvl="0" w:tplc="2ED0654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14">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nsid w:val="2E4E306B"/>
    <w:multiLevelType w:val="hybridMultilevel"/>
    <w:tmpl w:val="4BFC5A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F71FE1"/>
    <w:multiLevelType w:val="hybridMultilevel"/>
    <w:tmpl w:val="70ACDCAE"/>
    <w:lvl w:ilvl="0" w:tplc="6068F1BC">
      <w:numFmt w:val="bullet"/>
      <w:lvlText w:val="-"/>
      <w:lvlJc w:val="left"/>
      <w:pPr>
        <w:ind w:left="720" w:hanging="360"/>
      </w:pPr>
      <w:rPr>
        <w:rFonts w:ascii="Arial" w:eastAsia="Times New Roman" w:hAnsi="Arial" w:cs="Arial" w:hint="default"/>
      </w:rPr>
    </w:lvl>
    <w:lvl w:ilvl="1" w:tplc="6068F1BC">
      <w:numFmt w:val="bullet"/>
      <w:lvlText w:val="-"/>
      <w:lvlJc w:val="left"/>
      <w:pPr>
        <w:ind w:left="1440" w:hanging="360"/>
      </w:pPr>
      <w:rPr>
        <w:rFonts w:ascii="Arial" w:eastAsia="Times New Roman" w:hAnsi="Arial" w:cs="Arial" w:hint="default"/>
      </w:rPr>
    </w:lvl>
    <w:lvl w:ilvl="2" w:tplc="6068F1B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3057CB8"/>
    <w:multiLevelType w:val="hybridMultilevel"/>
    <w:tmpl w:val="2698E4A4"/>
    <w:lvl w:ilvl="0" w:tplc="8FD0AD34">
      <w:start w:val="1"/>
      <w:numFmt w:val="decimal"/>
      <w:pStyle w:val="InstructionsText2"/>
      <w:lvlText w:val="%1."/>
      <w:lvlJc w:val="left"/>
      <w:pPr>
        <w:ind w:left="786" w:hanging="360"/>
      </w:pPr>
      <w:rPr>
        <w:rFonts w:ascii="Times New Roman" w:hAnsi="Times New Roman" w:cs="Times New Roman" w:hint="default"/>
        <w:b w:val="0"/>
      </w:rPr>
    </w:lvl>
    <w:lvl w:ilvl="1" w:tplc="1FC8A872">
      <w:start w:val="1"/>
      <w:numFmt w:val="lowerLetter"/>
      <w:lvlText w:val="%2."/>
      <w:lvlJc w:val="left"/>
      <w:pPr>
        <w:ind w:left="1440" w:hanging="360"/>
      </w:pPr>
      <w:rPr>
        <w:rFonts w:cs="Times New Roman"/>
      </w:rPr>
    </w:lvl>
    <w:lvl w:ilvl="2" w:tplc="CBAE5A34" w:tentative="1">
      <w:start w:val="1"/>
      <w:numFmt w:val="lowerRoman"/>
      <w:lvlText w:val="%3."/>
      <w:lvlJc w:val="right"/>
      <w:pPr>
        <w:ind w:left="2160" w:hanging="180"/>
      </w:pPr>
      <w:rPr>
        <w:rFonts w:cs="Times New Roman"/>
      </w:rPr>
    </w:lvl>
    <w:lvl w:ilvl="3" w:tplc="D8527F4E" w:tentative="1">
      <w:start w:val="1"/>
      <w:numFmt w:val="decimal"/>
      <w:lvlText w:val="%4."/>
      <w:lvlJc w:val="left"/>
      <w:pPr>
        <w:ind w:left="2880" w:hanging="360"/>
      </w:pPr>
      <w:rPr>
        <w:rFonts w:cs="Times New Roman"/>
      </w:rPr>
    </w:lvl>
    <w:lvl w:ilvl="4" w:tplc="43D01870" w:tentative="1">
      <w:start w:val="1"/>
      <w:numFmt w:val="lowerLetter"/>
      <w:lvlText w:val="%5."/>
      <w:lvlJc w:val="left"/>
      <w:pPr>
        <w:ind w:left="3600" w:hanging="360"/>
      </w:pPr>
      <w:rPr>
        <w:rFonts w:cs="Times New Roman"/>
      </w:rPr>
    </w:lvl>
    <w:lvl w:ilvl="5" w:tplc="CF708E5C" w:tentative="1">
      <w:start w:val="1"/>
      <w:numFmt w:val="lowerRoman"/>
      <w:lvlText w:val="%6."/>
      <w:lvlJc w:val="right"/>
      <w:pPr>
        <w:ind w:left="4320" w:hanging="180"/>
      </w:pPr>
      <w:rPr>
        <w:rFonts w:cs="Times New Roman"/>
      </w:rPr>
    </w:lvl>
    <w:lvl w:ilvl="6" w:tplc="F6940D82" w:tentative="1">
      <w:start w:val="1"/>
      <w:numFmt w:val="decimal"/>
      <w:lvlText w:val="%7."/>
      <w:lvlJc w:val="left"/>
      <w:pPr>
        <w:ind w:left="5040" w:hanging="360"/>
      </w:pPr>
      <w:rPr>
        <w:rFonts w:cs="Times New Roman"/>
      </w:rPr>
    </w:lvl>
    <w:lvl w:ilvl="7" w:tplc="AD2C2584" w:tentative="1">
      <w:start w:val="1"/>
      <w:numFmt w:val="lowerLetter"/>
      <w:lvlText w:val="%8."/>
      <w:lvlJc w:val="left"/>
      <w:pPr>
        <w:ind w:left="5760" w:hanging="360"/>
      </w:pPr>
      <w:rPr>
        <w:rFonts w:cs="Times New Roman"/>
      </w:rPr>
    </w:lvl>
    <w:lvl w:ilvl="8" w:tplc="A1220B0E" w:tentative="1">
      <w:start w:val="1"/>
      <w:numFmt w:val="lowerRoman"/>
      <w:lvlText w:val="%9."/>
      <w:lvlJc w:val="right"/>
      <w:pPr>
        <w:ind w:left="6480" w:hanging="180"/>
      </w:pPr>
      <w:rPr>
        <w:rFonts w:cs="Times New Roman"/>
      </w:rPr>
    </w:lvl>
  </w:abstractNum>
  <w:abstractNum w:abstractNumId="18">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E248D"/>
    <w:multiLevelType w:val="hybridMultilevel"/>
    <w:tmpl w:val="4F5049B2"/>
    <w:lvl w:ilvl="0" w:tplc="A4887D40">
      <w:start w:val="1"/>
      <w:numFmt w:val="bullet"/>
      <w:pStyle w:val="Bullet3"/>
      <w:lvlText w:val="►"/>
      <w:lvlJc w:val="left"/>
      <w:pPr>
        <w:ind w:left="814" w:hanging="360"/>
      </w:pPr>
      <w:rPr>
        <w:rFonts w:ascii="Arial" w:hAnsi="Arial" w:hint="default"/>
        <w:b w:val="0"/>
        <w:i w:val="0"/>
        <w:caps w:val="0"/>
        <w:strike w:val="0"/>
        <w:dstrike w:val="0"/>
        <w:vanish w:val="0"/>
        <w:color w:val="48748F"/>
        <w:sz w:val="16"/>
        <w:vertAlign w:val="baseline"/>
      </w:rPr>
    </w:lvl>
    <w:lvl w:ilvl="1" w:tplc="08090003" w:tentative="1">
      <w:start w:val="1"/>
      <w:numFmt w:val="bullet"/>
      <w:lvlText w:val="o"/>
      <w:lvlJc w:val="left"/>
      <w:pPr>
        <w:ind w:left="2121" w:hanging="360"/>
      </w:pPr>
      <w:rPr>
        <w:rFonts w:ascii="Courier New" w:hAnsi="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20">
    <w:nsid w:val="4469359D"/>
    <w:multiLevelType w:val="hybridMultilevel"/>
    <w:tmpl w:val="233E4F7C"/>
    <w:lvl w:ilvl="0" w:tplc="C12E98F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46F0DDF"/>
    <w:multiLevelType w:val="multilevel"/>
    <w:tmpl w:val="61F0B6CC"/>
    <w:lvl w:ilvl="0">
      <w:start w:val="5"/>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2">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B4744B"/>
    <w:multiLevelType w:val="hybridMultilevel"/>
    <w:tmpl w:val="CECCE66E"/>
    <w:lvl w:ilvl="0" w:tplc="0809000F">
      <w:start w:val="1"/>
      <w:numFmt w:val="decimal"/>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A93E4722">
      <w:start w:val="429"/>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D1846E0"/>
    <w:multiLevelType w:val="hybridMultilevel"/>
    <w:tmpl w:val="928C822E"/>
    <w:lvl w:ilvl="0" w:tplc="1194B0A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C48CC"/>
    <w:multiLevelType w:val="hybridMultilevel"/>
    <w:tmpl w:val="F7D2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EC5878"/>
    <w:multiLevelType w:val="hybridMultilevel"/>
    <w:tmpl w:val="795C1AC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8">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rPr>
    </w:lvl>
    <w:lvl w:ilvl="1" w:tplc="04090005"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B7F84"/>
    <w:multiLevelType w:val="hybridMultilevel"/>
    <w:tmpl w:val="9564A766"/>
    <w:lvl w:ilvl="0" w:tplc="DB0027D0">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D661E"/>
    <w:multiLevelType w:val="hybridMultilevel"/>
    <w:tmpl w:val="A5E24210"/>
    <w:lvl w:ilvl="0" w:tplc="6068F1BC">
      <w:numFmt w:val="bullet"/>
      <w:lvlText w:val="-"/>
      <w:lvlJc w:val="left"/>
      <w:pPr>
        <w:ind w:left="1174" w:hanging="360"/>
      </w:pPr>
      <w:rPr>
        <w:rFonts w:ascii="Arial" w:eastAsia="Times New Roman" w:hAnsi="Arial" w:cs="Aria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1">
    <w:nsid w:val="64BE1E33"/>
    <w:multiLevelType w:val="multilevel"/>
    <w:tmpl w:val="41803DD8"/>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2">
    <w:nsid w:val="66FF150E"/>
    <w:multiLevelType w:val="hybridMultilevel"/>
    <w:tmpl w:val="B4103CA2"/>
    <w:lvl w:ilvl="0" w:tplc="2ED0654A">
      <w:start w:val="1"/>
      <w:numFmt w:val="lowerLetter"/>
      <w:lvlText w:val="(%1)"/>
      <w:lvlJc w:val="left"/>
      <w:pPr>
        <w:ind w:left="360" w:hanging="360"/>
      </w:pPr>
      <w:rPr>
        <w:rFonts w:hint="default"/>
      </w:rPr>
    </w:lvl>
    <w:lvl w:ilvl="1" w:tplc="6C0C7B2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nsid w:val="6D5E74E0"/>
    <w:multiLevelType w:val="hybridMultilevel"/>
    <w:tmpl w:val="1122823C"/>
    <w:lvl w:ilvl="0" w:tplc="6068F1B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D854DA6"/>
    <w:multiLevelType w:val="hybridMultilevel"/>
    <w:tmpl w:val="BD7E1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4"/>
  </w:num>
  <w:num w:numId="4">
    <w:abstractNumId w:val="18"/>
  </w:num>
  <w:num w:numId="5">
    <w:abstractNumId w:val="36"/>
  </w:num>
  <w:num w:numId="6">
    <w:abstractNumId w:val="1"/>
  </w:num>
  <w:num w:numId="7">
    <w:abstractNumId w:val="33"/>
  </w:num>
  <w:num w:numId="8">
    <w:abstractNumId w:val="25"/>
  </w:num>
  <w:num w:numId="9">
    <w:abstractNumId w:val="25"/>
    <w:lvlOverride w:ilvl="0">
      <w:startOverride w:val="1"/>
    </w:lvlOverride>
  </w:num>
  <w:num w:numId="10">
    <w:abstractNumId w:val="25"/>
    <w:lvlOverride w:ilvl="0">
      <w:startOverride w:val="1"/>
    </w:lvlOverride>
  </w:num>
  <w:num w:numId="11">
    <w:abstractNumId w:val="0"/>
  </w:num>
  <w:num w:numId="12">
    <w:abstractNumId w:val="9"/>
  </w:num>
  <w:num w:numId="13">
    <w:abstractNumId w:val="13"/>
  </w:num>
  <w:num w:numId="14">
    <w:abstractNumId w:val="28"/>
  </w:num>
  <w:num w:numId="15">
    <w:abstractNumId w:val="19"/>
  </w:num>
  <w:num w:numId="16">
    <w:abstractNumId w:val="7"/>
  </w:num>
  <w:num w:numId="17">
    <w:abstractNumId w:val="17"/>
  </w:num>
  <w:num w:numId="18">
    <w:abstractNumId w:val="31"/>
  </w:num>
  <w:num w:numId="19">
    <w:abstractNumId w:val="11"/>
  </w:num>
  <w:num w:numId="20">
    <w:abstractNumId w:val="4"/>
  </w:num>
  <w:num w:numId="21">
    <w:abstractNumId w:val="21"/>
  </w:num>
  <w:num w:numId="22">
    <w:abstractNumId w:val="5"/>
  </w:num>
  <w:num w:numId="23">
    <w:abstractNumId w:val="8"/>
  </w:num>
  <w:num w:numId="24">
    <w:abstractNumId w:val="24"/>
  </w:num>
  <w:num w:numId="25">
    <w:abstractNumId w:val="6"/>
  </w:num>
  <w:num w:numId="26">
    <w:abstractNumId w:val="29"/>
  </w:num>
  <w:num w:numId="27">
    <w:abstractNumId w:val="15"/>
  </w:num>
  <w:num w:numId="28">
    <w:abstractNumId w:val="2"/>
  </w:num>
  <w:num w:numId="29">
    <w:abstractNumId w:val="16"/>
  </w:num>
  <w:num w:numId="30">
    <w:abstractNumId w:val="34"/>
  </w:num>
  <w:num w:numId="31">
    <w:abstractNumId w:val="30"/>
  </w:num>
  <w:num w:numId="32">
    <w:abstractNumId w:val="10"/>
  </w:num>
  <w:num w:numId="33">
    <w:abstractNumId w:val="35"/>
  </w:num>
  <w:num w:numId="34">
    <w:abstractNumId w:val="20"/>
  </w:num>
  <w:num w:numId="35">
    <w:abstractNumId w:val="12"/>
  </w:num>
  <w:num w:numId="36">
    <w:abstractNumId w:val="32"/>
  </w:num>
  <w:num w:numId="37">
    <w:abstractNumId w:val="27"/>
  </w:num>
  <w:num w:numId="38">
    <w:abstractNumId w:val="26"/>
  </w:num>
  <w:num w:numId="39">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EBA TS 20XX XX (FINAL DRAFT RTS-ITS ON"/>
  </w:docVars>
  <w:rsids>
    <w:rsidRoot w:val="002E6E54"/>
    <w:rsid w:val="000027FB"/>
    <w:rsid w:val="00003F50"/>
    <w:rsid w:val="00013281"/>
    <w:rsid w:val="000136D9"/>
    <w:rsid w:val="00014BB0"/>
    <w:rsid w:val="000231B7"/>
    <w:rsid w:val="00025409"/>
    <w:rsid w:val="00027CA0"/>
    <w:rsid w:val="00030D65"/>
    <w:rsid w:val="0003219C"/>
    <w:rsid w:val="00034308"/>
    <w:rsid w:val="00035033"/>
    <w:rsid w:val="00037837"/>
    <w:rsid w:val="00037D77"/>
    <w:rsid w:val="000416EA"/>
    <w:rsid w:val="000426C9"/>
    <w:rsid w:val="00046A2A"/>
    <w:rsid w:val="00046D56"/>
    <w:rsid w:val="00050AE7"/>
    <w:rsid w:val="00053B0C"/>
    <w:rsid w:val="00055435"/>
    <w:rsid w:val="00060F40"/>
    <w:rsid w:val="000620D1"/>
    <w:rsid w:val="00071BE8"/>
    <w:rsid w:val="000843CD"/>
    <w:rsid w:val="00090D44"/>
    <w:rsid w:val="00091729"/>
    <w:rsid w:val="00092B9E"/>
    <w:rsid w:val="00092FC5"/>
    <w:rsid w:val="0009671A"/>
    <w:rsid w:val="00096A29"/>
    <w:rsid w:val="000A1C81"/>
    <w:rsid w:val="000A29A0"/>
    <w:rsid w:val="000A3300"/>
    <w:rsid w:val="000B1645"/>
    <w:rsid w:val="000B3532"/>
    <w:rsid w:val="000B47C9"/>
    <w:rsid w:val="000B4B8A"/>
    <w:rsid w:val="000C3082"/>
    <w:rsid w:val="000C59FF"/>
    <w:rsid w:val="000C5A8A"/>
    <w:rsid w:val="000C6052"/>
    <w:rsid w:val="000D6821"/>
    <w:rsid w:val="000D7A44"/>
    <w:rsid w:val="000E0C27"/>
    <w:rsid w:val="000E28AB"/>
    <w:rsid w:val="000E606F"/>
    <w:rsid w:val="000E6D15"/>
    <w:rsid w:val="000F028A"/>
    <w:rsid w:val="000F6495"/>
    <w:rsid w:val="000F6FD8"/>
    <w:rsid w:val="000F73EC"/>
    <w:rsid w:val="00102A58"/>
    <w:rsid w:val="00105F6C"/>
    <w:rsid w:val="00107E98"/>
    <w:rsid w:val="0011517F"/>
    <w:rsid w:val="001152CD"/>
    <w:rsid w:val="001176B5"/>
    <w:rsid w:val="00121BB0"/>
    <w:rsid w:val="0012687A"/>
    <w:rsid w:val="0013090C"/>
    <w:rsid w:val="001312B9"/>
    <w:rsid w:val="00131C5D"/>
    <w:rsid w:val="00132622"/>
    <w:rsid w:val="00133132"/>
    <w:rsid w:val="001417F3"/>
    <w:rsid w:val="001438C2"/>
    <w:rsid w:val="00145D24"/>
    <w:rsid w:val="00151C72"/>
    <w:rsid w:val="00152832"/>
    <w:rsid w:val="001530A0"/>
    <w:rsid w:val="00154100"/>
    <w:rsid w:val="001576A4"/>
    <w:rsid w:val="001600FC"/>
    <w:rsid w:val="0016173F"/>
    <w:rsid w:val="00166196"/>
    <w:rsid w:val="00172007"/>
    <w:rsid w:val="0017446F"/>
    <w:rsid w:val="001761B9"/>
    <w:rsid w:val="001818FA"/>
    <w:rsid w:val="001834D4"/>
    <w:rsid w:val="00192287"/>
    <w:rsid w:val="0019584D"/>
    <w:rsid w:val="0019609E"/>
    <w:rsid w:val="001A016C"/>
    <w:rsid w:val="001A2A81"/>
    <w:rsid w:val="001A5B82"/>
    <w:rsid w:val="001A5E09"/>
    <w:rsid w:val="001B0B85"/>
    <w:rsid w:val="001B2C0D"/>
    <w:rsid w:val="001B6017"/>
    <w:rsid w:val="001B7A0B"/>
    <w:rsid w:val="001B7EB3"/>
    <w:rsid w:val="001C0CB7"/>
    <w:rsid w:val="001C1FD9"/>
    <w:rsid w:val="001C5BC2"/>
    <w:rsid w:val="001D0179"/>
    <w:rsid w:val="001D6D58"/>
    <w:rsid w:val="001E015B"/>
    <w:rsid w:val="001E0613"/>
    <w:rsid w:val="001E1188"/>
    <w:rsid w:val="001E3599"/>
    <w:rsid w:val="001F1313"/>
    <w:rsid w:val="001F1CB9"/>
    <w:rsid w:val="001F5403"/>
    <w:rsid w:val="001F7501"/>
    <w:rsid w:val="001F757B"/>
    <w:rsid w:val="0020241D"/>
    <w:rsid w:val="00203B9E"/>
    <w:rsid w:val="00205878"/>
    <w:rsid w:val="00211B14"/>
    <w:rsid w:val="00213D7B"/>
    <w:rsid w:val="00214DEC"/>
    <w:rsid w:val="00222992"/>
    <w:rsid w:val="00224761"/>
    <w:rsid w:val="00224A3F"/>
    <w:rsid w:val="00225EB4"/>
    <w:rsid w:val="002306C7"/>
    <w:rsid w:val="00233869"/>
    <w:rsid w:val="0023400D"/>
    <w:rsid w:val="00234770"/>
    <w:rsid w:val="00237D5E"/>
    <w:rsid w:val="00241BD8"/>
    <w:rsid w:val="00242835"/>
    <w:rsid w:val="002434B0"/>
    <w:rsid w:val="0024367A"/>
    <w:rsid w:val="00244CE7"/>
    <w:rsid w:val="002460C9"/>
    <w:rsid w:val="002461CE"/>
    <w:rsid w:val="00263144"/>
    <w:rsid w:val="0026560E"/>
    <w:rsid w:val="0026596D"/>
    <w:rsid w:val="00272697"/>
    <w:rsid w:val="0027418E"/>
    <w:rsid w:val="00276375"/>
    <w:rsid w:val="002807DF"/>
    <w:rsid w:val="0028798B"/>
    <w:rsid w:val="00290DA3"/>
    <w:rsid w:val="00293EAB"/>
    <w:rsid w:val="00295706"/>
    <w:rsid w:val="0029616C"/>
    <w:rsid w:val="002A06BF"/>
    <w:rsid w:val="002A18FC"/>
    <w:rsid w:val="002A37AB"/>
    <w:rsid w:val="002A449C"/>
    <w:rsid w:val="002B0C4F"/>
    <w:rsid w:val="002B2496"/>
    <w:rsid w:val="002B3534"/>
    <w:rsid w:val="002B4A12"/>
    <w:rsid w:val="002B5E67"/>
    <w:rsid w:val="002C0DCF"/>
    <w:rsid w:val="002C1E44"/>
    <w:rsid w:val="002C5FC6"/>
    <w:rsid w:val="002C67ED"/>
    <w:rsid w:val="002C6823"/>
    <w:rsid w:val="002D1867"/>
    <w:rsid w:val="002D60B8"/>
    <w:rsid w:val="002E0EFC"/>
    <w:rsid w:val="002E1B55"/>
    <w:rsid w:val="002E4893"/>
    <w:rsid w:val="002E6E54"/>
    <w:rsid w:val="002F2009"/>
    <w:rsid w:val="002F76B6"/>
    <w:rsid w:val="00300924"/>
    <w:rsid w:val="003025A8"/>
    <w:rsid w:val="00305DF4"/>
    <w:rsid w:val="003129B6"/>
    <w:rsid w:val="00314D6E"/>
    <w:rsid w:val="003208BE"/>
    <w:rsid w:val="00320E57"/>
    <w:rsid w:val="00321CD1"/>
    <w:rsid w:val="003221EF"/>
    <w:rsid w:val="003224D6"/>
    <w:rsid w:val="003248A2"/>
    <w:rsid w:val="0033094A"/>
    <w:rsid w:val="00340810"/>
    <w:rsid w:val="00340859"/>
    <w:rsid w:val="00341101"/>
    <w:rsid w:val="0034471E"/>
    <w:rsid w:val="0034528B"/>
    <w:rsid w:val="0034799A"/>
    <w:rsid w:val="0035361B"/>
    <w:rsid w:val="0035477B"/>
    <w:rsid w:val="00361470"/>
    <w:rsid w:val="003615FE"/>
    <w:rsid w:val="00364727"/>
    <w:rsid w:val="00366745"/>
    <w:rsid w:val="003670B2"/>
    <w:rsid w:val="00372BEC"/>
    <w:rsid w:val="003773D6"/>
    <w:rsid w:val="00381AA5"/>
    <w:rsid w:val="00392385"/>
    <w:rsid w:val="00395078"/>
    <w:rsid w:val="00396531"/>
    <w:rsid w:val="0039769B"/>
    <w:rsid w:val="00397C26"/>
    <w:rsid w:val="003A75C1"/>
    <w:rsid w:val="003B025A"/>
    <w:rsid w:val="003B1A31"/>
    <w:rsid w:val="003B43A9"/>
    <w:rsid w:val="003B46EA"/>
    <w:rsid w:val="003C0133"/>
    <w:rsid w:val="003C3F26"/>
    <w:rsid w:val="003C6F53"/>
    <w:rsid w:val="003D2687"/>
    <w:rsid w:val="003D2DBB"/>
    <w:rsid w:val="003D7776"/>
    <w:rsid w:val="003D7A72"/>
    <w:rsid w:val="003E6922"/>
    <w:rsid w:val="003F0850"/>
    <w:rsid w:val="003F35FC"/>
    <w:rsid w:val="003F5320"/>
    <w:rsid w:val="003F6D11"/>
    <w:rsid w:val="00412567"/>
    <w:rsid w:val="004132C5"/>
    <w:rsid w:val="0041499A"/>
    <w:rsid w:val="00417F0F"/>
    <w:rsid w:val="00420CD7"/>
    <w:rsid w:val="0042120C"/>
    <w:rsid w:val="00424530"/>
    <w:rsid w:val="0043577F"/>
    <w:rsid w:val="00437E29"/>
    <w:rsid w:val="00441F85"/>
    <w:rsid w:val="00444C05"/>
    <w:rsid w:val="0045301B"/>
    <w:rsid w:val="00454092"/>
    <w:rsid w:val="00455097"/>
    <w:rsid w:val="00455E0E"/>
    <w:rsid w:val="0045709B"/>
    <w:rsid w:val="00460549"/>
    <w:rsid w:val="0046149F"/>
    <w:rsid w:val="004719B4"/>
    <w:rsid w:val="00471CA1"/>
    <w:rsid w:val="00471CCE"/>
    <w:rsid w:val="00477199"/>
    <w:rsid w:val="00480CD8"/>
    <w:rsid w:val="00481AC4"/>
    <w:rsid w:val="00482FB6"/>
    <w:rsid w:val="0049534A"/>
    <w:rsid w:val="00496335"/>
    <w:rsid w:val="004A0936"/>
    <w:rsid w:val="004A5D8B"/>
    <w:rsid w:val="004A75C2"/>
    <w:rsid w:val="004B2047"/>
    <w:rsid w:val="004B2FC0"/>
    <w:rsid w:val="004B4CEC"/>
    <w:rsid w:val="004B688E"/>
    <w:rsid w:val="004B7784"/>
    <w:rsid w:val="004C1AE4"/>
    <w:rsid w:val="004C1B19"/>
    <w:rsid w:val="004C5038"/>
    <w:rsid w:val="004C595F"/>
    <w:rsid w:val="004C6392"/>
    <w:rsid w:val="004D3F58"/>
    <w:rsid w:val="004E0D95"/>
    <w:rsid w:val="004E2FEC"/>
    <w:rsid w:val="004E405B"/>
    <w:rsid w:val="004E450C"/>
    <w:rsid w:val="004E7561"/>
    <w:rsid w:val="004F0AB6"/>
    <w:rsid w:val="004F425D"/>
    <w:rsid w:val="004F4D01"/>
    <w:rsid w:val="004F6022"/>
    <w:rsid w:val="004F63DB"/>
    <w:rsid w:val="00502875"/>
    <w:rsid w:val="00502B78"/>
    <w:rsid w:val="005105EF"/>
    <w:rsid w:val="00515E9A"/>
    <w:rsid w:val="00520D29"/>
    <w:rsid w:val="0052198A"/>
    <w:rsid w:val="0052364D"/>
    <w:rsid w:val="00523895"/>
    <w:rsid w:val="005367EC"/>
    <w:rsid w:val="005410AB"/>
    <w:rsid w:val="00542377"/>
    <w:rsid w:val="00542678"/>
    <w:rsid w:val="00545547"/>
    <w:rsid w:val="00545921"/>
    <w:rsid w:val="00545C98"/>
    <w:rsid w:val="00546F46"/>
    <w:rsid w:val="0055465E"/>
    <w:rsid w:val="005571E3"/>
    <w:rsid w:val="00562F4E"/>
    <w:rsid w:val="00565691"/>
    <w:rsid w:val="00567D7A"/>
    <w:rsid w:val="00571BB6"/>
    <w:rsid w:val="00573588"/>
    <w:rsid w:val="00573BDA"/>
    <w:rsid w:val="005759C3"/>
    <w:rsid w:val="00575BA7"/>
    <w:rsid w:val="00580F47"/>
    <w:rsid w:val="00582AA7"/>
    <w:rsid w:val="0058477C"/>
    <w:rsid w:val="00586B1B"/>
    <w:rsid w:val="0059278A"/>
    <w:rsid w:val="00595E76"/>
    <w:rsid w:val="005A19E7"/>
    <w:rsid w:val="005A5236"/>
    <w:rsid w:val="005A7892"/>
    <w:rsid w:val="005B3651"/>
    <w:rsid w:val="005B40D9"/>
    <w:rsid w:val="005B56CC"/>
    <w:rsid w:val="005B5C09"/>
    <w:rsid w:val="005C33A5"/>
    <w:rsid w:val="005C498B"/>
    <w:rsid w:val="005C5364"/>
    <w:rsid w:val="005C5B36"/>
    <w:rsid w:val="005D4005"/>
    <w:rsid w:val="005D40D1"/>
    <w:rsid w:val="00600BFE"/>
    <w:rsid w:val="00603A12"/>
    <w:rsid w:val="00603B2B"/>
    <w:rsid w:val="00610305"/>
    <w:rsid w:val="00610419"/>
    <w:rsid w:val="00611DDB"/>
    <w:rsid w:val="00612352"/>
    <w:rsid w:val="00612C7B"/>
    <w:rsid w:val="006224C1"/>
    <w:rsid w:val="006269B7"/>
    <w:rsid w:val="00632817"/>
    <w:rsid w:val="00633DC7"/>
    <w:rsid w:val="00636E1D"/>
    <w:rsid w:val="0063724E"/>
    <w:rsid w:val="006439EE"/>
    <w:rsid w:val="006445C1"/>
    <w:rsid w:val="00650525"/>
    <w:rsid w:val="00663B0A"/>
    <w:rsid w:val="006641F8"/>
    <w:rsid w:val="00665861"/>
    <w:rsid w:val="00665F68"/>
    <w:rsid w:val="00670254"/>
    <w:rsid w:val="00673DDB"/>
    <w:rsid w:val="0067787E"/>
    <w:rsid w:val="00683322"/>
    <w:rsid w:val="0068474E"/>
    <w:rsid w:val="00686D18"/>
    <w:rsid w:val="00687305"/>
    <w:rsid w:val="006908DB"/>
    <w:rsid w:val="00693E85"/>
    <w:rsid w:val="00694611"/>
    <w:rsid w:val="00695FBB"/>
    <w:rsid w:val="006973AC"/>
    <w:rsid w:val="006A3ED9"/>
    <w:rsid w:val="006B44DE"/>
    <w:rsid w:val="006C0139"/>
    <w:rsid w:val="006C186D"/>
    <w:rsid w:val="006C1999"/>
    <w:rsid w:val="006C6F9B"/>
    <w:rsid w:val="006C72A7"/>
    <w:rsid w:val="006D190B"/>
    <w:rsid w:val="006E018B"/>
    <w:rsid w:val="006E4619"/>
    <w:rsid w:val="006E7EA9"/>
    <w:rsid w:val="006F1D4C"/>
    <w:rsid w:val="006F445D"/>
    <w:rsid w:val="006F465F"/>
    <w:rsid w:val="006F6D62"/>
    <w:rsid w:val="00703C06"/>
    <w:rsid w:val="00703E4E"/>
    <w:rsid w:val="00704D03"/>
    <w:rsid w:val="007071C6"/>
    <w:rsid w:val="00707DC2"/>
    <w:rsid w:val="00711E1C"/>
    <w:rsid w:val="0071281E"/>
    <w:rsid w:val="00715098"/>
    <w:rsid w:val="00715CAC"/>
    <w:rsid w:val="00721FBA"/>
    <w:rsid w:val="00730352"/>
    <w:rsid w:val="0073496B"/>
    <w:rsid w:val="007355E3"/>
    <w:rsid w:val="007379BD"/>
    <w:rsid w:val="00737DC7"/>
    <w:rsid w:val="00742839"/>
    <w:rsid w:val="007433DE"/>
    <w:rsid w:val="00744CC4"/>
    <w:rsid w:val="007453CD"/>
    <w:rsid w:val="00750399"/>
    <w:rsid w:val="00753DC6"/>
    <w:rsid w:val="00754678"/>
    <w:rsid w:val="007548B7"/>
    <w:rsid w:val="00755505"/>
    <w:rsid w:val="00756B9B"/>
    <w:rsid w:val="0076316D"/>
    <w:rsid w:val="0076765C"/>
    <w:rsid w:val="00772993"/>
    <w:rsid w:val="007815FB"/>
    <w:rsid w:val="00781D80"/>
    <w:rsid w:val="007837E9"/>
    <w:rsid w:val="00790B3D"/>
    <w:rsid w:val="00793FE8"/>
    <w:rsid w:val="007A0054"/>
    <w:rsid w:val="007A1AE1"/>
    <w:rsid w:val="007A44A6"/>
    <w:rsid w:val="007A4E17"/>
    <w:rsid w:val="007A5353"/>
    <w:rsid w:val="007A7171"/>
    <w:rsid w:val="007B1090"/>
    <w:rsid w:val="007B21A3"/>
    <w:rsid w:val="007B3D63"/>
    <w:rsid w:val="007B4232"/>
    <w:rsid w:val="007C55D0"/>
    <w:rsid w:val="007C7EF6"/>
    <w:rsid w:val="007D3E01"/>
    <w:rsid w:val="007E0574"/>
    <w:rsid w:val="007E5270"/>
    <w:rsid w:val="007E5E15"/>
    <w:rsid w:val="007F09C2"/>
    <w:rsid w:val="007F6160"/>
    <w:rsid w:val="00801B7C"/>
    <w:rsid w:val="0080287C"/>
    <w:rsid w:val="008032A0"/>
    <w:rsid w:val="00803C46"/>
    <w:rsid w:val="00807272"/>
    <w:rsid w:val="00807AA2"/>
    <w:rsid w:val="0081010B"/>
    <w:rsid w:val="0081047A"/>
    <w:rsid w:val="00813BAC"/>
    <w:rsid w:val="00813CD4"/>
    <w:rsid w:val="00814A0C"/>
    <w:rsid w:val="00817E71"/>
    <w:rsid w:val="00820C54"/>
    <w:rsid w:val="00821B9D"/>
    <w:rsid w:val="008240C5"/>
    <w:rsid w:val="008332DA"/>
    <w:rsid w:val="0083485B"/>
    <w:rsid w:val="008361AA"/>
    <w:rsid w:val="00841F5F"/>
    <w:rsid w:val="00843474"/>
    <w:rsid w:val="0084468C"/>
    <w:rsid w:val="00844930"/>
    <w:rsid w:val="0084732E"/>
    <w:rsid w:val="00850B56"/>
    <w:rsid w:val="008520F0"/>
    <w:rsid w:val="008552A0"/>
    <w:rsid w:val="008572A2"/>
    <w:rsid w:val="00857582"/>
    <w:rsid w:val="008605AC"/>
    <w:rsid w:val="00865492"/>
    <w:rsid w:val="00865F25"/>
    <w:rsid w:val="008678BC"/>
    <w:rsid w:val="00867CB4"/>
    <w:rsid w:val="008708AB"/>
    <w:rsid w:val="008726C1"/>
    <w:rsid w:val="00874ED5"/>
    <w:rsid w:val="0087584C"/>
    <w:rsid w:val="00877384"/>
    <w:rsid w:val="00882E82"/>
    <w:rsid w:val="0089041B"/>
    <w:rsid w:val="00890473"/>
    <w:rsid w:val="008A69A8"/>
    <w:rsid w:val="008B5554"/>
    <w:rsid w:val="008C1FC0"/>
    <w:rsid w:val="008C5B82"/>
    <w:rsid w:val="008C5E73"/>
    <w:rsid w:val="008D0827"/>
    <w:rsid w:val="008D39A0"/>
    <w:rsid w:val="008E21E2"/>
    <w:rsid w:val="008E22B1"/>
    <w:rsid w:val="008E3696"/>
    <w:rsid w:val="008E4ECD"/>
    <w:rsid w:val="008E7A3E"/>
    <w:rsid w:val="008F0255"/>
    <w:rsid w:val="008F3908"/>
    <w:rsid w:val="008F3BB0"/>
    <w:rsid w:val="008F640E"/>
    <w:rsid w:val="008F75D4"/>
    <w:rsid w:val="008F7904"/>
    <w:rsid w:val="009014B6"/>
    <w:rsid w:val="00905F0A"/>
    <w:rsid w:val="009109D7"/>
    <w:rsid w:val="0091168B"/>
    <w:rsid w:val="00911AC5"/>
    <w:rsid w:val="00911E59"/>
    <w:rsid w:val="00912882"/>
    <w:rsid w:val="00912895"/>
    <w:rsid w:val="00917865"/>
    <w:rsid w:val="00920DC1"/>
    <w:rsid w:val="009210DE"/>
    <w:rsid w:val="00921E46"/>
    <w:rsid w:val="00922798"/>
    <w:rsid w:val="009238AF"/>
    <w:rsid w:val="0092625C"/>
    <w:rsid w:val="00943B87"/>
    <w:rsid w:val="00944A97"/>
    <w:rsid w:val="00950CB4"/>
    <w:rsid w:val="00953C08"/>
    <w:rsid w:val="0096160F"/>
    <w:rsid w:val="00962F24"/>
    <w:rsid w:val="00964A30"/>
    <w:rsid w:val="00965B80"/>
    <w:rsid w:val="00972827"/>
    <w:rsid w:val="0097300D"/>
    <w:rsid w:val="00973728"/>
    <w:rsid w:val="0097429C"/>
    <w:rsid w:val="009742FA"/>
    <w:rsid w:val="00974DEC"/>
    <w:rsid w:val="00975650"/>
    <w:rsid w:val="00977831"/>
    <w:rsid w:val="00982C45"/>
    <w:rsid w:val="00983D0E"/>
    <w:rsid w:val="009841AE"/>
    <w:rsid w:val="00985980"/>
    <w:rsid w:val="009875F5"/>
    <w:rsid w:val="00993AFA"/>
    <w:rsid w:val="00995669"/>
    <w:rsid w:val="009A4D2E"/>
    <w:rsid w:val="009A7E14"/>
    <w:rsid w:val="009B3C60"/>
    <w:rsid w:val="009C12C9"/>
    <w:rsid w:val="009C154B"/>
    <w:rsid w:val="009C1CE7"/>
    <w:rsid w:val="009C4387"/>
    <w:rsid w:val="009D55F7"/>
    <w:rsid w:val="009D6D01"/>
    <w:rsid w:val="009E35E9"/>
    <w:rsid w:val="009E5871"/>
    <w:rsid w:val="009E76BE"/>
    <w:rsid w:val="009E79BF"/>
    <w:rsid w:val="009E7B46"/>
    <w:rsid w:val="009F3FE6"/>
    <w:rsid w:val="009F53AF"/>
    <w:rsid w:val="009F6C1C"/>
    <w:rsid w:val="00A00E34"/>
    <w:rsid w:val="00A0108C"/>
    <w:rsid w:val="00A10257"/>
    <w:rsid w:val="00A11909"/>
    <w:rsid w:val="00A14332"/>
    <w:rsid w:val="00A234C6"/>
    <w:rsid w:val="00A2467E"/>
    <w:rsid w:val="00A25F0B"/>
    <w:rsid w:val="00A25FB3"/>
    <w:rsid w:val="00A27D88"/>
    <w:rsid w:val="00A304D0"/>
    <w:rsid w:val="00A373C2"/>
    <w:rsid w:val="00A37B9B"/>
    <w:rsid w:val="00A4227F"/>
    <w:rsid w:val="00A42A6A"/>
    <w:rsid w:val="00A42A9E"/>
    <w:rsid w:val="00A4607D"/>
    <w:rsid w:val="00A46BCF"/>
    <w:rsid w:val="00A47A40"/>
    <w:rsid w:val="00A51300"/>
    <w:rsid w:val="00A530D0"/>
    <w:rsid w:val="00A53DCD"/>
    <w:rsid w:val="00A53EC9"/>
    <w:rsid w:val="00A55833"/>
    <w:rsid w:val="00A6022E"/>
    <w:rsid w:val="00A63151"/>
    <w:rsid w:val="00A65BF0"/>
    <w:rsid w:val="00A71D70"/>
    <w:rsid w:val="00A8016A"/>
    <w:rsid w:val="00A80AB9"/>
    <w:rsid w:val="00A8277A"/>
    <w:rsid w:val="00A91183"/>
    <w:rsid w:val="00A92440"/>
    <w:rsid w:val="00AA0AA6"/>
    <w:rsid w:val="00AA44CB"/>
    <w:rsid w:val="00AA4A91"/>
    <w:rsid w:val="00AA6F3C"/>
    <w:rsid w:val="00AB104D"/>
    <w:rsid w:val="00AB3E3E"/>
    <w:rsid w:val="00AB5828"/>
    <w:rsid w:val="00AB66D4"/>
    <w:rsid w:val="00AC1295"/>
    <w:rsid w:val="00AC523D"/>
    <w:rsid w:val="00AC6EA5"/>
    <w:rsid w:val="00AD0C73"/>
    <w:rsid w:val="00AD38B2"/>
    <w:rsid w:val="00AD4F69"/>
    <w:rsid w:val="00AD5BD0"/>
    <w:rsid w:val="00AE0095"/>
    <w:rsid w:val="00AE1A2D"/>
    <w:rsid w:val="00AE5347"/>
    <w:rsid w:val="00AE5472"/>
    <w:rsid w:val="00AE55F6"/>
    <w:rsid w:val="00AE56DB"/>
    <w:rsid w:val="00AE6901"/>
    <w:rsid w:val="00AF29C9"/>
    <w:rsid w:val="00AF45C1"/>
    <w:rsid w:val="00B04971"/>
    <w:rsid w:val="00B13B99"/>
    <w:rsid w:val="00B13C87"/>
    <w:rsid w:val="00B1710D"/>
    <w:rsid w:val="00B2261C"/>
    <w:rsid w:val="00B23EDB"/>
    <w:rsid w:val="00B24367"/>
    <w:rsid w:val="00B27A13"/>
    <w:rsid w:val="00B30C3F"/>
    <w:rsid w:val="00B30DE9"/>
    <w:rsid w:val="00B31ECF"/>
    <w:rsid w:val="00B32510"/>
    <w:rsid w:val="00B34FB4"/>
    <w:rsid w:val="00B3572D"/>
    <w:rsid w:val="00B36306"/>
    <w:rsid w:val="00B36D5E"/>
    <w:rsid w:val="00B410B3"/>
    <w:rsid w:val="00B42B73"/>
    <w:rsid w:val="00B467CC"/>
    <w:rsid w:val="00B473D5"/>
    <w:rsid w:val="00B51E8F"/>
    <w:rsid w:val="00B51F35"/>
    <w:rsid w:val="00B526A8"/>
    <w:rsid w:val="00B54E74"/>
    <w:rsid w:val="00B55FAB"/>
    <w:rsid w:val="00B6123F"/>
    <w:rsid w:val="00B618E6"/>
    <w:rsid w:val="00B63864"/>
    <w:rsid w:val="00B6492C"/>
    <w:rsid w:val="00B66E6F"/>
    <w:rsid w:val="00B6734E"/>
    <w:rsid w:val="00B73A3E"/>
    <w:rsid w:val="00B73E2D"/>
    <w:rsid w:val="00B74659"/>
    <w:rsid w:val="00B77E96"/>
    <w:rsid w:val="00B815F6"/>
    <w:rsid w:val="00B83D9D"/>
    <w:rsid w:val="00B84529"/>
    <w:rsid w:val="00B87ABA"/>
    <w:rsid w:val="00B92E36"/>
    <w:rsid w:val="00B9604C"/>
    <w:rsid w:val="00B96F7F"/>
    <w:rsid w:val="00B977AC"/>
    <w:rsid w:val="00BA3DD0"/>
    <w:rsid w:val="00BB2111"/>
    <w:rsid w:val="00BB235E"/>
    <w:rsid w:val="00BB4EAD"/>
    <w:rsid w:val="00BC037E"/>
    <w:rsid w:val="00BC34EF"/>
    <w:rsid w:val="00BC4575"/>
    <w:rsid w:val="00BC7FD2"/>
    <w:rsid w:val="00BD038A"/>
    <w:rsid w:val="00BD0D1F"/>
    <w:rsid w:val="00BD4373"/>
    <w:rsid w:val="00BD604D"/>
    <w:rsid w:val="00BE181A"/>
    <w:rsid w:val="00BE52BF"/>
    <w:rsid w:val="00BE5334"/>
    <w:rsid w:val="00BF373C"/>
    <w:rsid w:val="00BF4A48"/>
    <w:rsid w:val="00C007ED"/>
    <w:rsid w:val="00C0098D"/>
    <w:rsid w:val="00C035ED"/>
    <w:rsid w:val="00C03AE7"/>
    <w:rsid w:val="00C05D9D"/>
    <w:rsid w:val="00C12090"/>
    <w:rsid w:val="00C16055"/>
    <w:rsid w:val="00C2073C"/>
    <w:rsid w:val="00C2319B"/>
    <w:rsid w:val="00C3494A"/>
    <w:rsid w:val="00C34BA4"/>
    <w:rsid w:val="00C35592"/>
    <w:rsid w:val="00C356AF"/>
    <w:rsid w:val="00C41927"/>
    <w:rsid w:val="00C437B6"/>
    <w:rsid w:val="00C439D6"/>
    <w:rsid w:val="00C43FD9"/>
    <w:rsid w:val="00C44EB2"/>
    <w:rsid w:val="00C455B1"/>
    <w:rsid w:val="00C47E8F"/>
    <w:rsid w:val="00C54B90"/>
    <w:rsid w:val="00C60915"/>
    <w:rsid w:val="00C66FA7"/>
    <w:rsid w:val="00C676C9"/>
    <w:rsid w:val="00C719F0"/>
    <w:rsid w:val="00C73CC2"/>
    <w:rsid w:val="00C776AA"/>
    <w:rsid w:val="00C86A16"/>
    <w:rsid w:val="00C964B8"/>
    <w:rsid w:val="00CA24AA"/>
    <w:rsid w:val="00CA3424"/>
    <w:rsid w:val="00CA5B33"/>
    <w:rsid w:val="00CA7F84"/>
    <w:rsid w:val="00CB2224"/>
    <w:rsid w:val="00CB31E9"/>
    <w:rsid w:val="00CC499E"/>
    <w:rsid w:val="00CC7406"/>
    <w:rsid w:val="00CC7BF3"/>
    <w:rsid w:val="00CD2874"/>
    <w:rsid w:val="00CD385A"/>
    <w:rsid w:val="00CD499F"/>
    <w:rsid w:val="00CD6912"/>
    <w:rsid w:val="00CE28AB"/>
    <w:rsid w:val="00CE2BAE"/>
    <w:rsid w:val="00CE4F44"/>
    <w:rsid w:val="00CF5E38"/>
    <w:rsid w:val="00CF5FA2"/>
    <w:rsid w:val="00D01670"/>
    <w:rsid w:val="00D01E91"/>
    <w:rsid w:val="00D152E7"/>
    <w:rsid w:val="00D16DF1"/>
    <w:rsid w:val="00D20B5D"/>
    <w:rsid w:val="00D21F91"/>
    <w:rsid w:val="00D2482E"/>
    <w:rsid w:val="00D25C9B"/>
    <w:rsid w:val="00D309BF"/>
    <w:rsid w:val="00D3121D"/>
    <w:rsid w:val="00D435E1"/>
    <w:rsid w:val="00D43C67"/>
    <w:rsid w:val="00D44360"/>
    <w:rsid w:val="00D45465"/>
    <w:rsid w:val="00D530E5"/>
    <w:rsid w:val="00D549B9"/>
    <w:rsid w:val="00D557EE"/>
    <w:rsid w:val="00D56058"/>
    <w:rsid w:val="00D57F4B"/>
    <w:rsid w:val="00D61487"/>
    <w:rsid w:val="00D61633"/>
    <w:rsid w:val="00D64440"/>
    <w:rsid w:val="00D64A29"/>
    <w:rsid w:val="00D656AD"/>
    <w:rsid w:val="00D67E32"/>
    <w:rsid w:val="00D75A02"/>
    <w:rsid w:val="00D76E91"/>
    <w:rsid w:val="00D872D1"/>
    <w:rsid w:val="00D93397"/>
    <w:rsid w:val="00D93E6A"/>
    <w:rsid w:val="00D94D60"/>
    <w:rsid w:val="00DA04C5"/>
    <w:rsid w:val="00DA363C"/>
    <w:rsid w:val="00DA5647"/>
    <w:rsid w:val="00DA6228"/>
    <w:rsid w:val="00DB05C0"/>
    <w:rsid w:val="00DB0888"/>
    <w:rsid w:val="00DB0A9C"/>
    <w:rsid w:val="00DB4809"/>
    <w:rsid w:val="00DB5E8F"/>
    <w:rsid w:val="00DC0192"/>
    <w:rsid w:val="00DC13DB"/>
    <w:rsid w:val="00DC1A1E"/>
    <w:rsid w:val="00DC27BC"/>
    <w:rsid w:val="00DC7C3E"/>
    <w:rsid w:val="00DD52B1"/>
    <w:rsid w:val="00DD5503"/>
    <w:rsid w:val="00DE1D8C"/>
    <w:rsid w:val="00DE30E0"/>
    <w:rsid w:val="00DE4BA7"/>
    <w:rsid w:val="00E02B1C"/>
    <w:rsid w:val="00E059FC"/>
    <w:rsid w:val="00E05F20"/>
    <w:rsid w:val="00E12B81"/>
    <w:rsid w:val="00E1423B"/>
    <w:rsid w:val="00E223C1"/>
    <w:rsid w:val="00E22BCE"/>
    <w:rsid w:val="00E326FF"/>
    <w:rsid w:val="00E3508F"/>
    <w:rsid w:val="00E361B0"/>
    <w:rsid w:val="00E3680B"/>
    <w:rsid w:val="00E37735"/>
    <w:rsid w:val="00E3783E"/>
    <w:rsid w:val="00E41056"/>
    <w:rsid w:val="00E509A4"/>
    <w:rsid w:val="00E50AF0"/>
    <w:rsid w:val="00E6299E"/>
    <w:rsid w:val="00E62DB8"/>
    <w:rsid w:val="00E64BFE"/>
    <w:rsid w:val="00E677A0"/>
    <w:rsid w:val="00E677EF"/>
    <w:rsid w:val="00E702F8"/>
    <w:rsid w:val="00E7773F"/>
    <w:rsid w:val="00E859DF"/>
    <w:rsid w:val="00E87041"/>
    <w:rsid w:val="00E91557"/>
    <w:rsid w:val="00E9392C"/>
    <w:rsid w:val="00E95201"/>
    <w:rsid w:val="00E95634"/>
    <w:rsid w:val="00EA0E48"/>
    <w:rsid w:val="00EA1807"/>
    <w:rsid w:val="00EA3209"/>
    <w:rsid w:val="00EA4947"/>
    <w:rsid w:val="00EA7253"/>
    <w:rsid w:val="00EB0ACB"/>
    <w:rsid w:val="00EB3592"/>
    <w:rsid w:val="00EB4272"/>
    <w:rsid w:val="00EB658D"/>
    <w:rsid w:val="00EB7990"/>
    <w:rsid w:val="00EB7E70"/>
    <w:rsid w:val="00EC0C41"/>
    <w:rsid w:val="00EC0C54"/>
    <w:rsid w:val="00EC1594"/>
    <w:rsid w:val="00EC2326"/>
    <w:rsid w:val="00ED2083"/>
    <w:rsid w:val="00EE0FDD"/>
    <w:rsid w:val="00EE3775"/>
    <w:rsid w:val="00EE456B"/>
    <w:rsid w:val="00EE6BBD"/>
    <w:rsid w:val="00EE7D11"/>
    <w:rsid w:val="00F00C37"/>
    <w:rsid w:val="00F00F32"/>
    <w:rsid w:val="00F034AC"/>
    <w:rsid w:val="00F13AF6"/>
    <w:rsid w:val="00F15457"/>
    <w:rsid w:val="00F160D2"/>
    <w:rsid w:val="00F22860"/>
    <w:rsid w:val="00F23AB8"/>
    <w:rsid w:val="00F2421E"/>
    <w:rsid w:val="00F244DE"/>
    <w:rsid w:val="00F25A6B"/>
    <w:rsid w:val="00F44934"/>
    <w:rsid w:val="00F4748D"/>
    <w:rsid w:val="00F5373A"/>
    <w:rsid w:val="00F56709"/>
    <w:rsid w:val="00F5792E"/>
    <w:rsid w:val="00F612B3"/>
    <w:rsid w:val="00F65A65"/>
    <w:rsid w:val="00F7064A"/>
    <w:rsid w:val="00F721FC"/>
    <w:rsid w:val="00F72C1F"/>
    <w:rsid w:val="00F73552"/>
    <w:rsid w:val="00F747AD"/>
    <w:rsid w:val="00F77E91"/>
    <w:rsid w:val="00F80DBB"/>
    <w:rsid w:val="00F81F1E"/>
    <w:rsid w:val="00F85AB0"/>
    <w:rsid w:val="00F85BD4"/>
    <w:rsid w:val="00F92962"/>
    <w:rsid w:val="00F9376C"/>
    <w:rsid w:val="00F942CA"/>
    <w:rsid w:val="00F9452C"/>
    <w:rsid w:val="00F95A91"/>
    <w:rsid w:val="00F9640B"/>
    <w:rsid w:val="00FA22D0"/>
    <w:rsid w:val="00FB1689"/>
    <w:rsid w:val="00FB3630"/>
    <w:rsid w:val="00FB7206"/>
    <w:rsid w:val="00FC1D72"/>
    <w:rsid w:val="00FC4AED"/>
    <w:rsid w:val="00FD2C61"/>
    <w:rsid w:val="00FD3B3E"/>
    <w:rsid w:val="00FD44B0"/>
    <w:rsid w:val="00FD6730"/>
    <w:rsid w:val="00FE0D57"/>
    <w:rsid w:val="00FE177C"/>
    <w:rsid w:val="00FE5577"/>
    <w:rsid w:val="00FE5DCD"/>
    <w:rsid w:val="00FE6605"/>
    <w:rsid w:val="00FF34CA"/>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PGothic"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lsdException w:name="footer" w:unhideWhenUsed="1"/>
    <w:lsdException w:name="caption" w:uiPriority="35" w:qFormat="1"/>
    <w:lsdException w:name="table of figures" w:unhideWhenUsed="1" w:qFormat="1"/>
    <w:lsdException w:name="footnote reference" w:uiPriority="0" w:unhideWhenUsed="1" w:qFormat="1"/>
    <w:lsdException w:name="page number" w:unhideWhenUsed="1"/>
    <w:lsdException w:name="List" w:unhideWhenUsed="1" w:qFormat="1"/>
    <w:lsdException w:name="List Bullet" w:semiHidden="0" w:uiPriority="0" w:qFormat="1"/>
    <w:lsdException w:name="Title" w:semiHidden="0" w:uiPriority="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09671A"/>
    <w:rPr>
      <w:sz w:val="22"/>
      <w:szCs w:val="24"/>
      <w:lang w:val="en-US" w:eastAsia="en-US"/>
    </w:rPr>
  </w:style>
  <w:style w:type="paragraph" w:styleId="Heading1">
    <w:name w:val="heading 1"/>
    <w:aliases w:val="Cover title white"/>
    <w:next w:val="Normal"/>
    <w:link w:val="Heading1Char"/>
    <w:qFormat/>
    <w:rsid w:val="00B32510"/>
    <w:pPr>
      <w:keepNext/>
      <w:keepLines/>
      <w:outlineLvl w:val="0"/>
    </w:pPr>
    <w:rPr>
      <w:b/>
      <w:bCs/>
      <w:caps/>
      <w:color w:val="FFFFFF"/>
      <w:sz w:val="40"/>
      <w:szCs w:val="40"/>
      <w:lang w:val="en-US" w:eastAsia="en-US"/>
    </w:rPr>
  </w:style>
  <w:style w:type="paragraph" w:styleId="Heading2">
    <w:name w:val="heading 2"/>
    <w:basedOn w:val="Numberedtilelevel1"/>
    <w:next w:val="Normal"/>
    <w:link w:val="Heading2Char"/>
    <w:uiPriority w:val="9"/>
    <w:semiHidden/>
    <w:qFormat/>
    <w:rsid w:val="002F2009"/>
    <w:pPr>
      <w:outlineLvl w:val="1"/>
    </w:pPr>
    <w:rPr>
      <w:lang w:val="x-none" w:eastAsia="x-none"/>
    </w:rPr>
  </w:style>
  <w:style w:type="paragraph" w:styleId="Heading3">
    <w:name w:val="heading 3"/>
    <w:aliases w:val="Title 2"/>
    <w:basedOn w:val="Numberedtitlelevel2"/>
    <w:next w:val="Normal"/>
    <w:link w:val="Heading3Char"/>
    <w:uiPriority w:val="9"/>
    <w:qFormat/>
    <w:rsid w:val="002F2009"/>
    <w:pPr>
      <w:numPr>
        <w:ilvl w:val="0"/>
        <w:numId w:val="0"/>
      </w:numPr>
      <w:outlineLvl w:val="2"/>
    </w:pPr>
    <w:rPr>
      <w:szCs w:val="20"/>
      <w:lang w:val="x-none" w:eastAsia="x-none"/>
    </w:r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b/>
      <w:bCs/>
      <w:i/>
      <w:iCs/>
      <w:color w:val="2F5773"/>
      <w:szCs w:val="20"/>
      <w:lang w:val="x-none" w:eastAsia="x-none"/>
    </w:rPr>
  </w:style>
  <w:style w:type="paragraph" w:styleId="Heading5">
    <w:name w:val="heading 5"/>
    <w:aliases w:val="Cover subtitle white"/>
    <w:next w:val="Normal"/>
    <w:link w:val="Heading5Char"/>
    <w:semiHidden/>
    <w:qFormat/>
    <w:rsid w:val="00B32510"/>
    <w:pPr>
      <w:keepNext/>
      <w:keepLines/>
      <w:spacing w:before="200"/>
      <w:outlineLvl w:val="4"/>
    </w:pPr>
    <w:rPr>
      <w:caps/>
      <w:color w:val="FFFFFF"/>
      <w:sz w:val="28"/>
      <w:szCs w:val="28"/>
      <w:lang w:val="en-US" w:eastAsia="en-US"/>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i/>
      <w:iCs/>
      <w:color w:val="172B39"/>
      <w:szCs w:val="20"/>
      <w:lang w:val="x-none" w:eastAsia="x-none"/>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i/>
      <w:iCs/>
      <w:color w:val="404040"/>
      <w:szCs w:val="20"/>
      <w:lang w:val="x-none" w:eastAsia="x-none"/>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color w:val="404040"/>
      <w:sz w:val="20"/>
      <w:szCs w:val="20"/>
      <w:lang w:val="x-none" w:eastAsia="x-none"/>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link w:val="Heading1"/>
    <w:rsid w:val="00290DA3"/>
    <w:rPr>
      <w:b/>
      <w:bCs/>
      <w:caps/>
      <w:color w:val="FFFFFF"/>
      <w:sz w:val="40"/>
      <w:szCs w:val="40"/>
      <w:lang w:val="en-US" w:eastAsia="en-US" w:bidi="ar-SA"/>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link w:val="Heading2"/>
    <w:uiPriority w:val="9"/>
    <w:semiHidden/>
    <w:rsid w:val="00582AA7"/>
    <w:rPr>
      <w:rFonts w:ascii="Calibri" w:eastAsia="MS PGothic" w:hAnsi="Calibri" w:cs="Times New Roman"/>
      <w:color w:val="2F5773"/>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bCs/>
      <w:color w:val="2F5773"/>
      <w:sz w:val="32"/>
      <w:szCs w:val="24"/>
      <w:lang w:val="en-US" w:eastAsia="en-US"/>
    </w:rPr>
  </w:style>
  <w:style w:type="paragraph" w:customStyle="1" w:styleId="body">
    <w:name w:val="body"/>
    <w:qFormat/>
    <w:rsid w:val="007D3E01"/>
    <w:pPr>
      <w:spacing w:before="240" w:after="120" w:line="276" w:lineRule="auto"/>
      <w:jc w:val="both"/>
    </w:pPr>
    <w:rPr>
      <w:sz w:val="22"/>
      <w:szCs w:val="24"/>
      <w:lang w:val="en-US" w:eastAsia="en-US"/>
    </w:rPr>
  </w:style>
  <w:style w:type="character" w:customStyle="1" w:styleId="Heading3Char">
    <w:name w:val="Heading 3 Char"/>
    <w:aliases w:val="Title 2 Char"/>
    <w:link w:val="Heading3"/>
    <w:uiPriority w:val="9"/>
    <w:rsid w:val="00582AA7"/>
    <w:rPr>
      <w:rFonts w:ascii="Calibri" w:eastAsia="MS PGothic" w:hAnsi="Calibri" w:cs="Times New Roman"/>
      <w:bCs/>
      <w:color w:val="2F5773"/>
      <w:sz w:val="32"/>
    </w:rPr>
  </w:style>
  <w:style w:type="character" w:customStyle="1" w:styleId="Heading4Char">
    <w:name w:val="Heading 4 Char"/>
    <w:link w:val="Heading4"/>
    <w:uiPriority w:val="9"/>
    <w:semiHidden/>
    <w:rsid w:val="00582AA7"/>
    <w:rPr>
      <w:rFonts w:ascii="Calibri" w:eastAsia="MS PGothic" w:hAnsi="Calibri" w:cs="Times New Roman"/>
      <w:b/>
      <w:bCs/>
      <w:i/>
      <w:iCs/>
      <w:color w:val="2F5773"/>
      <w:sz w:val="22"/>
    </w:rPr>
  </w:style>
  <w:style w:type="character" w:customStyle="1" w:styleId="Heading5Char">
    <w:name w:val="Heading 5 Char"/>
    <w:aliases w:val="Cover subtitle white Char"/>
    <w:link w:val="Heading5"/>
    <w:semiHidden/>
    <w:rsid w:val="00290DA3"/>
    <w:rPr>
      <w:caps/>
      <w:color w:val="FFFFFF"/>
      <w:sz w:val="28"/>
      <w:szCs w:val="28"/>
      <w:lang w:val="en-US" w:eastAsia="en-US" w:bidi="ar-SA"/>
    </w:rPr>
  </w:style>
  <w:style w:type="character" w:customStyle="1" w:styleId="Heading6Char">
    <w:name w:val="Heading 6 Char"/>
    <w:link w:val="Heading6"/>
    <w:uiPriority w:val="9"/>
    <w:semiHidden/>
    <w:rsid w:val="00582AA7"/>
    <w:rPr>
      <w:rFonts w:ascii="Calibri" w:eastAsia="MS PGothic" w:hAnsi="Calibri" w:cs="Times New Roman"/>
      <w:i/>
      <w:iCs/>
      <w:color w:val="172B39"/>
      <w:sz w:val="22"/>
    </w:rPr>
  </w:style>
  <w:style w:type="character" w:customStyle="1" w:styleId="Heading7Char">
    <w:name w:val="Heading 7 Char"/>
    <w:link w:val="Heading7"/>
    <w:uiPriority w:val="9"/>
    <w:semiHidden/>
    <w:rsid w:val="00582AA7"/>
    <w:rPr>
      <w:rFonts w:ascii="Calibri" w:eastAsia="MS PGothic" w:hAnsi="Calibri" w:cs="Times New Roman"/>
      <w:i/>
      <w:iCs/>
      <w:color w:val="404040"/>
      <w:sz w:val="22"/>
    </w:rPr>
  </w:style>
  <w:style w:type="character" w:customStyle="1" w:styleId="Heading8Char">
    <w:name w:val="Heading 8 Char"/>
    <w:link w:val="Heading8"/>
    <w:uiPriority w:val="9"/>
    <w:semiHidden/>
    <w:rsid w:val="00582AA7"/>
    <w:rPr>
      <w:rFonts w:ascii="Calibri" w:eastAsia="MS PGothic" w:hAnsi="Calibri" w:cs="Times New Roman"/>
      <w:color w:val="404040"/>
      <w:sz w:val="20"/>
      <w:szCs w:val="20"/>
    </w:rPr>
  </w:style>
  <w:style w:type="character" w:customStyle="1" w:styleId="Heading9Char">
    <w:name w:val="Heading 9 Char"/>
    <w:link w:val="Heading9"/>
    <w:uiPriority w:val="9"/>
    <w:semiHidden/>
    <w:rsid w:val="00582AA7"/>
    <w:rPr>
      <w:rFonts w:ascii="Calibri" w:eastAsia="MS PGothic" w:hAnsi="Calibri" w:cs="Times New Roman"/>
      <w:i/>
      <w:iCs/>
      <w:color w:val="404040"/>
      <w:sz w:val="20"/>
      <w:szCs w:val="20"/>
    </w:rPr>
  </w:style>
  <w:style w:type="paragraph" w:styleId="BalloonText">
    <w:name w:val="Balloon Text"/>
    <w:basedOn w:val="Normal"/>
    <w:link w:val="BalloonTextChar"/>
    <w:uiPriority w:val="99"/>
    <w:semiHidden/>
    <w:rsid w:val="00372BEC"/>
    <w:rPr>
      <w:rFonts w:ascii="Lucida Grande" w:hAnsi="Lucida Grande"/>
      <w:sz w:val="18"/>
      <w:szCs w:val="18"/>
      <w:lang w:val="x-none" w:eastAsia="x-none"/>
    </w:rPr>
  </w:style>
  <w:style w:type="character" w:customStyle="1" w:styleId="BalloonTextChar">
    <w:name w:val="Balloon Text Char"/>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eastAsia="Times New Roman"/>
      <w:b/>
      <w:color w:val="000000"/>
      <w:sz w:val="22"/>
      <w:szCs w:val="22"/>
      <w:lang w:val="en-US" w:eastAsia="en-US"/>
    </w:rPr>
  </w:style>
  <w:style w:type="paragraph" w:customStyle="1" w:styleId="Tabledata">
    <w:name w:val="Table data"/>
    <w:basedOn w:val="body"/>
    <w:qFormat/>
    <w:rsid w:val="00455E0E"/>
    <w:pPr>
      <w:spacing w:before="120" w:line="240" w:lineRule="auto"/>
    </w:pPr>
    <w:rPr>
      <w:rFonts w:eastAsia="Times New Roman" w:cs="Calibri"/>
      <w:bCs/>
      <w:color w:val="000000"/>
      <w:sz w:val="20"/>
      <w:szCs w:val="22"/>
      <w:lang w:val="en-GB" w:eastAsia="en-GB"/>
    </w:rPr>
  </w:style>
  <w:style w:type="paragraph" w:customStyle="1" w:styleId="List1">
    <w:name w:val="List1"/>
    <w:autoRedefine/>
    <w:qFormat/>
    <w:rsid w:val="008F3908"/>
    <w:pPr>
      <w:numPr>
        <w:numId w:val="5"/>
      </w:numPr>
    </w:pPr>
    <w:rPr>
      <w:sz w:val="22"/>
      <w:szCs w:val="22"/>
      <w:lang w:val="en-US" w:eastAsia="en-US"/>
    </w:rPr>
  </w:style>
  <w:style w:type="paragraph" w:styleId="Footer">
    <w:name w:val="footer"/>
    <w:basedOn w:val="Normal"/>
    <w:link w:val="FooterChar"/>
    <w:uiPriority w:val="99"/>
    <w:rsid w:val="00A00E34"/>
    <w:pPr>
      <w:tabs>
        <w:tab w:val="center" w:pos="4320"/>
        <w:tab w:val="right" w:pos="8640"/>
      </w:tabs>
    </w:pPr>
    <w:rPr>
      <w:szCs w:val="20"/>
      <w:lang w:val="x-none" w:eastAsia="x-none"/>
    </w:rPr>
  </w:style>
  <w:style w:type="character" w:customStyle="1" w:styleId="FooterChar">
    <w:name w:val="Footer Char"/>
    <w:link w:val="Footer"/>
    <w:uiPriority w:val="99"/>
    <w:rsid w:val="00582AA7"/>
    <w:rPr>
      <w:sz w:val="22"/>
    </w:rPr>
  </w:style>
  <w:style w:type="table" w:styleId="TableGrid">
    <w:name w:val="Table Grid"/>
    <w:aliases w:val="Tabla CUADROS"/>
    <w:basedOn w:val="TableProfessional"/>
    <w:uiPriority w:val="59"/>
    <w:rsid w:val="00A14332"/>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szCs w:val="24"/>
      <w:lang w:val="en-US" w:eastAsia="en-US"/>
    </w:rPr>
  </w:style>
  <w:style w:type="paragraph" w:customStyle="1" w:styleId="Titlelevel1">
    <w:name w:val="Title level 1"/>
    <w:autoRedefine/>
    <w:qFormat/>
    <w:rsid w:val="00471CA1"/>
    <w:pPr>
      <w:pBdr>
        <w:bottom w:val="single" w:sz="8" w:space="1" w:color="2F5773"/>
      </w:pBdr>
      <w:spacing w:before="360" w:after="600" w:line="560" w:lineRule="exact"/>
    </w:pPr>
    <w:rPr>
      <w:color w:val="2F5773"/>
      <w:spacing w:val="5"/>
      <w:kern w:val="28"/>
      <w:sz w:val="52"/>
      <w:szCs w:val="52"/>
      <w:lang w:val="en-US" w:eastAsia="en-US"/>
    </w:rPr>
  </w:style>
  <w:style w:type="paragraph" w:customStyle="1" w:styleId="Titlelevel3">
    <w:name w:val="Title level 3"/>
    <w:qFormat/>
    <w:rsid w:val="005D4005"/>
    <w:pPr>
      <w:spacing w:before="240" w:after="240"/>
    </w:pPr>
    <w:rPr>
      <w:b/>
      <w:color w:val="2F5773"/>
      <w:sz w:val="24"/>
      <w:szCs w:val="24"/>
      <w:lang w:val="en-US" w:eastAsia="en-US"/>
    </w:rPr>
  </w:style>
  <w:style w:type="paragraph" w:customStyle="1" w:styleId="Titlelevel4">
    <w:name w:val="Title level 4"/>
    <w:next w:val="body"/>
    <w:qFormat/>
    <w:rsid w:val="00AE55F6"/>
    <w:pPr>
      <w:spacing w:before="240" w:after="240"/>
    </w:pPr>
    <w:rPr>
      <w:color w:val="E98E31"/>
      <w:sz w:val="24"/>
      <w:szCs w:val="24"/>
      <w:lang w:val="en-US" w:eastAsia="en-US"/>
    </w:rPr>
  </w:style>
  <w:style w:type="paragraph" w:customStyle="1" w:styleId="Figuretitle">
    <w:name w:val="Figure title"/>
    <w:basedOn w:val="body"/>
    <w:next w:val="Normal"/>
    <w:autoRedefine/>
    <w:qFormat/>
    <w:rsid w:val="003221EF"/>
    <w:pPr>
      <w:keepNext/>
      <w:spacing w:before="360" w:after="360"/>
    </w:pPr>
    <w:rPr>
      <w:rFonts w:eastAsia="Times New Roman"/>
      <w:bCs/>
      <w:noProof/>
      <w:color w:val="2F5773"/>
      <w:szCs w:val="20"/>
      <w:lang w:val="en-GB" w:eastAsia="en-GB"/>
    </w:rPr>
  </w:style>
  <w:style w:type="table" w:customStyle="1" w:styleId="EBAtable">
    <w:name w:val="EBA table"/>
    <w:basedOn w:val="TableNormal"/>
    <w:uiPriority w:val="99"/>
    <w:rsid w:val="002434B0"/>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character" w:styleId="PageNumber">
    <w:name w:val="page number"/>
    <w:uiPriority w:val="99"/>
    <w:semiHidden/>
    <w:rsid w:val="00610305"/>
    <w:rPr>
      <w:rFonts w:ascii="Calibri" w:hAnsi="Calibri"/>
      <w:color w:val="auto"/>
      <w:sz w:val="22"/>
    </w:rPr>
  </w:style>
  <w:style w:type="paragraph" w:customStyle="1" w:styleId="Runningtitle">
    <w:name w:val="Running title"/>
    <w:qFormat/>
    <w:rsid w:val="009F53AF"/>
    <w:rPr>
      <w:caps/>
      <w:sz w:val="16"/>
      <w:szCs w:val="18"/>
      <w:lang w:val="en-US" w:eastAsia="en-US"/>
    </w:rPr>
  </w:style>
  <w:style w:type="paragraph" w:styleId="FootnoteText">
    <w:name w:val="footnote text"/>
    <w:aliases w:val="Znak,Footnote Text Char Char,Footnote,Fußnote,FSR footnote,lábléc,Carattere1,Footnote Text Char1 Char,Footnote Text Char2 Char Char Char,Footnote Text Char1 Char Char Char Char,Footnote Text Char Char Char Char Char Char,fn,f, Carattere1"/>
    <w:basedOn w:val="body"/>
    <w:link w:val="FootnoteTextChar"/>
    <w:autoRedefine/>
    <w:qFormat/>
    <w:rsid w:val="00DB5E8F"/>
    <w:pPr>
      <w:spacing w:before="80" w:after="0" w:line="200" w:lineRule="exact"/>
    </w:pPr>
    <w:rPr>
      <w:sz w:val="18"/>
      <w:szCs w:val="18"/>
      <w:lang w:val="x-none" w:eastAsia="x-none"/>
    </w:rPr>
  </w:style>
  <w:style w:type="character" w:customStyle="1" w:styleId="FootnoteTextChar">
    <w:name w:val="Footnote Text Char"/>
    <w:aliases w:val="Znak Char,Footnote Text Char Char Char,Footnote Char,Fußnote Char,FSR footnote Char,lábléc Char,Carattere1 Char,Footnote Text Char1 Char Char,Footnote Text Char2 Char Char Char Char,Footnote Text Char1 Char Char Char Char Char,fn Char"/>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16 Point,BVI fnr"/>
    <w:qFormat/>
    <w:rsid w:val="00B13C87"/>
    <w:rPr>
      <w:rFonts w:ascii="Calibri" w:hAnsi="Calibr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sz w:val="22"/>
      <w:szCs w:val="22"/>
      <w:lang w:val="en-US" w:eastAsia="en-US"/>
    </w:rPr>
  </w:style>
  <w:style w:type="paragraph" w:styleId="TOC2">
    <w:name w:val="toc 2"/>
    <w:next w:val="Normal"/>
    <w:autoRedefine/>
    <w:uiPriority w:val="39"/>
    <w:qFormat/>
    <w:rsid w:val="00C41927"/>
    <w:pPr>
      <w:tabs>
        <w:tab w:val="left" w:pos="529"/>
        <w:tab w:val="right" w:pos="8771"/>
      </w:tabs>
      <w:spacing w:before="80" w:after="80"/>
    </w:pPr>
    <w:rPr>
      <w:noProof/>
      <w:sz w:val="22"/>
      <w:szCs w:val="22"/>
      <w:lang w:val="en-US" w:eastAsia="en-US"/>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customStyle="1" w:styleId="LightShading1">
    <w:name w:val="Light Shading1"/>
    <w:basedOn w:val="TableNormal"/>
    <w:uiPriority w:val="60"/>
    <w:rsid w:val="00F942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5301B"/>
    <w:rPr>
      <w:color w:val="234156"/>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rPr>
      <w:szCs w:val="20"/>
      <w:lang w:val="x-none" w:eastAsia="x-none"/>
    </w:rPr>
  </w:style>
  <w:style w:type="character" w:customStyle="1" w:styleId="HeaderChar">
    <w:name w:val="Header Char"/>
    <w:link w:val="Header"/>
    <w:uiPriority w:val="99"/>
    <w:rsid w:val="00582AA7"/>
    <w:rPr>
      <w:sz w:val="22"/>
    </w:rPr>
  </w:style>
  <w:style w:type="paragraph" w:styleId="Title">
    <w:name w:val="Title"/>
    <w:basedOn w:val="Normal"/>
    <w:next w:val="Normal"/>
    <w:link w:val="TitleChar"/>
    <w:qFormat/>
    <w:rsid w:val="004719B4"/>
    <w:pPr>
      <w:pBdr>
        <w:bottom w:val="single" w:sz="8" w:space="4" w:color="2F5773"/>
      </w:pBdr>
      <w:spacing w:after="300"/>
      <w:contextualSpacing/>
    </w:pPr>
    <w:rPr>
      <w:color w:val="2F5773"/>
      <w:spacing w:val="5"/>
      <w:kern w:val="28"/>
      <w:sz w:val="52"/>
      <w:szCs w:val="52"/>
      <w:lang w:val="x-none" w:eastAsia="x-none"/>
    </w:rPr>
  </w:style>
  <w:style w:type="character" w:customStyle="1" w:styleId="TitleChar">
    <w:name w:val="Title Char"/>
    <w:link w:val="Title"/>
    <w:rsid w:val="00582AA7"/>
    <w:rPr>
      <w:rFonts w:ascii="Calibri" w:eastAsia="MS PGothic" w:hAnsi="Calibri" w:cs="Times New Roman"/>
      <w:color w:val="2F5773"/>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color w:val="2F5773"/>
      <w:sz w:val="32"/>
      <w:szCs w:val="32"/>
      <w:lang w:eastAsia="en-US"/>
    </w:rPr>
  </w:style>
  <w:style w:type="character" w:customStyle="1" w:styleId="SubtitleChar">
    <w:name w:val="Subtitle Char"/>
    <w:link w:val="Subtitle"/>
    <w:uiPriority w:val="11"/>
    <w:rsid w:val="00290DA3"/>
    <w:rPr>
      <w:color w:val="2F5773"/>
      <w:sz w:val="32"/>
      <w:szCs w:val="32"/>
      <w:lang w:val="en-GB" w:eastAsia="en-US" w:bidi="ar-SA"/>
    </w:rPr>
  </w:style>
  <w:style w:type="character" w:styleId="BookTitle">
    <w:name w:val="Book Title"/>
    <w:uiPriority w:val="33"/>
    <w:qFormat/>
    <w:rsid w:val="000D7A44"/>
    <w:rPr>
      <w:b/>
      <w:bCs/>
      <w:smallCaps/>
      <w:spacing w:val="5"/>
    </w:rPr>
  </w:style>
  <w:style w:type="character" w:customStyle="1" w:styleId="Highlighttext">
    <w:name w:val="Highlight text"/>
    <w:uiPriority w:val="1"/>
    <w:semiHidden/>
    <w:qFormat/>
    <w:rsid w:val="00AE55F6"/>
    <w:rPr>
      <w:rFonts w:ascii="Calibri" w:hAnsi="Calibri"/>
      <w:b/>
      <w:bCs/>
      <w:caps w:val="0"/>
      <w:smallCaps w:val="0"/>
      <w:color w:val="E98E31"/>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1"/>
      </w:numPr>
      <w:contextualSpacing/>
    </w:pPr>
  </w:style>
  <w:style w:type="character" w:styleId="Hyperlink">
    <w:name w:val="Hyperlink"/>
    <w:uiPriority w:val="99"/>
    <w:rsid w:val="00392385"/>
    <w:rPr>
      <w:color w:val="2F5773"/>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character" w:styleId="CommentReference">
    <w:name w:val="annotation reference"/>
    <w:uiPriority w:val="99"/>
    <w:semiHidden/>
    <w:rsid w:val="00922798"/>
    <w:rPr>
      <w:sz w:val="16"/>
      <w:szCs w:val="16"/>
    </w:rPr>
  </w:style>
  <w:style w:type="paragraph" w:styleId="CommentText">
    <w:name w:val="annotation text"/>
    <w:basedOn w:val="Normal"/>
    <w:link w:val="CommentTextChar"/>
    <w:uiPriority w:val="99"/>
    <w:semiHidden/>
    <w:rsid w:val="00922798"/>
    <w:rPr>
      <w:sz w:val="20"/>
      <w:szCs w:val="20"/>
      <w:lang w:val="x-none" w:eastAsia="x-none"/>
    </w:rPr>
  </w:style>
  <w:style w:type="character" w:customStyle="1" w:styleId="CommentTextChar">
    <w:name w:val="Comment Text Char"/>
    <w:link w:val="CommentText"/>
    <w:uiPriority w:val="99"/>
    <w:semiHidden/>
    <w:rsid w:val="00922798"/>
    <w:rPr>
      <w:sz w:val="20"/>
      <w:szCs w:val="20"/>
    </w:rPr>
  </w:style>
  <w:style w:type="paragraph" w:styleId="CommentSubject">
    <w:name w:val="annotation subject"/>
    <w:basedOn w:val="CommentText"/>
    <w:next w:val="CommentText"/>
    <w:link w:val="CommentSubjectChar"/>
    <w:uiPriority w:val="99"/>
    <w:semiHidden/>
    <w:rsid w:val="00922798"/>
    <w:rPr>
      <w:b/>
      <w:bCs/>
    </w:rPr>
  </w:style>
  <w:style w:type="character" w:customStyle="1" w:styleId="CommentSubjectChar">
    <w:name w:val="Comment Subject Char"/>
    <w:link w:val="CommentSubject"/>
    <w:uiPriority w:val="99"/>
    <w:semiHidden/>
    <w:rsid w:val="00922798"/>
    <w:rPr>
      <w:b/>
      <w:bCs/>
      <w:sz w:val="20"/>
      <w:szCs w:val="20"/>
    </w:rPr>
  </w:style>
  <w:style w:type="paragraph" w:styleId="TOCHeading">
    <w:name w:val="TOC Heading"/>
    <w:basedOn w:val="Heading1"/>
    <w:next w:val="Normal"/>
    <w:uiPriority w:val="39"/>
    <w:semiHidden/>
    <w:qFormat/>
    <w:rsid w:val="009E35E9"/>
    <w:pPr>
      <w:spacing w:before="480"/>
      <w:outlineLvl w:val="9"/>
    </w:pPr>
    <w:rPr>
      <w:caps w:val="0"/>
      <w:color w:val="234156"/>
      <w:sz w:val="28"/>
      <w:szCs w:val="28"/>
    </w:rPr>
  </w:style>
  <w:style w:type="paragraph" w:customStyle="1" w:styleId="Numberedheadinglevel1">
    <w:name w:val="Numbered heading level 1"/>
    <w:basedOn w:val="Normal"/>
    <w:next w:val="Normal"/>
    <w:qFormat/>
    <w:rsid w:val="008726C1"/>
    <w:pPr>
      <w:numPr>
        <w:numId w:val="12"/>
      </w:numPr>
      <w:tabs>
        <w:tab w:val="left" w:pos="0"/>
      </w:tabs>
      <w:spacing w:before="360" w:after="360"/>
      <w:jc w:val="both"/>
    </w:pPr>
    <w:rPr>
      <w:rFonts w:ascii="Arial" w:eastAsia="Times New Roman" w:hAnsi="Arial"/>
      <w:color w:val="48748F"/>
      <w:sz w:val="28"/>
      <w:szCs w:val="28"/>
      <w:lang w:val="en-GB"/>
    </w:rPr>
  </w:style>
  <w:style w:type="paragraph" w:customStyle="1" w:styleId="Numberedheadinglevel2">
    <w:name w:val="Numbered heading level 2"/>
    <w:basedOn w:val="Normal"/>
    <w:next w:val="Normal"/>
    <w:qFormat/>
    <w:rsid w:val="008726C1"/>
    <w:pPr>
      <w:numPr>
        <w:ilvl w:val="1"/>
        <w:numId w:val="12"/>
      </w:numPr>
      <w:tabs>
        <w:tab w:val="left" w:pos="567"/>
      </w:tabs>
      <w:spacing w:before="360" w:after="240"/>
      <w:jc w:val="both"/>
    </w:pPr>
    <w:rPr>
      <w:rFonts w:ascii="Arial" w:eastAsia="Times New Roman" w:hAnsi="Arial"/>
      <w:color w:val="48748F"/>
      <w:sz w:val="24"/>
      <w:lang w:val="en-GB"/>
    </w:rPr>
  </w:style>
  <w:style w:type="paragraph" w:customStyle="1" w:styleId="Numberedheadinglevel3">
    <w:name w:val="Numbered heading level 3"/>
    <w:basedOn w:val="Normal"/>
    <w:next w:val="Normal"/>
    <w:link w:val="Numberedheadinglevel3Char"/>
    <w:qFormat/>
    <w:rsid w:val="008726C1"/>
    <w:pPr>
      <w:numPr>
        <w:ilvl w:val="2"/>
        <w:numId w:val="12"/>
      </w:numPr>
      <w:tabs>
        <w:tab w:val="left" w:pos="567"/>
      </w:tabs>
      <w:spacing w:before="240" w:after="120"/>
      <w:jc w:val="both"/>
    </w:pPr>
    <w:rPr>
      <w:rFonts w:ascii="Arial" w:eastAsia="Times New Roman" w:hAnsi="Arial"/>
      <w:color w:val="48748F"/>
      <w:sz w:val="20"/>
      <w:szCs w:val="20"/>
      <w:lang w:val="en-GB" w:eastAsia="x-none"/>
    </w:rPr>
  </w:style>
  <w:style w:type="paragraph" w:customStyle="1" w:styleId="Considrant">
    <w:name w:val="Considérant"/>
    <w:basedOn w:val="Normal"/>
    <w:uiPriority w:val="99"/>
    <w:rsid w:val="008726C1"/>
    <w:pPr>
      <w:numPr>
        <w:numId w:val="13"/>
      </w:numPr>
      <w:spacing w:before="120" w:after="120"/>
      <w:jc w:val="both"/>
    </w:pPr>
    <w:rPr>
      <w:rFonts w:ascii="Times New Roman" w:eastAsia="Times New Roman" w:hAnsi="Times New Roman"/>
      <w:sz w:val="24"/>
      <w:lang w:val="en-GB"/>
    </w:rPr>
  </w:style>
  <w:style w:type="paragraph" w:customStyle="1" w:styleId="Aufzhlungszeichen2">
    <w:name w:val="Aufzählungszeichen2"/>
    <w:basedOn w:val="Normal"/>
    <w:uiPriority w:val="99"/>
    <w:rsid w:val="008726C1"/>
    <w:pPr>
      <w:numPr>
        <w:numId w:val="14"/>
      </w:numPr>
      <w:spacing w:before="120" w:after="120" w:line="240" w:lineRule="exact"/>
      <w:jc w:val="both"/>
    </w:pPr>
    <w:rPr>
      <w:rFonts w:ascii="Verdana" w:eastAsia="Times New Roman" w:hAnsi="Verdana"/>
      <w:sz w:val="20"/>
      <w:lang w:val="en-GB"/>
    </w:rPr>
  </w:style>
  <w:style w:type="paragraph" w:styleId="ListParagraph">
    <w:name w:val="List Paragraph"/>
    <w:basedOn w:val="Normal"/>
    <w:uiPriority w:val="99"/>
    <w:qFormat/>
    <w:rsid w:val="008726C1"/>
    <w:pPr>
      <w:spacing w:after="200" w:line="276" w:lineRule="auto"/>
      <w:ind w:left="720"/>
      <w:contextualSpacing/>
    </w:pPr>
    <w:rPr>
      <w:rFonts w:eastAsia="Times New Roman" w:cs="Calibri"/>
      <w:szCs w:val="22"/>
    </w:rPr>
  </w:style>
  <w:style w:type="paragraph" w:customStyle="1" w:styleId="BodyText1">
    <w:name w:val="Body Text1"/>
    <w:basedOn w:val="Normal"/>
    <w:link w:val="BodytextChar"/>
    <w:qFormat/>
    <w:rsid w:val="003D2687"/>
    <w:pPr>
      <w:tabs>
        <w:tab w:val="left" w:pos="0"/>
      </w:tabs>
      <w:spacing w:line="300" w:lineRule="exact"/>
      <w:jc w:val="both"/>
    </w:pPr>
    <w:rPr>
      <w:rFonts w:ascii="Arial" w:eastAsia="Times New Roman" w:hAnsi="Arial"/>
      <w:color w:val="000000"/>
      <w:sz w:val="20"/>
      <w:szCs w:val="20"/>
      <w:lang w:val="en-GB" w:eastAsia="x-none"/>
    </w:rPr>
  </w:style>
  <w:style w:type="paragraph" w:customStyle="1" w:styleId="Bullet3">
    <w:name w:val="Bullet 3"/>
    <w:basedOn w:val="Normal"/>
    <w:qFormat/>
    <w:rsid w:val="003D2687"/>
    <w:pPr>
      <w:numPr>
        <w:numId w:val="15"/>
      </w:numPr>
      <w:tabs>
        <w:tab w:val="left" w:pos="567"/>
      </w:tabs>
      <w:spacing w:after="260" w:line="260" w:lineRule="exact"/>
      <w:ind w:left="851" w:hanging="284"/>
      <w:jc w:val="both"/>
    </w:pPr>
    <w:rPr>
      <w:rFonts w:ascii="Arial" w:eastAsia="Times New Roman" w:hAnsi="Arial"/>
      <w:color w:val="000000"/>
      <w:sz w:val="20"/>
      <w:szCs w:val="20"/>
      <w:lang w:val="en-GB"/>
    </w:rPr>
  </w:style>
  <w:style w:type="character" w:customStyle="1" w:styleId="FootnoteTextChar1">
    <w:name w:val="Footnote Text Char1"/>
    <w:aliases w:val="Znak Char1,Footnote Text Char Char Char1,Footnote Char1,Fußnote Char1,FSR footnote Char1,lábléc Char1,Carattere1 Char1,Footnote Text Char1 Char Char1,Footnote Text Char2 Char Char Char Char1,fn Char1,f Char, Carattere1 Char"/>
    <w:uiPriority w:val="99"/>
    <w:locked/>
    <w:rsid w:val="003D2687"/>
    <w:rPr>
      <w:rFonts w:ascii="Arial" w:hAnsi="Arial" w:cs="Times New Roman"/>
      <w:color w:val="000000"/>
      <w:sz w:val="18"/>
      <w:lang w:eastAsia="en-US"/>
    </w:rPr>
  </w:style>
  <w:style w:type="paragraph" w:customStyle="1" w:styleId="Style1">
    <w:name w:val="Style1"/>
    <w:basedOn w:val="Normal"/>
    <w:link w:val="Style1Char"/>
    <w:qFormat/>
    <w:rsid w:val="003D2687"/>
    <w:pPr>
      <w:keepNext/>
      <w:pBdr>
        <w:top w:val="single" w:sz="4" w:space="1" w:color="auto"/>
        <w:left w:val="single" w:sz="4" w:space="4" w:color="auto"/>
        <w:bottom w:val="single" w:sz="4" w:space="0" w:color="auto"/>
        <w:right w:val="single" w:sz="4" w:space="4" w:color="auto"/>
      </w:pBdr>
      <w:spacing w:before="240" w:after="240"/>
      <w:ind w:left="717"/>
      <w:outlineLvl w:val="1"/>
    </w:pPr>
    <w:rPr>
      <w:rFonts w:ascii="Times New Roman" w:eastAsia="Times New Roman" w:hAnsi="Times New Roman"/>
      <w:b/>
      <w:sz w:val="20"/>
      <w:szCs w:val="17"/>
      <w:lang w:val="en-GB" w:eastAsia="de-DE"/>
    </w:rPr>
  </w:style>
  <w:style w:type="character" w:customStyle="1" w:styleId="Style1Char">
    <w:name w:val="Style1 Char"/>
    <w:link w:val="Style1"/>
    <w:locked/>
    <w:rsid w:val="003D2687"/>
    <w:rPr>
      <w:rFonts w:ascii="Times New Roman" w:eastAsia="Times New Roman" w:hAnsi="Times New Roman" w:cs="Arial"/>
      <w:b/>
      <w:sz w:val="20"/>
      <w:szCs w:val="17"/>
      <w:lang w:val="en-GB" w:eastAsia="de-DE"/>
    </w:rPr>
  </w:style>
  <w:style w:type="paragraph" w:customStyle="1" w:styleId="EBAParagraphNumberedIA">
    <w:name w:val="EBA Paragraph Numbered IA"/>
    <w:basedOn w:val="BodyText1"/>
    <w:link w:val="EBAParagraphNumberedIAChar"/>
    <w:qFormat/>
    <w:rsid w:val="003D2687"/>
    <w:pPr>
      <w:numPr>
        <w:numId w:val="16"/>
      </w:numPr>
    </w:pPr>
  </w:style>
  <w:style w:type="character" w:customStyle="1" w:styleId="BodytextChar">
    <w:name w:val="Body text Char"/>
    <w:link w:val="BodyText1"/>
    <w:rsid w:val="003D2687"/>
    <w:rPr>
      <w:rFonts w:ascii="Arial" w:eastAsia="Times New Roman" w:hAnsi="Arial" w:cs="Times New Roman"/>
      <w:color w:val="000000"/>
      <w:sz w:val="20"/>
      <w:szCs w:val="20"/>
      <w:lang w:val="en-GB"/>
    </w:rPr>
  </w:style>
  <w:style w:type="character" w:customStyle="1" w:styleId="EBAParagraphNumberedIAChar">
    <w:name w:val="EBA Paragraph Numbered IA Char"/>
    <w:link w:val="EBAParagraphNumberedIA"/>
    <w:rsid w:val="003D2687"/>
    <w:rPr>
      <w:rFonts w:ascii="Arial" w:eastAsia="Times New Roman" w:hAnsi="Arial" w:cs="Times New Roman"/>
      <w:color w:val="000000"/>
      <w:sz w:val="20"/>
      <w:szCs w:val="20"/>
      <w:lang w:val="en-GB"/>
    </w:rPr>
  </w:style>
  <w:style w:type="character" w:customStyle="1" w:styleId="Numberedheadinglevel3Char">
    <w:name w:val="Numbered heading level 3 Char"/>
    <w:link w:val="Numberedheadinglevel3"/>
    <w:rsid w:val="003D2687"/>
    <w:rPr>
      <w:rFonts w:ascii="Arial" w:eastAsia="Times New Roman" w:hAnsi="Arial" w:cs="Times New Roman"/>
      <w:color w:val="48748F"/>
      <w:sz w:val="20"/>
      <w:szCs w:val="20"/>
      <w:lang w:val="en-GB"/>
    </w:rPr>
  </w:style>
  <w:style w:type="table" w:customStyle="1" w:styleId="TablaCUADROS1">
    <w:name w:val="Tabla CUADROS1"/>
    <w:basedOn w:val="TableNormal"/>
    <w:next w:val="TableGrid"/>
    <w:uiPriority w:val="59"/>
    <w:locked/>
    <w:rsid w:val="003D2687"/>
    <w:rPr>
      <w:rFonts w:ascii="Arial" w:eastAsia="Times New Roman" w:hAnsi="Arial"/>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1">
    <w:name w:val="Platte tekst1"/>
    <w:basedOn w:val="Normal"/>
    <w:qFormat/>
    <w:rsid w:val="00EA3209"/>
    <w:pPr>
      <w:tabs>
        <w:tab w:val="left" w:pos="0"/>
      </w:tabs>
      <w:spacing w:line="300" w:lineRule="exact"/>
      <w:jc w:val="both"/>
    </w:pPr>
    <w:rPr>
      <w:rFonts w:ascii="Arial" w:eastAsia="Times New Roman" w:hAnsi="Arial"/>
      <w:color w:val="000000"/>
      <w:sz w:val="20"/>
      <w:szCs w:val="20"/>
      <w:lang w:val="en-GB"/>
    </w:rPr>
  </w:style>
  <w:style w:type="paragraph" w:customStyle="1" w:styleId="BodyText11">
    <w:name w:val="Body Text11"/>
    <w:basedOn w:val="Normal"/>
    <w:uiPriority w:val="99"/>
    <w:rsid w:val="00341101"/>
    <w:pPr>
      <w:tabs>
        <w:tab w:val="left" w:pos="0"/>
      </w:tabs>
      <w:spacing w:line="300" w:lineRule="exact"/>
      <w:jc w:val="both"/>
    </w:pPr>
    <w:rPr>
      <w:rFonts w:ascii="Arial" w:eastAsia="Times New Roman" w:hAnsi="Arial"/>
      <w:color w:val="000000"/>
      <w:sz w:val="20"/>
      <w:szCs w:val="20"/>
      <w:lang w:val="en-GB"/>
    </w:rPr>
  </w:style>
  <w:style w:type="paragraph" w:customStyle="1" w:styleId="Default">
    <w:name w:val="Default"/>
    <w:rsid w:val="00341101"/>
    <w:pPr>
      <w:autoSpaceDE w:val="0"/>
      <w:autoSpaceDN w:val="0"/>
      <w:adjustRightInd w:val="0"/>
    </w:pPr>
    <w:rPr>
      <w:rFonts w:ascii="Segoe UI" w:eastAsia="Calibri" w:hAnsi="Segoe UI" w:cs="Segoe UI"/>
      <w:color w:val="000000"/>
      <w:sz w:val="24"/>
      <w:szCs w:val="24"/>
      <w:lang w:eastAsia="en-US"/>
    </w:rPr>
  </w:style>
  <w:style w:type="paragraph" w:customStyle="1" w:styleId="InstructionsText2">
    <w:name w:val="Instructions Text 2"/>
    <w:basedOn w:val="Normal"/>
    <w:uiPriority w:val="99"/>
    <w:rsid w:val="00341101"/>
    <w:pPr>
      <w:numPr>
        <w:numId w:val="17"/>
      </w:numPr>
      <w:spacing w:after="240"/>
      <w:jc w:val="both"/>
    </w:pPr>
    <w:rPr>
      <w:rFonts w:ascii="Times New Roman" w:eastAsia="Times New Roman" w:hAnsi="Times New Roman"/>
      <w:sz w:val="20"/>
      <w:lang w:val="en-GB"/>
    </w:rPr>
  </w:style>
  <w:style w:type="paragraph" w:customStyle="1" w:styleId="CM15">
    <w:name w:val="CM1+5"/>
    <w:basedOn w:val="Default"/>
    <w:next w:val="Default"/>
    <w:uiPriority w:val="99"/>
    <w:rsid w:val="002D60B8"/>
    <w:rPr>
      <w:rFonts w:ascii="EUAlbertina" w:eastAsia="MS PGothic" w:hAnsi="EUAlbertina" w:cs="Times New Roman"/>
      <w:color w:val="auto"/>
      <w:lang w:eastAsia="en-GB"/>
    </w:rPr>
  </w:style>
  <w:style w:type="paragraph" w:customStyle="1" w:styleId="CM35">
    <w:name w:val="CM3+5"/>
    <w:basedOn w:val="Default"/>
    <w:next w:val="Default"/>
    <w:uiPriority w:val="99"/>
    <w:rsid w:val="002D60B8"/>
    <w:rPr>
      <w:rFonts w:ascii="EUAlbertina" w:eastAsia="MS PGothic" w:hAnsi="EUAlbertina" w:cs="Times New Roman"/>
      <w:color w:val="auto"/>
      <w:lang w:eastAsia="en-GB"/>
    </w:rPr>
  </w:style>
  <w:style w:type="paragraph" w:styleId="Revision">
    <w:name w:val="Revision"/>
    <w:hidden/>
    <w:uiPriority w:val="99"/>
    <w:semiHidden/>
    <w:rsid w:val="007F09C2"/>
    <w:rPr>
      <w:sz w:val="22"/>
      <w:szCs w:val="24"/>
      <w:lang w:val="en-US" w:eastAsia="en-US"/>
    </w:rPr>
  </w:style>
  <w:style w:type="numbering" w:customStyle="1" w:styleId="NoList1">
    <w:name w:val="No List1"/>
    <w:next w:val="NoList"/>
    <w:uiPriority w:val="99"/>
    <w:semiHidden/>
    <w:unhideWhenUsed/>
    <w:rsid w:val="00E3680B"/>
  </w:style>
  <w:style w:type="table" w:customStyle="1" w:styleId="TablaCUADROS2">
    <w:name w:val="Tabla CUADROS2"/>
    <w:basedOn w:val="TableProfessional"/>
    <w:next w:val="TableGrid"/>
    <w:uiPriority w:val="59"/>
    <w:rsid w:val="00E3680B"/>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E368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E3680B"/>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E368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E3680B"/>
    <w:rPr>
      <w:color w:val="234156"/>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aCUADROS11">
    <w:name w:val="Tabla CUADROS11"/>
    <w:basedOn w:val="TableNormal"/>
    <w:next w:val="TableGrid"/>
    <w:uiPriority w:val="59"/>
    <w:locked/>
    <w:rsid w:val="00E3680B"/>
    <w:rPr>
      <w:rFonts w:ascii="Arial" w:eastAsia="Times New Roman" w:hAnsi="Arial"/>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PGothic"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lsdException w:name="footer" w:unhideWhenUsed="1"/>
    <w:lsdException w:name="caption" w:uiPriority="35" w:qFormat="1"/>
    <w:lsdException w:name="table of figures" w:unhideWhenUsed="1" w:qFormat="1"/>
    <w:lsdException w:name="footnote reference" w:uiPriority="0" w:unhideWhenUsed="1" w:qFormat="1"/>
    <w:lsdException w:name="page number" w:unhideWhenUsed="1"/>
    <w:lsdException w:name="List" w:unhideWhenUsed="1" w:qFormat="1"/>
    <w:lsdException w:name="List Bullet" w:semiHidden="0" w:uiPriority="0" w:qFormat="1"/>
    <w:lsdException w:name="Title" w:semiHidden="0" w:uiPriority="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09671A"/>
    <w:rPr>
      <w:sz w:val="22"/>
      <w:szCs w:val="24"/>
      <w:lang w:val="en-US" w:eastAsia="en-US"/>
    </w:rPr>
  </w:style>
  <w:style w:type="paragraph" w:styleId="Heading1">
    <w:name w:val="heading 1"/>
    <w:aliases w:val="Cover title white"/>
    <w:next w:val="Normal"/>
    <w:link w:val="Heading1Char"/>
    <w:qFormat/>
    <w:rsid w:val="00B32510"/>
    <w:pPr>
      <w:keepNext/>
      <w:keepLines/>
      <w:outlineLvl w:val="0"/>
    </w:pPr>
    <w:rPr>
      <w:b/>
      <w:bCs/>
      <w:caps/>
      <w:color w:val="FFFFFF"/>
      <w:sz w:val="40"/>
      <w:szCs w:val="40"/>
      <w:lang w:val="en-US" w:eastAsia="en-US"/>
    </w:rPr>
  </w:style>
  <w:style w:type="paragraph" w:styleId="Heading2">
    <w:name w:val="heading 2"/>
    <w:basedOn w:val="Numberedtilelevel1"/>
    <w:next w:val="Normal"/>
    <w:link w:val="Heading2Char"/>
    <w:uiPriority w:val="9"/>
    <w:semiHidden/>
    <w:qFormat/>
    <w:rsid w:val="002F2009"/>
    <w:pPr>
      <w:outlineLvl w:val="1"/>
    </w:pPr>
    <w:rPr>
      <w:lang w:val="x-none" w:eastAsia="x-none"/>
    </w:rPr>
  </w:style>
  <w:style w:type="paragraph" w:styleId="Heading3">
    <w:name w:val="heading 3"/>
    <w:aliases w:val="Title 2"/>
    <w:basedOn w:val="Numberedtitlelevel2"/>
    <w:next w:val="Normal"/>
    <w:link w:val="Heading3Char"/>
    <w:uiPriority w:val="9"/>
    <w:qFormat/>
    <w:rsid w:val="002F2009"/>
    <w:pPr>
      <w:numPr>
        <w:ilvl w:val="0"/>
        <w:numId w:val="0"/>
      </w:numPr>
      <w:outlineLvl w:val="2"/>
    </w:pPr>
    <w:rPr>
      <w:szCs w:val="20"/>
      <w:lang w:val="x-none" w:eastAsia="x-none"/>
    </w:r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b/>
      <w:bCs/>
      <w:i/>
      <w:iCs/>
      <w:color w:val="2F5773"/>
      <w:szCs w:val="20"/>
      <w:lang w:val="x-none" w:eastAsia="x-none"/>
    </w:rPr>
  </w:style>
  <w:style w:type="paragraph" w:styleId="Heading5">
    <w:name w:val="heading 5"/>
    <w:aliases w:val="Cover subtitle white"/>
    <w:next w:val="Normal"/>
    <w:link w:val="Heading5Char"/>
    <w:semiHidden/>
    <w:qFormat/>
    <w:rsid w:val="00B32510"/>
    <w:pPr>
      <w:keepNext/>
      <w:keepLines/>
      <w:spacing w:before="200"/>
      <w:outlineLvl w:val="4"/>
    </w:pPr>
    <w:rPr>
      <w:caps/>
      <w:color w:val="FFFFFF"/>
      <w:sz w:val="28"/>
      <w:szCs w:val="28"/>
      <w:lang w:val="en-US" w:eastAsia="en-US"/>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i/>
      <w:iCs/>
      <w:color w:val="172B39"/>
      <w:szCs w:val="20"/>
      <w:lang w:val="x-none" w:eastAsia="x-none"/>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i/>
      <w:iCs/>
      <w:color w:val="404040"/>
      <w:szCs w:val="20"/>
      <w:lang w:val="x-none" w:eastAsia="x-none"/>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color w:val="404040"/>
      <w:sz w:val="20"/>
      <w:szCs w:val="20"/>
      <w:lang w:val="x-none" w:eastAsia="x-none"/>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link w:val="Heading1"/>
    <w:rsid w:val="00290DA3"/>
    <w:rPr>
      <w:b/>
      <w:bCs/>
      <w:caps/>
      <w:color w:val="FFFFFF"/>
      <w:sz w:val="40"/>
      <w:szCs w:val="40"/>
      <w:lang w:val="en-US" w:eastAsia="en-US" w:bidi="ar-SA"/>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link w:val="Heading2"/>
    <w:uiPriority w:val="9"/>
    <w:semiHidden/>
    <w:rsid w:val="00582AA7"/>
    <w:rPr>
      <w:rFonts w:ascii="Calibri" w:eastAsia="MS PGothic" w:hAnsi="Calibri" w:cs="Times New Roman"/>
      <w:color w:val="2F5773"/>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bCs/>
      <w:color w:val="2F5773"/>
      <w:sz w:val="32"/>
      <w:szCs w:val="24"/>
      <w:lang w:val="en-US" w:eastAsia="en-US"/>
    </w:rPr>
  </w:style>
  <w:style w:type="paragraph" w:customStyle="1" w:styleId="body">
    <w:name w:val="body"/>
    <w:qFormat/>
    <w:rsid w:val="007D3E01"/>
    <w:pPr>
      <w:spacing w:before="240" w:after="120" w:line="276" w:lineRule="auto"/>
      <w:jc w:val="both"/>
    </w:pPr>
    <w:rPr>
      <w:sz w:val="22"/>
      <w:szCs w:val="24"/>
      <w:lang w:val="en-US" w:eastAsia="en-US"/>
    </w:rPr>
  </w:style>
  <w:style w:type="character" w:customStyle="1" w:styleId="Heading3Char">
    <w:name w:val="Heading 3 Char"/>
    <w:aliases w:val="Title 2 Char"/>
    <w:link w:val="Heading3"/>
    <w:uiPriority w:val="9"/>
    <w:rsid w:val="00582AA7"/>
    <w:rPr>
      <w:rFonts w:ascii="Calibri" w:eastAsia="MS PGothic" w:hAnsi="Calibri" w:cs="Times New Roman"/>
      <w:bCs/>
      <w:color w:val="2F5773"/>
      <w:sz w:val="32"/>
    </w:rPr>
  </w:style>
  <w:style w:type="character" w:customStyle="1" w:styleId="Heading4Char">
    <w:name w:val="Heading 4 Char"/>
    <w:link w:val="Heading4"/>
    <w:uiPriority w:val="9"/>
    <w:semiHidden/>
    <w:rsid w:val="00582AA7"/>
    <w:rPr>
      <w:rFonts w:ascii="Calibri" w:eastAsia="MS PGothic" w:hAnsi="Calibri" w:cs="Times New Roman"/>
      <w:b/>
      <w:bCs/>
      <w:i/>
      <w:iCs/>
      <w:color w:val="2F5773"/>
      <w:sz w:val="22"/>
    </w:rPr>
  </w:style>
  <w:style w:type="character" w:customStyle="1" w:styleId="Heading5Char">
    <w:name w:val="Heading 5 Char"/>
    <w:aliases w:val="Cover subtitle white Char"/>
    <w:link w:val="Heading5"/>
    <w:semiHidden/>
    <w:rsid w:val="00290DA3"/>
    <w:rPr>
      <w:caps/>
      <w:color w:val="FFFFFF"/>
      <w:sz w:val="28"/>
      <w:szCs w:val="28"/>
      <w:lang w:val="en-US" w:eastAsia="en-US" w:bidi="ar-SA"/>
    </w:rPr>
  </w:style>
  <w:style w:type="character" w:customStyle="1" w:styleId="Heading6Char">
    <w:name w:val="Heading 6 Char"/>
    <w:link w:val="Heading6"/>
    <w:uiPriority w:val="9"/>
    <w:semiHidden/>
    <w:rsid w:val="00582AA7"/>
    <w:rPr>
      <w:rFonts w:ascii="Calibri" w:eastAsia="MS PGothic" w:hAnsi="Calibri" w:cs="Times New Roman"/>
      <w:i/>
      <w:iCs/>
      <w:color w:val="172B39"/>
      <w:sz w:val="22"/>
    </w:rPr>
  </w:style>
  <w:style w:type="character" w:customStyle="1" w:styleId="Heading7Char">
    <w:name w:val="Heading 7 Char"/>
    <w:link w:val="Heading7"/>
    <w:uiPriority w:val="9"/>
    <w:semiHidden/>
    <w:rsid w:val="00582AA7"/>
    <w:rPr>
      <w:rFonts w:ascii="Calibri" w:eastAsia="MS PGothic" w:hAnsi="Calibri" w:cs="Times New Roman"/>
      <w:i/>
      <w:iCs/>
      <w:color w:val="404040"/>
      <w:sz w:val="22"/>
    </w:rPr>
  </w:style>
  <w:style w:type="character" w:customStyle="1" w:styleId="Heading8Char">
    <w:name w:val="Heading 8 Char"/>
    <w:link w:val="Heading8"/>
    <w:uiPriority w:val="9"/>
    <w:semiHidden/>
    <w:rsid w:val="00582AA7"/>
    <w:rPr>
      <w:rFonts w:ascii="Calibri" w:eastAsia="MS PGothic" w:hAnsi="Calibri" w:cs="Times New Roman"/>
      <w:color w:val="404040"/>
      <w:sz w:val="20"/>
      <w:szCs w:val="20"/>
    </w:rPr>
  </w:style>
  <w:style w:type="character" w:customStyle="1" w:styleId="Heading9Char">
    <w:name w:val="Heading 9 Char"/>
    <w:link w:val="Heading9"/>
    <w:uiPriority w:val="9"/>
    <w:semiHidden/>
    <w:rsid w:val="00582AA7"/>
    <w:rPr>
      <w:rFonts w:ascii="Calibri" w:eastAsia="MS PGothic" w:hAnsi="Calibri" w:cs="Times New Roman"/>
      <w:i/>
      <w:iCs/>
      <w:color w:val="404040"/>
      <w:sz w:val="20"/>
      <w:szCs w:val="20"/>
    </w:rPr>
  </w:style>
  <w:style w:type="paragraph" w:styleId="BalloonText">
    <w:name w:val="Balloon Text"/>
    <w:basedOn w:val="Normal"/>
    <w:link w:val="BalloonTextChar"/>
    <w:uiPriority w:val="99"/>
    <w:semiHidden/>
    <w:rsid w:val="00372BEC"/>
    <w:rPr>
      <w:rFonts w:ascii="Lucida Grande" w:hAnsi="Lucida Grande"/>
      <w:sz w:val="18"/>
      <w:szCs w:val="18"/>
      <w:lang w:val="x-none" w:eastAsia="x-none"/>
    </w:rPr>
  </w:style>
  <w:style w:type="character" w:customStyle="1" w:styleId="BalloonTextChar">
    <w:name w:val="Balloon Text Char"/>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eastAsia="Times New Roman"/>
      <w:b/>
      <w:color w:val="000000"/>
      <w:sz w:val="22"/>
      <w:szCs w:val="22"/>
      <w:lang w:val="en-US" w:eastAsia="en-US"/>
    </w:rPr>
  </w:style>
  <w:style w:type="paragraph" w:customStyle="1" w:styleId="Tabledata">
    <w:name w:val="Table data"/>
    <w:basedOn w:val="body"/>
    <w:qFormat/>
    <w:rsid w:val="00455E0E"/>
    <w:pPr>
      <w:spacing w:before="120" w:line="240" w:lineRule="auto"/>
    </w:pPr>
    <w:rPr>
      <w:rFonts w:eastAsia="Times New Roman" w:cs="Calibri"/>
      <w:bCs/>
      <w:color w:val="000000"/>
      <w:sz w:val="20"/>
      <w:szCs w:val="22"/>
      <w:lang w:val="en-GB" w:eastAsia="en-GB"/>
    </w:rPr>
  </w:style>
  <w:style w:type="paragraph" w:customStyle="1" w:styleId="List1">
    <w:name w:val="List1"/>
    <w:autoRedefine/>
    <w:qFormat/>
    <w:rsid w:val="008F3908"/>
    <w:pPr>
      <w:numPr>
        <w:numId w:val="5"/>
      </w:numPr>
    </w:pPr>
    <w:rPr>
      <w:sz w:val="22"/>
      <w:szCs w:val="22"/>
      <w:lang w:val="en-US" w:eastAsia="en-US"/>
    </w:rPr>
  </w:style>
  <w:style w:type="paragraph" w:styleId="Footer">
    <w:name w:val="footer"/>
    <w:basedOn w:val="Normal"/>
    <w:link w:val="FooterChar"/>
    <w:uiPriority w:val="99"/>
    <w:rsid w:val="00A00E34"/>
    <w:pPr>
      <w:tabs>
        <w:tab w:val="center" w:pos="4320"/>
        <w:tab w:val="right" w:pos="8640"/>
      </w:tabs>
    </w:pPr>
    <w:rPr>
      <w:szCs w:val="20"/>
      <w:lang w:val="x-none" w:eastAsia="x-none"/>
    </w:rPr>
  </w:style>
  <w:style w:type="character" w:customStyle="1" w:styleId="FooterChar">
    <w:name w:val="Footer Char"/>
    <w:link w:val="Footer"/>
    <w:uiPriority w:val="99"/>
    <w:rsid w:val="00582AA7"/>
    <w:rPr>
      <w:sz w:val="22"/>
    </w:rPr>
  </w:style>
  <w:style w:type="table" w:styleId="TableGrid">
    <w:name w:val="Table Grid"/>
    <w:aliases w:val="Tabla CUADROS"/>
    <w:basedOn w:val="TableProfessional"/>
    <w:uiPriority w:val="59"/>
    <w:rsid w:val="00A14332"/>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szCs w:val="24"/>
      <w:lang w:val="en-US" w:eastAsia="en-US"/>
    </w:rPr>
  </w:style>
  <w:style w:type="paragraph" w:customStyle="1" w:styleId="Titlelevel1">
    <w:name w:val="Title level 1"/>
    <w:autoRedefine/>
    <w:qFormat/>
    <w:rsid w:val="00471CA1"/>
    <w:pPr>
      <w:pBdr>
        <w:bottom w:val="single" w:sz="8" w:space="1" w:color="2F5773"/>
      </w:pBdr>
      <w:spacing w:before="360" w:after="600" w:line="560" w:lineRule="exact"/>
    </w:pPr>
    <w:rPr>
      <w:color w:val="2F5773"/>
      <w:spacing w:val="5"/>
      <w:kern w:val="28"/>
      <w:sz w:val="52"/>
      <w:szCs w:val="52"/>
      <w:lang w:val="en-US" w:eastAsia="en-US"/>
    </w:rPr>
  </w:style>
  <w:style w:type="paragraph" w:customStyle="1" w:styleId="Titlelevel3">
    <w:name w:val="Title level 3"/>
    <w:qFormat/>
    <w:rsid w:val="005D4005"/>
    <w:pPr>
      <w:spacing w:before="240" w:after="240"/>
    </w:pPr>
    <w:rPr>
      <w:b/>
      <w:color w:val="2F5773"/>
      <w:sz w:val="24"/>
      <w:szCs w:val="24"/>
      <w:lang w:val="en-US" w:eastAsia="en-US"/>
    </w:rPr>
  </w:style>
  <w:style w:type="paragraph" w:customStyle="1" w:styleId="Titlelevel4">
    <w:name w:val="Title level 4"/>
    <w:next w:val="body"/>
    <w:qFormat/>
    <w:rsid w:val="00AE55F6"/>
    <w:pPr>
      <w:spacing w:before="240" w:after="240"/>
    </w:pPr>
    <w:rPr>
      <w:color w:val="E98E31"/>
      <w:sz w:val="24"/>
      <w:szCs w:val="24"/>
      <w:lang w:val="en-US" w:eastAsia="en-US"/>
    </w:rPr>
  </w:style>
  <w:style w:type="paragraph" w:customStyle="1" w:styleId="Figuretitle">
    <w:name w:val="Figure title"/>
    <w:basedOn w:val="body"/>
    <w:next w:val="Normal"/>
    <w:autoRedefine/>
    <w:qFormat/>
    <w:rsid w:val="003221EF"/>
    <w:pPr>
      <w:keepNext/>
      <w:spacing w:before="360" w:after="360"/>
    </w:pPr>
    <w:rPr>
      <w:rFonts w:eastAsia="Times New Roman"/>
      <w:bCs/>
      <w:noProof/>
      <w:color w:val="2F5773"/>
      <w:szCs w:val="20"/>
      <w:lang w:val="en-GB" w:eastAsia="en-GB"/>
    </w:rPr>
  </w:style>
  <w:style w:type="table" w:customStyle="1" w:styleId="EBAtable">
    <w:name w:val="EBA table"/>
    <w:basedOn w:val="TableNormal"/>
    <w:uiPriority w:val="99"/>
    <w:rsid w:val="002434B0"/>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character" w:styleId="PageNumber">
    <w:name w:val="page number"/>
    <w:uiPriority w:val="99"/>
    <w:semiHidden/>
    <w:rsid w:val="00610305"/>
    <w:rPr>
      <w:rFonts w:ascii="Calibri" w:hAnsi="Calibri"/>
      <w:color w:val="auto"/>
      <w:sz w:val="22"/>
    </w:rPr>
  </w:style>
  <w:style w:type="paragraph" w:customStyle="1" w:styleId="Runningtitle">
    <w:name w:val="Running title"/>
    <w:qFormat/>
    <w:rsid w:val="009F53AF"/>
    <w:rPr>
      <w:caps/>
      <w:sz w:val="16"/>
      <w:szCs w:val="18"/>
      <w:lang w:val="en-US" w:eastAsia="en-US"/>
    </w:rPr>
  </w:style>
  <w:style w:type="paragraph" w:styleId="FootnoteText">
    <w:name w:val="footnote text"/>
    <w:aliases w:val="Znak,Footnote Text Char Char,Footnote,Fußnote,FSR footnote,lábléc,Carattere1,Footnote Text Char1 Char,Footnote Text Char2 Char Char Char,Footnote Text Char1 Char Char Char Char,Footnote Text Char Char Char Char Char Char,fn,f, Carattere1"/>
    <w:basedOn w:val="body"/>
    <w:link w:val="FootnoteTextChar"/>
    <w:autoRedefine/>
    <w:qFormat/>
    <w:rsid w:val="00DB5E8F"/>
    <w:pPr>
      <w:spacing w:before="80" w:after="0" w:line="200" w:lineRule="exact"/>
    </w:pPr>
    <w:rPr>
      <w:sz w:val="18"/>
      <w:szCs w:val="18"/>
      <w:lang w:val="x-none" w:eastAsia="x-none"/>
    </w:rPr>
  </w:style>
  <w:style w:type="character" w:customStyle="1" w:styleId="FootnoteTextChar">
    <w:name w:val="Footnote Text Char"/>
    <w:aliases w:val="Znak Char,Footnote Text Char Char Char,Footnote Char,Fußnote Char,FSR footnote Char,lábléc Char,Carattere1 Char,Footnote Text Char1 Char Char,Footnote Text Char2 Char Char Char Char,Footnote Text Char1 Char Char Char Char Char,fn Char"/>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16 Point,BVI fnr"/>
    <w:qFormat/>
    <w:rsid w:val="00B13C87"/>
    <w:rPr>
      <w:rFonts w:ascii="Calibri" w:hAnsi="Calibr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sz w:val="22"/>
      <w:szCs w:val="22"/>
      <w:lang w:val="en-US" w:eastAsia="en-US"/>
    </w:rPr>
  </w:style>
  <w:style w:type="paragraph" w:styleId="TOC2">
    <w:name w:val="toc 2"/>
    <w:next w:val="Normal"/>
    <w:autoRedefine/>
    <w:uiPriority w:val="39"/>
    <w:qFormat/>
    <w:rsid w:val="00C41927"/>
    <w:pPr>
      <w:tabs>
        <w:tab w:val="left" w:pos="529"/>
        <w:tab w:val="right" w:pos="8771"/>
      </w:tabs>
      <w:spacing w:before="80" w:after="80"/>
    </w:pPr>
    <w:rPr>
      <w:noProof/>
      <w:sz w:val="22"/>
      <w:szCs w:val="22"/>
      <w:lang w:val="en-US" w:eastAsia="en-US"/>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customStyle="1" w:styleId="LightShading1">
    <w:name w:val="Light Shading1"/>
    <w:basedOn w:val="TableNormal"/>
    <w:uiPriority w:val="60"/>
    <w:rsid w:val="00F942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5301B"/>
    <w:rPr>
      <w:color w:val="234156"/>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rPr>
      <w:szCs w:val="20"/>
      <w:lang w:val="x-none" w:eastAsia="x-none"/>
    </w:rPr>
  </w:style>
  <w:style w:type="character" w:customStyle="1" w:styleId="HeaderChar">
    <w:name w:val="Header Char"/>
    <w:link w:val="Header"/>
    <w:uiPriority w:val="99"/>
    <w:rsid w:val="00582AA7"/>
    <w:rPr>
      <w:sz w:val="22"/>
    </w:rPr>
  </w:style>
  <w:style w:type="paragraph" w:styleId="Title">
    <w:name w:val="Title"/>
    <w:basedOn w:val="Normal"/>
    <w:next w:val="Normal"/>
    <w:link w:val="TitleChar"/>
    <w:qFormat/>
    <w:rsid w:val="004719B4"/>
    <w:pPr>
      <w:pBdr>
        <w:bottom w:val="single" w:sz="8" w:space="4" w:color="2F5773"/>
      </w:pBdr>
      <w:spacing w:after="300"/>
      <w:contextualSpacing/>
    </w:pPr>
    <w:rPr>
      <w:color w:val="2F5773"/>
      <w:spacing w:val="5"/>
      <w:kern w:val="28"/>
      <w:sz w:val="52"/>
      <w:szCs w:val="52"/>
      <w:lang w:val="x-none" w:eastAsia="x-none"/>
    </w:rPr>
  </w:style>
  <w:style w:type="character" w:customStyle="1" w:styleId="TitleChar">
    <w:name w:val="Title Char"/>
    <w:link w:val="Title"/>
    <w:rsid w:val="00582AA7"/>
    <w:rPr>
      <w:rFonts w:ascii="Calibri" w:eastAsia="MS PGothic" w:hAnsi="Calibri" w:cs="Times New Roman"/>
      <w:color w:val="2F5773"/>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color w:val="2F5773"/>
      <w:sz w:val="32"/>
      <w:szCs w:val="32"/>
      <w:lang w:eastAsia="en-US"/>
    </w:rPr>
  </w:style>
  <w:style w:type="character" w:customStyle="1" w:styleId="SubtitleChar">
    <w:name w:val="Subtitle Char"/>
    <w:link w:val="Subtitle"/>
    <w:uiPriority w:val="11"/>
    <w:rsid w:val="00290DA3"/>
    <w:rPr>
      <w:color w:val="2F5773"/>
      <w:sz w:val="32"/>
      <w:szCs w:val="32"/>
      <w:lang w:val="en-GB" w:eastAsia="en-US" w:bidi="ar-SA"/>
    </w:rPr>
  </w:style>
  <w:style w:type="character" w:styleId="BookTitle">
    <w:name w:val="Book Title"/>
    <w:uiPriority w:val="33"/>
    <w:qFormat/>
    <w:rsid w:val="000D7A44"/>
    <w:rPr>
      <w:b/>
      <w:bCs/>
      <w:smallCaps/>
      <w:spacing w:val="5"/>
    </w:rPr>
  </w:style>
  <w:style w:type="character" w:customStyle="1" w:styleId="Highlighttext">
    <w:name w:val="Highlight text"/>
    <w:uiPriority w:val="1"/>
    <w:semiHidden/>
    <w:qFormat/>
    <w:rsid w:val="00AE55F6"/>
    <w:rPr>
      <w:rFonts w:ascii="Calibri" w:hAnsi="Calibri"/>
      <w:b/>
      <w:bCs/>
      <w:caps w:val="0"/>
      <w:smallCaps w:val="0"/>
      <w:color w:val="E98E31"/>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1"/>
      </w:numPr>
      <w:contextualSpacing/>
    </w:pPr>
  </w:style>
  <w:style w:type="character" w:styleId="Hyperlink">
    <w:name w:val="Hyperlink"/>
    <w:uiPriority w:val="99"/>
    <w:rsid w:val="00392385"/>
    <w:rPr>
      <w:color w:val="2F5773"/>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character" w:styleId="CommentReference">
    <w:name w:val="annotation reference"/>
    <w:uiPriority w:val="99"/>
    <w:semiHidden/>
    <w:rsid w:val="00922798"/>
    <w:rPr>
      <w:sz w:val="16"/>
      <w:szCs w:val="16"/>
    </w:rPr>
  </w:style>
  <w:style w:type="paragraph" w:styleId="CommentText">
    <w:name w:val="annotation text"/>
    <w:basedOn w:val="Normal"/>
    <w:link w:val="CommentTextChar"/>
    <w:uiPriority w:val="99"/>
    <w:semiHidden/>
    <w:rsid w:val="00922798"/>
    <w:rPr>
      <w:sz w:val="20"/>
      <w:szCs w:val="20"/>
      <w:lang w:val="x-none" w:eastAsia="x-none"/>
    </w:rPr>
  </w:style>
  <w:style w:type="character" w:customStyle="1" w:styleId="CommentTextChar">
    <w:name w:val="Comment Text Char"/>
    <w:link w:val="CommentText"/>
    <w:uiPriority w:val="99"/>
    <w:semiHidden/>
    <w:rsid w:val="00922798"/>
    <w:rPr>
      <w:sz w:val="20"/>
      <w:szCs w:val="20"/>
    </w:rPr>
  </w:style>
  <w:style w:type="paragraph" w:styleId="CommentSubject">
    <w:name w:val="annotation subject"/>
    <w:basedOn w:val="CommentText"/>
    <w:next w:val="CommentText"/>
    <w:link w:val="CommentSubjectChar"/>
    <w:uiPriority w:val="99"/>
    <w:semiHidden/>
    <w:rsid w:val="00922798"/>
    <w:rPr>
      <w:b/>
      <w:bCs/>
    </w:rPr>
  </w:style>
  <w:style w:type="character" w:customStyle="1" w:styleId="CommentSubjectChar">
    <w:name w:val="Comment Subject Char"/>
    <w:link w:val="CommentSubject"/>
    <w:uiPriority w:val="99"/>
    <w:semiHidden/>
    <w:rsid w:val="00922798"/>
    <w:rPr>
      <w:b/>
      <w:bCs/>
      <w:sz w:val="20"/>
      <w:szCs w:val="20"/>
    </w:rPr>
  </w:style>
  <w:style w:type="paragraph" w:styleId="TOCHeading">
    <w:name w:val="TOC Heading"/>
    <w:basedOn w:val="Heading1"/>
    <w:next w:val="Normal"/>
    <w:uiPriority w:val="39"/>
    <w:semiHidden/>
    <w:qFormat/>
    <w:rsid w:val="009E35E9"/>
    <w:pPr>
      <w:spacing w:before="480"/>
      <w:outlineLvl w:val="9"/>
    </w:pPr>
    <w:rPr>
      <w:caps w:val="0"/>
      <w:color w:val="234156"/>
      <w:sz w:val="28"/>
      <w:szCs w:val="28"/>
    </w:rPr>
  </w:style>
  <w:style w:type="paragraph" w:customStyle="1" w:styleId="Numberedheadinglevel1">
    <w:name w:val="Numbered heading level 1"/>
    <w:basedOn w:val="Normal"/>
    <w:next w:val="Normal"/>
    <w:qFormat/>
    <w:rsid w:val="008726C1"/>
    <w:pPr>
      <w:numPr>
        <w:numId w:val="12"/>
      </w:numPr>
      <w:tabs>
        <w:tab w:val="left" w:pos="0"/>
      </w:tabs>
      <w:spacing w:before="360" w:after="360"/>
      <w:jc w:val="both"/>
    </w:pPr>
    <w:rPr>
      <w:rFonts w:ascii="Arial" w:eastAsia="Times New Roman" w:hAnsi="Arial"/>
      <w:color w:val="48748F"/>
      <w:sz w:val="28"/>
      <w:szCs w:val="28"/>
      <w:lang w:val="en-GB"/>
    </w:rPr>
  </w:style>
  <w:style w:type="paragraph" w:customStyle="1" w:styleId="Numberedheadinglevel2">
    <w:name w:val="Numbered heading level 2"/>
    <w:basedOn w:val="Normal"/>
    <w:next w:val="Normal"/>
    <w:qFormat/>
    <w:rsid w:val="008726C1"/>
    <w:pPr>
      <w:numPr>
        <w:ilvl w:val="1"/>
        <w:numId w:val="12"/>
      </w:numPr>
      <w:tabs>
        <w:tab w:val="left" w:pos="567"/>
      </w:tabs>
      <w:spacing w:before="360" w:after="240"/>
      <w:jc w:val="both"/>
    </w:pPr>
    <w:rPr>
      <w:rFonts w:ascii="Arial" w:eastAsia="Times New Roman" w:hAnsi="Arial"/>
      <w:color w:val="48748F"/>
      <w:sz w:val="24"/>
      <w:lang w:val="en-GB"/>
    </w:rPr>
  </w:style>
  <w:style w:type="paragraph" w:customStyle="1" w:styleId="Numberedheadinglevel3">
    <w:name w:val="Numbered heading level 3"/>
    <w:basedOn w:val="Normal"/>
    <w:next w:val="Normal"/>
    <w:link w:val="Numberedheadinglevel3Char"/>
    <w:qFormat/>
    <w:rsid w:val="008726C1"/>
    <w:pPr>
      <w:numPr>
        <w:ilvl w:val="2"/>
        <w:numId w:val="12"/>
      </w:numPr>
      <w:tabs>
        <w:tab w:val="left" w:pos="567"/>
      </w:tabs>
      <w:spacing w:before="240" w:after="120"/>
      <w:jc w:val="both"/>
    </w:pPr>
    <w:rPr>
      <w:rFonts w:ascii="Arial" w:eastAsia="Times New Roman" w:hAnsi="Arial"/>
      <w:color w:val="48748F"/>
      <w:sz w:val="20"/>
      <w:szCs w:val="20"/>
      <w:lang w:val="en-GB" w:eastAsia="x-none"/>
    </w:rPr>
  </w:style>
  <w:style w:type="paragraph" w:customStyle="1" w:styleId="Considrant">
    <w:name w:val="Considérant"/>
    <w:basedOn w:val="Normal"/>
    <w:uiPriority w:val="99"/>
    <w:rsid w:val="008726C1"/>
    <w:pPr>
      <w:numPr>
        <w:numId w:val="13"/>
      </w:numPr>
      <w:spacing w:before="120" w:after="120"/>
      <w:jc w:val="both"/>
    </w:pPr>
    <w:rPr>
      <w:rFonts w:ascii="Times New Roman" w:eastAsia="Times New Roman" w:hAnsi="Times New Roman"/>
      <w:sz w:val="24"/>
      <w:lang w:val="en-GB"/>
    </w:rPr>
  </w:style>
  <w:style w:type="paragraph" w:customStyle="1" w:styleId="Aufzhlungszeichen2">
    <w:name w:val="Aufzählungszeichen2"/>
    <w:basedOn w:val="Normal"/>
    <w:uiPriority w:val="99"/>
    <w:rsid w:val="008726C1"/>
    <w:pPr>
      <w:numPr>
        <w:numId w:val="14"/>
      </w:numPr>
      <w:spacing w:before="120" w:after="120" w:line="240" w:lineRule="exact"/>
      <w:jc w:val="both"/>
    </w:pPr>
    <w:rPr>
      <w:rFonts w:ascii="Verdana" w:eastAsia="Times New Roman" w:hAnsi="Verdana"/>
      <w:sz w:val="20"/>
      <w:lang w:val="en-GB"/>
    </w:rPr>
  </w:style>
  <w:style w:type="paragraph" w:styleId="ListParagraph">
    <w:name w:val="List Paragraph"/>
    <w:basedOn w:val="Normal"/>
    <w:uiPriority w:val="99"/>
    <w:qFormat/>
    <w:rsid w:val="008726C1"/>
    <w:pPr>
      <w:spacing w:after="200" w:line="276" w:lineRule="auto"/>
      <w:ind w:left="720"/>
      <w:contextualSpacing/>
    </w:pPr>
    <w:rPr>
      <w:rFonts w:eastAsia="Times New Roman" w:cs="Calibri"/>
      <w:szCs w:val="22"/>
    </w:rPr>
  </w:style>
  <w:style w:type="paragraph" w:customStyle="1" w:styleId="BodyText1">
    <w:name w:val="Body Text1"/>
    <w:basedOn w:val="Normal"/>
    <w:link w:val="BodytextChar"/>
    <w:qFormat/>
    <w:rsid w:val="003D2687"/>
    <w:pPr>
      <w:tabs>
        <w:tab w:val="left" w:pos="0"/>
      </w:tabs>
      <w:spacing w:line="300" w:lineRule="exact"/>
      <w:jc w:val="both"/>
    </w:pPr>
    <w:rPr>
      <w:rFonts w:ascii="Arial" w:eastAsia="Times New Roman" w:hAnsi="Arial"/>
      <w:color w:val="000000"/>
      <w:sz w:val="20"/>
      <w:szCs w:val="20"/>
      <w:lang w:val="en-GB" w:eastAsia="x-none"/>
    </w:rPr>
  </w:style>
  <w:style w:type="paragraph" w:customStyle="1" w:styleId="Bullet3">
    <w:name w:val="Bullet 3"/>
    <w:basedOn w:val="Normal"/>
    <w:qFormat/>
    <w:rsid w:val="003D2687"/>
    <w:pPr>
      <w:numPr>
        <w:numId w:val="15"/>
      </w:numPr>
      <w:tabs>
        <w:tab w:val="left" w:pos="567"/>
      </w:tabs>
      <w:spacing w:after="260" w:line="260" w:lineRule="exact"/>
      <w:ind w:left="851" w:hanging="284"/>
      <w:jc w:val="both"/>
    </w:pPr>
    <w:rPr>
      <w:rFonts w:ascii="Arial" w:eastAsia="Times New Roman" w:hAnsi="Arial"/>
      <w:color w:val="000000"/>
      <w:sz w:val="20"/>
      <w:szCs w:val="20"/>
      <w:lang w:val="en-GB"/>
    </w:rPr>
  </w:style>
  <w:style w:type="character" w:customStyle="1" w:styleId="FootnoteTextChar1">
    <w:name w:val="Footnote Text Char1"/>
    <w:aliases w:val="Znak Char1,Footnote Text Char Char Char1,Footnote Char1,Fußnote Char1,FSR footnote Char1,lábléc Char1,Carattere1 Char1,Footnote Text Char1 Char Char1,Footnote Text Char2 Char Char Char Char1,fn Char1,f Char, Carattere1 Char"/>
    <w:uiPriority w:val="99"/>
    <w:locked/>
    <w:rsid w:val="003D2687"/>
    <w:rPr>
      <w:rFonts w:ascii="Arial" w:hAnsi="Arial" w:cs="Times New Roman"/>
      <w:color w:val="000000"/>
      <w:sz w:val="18"/>
      <w:lang w:eastAsia="en-US"/>
    </w:rPr>
  </w:style>
  <w:style w:type="paragraph" w:customStyle="1" w:styleId="Style1">
    <w:name w:val="Style1"/>
    <w:basedOn w:val="Normal"/>
    <w:link w:val="Style1Char"/>
    <w:qFormat/>
    <w:rsid w:val="003D2687"/>
    <w:pPr>
      <w:keepNext/>
      <w:pBdr>
        <w:top w:val="single" w:sz="4" w:space="1" w:color="auto"/>
        <w:left w:val="single" w:sz="4" w:space="4" w:color="auto"/>
        <w:bottom w:val="single" w:sz="4" w:space="0" w:color="auto"/>
        <w:right w:val="single" w:sz="4" w:space="4" w:color="auto"/>
      </w:pBdr>
      <w:spacing w:before="240" w:after="240"/>
      <w:ind w:left="717"/>
      <w:outlineLvl w:val="1"/>
    </w:pPr>
    <w:rPr>
      <w:rFonts w:ascii="Times New Roman" w:eastAsia="Times New Roman" w:hAnsi="Times New Roman"/>
      <w:b/>
      <w:sz w:val="20"/>
      <w:szCs w:val="17"/>
      <w:lang w:val="en-GB" w:eastAsia="de-DE"/>
    </w:rPr>
  </w:style>
  <w:style w:type="character" w:customStyle="1" w:styleId="Style1Char">
    <w:name w:val="Style1 Char"/>
    <w:link w:val="Style1"/>
    <w:locked/>
    <w:rsid w:val="003D2687"/>
    <w:rPr>
      <w:rFonts w:ascii="Times New Roman" w:eastAsia="Times New Roman" w:hAnsi="Times New Roman" w:cs="Arial"/>
      <w:b/>
      <w:sz w:val="20"/>
      <w:szCs w:val="17"/>
      <w:lang w:val="en-GB" w:eastAsia="de-DE"/>
    </w:rPr>
  </w:style>
  <w:style w:type="paragraph" w:customStyle="1" w:styleId="EBAParagraphNumberedIA">
    <w:name w:val="EBA Paragraph Numbered IA"/>
    <w:basedOn w:val="BodyText1"/>
    <w:link w:val="EBAParagraphNumberedIAChar"/>
    <w:qFormat/>
    <w:rsid w:val="003D2687"/>
    <w:pPr>
      <w:numPr>
        <w:numId w:val="16"/>
      </w:numPr>
    </w:pPr>
  </w:style>
  <w:style w:type="character" w:customStyle="1" w:styleId="BodytextChar">
    <w:name w:val="Body text Char"/>
    <w:link w:val="BodyText1"/>
    <w:rsid w:val="003D2687"/>
    <w:rPr>
      <w:rFonts w:ascii="Arial" w:eastAsia="Times New Roman" w:hAnsi="Arial" w:cs="Times New Roman"/>
      <w:color w:val="000000"/>
      <w:sz w:val="20"/>
      <w:szCs w:val="20"/>
      <w:lang w:val="en-GB"/>
    </w:rPr>
  </w:style>
  <w:style w:type="character" w:customStyle="1" w:styleId="EBAParagraphNumberedIAChar">
    <w:name w:val="EBA Paragraph Numbered IA Char"/>
    <w:link w:val="EBAParagraphNumberedIA"/>
    <w:rsid w:val="003D2687"/>
    <w:rPr>
      <w:rFonts w:ascii="Arial" w:eastAsia="Times New Roman" w:hAnsi="Arial" w:cs="Times New Roman"/>
      <w:color w:val="000000"/>
      <w:sz w:val="20"/>
      <w:szCs w:val="20"/>
      <w:lang w:val="en-GB"/>
    </w:rPr>
  </w:style>
  <w:style w:type="character" w:customStyle="1" w:styleId="Numberedheadinglevel3Char">
    <w:name w:val="Numbered heading level 3 Char"/>
    <w:link w:val="Numberedheadinglevel3"/>
    <w:rsid w:val="003D2687"/>
    <w:rPr>
      <w:rFonts w:ascii="Arial" w:eastAsia="Times New Roman" w:hAnsi="Arial" w:cs="Times New Roman"/>
      <w:color w:val="48748F"/>
      <w:sz w:val="20"/>
      <w:szCs w:val="20"/>
      <w:lang w:val="en-GB"/>
    </w:rPr>
  </w:style>
  <w:style w:type="table" w:customStyle="1" w:styleId="TablaCUADROS1">
    <w:name w:val="Tabla CUADROS1"/>
    <w:basedOn w:val="TableNormal"/>
    <w:next w:val="TableGrid"/>
    <w:uiPriority w:val="59"/>
    <w:locked/>
    <w:rsid w:val="003D2687"/>
    <w:rPr>
      <w:rFonts w:ascii="Arial" w:eastAsia="Times New Roman" w:hAnsi="Arial"/>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1">
    <w:name w:val="Platte tekst1"/>
    <w:basedOn w:val="Normal"/>
    <w:qFormat/>
    <w:rsid w:val="00EA3209"/>
    <w:pPr>
      <w:tabs>
        <w:tab w:val="left" w:pos="0"/>
      </w:tabs>
      <w:spacing w:line="300" w:lineRule="exact"/>
      <w:jc w:val="both"/>
    </w:pPr>
    <w:rPr>
      <w:rFonts w:ascii="Arial" w:eastAsia="Times New Roman" w:hAnsi="Arial"/>
      <w:color w:val="000000"/>
      <w:sz w:val="20"/>
      <w:szCs w:val="20"/>
      <w:lang w:val="en-GB"/>
    </w:rPr>
  </w:style>
  <w:style w:type="paragraph" w:customStyle="1" w:styleId="BodyText11">
    <w:name w:val="Body Text11"/>
    <w:basedOn w:val="Normal"/>
    <w:uiPriority w:val="99"/>
    <w:rsid w:val="00341101"/>
    <w:pPr>
      <w:tabs>
        <w:tab w:val="left" w:pos="0"/>
      </w:tabs>
      <w:spacing w:line="300" w:lineRule="exact"/>
      <w:jc w:val="both"/>
    </w:pPr>
    <w:rPr>
      <w:rFonts w:ascii="Arial" w:eastAsia="Times New Roman" w:hAnsi="Arial"/>
      <w:color w:val="000000"/>
      <w:sz w:val="20"/>
      <w:szCs w:val="20"/>
      <w:lang w:val="en-GB"/>
    </w:rPr>
  </w:style>
  <w:style w:type="paragraph" w:customStyle="1" w:styleId="Default">
    <w:name w:val="Default"/>
    <w:rsid w:val="00341101"/>
    <w:pPr>
      <w:autoSpaceDE w:val="0"/>
      <w:autoSpaceDN w:val="0"/>
      <w:adjustRightInd w:val="0"/>
    </w:pPr>
    <w:rPr>
      <w:rFonts w:ascii="Segoe UI" w:eastAsia="Calibri" w:hAnsi="Segoe UI" w:cs="Segoe UI"/>
      <w:color w:val="000000"/>
      <w:sz w:val="24"/>
      <w:szCs w:val="24"/>
      <w:lang w:eastAsia="en-US"/>
    </w:rPr>
  </w:style>
  <w:style w:type="paragraph" w:customStyle="1" w:styleId="InstructionsText2">
    <w:name w:val="Instructions Text 2"/>
    <w:basedOn w:val="Normal"/>
    <w:uiPriority w:val="99"/>
    <w:rsid w:val="00341101"/>
    <w:pPr>
      <w:numPr>
        <w:numId w:val="17"/>
      </w:numPr>
      <w:spacing w:after="240"/>
      <w:jc w:val="both"/>
    </w:pPr>
    <w:rPr>
      <w:rFonts w:ascii="Times New Roman" w:eastAsia="Times New Roman" w:hAnsi="Times New Roman"/>
      <w:sz w:val="20"/>
      <w:lang w:val="en-GB"/>
    </w:rPr>
  </w:style>
  <w:style w:type="paragraph" w:customStyle="1" w:styleId="CM15">
    <w:name w:val="CM1+5"/>
    <w:basedOn w:val="Default"/>
    <w:next w:val="Default"/>
    <w:uiPriority w:val="99"/>
    <w:rsid w:val="002D60B8"/>
    <w:rPr>
      <w:rFonts w:ascii="EUAlbertina" w:eastAsia="MS PGothic" w:hAnsi="EUAlbertina" w:cs="Times New Roman"/>
      <w:color w:val="auto"/>
      <w:lang w:eastAsia="en-GB"/>
    </w:rPr>
  </w:style>
  <w:style w:type="paragraph" w:customStyle="1" w:styleId="CM35">
    <w:name w:val="CM3+5"/>
    <w:basedOn w:val="Default"/>
    <w:next w:val="Default"/>
    <w:uiPriority w:val="99"/>
    <w:rsid w:val="002D60B8"/>
    <w:rPr>
      <w:rFonts w:ascii="EUAlbertina" w:eastAsia="MS PGothic" w:hAnsi="EUAlbertina" w:cs="Times New Roman"/>
      <w:color w:val="auto"/>
      <w:lang w:eastAsia="en-GB"/>
    </w:rPr>
  </w:style>
  <w:style w:type="paragraph" w:styleId="Revision">
    <w:name w:val="Revision"/>
    <w:hidden/>
    <w:uiPriority w:val="99"/>
    <w:semiHidden/>
    <w:rsid w:val="007F09C2"/>
    <w:rPr>
      <w:sz w:val="22"/>
      <w:szCs w:val="24"/>
      <w:lang w:val="en-US" w:eastAsia="en-US"/>
    </w:rPr>
  </w:style>
  <w:style w:type="numbering" w:customStyle="1" w:styleId="NoList1">
    <w:name w:val="No List1"/>
    <w:next w:val="NoList"/>
    <w:uiPriority w:val="99"/>
    <w:semiHidden/>
    <w:unhideWhenUsed/>
    <w:rsid w:val="00E3680B"/>
  </w:style>
  <w:style w:type="table" w:customStyle="1" w:styleId="TablaCUADROS2">
    <w:name w:val="Tabla CUADROS2"/>
    <w:basedOn w:val="TableProfessional"/>
    <w:next w:val="TableGrid"/>
    <w:uiPriority w:val="59"/>
    <w:rsid w:val="00E3680B"/>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E368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E3680B"/>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E368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E3680B"/>
    <w:rPr>
      <w:color w:val="234156"/>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aCUADROS11">
    <w:name w:val="Tabla CUADROS11"/>
    <w:basedOn w:val="TableNormal"/>
    <w:next w:val="TableGrid"/>
    <w:uiPriority w:val="59"/>
    <w:locked/>
    <w:rsid w:val="00E3680B"/>
    <w:rPr>
      <w:rFonts w:ascii="Arial" w:eastAsia="Times New Roman" w:hAnsi="Arial"/>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44327">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38374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13F23-E8B6-445B-8BE7-E3E0EE2A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5326</Words>
  <Characters>30361</Characters>
  <Application>Microsoft Office Word</Application>
  <DocSecurity>0</DocSecurity>
  <Lines>253</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Translation Centre</Company>
  <LinksUpToDate>false</LinksUpToDate>
  <CharactersWithSpaces>35616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lastModifiedBy>EBA</cp:lastModifiedBy>
  <cp:revision>2</cp:revision>
  <cp:lastPrinted>2015-02-04T09:39:00Z</cp:lastPrinted>
  <dcterms:created xsi:type="dcterms:W3CDTF">2015-06-11T15:34:00Z</dcterms:created>
  <dcterms:modified xsi:type="dcterms:W3CDTF">2015-06-11T15:34:00Z</dcterms:modified>
</cp:coreProperties>
</file>